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99003C" w:rsidRPr="00A7082A" w14:paraId="0EB4B852" w14:textId="77777777" w:rsidTr="00417FE2">
        <w:trPr>
          <w:cantSplit/>
          <w:trHeight w:val="57"/>
          <w:jc w:val="right"/>
        </w:trPr>
        <w:tc>
          <w:tcPr>
            <w:tcW w:w="1517" w:type="dxa"/>
          </w:tcPr>
          <w:p w14:paraId="72B540E8" w14:textId="77777777" w:rsidR="0099003C" w:rsidRPr="00A7082A" w:rsidRDefault="0099003C" w:rsidP="00320066">
            <w:pPr>
              <w:pStyle w:val="Normal-pool"/>
              <w:rPr>
                <w:rFonts w:ascii="Arial" w:hAnsi="Arial"/>
                <w:b/>
                <w:sz w:val="27"/>
              </w:rPr>
            </w:pPr>
            <w:bookmarkStart w:id="0" w:name="_GoBack"/>
            <w:r w:rsidRPr="00A7082A">
              <w:rPr>
                <w:rFonts w:ascii="Arial" w:hAnsi="Arial"/>
                <w:b/>
                <w:sz w:val="27"/>
              </w:rPr>
              <w:t xml:space="preserve">UNITED </w:t>
            </w:r>
            <w:r w:rsidRPr="00A7082A">
              <w:rPr>
                <w:rFonts w:ascii="Arial" w:hAnsi="Arial"/>
                <w:b/>
                <w:sz w:val="27"/>
              </w:rPr>
              <w:br/>
              <w:t>NATIONS</w:t>
            </w:r>
          </w:p>
        </w:tc>
        <w:tc>
          <w:tcPr>
            <w:tcW w:w="4640" w:type="dxa"/>
          </w:tcPr>
          <w:p w14:paraId="2E87FABF" w14:textId="77777777" w:rsidR="0099003C" w:rsidRPr="00A7082A" w:rsidRDefault="0099003C" w:rsidP="00320066">
            <w:pPr>
              <w:pStyle w:val="Normal-pool"/>
              <w:rPr>
                <w:rFonts w:ascii="Univers" w:hAnsi="Univers"/>
              </w:rPr>
            </w:pPr>
          </w:p>
        </w:tc>
        <w:tc>
          <w:tcPr>
            <w:tcW w:w="3333" w:type="dxa"/>
          </w:tcPr>
          <w:p w14:paraId="31AB2B9B" w14:textId="77777777" w:rsidR="0099003C" w:rsidRPr="00A7082A" w:rsidRDefault="0099003C" w:rsidP="00320066">
            <w:pPr>
              <w:pStyle w:val="Normal-pool"/>
              <w:jc w:val="right"/>
              <w:rPr>
                <w:rFonts w:ascii="Arial" w:hAnsi="Arial"/>
                <w:b/>
                <w:sz w:val="64"/>
              </w:rPr>
            </w:pPr>
            <w:r w:rsidRPr="00A7082A">
              <w:rPr>
                <w:rFonts w:ascii="Arial" w:hAnsi="Arial"/>
                <w:b/>
                <w:sz w:val="64"/>
              </w:rPr>
              <w:t>MC</w:t>
            </w:r>
          </w:p>
        </w:tc>
      </w:tr>
      <w:tr w:rsidR="0099003C" w:rsidRPr="00A7082A" w14:paraId="2708E72F" w14:textId="77777777" w:rsidTr="00417FE2">
        <w:trPr>
          <w:cantSplit/>
          <w:trHeight w:val="57"/>
          <w:jc w:val="right"/>
        </w:trPr>
        <w:tc>
          <w:tcPr>
            <w:tcW w:w="1517" w:type="dxa"/>
            <w:tcBorders>
              <w:bottom w:val="single" w:sz="4" w:space="0" w:color="auto"/>
            </w:tcBorders>
          </w:tcPr>
          <w:p w14:paraId="460FE18E" w14:textId="77777777" w:rsidR="0099003C" w:rsidRPr="00A7082A" w:rsidRDefault="0099003C" w:rsidP="00320066">
            <w:pPr>
              <w:pStyle w:val="Normal-pool"/>
              <w:rPr>
                <w:sz w:val="18"/>
              </w:rPr>
            </w:pPr>
          </w:p>
        </w:tc>
        <w:tc>
          <w:tcPr>
            <w:tcW w:w="4640" w:type="dxa"/>
            <w:tcBorders>
              <w:bottom w:val="single" w:sz="4" w:space="0" w:color="auto"/>
            </w:tcBorders>
          </w:tcPr>
          <w:p w14:paraId="6A4CCE2A" w14:textId="77777777" w:rsidR="0099003C" w:rsidRPr="00A7082A" w:rsidRDefault="0099003C" w:rsidP="00320066">
            <w:pPr>
              <w:pStyle w:val="Normal-pool"/>
              <w:rPr>
                <w:rFonts w:ascii="Univers" w:hAnsi="Univers"/>
                <w:sz w:val="18"/>
              </w:rPr>
            </w:pPr>
          </w:p>
        </w:tc>
        <w:tc>
          <w:tcPr>
            <w:tcW w:w="3333" w:type="dxa"/>
            <w:tcBorders>
              <w:bottom w:val="single" w:sz="4" w:space="0" w:color="auto"/>
            </w:tcBorders>
          </w:tcPr>
          <w:p w14:paraId="1F8E0956" w14:textId="6AE0336D" w:rsidR="0099003C" w:rsidRPr="00A7082A" w:rsidRDefault="0099003C" w:rsidP="00320066">
            <w:pPr>
              <w:pStyle w:val="Normal-pool"/>
              <w:rPr>
                <w:sz w:val="18"/>
              </w:rPr>
            </w:pPr>
            <w:r w:rsidRPr="00A7082A">
              <w:rPr>
                <w:b/>
                <w:sz w:val="28"/>
              </w:rPr>
              <w:t>UNEP</w:t>
            </w:r>
            <w:r w:rsidRPr="00A7082A">
              <w:t>/MC/COP.</w:t>
            </w:r>
            <w:r w:rsidR="00076758" w:rsidRPr="00A7082A">
              <w:t>3</w:t>
            </w:r>
            <w:r w:rsidRPr="00A7082A">
              <w:t>/</w:t>
            </w:r>
            <w:r w:rsidR="001B0D65" w:rsidRPr="00A7082A">
              <w:t>23</w:t>
            </w:r>
          </w:p>
        </w:tc>
      </w:tr>
      <w:tr w:rsidR="0099003C" w:rsidRPr="00A7082A" w14:paraId="561B5AE7" w14:textId="77777777" w:rsidTr="00417FE2">
        <w:trPr>
          <w:cantSplit/>
          <w:trHeight w:val="57"/>
          <w:jc w:val="right"/>
        </w:trPr>
        <w:tc>
          <w:tcPr>
            <w:tcW w:w="1517" w:type="dxa"/>
            <w:tcBorders>
              <w:top w:val="single" w:sz="4" w:space="0" w:color="auto"/>
              <w:bottom w:val="single" w:sz="24" w:space="0" w:color="auto"/>
            </w:tcBorders>
          </w:tcPr>
          <w:p w14:paraId="1B99BFBB" w14:textId="77777777" w:rsidR="0099003C" w:rsidRPr="00A7082A" w:rsidRDefault="0099003C" w:rsidP="00320066">
            <w:pPr>
              <w:pStyle w:val="Normal-pool"/>
            </w:pPr>
            <w:r w:rsidRPr="00A7082A">
              <w:rPr>
                <w:noProof/>
                <w:lang w:eastAsia="en-GB"/>
              </w:rPr>
              <w:drawing>
                <wp:inline distT="0" distB="0" distL="0" distR="0" wp14:anchorId="0EF83FA0" wp14:editId="64AD8C7A">
                  <wp:extent cx="828040" cy="76898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A7082A">
              <w:rPr>
                <w:noProof/>
                <w:lang w:eastAsia="en-GB"/>
              </w:rPr>
              <w:drawing>
                <wp:inline distT="0" distB="0" distL="0" distR="0" wp14:anchorId="70F31CBA" wp14:editId="39A207CD">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0" w:type="dxa"/>
            <w:tcBorders>
              <w:top w:val="single" w:sz="4" w:space="0" w:color="auto"/>
              <w:bottom w:val="single" w:sz="24" w:space="0" w:color="auto"/>
            </w:tcBorders>
          </w:tcPr>
          <w:p w14:paraId="745D319C" w14:textId="77777777" w:rsidR="0099003C" w:rsidRPr="00A7082A" w:rsidRDefault="0099003C">
            <w:pPr>
              <w:pStyle w:val="Normal-pool"/>
              <w:spacing w:before="1200"/>
              <w:rPr>
                <w:rFonts w:ascii="Arial" w:hAnsi="Arial"/>
                <w:sz w:val="32"/>
              </w:rPr>
            </w:pPr>
            <w:r w:rsidRPr="00A7082A">
              <w:rPr>
                <w:rFonts w:ascii="Arial" w:hAnsi="Arial"/>
                <w:b/>
                <w:sz w:val="32"/>
              </w:rPr>
              <w:t xml:space="preserve">United Nations </w:t>
            </w:r>
            <w:r w:rsidRPr="00A7082A">
              <w:rPr>
                <w:rFonts w:ascii="Arial" w:hAnsi="Arial"/>
                <w:b/>
                <w:sz w:val="32"/>
              </w:rPr>
              <w:br/>
              <w:t xml:space="preserve">Environment </w:t>
            </w:r>
            <w:r w:rsidRPr="00A7082A">
              <w:rPr>
                <w:rFonts w:ascii="Arial" w:hAnsi="Arial"/>
                <w:b/>
                <w:sz w:val="32"/>
              </w:rPr>
              <w:br/>
              <w:t>Programme</w:t>
            </w:r>
          </w:p>
        </w:tc>
        <w:tc>
          <w:tcPr>
            <w:tcW w:w="3333" w:type="dxa"/>
            <w:tcBorders>
              <w:top w:val="single" w:sz="4" w:space="0" w:color="auto"/>
              <w:bottom w:val="single" w:sz="24" w:space="0" w:color="auto"/>
            </w:tcBorders>
          </w:tcPr>
          <w:p w14:paraId="36453538" w14:textId="03E4B9EA" w:rsidR="0099003C" w:rsidRPr="00A7082A" w:rsidRDefault="0099003C" w:rsidP="00320066">
            <w:pPr>
              <w:pStyle w:val="Normal-pool"/>
              <w:spacing w:before="120"/>
            </w:pPr>
            <w:r w:rsidRPr="00A7082A">
              <w:t xml:space="preserve">Distr.: </w:t>
            </w:r>
            <w:r w:rsidR="00F56012" w:rsidRPr="00A7082A">
              <w:t xml:space="preserve">General </w:t>
            </w:r>
            <w:r w:rsidRPr="00A7082A">
              <w:br/>
            </w:r>
            <w:r w:rsidR="009C52E8" w:rsidRPr="00A7082A">
              <w:t>7 January 2020</w:t>
            </w:r>
          </w:p>
          <w:p w14:paraId="18176F73" w14:textId="77777777" w:rsidR="0099003C" w:rsidRPr="00A7082A" w:rsidRDefault="0099003C" w:rsidP="00320066">
            <w:pPr>
              <w:pStyle w:val="Normal-pool"/>
              <w:spacing w:before="120"/>
            </w:pPr>
            <w:r w:rsidRPr="00A7082A">
              <w:t>Original: English</w:t>
            </w:r>
          </w:p>
        </w:tc>
      </w:tr>
    </w:tbl>
    <w:p w14:paraId="727B3EBC" w14:textId="77777777" w:rsidR="0099003C" w:rsidRPr="00A7082A" w:rsidRDefault="0099003C" w:rsidP="00587D09">
      <w:pPr>
        <w:pStyle w:val="AATitle"/>
      </w:pPr>
      <w:r w:rsidRPr="00A7082A">
        <w:t xml:space="preserve">Conference of the Parties to the </w:t>
      </w:r>
      <w:r w:rsidRPr="00A7082A">
        <w:br/>
        <w:t>Minamata Convention on Mercury</w:t>
      </w:r>
    </w:p>
    <w:p w14:paraId="7D22A4EF" w14:textId="202863B3" w:rsidR="0099003C" w:rsidRPr="00A7082A" w:rsidRDefault="00076758" w:rsidP="00587D09">
      <w:pPr>
        <w:pStyle w:val="AATitle"/>
      </w:pPr>
      <w:r w:rsidRPr="00A7082A">
        <w:t xml:space="preserve">Third </w:t>
      </w:r>
      <w:r w:rsidR="0099003C" w:rsidRPr="00A7082A">
        <w:t>meeting</w:t>
      </w:r>
    </w:p>
    <w:p w14:paraId="351E61BB" w14:textId="6C1FDB1B" w:rsidR="0099003C" w:rsidRPr="00A7082A" w:rsidRDefault="0099003C" w:rsidP="0099003C">
      <w:pPr>
        <w:pStyle w:val="AATitle"/>
        <w:rPr>
          <w:b w:val="0"/>
        </w:rPr>
      </w:pPr>
      <w:r w:rsidRPr="00A7082A">
        <w:rPr>
          <w:b w:val="0"/>
        </w:rPr>
        <w:t xml:space="preserve">Geneva, </w:t>
      </w:r>
      <w:r w:rsidR="00076758" w:rsidRPr="00A7082A">
        <w:rPr>
          <w:b w:val="0"/>
        </w:rPr>
        <w:t>25</w:t>
      </w:r>
      <w:r w:rsidRPr="00A7082A">
        <w:rPr>
          <w:b w:val="0"/>
        </w:rPr>
        <w:t>–2</w:t>
      </w:r>
      <w:r w:rsidR="00076758" w:rsidRPr="00A7082A">
        <w:rPr>
          <w:b w:val="0"/>
        </w:rPr>
        <w:t>9</w:t>
      </w:r>
      <w:r w:rsidRPr="00A7082A">
        <w:rPr>
          <w:b w:val="0"/>
        </w:rPr>
        <w:t xml:space="preserve"> November 201</w:t>
      </w:r>
      <w:r w:rsidR="00076758" w:rsidRPr="00A7082A">
        <w:rPr>
          <w:b w:val="0"/>
        </w:rPr>
        <w:t>9</w:t>
      </w:r>
    </w:p>
    <w:p w14:paraId="699814FA" w14:textId="716CB197" w:rsidR="0099003C" w:rsidRPr="00A7082A" w:rsidRDefault="00AC65D1" w:rsidP="0099003C">
      <w:pPr>
        <w:pStyle w:val="BBTitle"/>
      </w:pPr>
      <w:r w:rsidRPr="00A7082A">
        <w:t>R</w:t>
      </w:r>
      <w:r w:rsidR="0099003C" w:rsidRPr="00A7082A">
        <w:t xml:space="preserve">eport of the Conference of the Parties to the Minamata Convention on Mercury on the work of its </w:t>
      </w:r>
      <w:r w:rsidR="00076758" w:rsidRPr="00A7082A">
        <w:t xml:space="preserve">third </w:t>
      </w:r>
      <w:r w:rsidR="0099003C" w:rsidRPr="00A7082A">
        <w:t>meeting</w:t>
      </w:r>
    </w:p>
    <w:p w14:paraId="0A69B70E" w14:textId="77777777" w:rsidR="0099003C" w:rsidRPr="00A7082A" w:rsidRDefault="0099003C" w:rsidP="00524D33">
      <w:pPr>
        <w:pStyle w:val="CH1"/>
      </w:pPr>
      <w:r w:rsidRPr="00A7082A">
        <w:tab/>
      </w:r>
      <w:r w:rsidRPr="00A7082A">
        <w:tab/>
      </w:r>
      <w:bookmarkStart w:id="1" w:name="_Toc7079401"/>
      <w:r w:rsidRPr="00A7082A">
        <w:t>Introduction</w:t>
      </w:r>
      <w:bookmarkEnd w:id="1"/>
    </w:p>
    <w:p w14:paraId="14A04DB5" w14:textId="7E324478" w:rsidR="0099003C" w:rsidRPr="00A7082A" w:rsidRDefault="0099003C" w:rsidP="009E64B0">
      <w:pPr>
        <w:pStyle w:val="Normalnumber"/>
      </w:pPr>
      <w:r w:rsidRPr="00A7082A">
        <w:t xml:space="preserve">The </w:t>
      </w:r>
      <w:r w:rsidR="00076758" w:rsidRPr="00A7082A">
        <w:t xml:space="preserve">third </w:t>
      </w:r>
      <w:r w:rsidRPr="00A7082A">
        <w:t xml:space="preserve">meeting of the Conference of the Parties to the Minamata Convention on Mercury was held at the Geneva International Conference Centre from </w:t>
      </w:r>
      <w:r w:rsidR="00076758" w:rsidRPr="00A7082A">
        <w:t>25</w:t>
      </w:r>
      <w:r w:rsidRPr="00A7082A">
        <w:t xml:space="preserve"> to 2</w:t>
      </w:r>
      <w:r w:rsidR="00076758" w:rsidRPr="00A7082A">
        <w:t>9</w:t>
      </w:r>
      <w:r w:rsidRPr="00A7082A">
        <w:t xml:space="preserve"> November 201</w:t>
      </w:r>
      <w:r w:rsidR="00076758" w:rsidRPr="00A7082A">
        <w:t>9</w:t>
      </w:r>
      <w:r w:rsidRPr="00A7082A">
        <w:t>.</w:t>
      </w:r>
    </w:p>
    <w:p w14:paraId="64D1E661" w14:textId="77777777" w:rsidR="0099003C" w:rsidRPr="00A7082A" w:rsidRDefault="0099003C" w:rsidP="004F5C75">
      <w:pPr>
        <w:pStyle w:val="CH1"/>
      </w:pPr>
      <w:r w:rsidRPr="00A7082A">
        <w:tab/>
      </w:r>
      <w:bookmarkStart w:id="2" w:name="_Toc7079402"/>
      <w:r w:rsidRPr="00A7082A">
        <w:t>I.</w:t>
      </w:r>
      <w:r w:rsidRPr="00A7082A">
        <w:tab/>
        <w:t>Opening of the meeting</w:t>
      </w:r>
      <w:bookmarkEnd w:id="2"/>
    </w:p>
    <w:p w14:paraId="637FF7F8" w14:textId="561539EA" w:rsidR="0099003C" w:rsidRPr="00A7082A" w:rsidRDefault="00FA12A8" w:rsidP="00957120">
      <w:pPr>
        <w:pStyle w:val="Normalnumber"/>
      </w:pPr>
      <w:r w:rsidRPr="00A7082A">
        <w:t>The</w:t>
      </w:r>
      <w:r w:rsidR="00DA68FD" w:rsidRPr="00A7082A">
        <w:t xml:space="preserve"> Director of the Europe Office of the United Nations Environment Programme (UNEP), </w:t>
      </w:r>
      <w:r w:rsidRPr="00A7082A">
        <w:t xml:space="preserve">Bruno Pozzi, </w:t>
      </w:r>
      <w:r w:rsidR="0099003C" w:rsidRPr="00A7082A">
        <w:t xml:space="preserve">welcomed participants at </w:t>
      </w:r>
      <w:r w:rsidR="00FA3406" w:rsidRPr="00A7082A">
        <w:t>10.20</w:t>
      </w:r>
      <w:r w:rsidR="0099003C" w:rsidRPr="00A7082A">
        <w:t xml:space="preserve"> a.m. on Monday, </w:t>
      </w:r>
      <w:r w:rsidR="00076758" w:rsidRPr="00A7082A">
        <w:t>25</w:t>
      </w:r>
      <w:r w:rsidR="0099003C" w:rsidRPr="00A7082A">
        <w:t> November.</w:t>
      </w:r>
      <w:r w:rsidR="004447B6" w:rsidRPr="00A7082A">
        <w:t xml:space="preserve"> </w:t>
      </w:r>
    </w:p>
    <w:p w14:paraId="3F58D20A" w14:textId="2B0E4F3E" w:rsidR="0099003C" w:rsidRPr="00A7082A" w:rsidRDefault="009E64B0" w:rsidP="009557F8">
      <w:pPr>
        <w:pStyle w:val="CH2"/>
      </w:pPr>
      <w:r w:rsidRPr="00A7082A">
        <w:tab/>
        <w:t>A.</w:t>
      </w:r>
      <w:r w:rsidRPr="00A7082A">
        <w:tab/>
      </w:r>
      <w:r w:rsidR="0099003C" w:rsidRPr="00A7082A">
        <w:t>Opening remarks</w:t>
      </w:r>
    </w:p>
    <w:p w14:paraId="1FCB90FA" w14:textId="3834E1E3" w:rsidR="00DA68FD" w:rsidRPr="00A7082A" w:rsidRDefault="00DA68FD" w:rsidP="00957120">
      <w:pPr>
        <w:pStyle w:val="Normalnumber"/>
      </w:pPr>
      <w:r w:rsidRPr="00A7082A">
        <w:t xml:space="preserve">Following a </w:t>
      </w:r>
      <w:r w:rsidR="00FA3406" w:rsidRPr="00A7082A">
        <w:t>performance of Sw</w:t>
      </w:r>
      <w:r w:rsidR="00871A7D" w:rsidRPr="00A7082A">
        <w:t>i</w:t>
      </w:r>
      <w:r w:rsidR="00FA3406" w:rsidRPr="00A7082A">
        <w:t xml:space="preserve">ss traditional music and a </w:t>
      </w:r>
      <w:r w:rsidRPr="00A7082A">
        <w:t xml:space="preserve">video presentation about the Minamata Convention, opening </w:t>
      </w:r>
      <w:r w:rsidR="0099003C" w:rsidRPr="00A7082A">
        <w:t>remarks were delivered by</w:t>
      </w:r>
      <w:r w:rsidRPr="00A7082A">
        <w:t xml:space="preserve"> Marc Chardonnens, State Secretary, Federal Office for the Environment, Switzerland; Inger Andersen, Executive Director</w:t>
      </w:r>
      <w:r w:rsidR="000712DE" w:rsidRPr="00A7082A">
        <w:t xml:space="preserve"> of </w:t>
      </w:r>
      <w:r w:rsidR="00282D2D" w:rsidRPr="00A7082A">
        <w:t>UNEP</w:t>
      </w:r>
      <w:r w:rsidRPr="00A7082A">
        <w:t>;</w:t>
      </w:r>
      <w:r w:rsidR="00AA31B0" w:rsidRPr="00A7082A">
        <w:t xml:space="preserve"> Rossana Silva Repetto, Executive Secretary of the Min</w:t>
      </w:r>
      <w:r w:rsidR="00A81499" w:rsidRPr="00A7082A">
        <w:t>a</w:t>
      </w:r>
      <w:r w:rsidR="00AA31B0" w:rsidRPr="00A7082A">
        <w:t>mata Convention on Mercury</w:t>
      </w:r>
      <w:r w:rsidR="00DF30E2" w:rsidRPr="00A7082A">
        <w:t>;</w:t>
      </w:r>
      <w:r w:rsidR="00AA31B0" w:rsidRPr="00A7082A">
        <w:t xml:space="preserve"> </w:t>
      </w:r>
      <w:r w:rsidR="00FA3406" w:rsidRPr="00A7082A">
        <w:t>and</w:t>
      </w:r>
      <w:r w:rsidR="0099003C" w:rsidRPr="00A7082A">
        <w:t xml:space="preserve"> </w:t>
      </w:r>
      <w:r w:rsidRPr="00A7082A">
        <w:t>David</w:t>
      </w:r>
      <w:r w:rsidR="00871A7D" w:rsidRPr="00A7082A">
        <w:t> </w:t>
      </w:r>
      <w:r w:rsidRPr="00A7082A">
        <w:t>Kapindula (Zambia), President of the Conference of the Parties at its third meeting.</w:t>
      </w:r>
    </w:p>
    <w:p w14:paraId="37775DF3" w14:textId="3621DC6D" w:rsidR="00DA68FD" w:rsidRPr="00A7082A" w:rsidRDefault="00187284" w:rsidP="00957120">
      <w:pPr>
        <w:pStyle w:val="Normalnumber"/>
      </w:pPr>
      <w:r w:rsidRPr="00A7082A">
        <w:t xml:space="preserve">In his opening remarks, Mr. Chardonnens welcomed participants to Geneva, noting that the current gathering was the third successive meeting of the Conference of the Parties held in Geneva since the Convention’s entry into force in 2017. Reviewing the history of the Convention’s creation and the significant progress already made in its implementation, he drew attention to challenges facing the parties at the current stage, in particular in the areas of waste thresholds, contaminated sites and inventories. To confront those and other challenges, concerted collective action and collaboration </w:t>
      </w:r>
      <w:r w:rsidR="00593714" w:rsidRPr="00A7082A">
        <w:t xml:space="preserve">were </w:t>
      </w:r>
      <w:r w:rsidRPr="00A7082A">
        <w:t xml:space="preserve">needed by and between all parties and stakeholders and, to that end, considerable advantages flowed from the location of the Convention secretariat in Geneva, the host city of a number of international instruments and organizations active in the field of global </w:t>
      </w:r>
      <w:r w:rsidR="00D35835" w:rsidRPr="00A7082A">
        <w:t xml:space="preserve">chemicals and </w:t>
      </w:r>
      <w:r w:rsidRPr="00A7082A">
        <w:t xml:space="preserve">waste governance. Resolute implementation of the Convention and assuring the capacities required to that end were crucial to making mercury history, as was the efficient use of resources, which was exemplified by the cooperation between the secretariat of the Minamata Convention and the </w:t>
      </w:r>
      <w:r w:rsidR="00851014" w:rsidRPr="00A7082A">
        <w:t>s</w:t>
      </w:r>
      <w:r w:rsidRPr="00A7082A">
        <w:t>ecretariat of the Basel, Rotterdam and Stockholm Conventions. In closing, he wished participants fruitful deliberations, thanking them for taking up the global chemicals and waste challenge for a detoxified future.</w:t>
      </w:r>
    </w:p>
    <w:p w14:paraId="714C9571" w14:textId="6B1D56C9" w:rsidR="00DA68FD" w:rsidRPr="00A7082A" w:rsidRDefault="00DA68FD" w:rsidP="00957120">
      <w:pPr>
        <w:pStyle w:val="Normalnumber"/>
      </w:pPr>
      <w:r w:rsidRPr="00A7082A">
        <w:t>In her statement, Ms. Andersen</w:t>
      </w:r>
      <w:r w:rsidR="00AA31B0" w:rsidRPr="00A7082A">
        <w:t xml:space="preserve"> said that, as the youngest member of the family of environmental conventions, the Minamata Convention had immense potential to deliver beneficial results to people and the environment, in the campaign to make mercury history.</w:t>
      </w:r>
      <w:r w:rsidR="009C2532" w:rsidRPr="00A7082A">
        <w:t xml:space="preserve"> </w:t>
      </w:r>
      <w:r w:rsidR="00AA31B0" w:rsidRPr="00A7082A">
        <w:t>Among the achievements of the Convention to date, she drew attention to the establishment of a fully funded financial mechanism with a $20</w:t>
      </w:r>
      <w:r w:rsidR="00D35835" w:rsidRPr="00A7082A">
        <w:t>6</w:t>
      </w:r>
      <w:r w:rsidR="00AA31B0" w:rsidRPr="00A7082A">
        <w:t xml:space="preserve"> million </w:t>
      </w:r>
      <w:r w:rsidR="00096F57" w:rsidRPr="00A7082A">
        <w:t>indicative</w:t>
      </w:r>
      <w:r w:rsidR="00D94081" w:rsidRPr="00A7082A">
        <w:t xml:space="preserve"> </w:t>
      </w:r>
      <w:r w:rsidR="00AA31B0" w:rsidRPr="00A7082A">
        <w:t xml:space="preserve">allocation under the seventh replenishment of the Global Environment Facility (GEF). Outlining tasks before the parties at the current meeting, she </w:t>
      </w:r>
      <w:r w:rsidR="00AA31B0" w:rsidRPr="00A7082A">
        <w:lastRenderedPageBreak/>
        <w:t xml:space="preserve">highlighted the operative proposal on a stable framework for the sharing of services among the Geneva-based </w:t>
      </w:r>
      <w:r w:rsidR="00275E07" w:rsidRPr="00A7082A">
        <w:t xml:space="preserve">chemical </w:t>
      </w:r>
      <w:r w:rsidR="00AA31B0" w:rsidRPr="00A7082A">
        <w:t>conventions</w:t>
      </w:r>
      <w:r w:rsidR="009A6BF1" w:rsidRPr="00A7082A">
        <w:t>,</w:t>
      </w:r>
      <w:r w:rsidR="00AA31B0" w:rsidRPr="00A7082A">
        <w:rPr>
          <w:b/>
        </w:rPr>
        <w:t xml:space="preserve"> </w:t>
      </w:r>
      <w:r w:rsidR="00AA31B0" w:rsidRPr="00A7082A">
        <w:t>and called for concerted action by all parties and stakeholders in key areas, such as artisanal and small-scale gold mining; the need to stem the trade in mercury; the impact of coal burning and the attendant mercury emissions on climate change; and the sign</w:t>
      </w:r>
      <w:r w:rsidR="00FB2324" w:rsidRPr="00A7082A">
        <w:t>i</w:t>
      </w:r>
      <w:r w:rsidR="00AA31B0" w:rsidRPr="00A7082A">
        <w:t>ficant share of mercury in waste. Noting the transboundary nature of mercury pollution, she called for strengthened collaboration across countries, cons</w:t>
      </w:r>
      <w:r w:rsidR="00FB2324" w:rsidRPr="00A7082A">
        <w:t>t</w:t>
      </w:r>
      <w:r w:rsidR="00AA31B0" w:rsidRPr="00A7082A">
        <w:t>ituencies and conventions and stressed that the Convention must therefore have a defined role in the post-2020 collaborative frameworks for international chemicals management and biodiversity</w:t>
      </w:r>
      <w:r w:rsidR="009C2532" w:rsidRPr="00A7082A">
        <w:t xml:space="preserve">. Determined action across the </w:t>
      </w:r>
      <w:r w:rsidR="00AA31B0" w:rsidRPr="00A7082A">
        <w:t>board was needed in pursuit of the Sustainable Development Goals and that included concerted, united action to stop toxic heavy metals, such as mercury, endangering human health and the environment.</w:t>
      </w:r>
    </w:p>
    <w:p w14:paraId="436F2054" w14:textId="5FCA90E3" w:rsidR="009A061D" w:rsidRPr="00A7082A" w:rsidRDefault="009A061D" w:rsidP="009C52E8">
      <w:pPr>
        <w:pStyle w:val="Normalnumber"/>
      </w:pPr>
      <w:r w:rsidRPr="00A7082A">
        <w:t xml:space="preserve">In her statement, Ms. </w:t>
      </w:r>
      <w:r w:rsidR="00D35835" w:rsidRPr="00A7082A">
        <w:t xml:space="preserve">Silva </w:t>
      </w:r>
      <w:r w:rsidRPr="00A7082A">
        <w:t xml:space="preserve">Repetto looked back over the two years during which she </w:t>
      </w:r>
      <w:r w:rsidR="009C2532" w:rsidRPr="00A7082A">
        <w:t>had bee</w:t>
      </w:r>
      <w:r w:rsidRPr="00A7082A">
        <w:t>n priv</w:t>
      </w:r>
      <w:r w:rsidR="00FB2324" w:rsidRPr="00A7082A">
        <w:t>i</w:t>
      </w:r>
      <w:r w:rsidRPr="00A7082A">
        <w:t>leged to serve the cause of the Convention by leading its secretariat and commended the staff with whom she had worked on their dedication to that cause. She reviewed achievements</w:t>
      </w:r>
      <w:r w:rsidR="009C2532" w:rsidRPr="00A7082A">
        <w:t xml:space="preserve"> under the Convention to date, including </w:t>
      </w:r>
      <w:r w:rsidR="00FB2324" w:rsidRPr="00A7082A">
        <w:t xml:space="preserve">the </w:t>
      </w:r>
      <w:r w:rsidRPr="00A7082A">
        <w:t xml:space="preserve">establishment of the three trust funds; </w:t>
      </w:r>
      <w:r w:rsidR="00FB2324" w:rsidRPr="00A7082A">
        <w:t xml:space="preserve">the </w:t>
      </w:r>
      <w:r w:rsidR="009C2532" w:rsidRPr="00A7082A">
        <w:t xml:space="preserve">creation of a sound </w:t>
      </w:r>
      <w:r w:rsidRPr="00A7082A">
        <w:t xml:space="preserve">administrative basis </w:t>
      </w:r>
      <w:r w:rsidR="009C2532" w:rsidRPr="00A7082A">
        <w:t>for the s</w:t>
      </w:r>
      <w:r w:rsidRPr="00A7082A">
        <w:t>ecretariat</w:t>
      </w:r>
      <w:r w:rsidR="009C2532" w:rsidRPr="00A7082A">
        <w:t xml:space="preserve">, which was </w:t>
      </w:r>
      <w:r w:rsidRPr="00A7082A">
        <w:t xml:space="preserve">fully staffed; </w:t>
      </w:r>
      <w:r w:rsidR="009C2532" w:rsidRPr="00A7082A">
        <w:t xml:space="preserve">and the </w:t>
      </w:r>
      <w:r w:rsidR="00E0673E" w:rsidRPr="00A7082A">
        <w:t xml:space="preserve">successful support furnished by </w:t>
      </w:r>
      <w:r w:rsidRPr="00A7082A">
        <w:t>the two components of the Convention’s financial mechanism, GEF and the Specific International Programme</w:t>
      </w:r>
      <w:r w:rsidR="00FB2324" w:rsidRPr="00A7082A">
        <w:t xml:space="preserve"> to Support Capacity-Building and Technical Assistance</w:t>
      </w:r>
      <w:r w:rsidRPr="00A7082A">
        <w:t xml:space="preserve">, </w:t>
      </w:r>
      <w:r w:rsidR="00E0673E" w:rsidRPr="00A7082A">
        <w:t xml:space="preserve">to </w:t>
      </w:r>
      <w:r w:rsidRPr="00A7082A">
        <w:t xml:space="preserve">countries </w:t>
      </w:r>
      <w:r w:rsidR="00E0673E" w:rsidRPr="00A7082A">
        <w:t xml:space="preserve">in </w:t>
      </w:r>
      <w:r w:rsidRPr="00A7082A">
        <w:t xml:space="preserve">the implementation </w:t>
      </w:r>
      <w:r w:rsidR="00E0673E" w:rsidRPr="00A7082A">
        <w:t>of their obligations under the C</w:t>
      </w:r>
      <w:r w:rsidRPr="00A7082A">
        <w:t xml:space="preserve">onvention. </w:t>
      </w:r>
      <w:r w:rsidR="00E0673E" w:rsidRPr="00A7082A">
        <w:t>She h</w:t>
      </w:r>
      <w:r w:rsidRPr="00A7082A">
        <w:t xml:space="preserve">ighlighted </w:t>
      </w:r>
      <w:r w:rsidR="00E0673E" w:rsidRPr="00A7082A">
        <w:t xml:space="preserve">the </w:t>
      </w:r>
      <w:r w:rsidRPr="00A7082A">
        <w:t xml:space="preserve">importance of </w:t>
      </w:r>
      <w:r w:rsidR="00E0673E" w:rsidRPr="00A7082A">
        <w:t xml:space="preserve">the </w:t>
      </w:r>
      <w:r w:rsidRPr="00A7082A">
        <w:t xml:space="preserve">forthcoming first evaluation of the effectiveness of the Convention, in 2023, </w:t>
      </w:r>
      <w:r w:rsidR="00E0673E" w:rsidRPr="00A7082A">
        <w:t xml:space="preserve">and </w:t>
      </w:r>
      <w:r w:rsidRPr="00A7082A">
        <w:t xml:space="preserve">noted the need, at the current meeting, to define a mechanism for that purpose. Recalling her recent </w:t>
      </w:r>
      <w:r w:rsidR="00E0673E" w:rsidRPr="00A7082A">
        <w:t xml:space="preserve">and inspiring </w:t>
      </w:r>
      <w:r w:rsidRPr="00A7082A">
        <w:t>visit to M</w:t>
      </w:r>
      <w:r w:rsidR="00E0673E" w:rsidRPr="00A7082A">
        <w:t>inamata</w:t>
      </w:r>
      <w:r w:rsidRPr="00A7082A">
        <w:t>,</w:t>
      </w:r>
      <w:r w:rsidR="00D94609" w:rsidRPr="00A7082A">
        <w:t xml:space="preserve"> Japan,</w:t>
      </w:r>
      <w:r w:rsidRPr="00A7082A">
        <w:t xml:space="preserve"> she stressed that, despite the progress made over the years between the </w:t>
      </w:r>
      <w:r w:rsidR="00E0673E" w:rsidRPr="00A7082A">
        <w:t xml:space="preserve">first </w:t>
      </w:r>
      <w:r w:rsidRPr="00A7082A">
        <w:t>U</w:t>
      </w:r>
      <w:r w:rsidR="00E0673E" w:rsidRPr="00A7082A">
        <w:t>nited</w:t>
      </w:r>
      <w:r w:rsidR="00E20086" w:rsidRPr="00A7082A">
        <w:t> </w:t>
      </w:r>
      <w:r w:rsidRPr="00A7082A">
        <w:t>N</w:t>
      </w:r>
      <w:r w:rsidR="00E0673E" w:rsidRPr="00A7082A">
        <w:t xml:space="preserve">ations </w:t>
      </w:r>
      <w:r w:rsidRPr="00A7082A">
        <w:t>C</w:t>
      </w:r>
      <w:r w:rsidR="00E0673E" w:rsidRPr="00A7082A">
        <w:t xml:space="preserve">onference on the </w:t>
      </w:r>
      <w:r w:rsidRPr="00A7082A">
        <w:t>H</w:t>
      </w:r>
      <w:r w:rsidR="00E0673E" w:rsidRPr="00A7082A">
        <w:t xml:space="preserve">uman </w:t>
      </w:r>
      <w:r w:rsidRPr="00A7082A">
        <w:t>E</w:t>
      </w:r>
      <w:r w:rsidR="00E0673E" w:rsidRPr="00A7082A">
        <w:t xml:space="preserve">nvironment, </w:t>
      </w:r>
      <w:r w:rsidRPr="00A7082A">
        <w:t>in 1972</w:t>
      </w:r>
      <w:r w:rsidR="00E0673E" w:rsidRPr="00A7082A">
        <w:t>, and the adoption of the C</w:t>
      </w:r>
      <w:r w:rsidRPr="00A7082A">
        <w:t>onvention, in 2013, much remained to be done</w:t>
      </w:r>
      <w:r w:rsidR="00E0673E" w:rsidRPr="00A7082A">
        <w:t xml:space="preserve">. </w:t>
      </w:r>
      <w:r w:rsidR="00FB2324" w:rsidRPr="00A7082A">
        <w:t>The a</w:t>
      </w:r>
      <w:r w:rsidR="00E0673E" w:rsidRPr="00A7082A">
        <w:t>doption of the C</w:t>
      </w:r>
      <w:r w:rsidRPr="00A7082A">
        <w:t>onvention</w:t>
      </w:r>
      <w:r w:rsidR="00E0673E" w:rsidRPr="00A7082A">
        <w:t>, she reiterated, wa</w:t>
      </w:r>
      <w:r w:rsidRPr="00A7082A">
        <w:t xml:space="preserve">s not the end but the beginning of a process which would only </w:t>
      </w:r>
      <w:r w:rsidR="00E0673E" w:rsidRPr="00A7082A">
        <w:t>end</w:t>
      </w:r>
      <w:r w:rsidRPr="00A7082A">
        <w:t xml:space="preserve"> when the world was free of </w:t>
      </w:r>
      <w:r w:rsidR="00E0673E" w:rsidRPr="00A7082A">
        <w:t xml:space="preserve">human-caused </w:t>
      </w:r>
      <w:r w:rsidRPr="00A7082A">
        <w:t>mercury emissions and releases, a world where human beings and the environment no longer live</w:t>
      </w:r>
      <w:r w:rsidR="00E0673E" w:rsidRPr="00A7082A">
        <w:t>d</w:t>
      </w:r>
      <w:r w:rsidRPr="00A7082A">
        <w:t xml:space="preserve"> under the threats posed by mercury, a world without the Minamata disease</w:t>
      </w:r>
      <w:r w:rsidR="00E0673E" w:rsidRPr="00A7082A">
        <w:t>; in short</w:t>
      </w:r>
      <w:r w:rsidRPr="00A7082A">
        <w:t xml:space="preserve">, a world where mercury was history. </w:t>
      </w:r>
    </w:p>
    <w:p w14:paraId="56EC7F39" w14:textId="16D0D423" w:rsidR="00372928" w:rsidRPr="00A7082A" w:rsidRDefault="009A061D" w:rsidP="009C52E8">
      <w:pPr>
        <w:pStyle w:val="Normalnumber"/>
      </w:pPr>
      <w:r w:rsidRPr="00A7082A">
        <w:t>In his statement, Mr. Kapindula said that the ambitions that had engendered the Convention were reflected in its pr</w:t>
      </w:r>
      <w:r w:rsidR="00FB2324" w:rsidRPr="00A7082A">
        <w:t>om</w:t>
      </w:r>
      <w:r w:rsidRPr="00A7082A">
        <w:t>pt ratification</w:t>
      </w:r>
      <w:r w:rsidR="00E0673E" w:rsidRPr="00A7082A">
        <w:t xml:space="preserve"> by as many as </w:t>
      </w:r>
      <w:r w:rsidR="007265D5" w:rsidRPr="00A7082A">
        <w:t xml:space="preserve">114 </w:t>
      </w:r>
      <w:r w:rsidR="00E0673E" w:rsidRPr="00A7082A">
        <w:t>parties. Mov</w:t>
      </w:r>
      <w:r w:rsidRPr="00A7082A">
        <w:t xml:space="preserve">ing on from ambition, the Convention was now </w:t>
      </w:r>
      <w:r w:rsidR="00E0673E" w:rsidRPr="00A7082A">
        <w:t>at</w:t>
      </w:r>
      <w:r w:rsidRPr="00A7082A">
        <w:t xml:space="preserve"> the more challenging stage of implementation, with some key issues still eluding consensus. He urged parties to strive for consensus on those issues and not to defer them to future meetings, thus building a legacy of unresolved issues that would impede their ability to achieve the aims set out in article 1 of the Convention, in particular since the periodicity of the Conference</w:t>
      </w:r>
      <w:r w:rsidR="00D94609" w:rsidRPr="00A7082A">
        <w:t xml:space="preserve"> of the Parties</w:t>
      </w:r>
      <w:r w:rsidRPr="00A7082A">
        <w:t xml:space="preserve">’ meetings would </w:t>
      </w:r>
      <w:r w:rsidR="00593714" w:rsidRPr="00A7082A">
        <w:t>t</w:t>
      </w:r>
      <w:r w:rsidRPr="00A7082A">
        <w:t xml:space="preserve">henceforth be increased to two years. Noting the copious agenda before participants, he called for their support and cooperation in ensuring the success of the current meeting. </w:t>
      </w:r>
    </w:p>
    <w:p w14:paraId="722D5FD6" w14:textId="77777777" w:rsidR="00174D64" w:rsidRPr="00A7082A" w:rsidRDefault="00174D64" w:rsidP="009C52E8">
      <w:pPr>
        <w:pStyle w:val="Normalnumber"/>
      </w:pPr>
      <w:r w:rsidRPr="00A7082A">
        <w:t>Following those remarks, the President declared the meeting officially open.</w:t>
      </w:r>
    </w:p>
    <w:p w14:paraId="15A3B2A6" w14:textId="0CBB3EF4" w:rsidR="00372928" w:rsidRPr="00A7082A" w:rsidRDefault="009E64B0" w:rsidP="009557F8">
      <w:pPr>
        <w:pStyle w:val="CH2"/>
      </w:pPr>
      <w:r w:rsidRPr="00A7082A">
        <w:tab/>
        <w:t>B.</w:t>
      </w:r>
      <w:r w:rsidRPr="00A7082A">
        <w:tab/>
      </w:r>
      <w:r w:rsidR="00372928" w:rsidRPr="00A7082A">
        <w:t>Individual and regional statements</w:t>
      </w:r>
    </w:p>
    <w:p w14:paraId="50DB4DC3" w14:textId="0F1A7195" w:rsidR="00681A4E" w:rsidRPr="00A7082A" w:rsidRDefault="006C5082" w:rsidP="00957120">
      <w:pPr>
        <w:pStyle w:val="Normalnumber"/>
      </w:pPr>
      <w:r w:rsidRPr="00A7082A">
        <w:t xml:space="preserve">The </w:t>
      </w:r>
      <w:r w:rsidR="00681A4E" w:rsidRPr="00A7082A">
        <w:t xml:space="preserve">Minister for Environment and Forests of Indonesia, </w:t>
      </w:r>
      <w:r w:rsidRPr="00A7082A">
        <w:t xml:space="preserve">Siti Nurbaya Bakar, </w:t>
      </w:r>
      <w:r w:rsidR="00681A4E" w:rsidRPr="00A7082A">
        <w:t xml:space="preserve">described some of her country’s mercury-related policies and actions, noting that </w:t>
      </w:r>
      <w:bookmarkStart w:id="3" w:name="_Hlk25593791"/>
      <w:r w:rsidR="00681A4E" w:rsidRPr="00A7082A">
        <w:t>environmentally sound development was enshrined in its constitution. The country had established a national action plan to eliminate the use of mercury in certain sectors by 2025. A ban o</w:t>
      </w:r>
      <w:r w:rsidR="00593714" w:rsidRPr="00A7082A">
        <w:t>n</w:t>
      </w:r>
      <w:r w:rsidR="00681A4E" w:rsidRPr="00A7082A">
        <w:t xml:space="preserve"> certain mercury-containing medical equipment was planned as of 2020 in all health and other public facilities, and a capacity-building project was under way to improve the collection and sorting of mercury-containing waste. In addition, a socioeconomic and environmental transformation programme was </w:t>
      </w:r>
      <w:r w:rsidR="00A673FE" w:rsidRPr="00A7082A">
        <w:t>in progress</w:t>
      </w:r>
      <w:r w:rsidR="00681A4E" w:rsidRPr="00A7082A">
        <w:t xml:space="preserve"> to offer alternative employment to people working in artisanal and small-scale gold mining to provide them with safer techniques for extracting gold. Furthermore</w:t>
      </w:r>
      <w:r w:rsidR="00593714" w:rsidRPr="00A7082A">
        <w:t>,</w:t>
      </w:r>
      <w:r w:rsidR="00681A4E" w:rsidRPr="00A7082A">
        <w:t xml:space="preserve"> attorneys, the police and local government were working together to prevent and reduce the illegal use of mercury, for example</w:t>
      </w:r>
      <w:r w:rsidR="00593714" w:rsidRPr="00A7082A">
        <w:t>,</w:t>
      </w:r>
      <w:r w:rsidR="00681A4E" w:rsidRPr="00A7082A">
        <w:t xml:space="preserve"> by stopping mercury production through the closure of cinnabar mining facilities.</w:t>
      </w:r>
      <w:bookmarkEnd w:id="3"/>
      <w:r w:rsidR="00681A4E" w:rsidRPr="00A7082A">
        <w:t xml:space="preserve"> She assured the meeting of her country’s continued commitment to pursuing its plan and meeting its national targets and to working constructively with other countries on mercury issues. Partnerships, she said, were essential as no developing or developed country was immune to the impact of mercury mismanagement.</w:t>
      </w:r>
    </w:p>
    <w:p w14:paraId="11D5C4D9" w14:textId="0F6478B3" w:rsidR="00681A4E" w:rsidRPr="00A7082A" w:rsidRDefault="00681A4E" w:rsidP="00957120">
      <w:pPr>
        <w:pStyle w:val="Normalnumber"/>
      </w:pPr>
      <w:r w:rsidRPr="00A7082A">
        <w:t xml:space="preserve">The representative speaking on behalf of the African States </w:t>
      </w:r>
      <w:r w:rsidR="000A6D92" w:rsidRPr="00A7082A">
        <w:t>thanked the Executive Secretary for her work</w:t>
      </w:r>
      <w:r w:rsidR="00C42763" w:rsidRPr="00A7082A">
        <w:t xml:space="preserve"> and</w:t>
      </w:r>
      <w:r w:rsidR="000A6D92" w:rsidRPr="00A7082A">
        <w:t xml:space="preserve"> </w:t>
      </w:r>
      <w:r w:rsidRPr="00A7082A">
        <w:t>highlighted issues that the region was particularly keen to address. Th</w:t>
      </w:r>
      <w:r w:rsidR="00593714" w:rsidRPr="00A7082A">
        <w:t>o</w:t>
      </w:r>
      <w:r w:rsidRPr="00A7082A">
        <w:t xml:space="preserve">se included dental amalgam, through a proposal to amend </w:t>
      </w:r>
      <w:r w:rsidR="00BC507E" w:rsidRPr="00A7082A">
        <w:t>a</w:t>
      </w:r>
      <w:r w:rsidRPr="00A7082A">
        <w:t xml:space="preserve">nnex A by transferring dental amalgam from </w:t>
      </w:r>
      <w:r w:rsidR="006C5082" w:rsidRPr="00A7082A">
        <w:t>part II to p</w:t>
      </w:r>
      <w:r w:rsidRPr="00A7082A">
        <w:t xml:space="preserve">art I; customs codes, to aid efforts to control trade in mercury-added products; mercury releases and the identification of releases that were not covered by the Minamata Convention; the open burning of mercury-containing waste; the establishment of mercury emission or release thresholds, including to support policy decisions; the management of contaminated sites, by keeping the guidelines </w:t>
      </w:r>
      <w:r w:rsidR="00A673FE" w:rsidRPr="00A7082A">
        <w:t xml:space="preserve">on that issue </w:t>
      </w:r>
      <w:r w:rsidRPr="00A7082A">
        <w:t xml:space="preserve">up to date and launching pilot projects to test their use; the </w:t>
      </w:r>
      <w:r w:rsidR="00275E07" w:rsidRPr="00A7082A">
        <w:t xml:space="preserve">effectiveness </w:t>
      </w:r>
      <w:r w:rsidRPr="00A7082A">
        <w:t xml:space="preserve">evaluation of </w:t>
      </w:r>
      <w:r w:rsidR="00275E07" w:rsidRPr="00A7082A">
        <w:t xml:space="preserve">the </w:t>
      </w:r>
      <w:r w:rsidR="00275E07" w:rsidRPr="00A7082A">
        <w:lastRenderedPageBreak/>
        <w:t>Convention</w:t>
      </w:r>
      <w:r w:rsidRPr="00A7082A">
        <w:t>; and the need to ensure adequate, predictable, sustainable and timely resources, along with technical assistance and technology transfer. He thanked all the countries that had contributed to the Specific International Programme for the support that had benefited projects in Africa.</w:t>
      </w:r>
    </w:p>
    <w:p w14:paraId="409196AA" w14:textId="2B792715" w:rsidR="00681A4E" w:rsidRPr="00A7082A" w:rsidRDefault="00681A4E" w:rsidP="00957120">
      <w:pPr>
        <w:pStyle w:val="Normalnumber"/>
      </w:pPr>
      <w:r w:rsidRPr="00A7082A">
        <w:t xml:space="preserve">The representative speaking on behalf of the Asia-Pacific States said that his region had taken many actions at the national, regional and international levels. Nevertheless, challenges remained, including owing to countries’ lack of technical and financial resources and capacity. In considering the effectiveness evaluation, therefore, it was imperative to take into account countries’ differing levels of economic and industrial development and capacity. Similarly, the </w:t>
      </w:r>
      <w:r w:rsidR="00D35835" w:rsidRPr="00A7082A">
        <w:t xml:space="preserve">principle </w:t>
      </w:r>
      <w:r w:rsidRPr="00A7082A">
        <w:t xml:space="preserve">of common but differentiated responsibilities of States, </w:t>
      </w:r>
      <w:r w:rsidR="00D35835" w:rsidRPr="00A7082A">
        <w:t>recalled</w:t>
      </w:r>
      <w:r w:rsidRPr="00A7082A">
        <w:t xml:space="preserve"> in the preamble to the Convention, should be central to any obligations stemming from the review of annexes A and B. Any financial mechanism should ensure that sustainable, dedicated, adequate, transparent and predictable funding was available to developing countries for implementation; current funding was inadequate and the mechanism needed to be updated. Lastly, he said that his region considered decision-making by consensus to be an asset and that it should </w:t>
      </w:r>
      <w:r w:rsidR="00D35835" w:rsidRPr="00A7082A">
        <w:t xml:space="preserve">be reflected </w:t>
      </w:r>
      <w:r w:rsidRPr="00A7082A">
        <w:t>in the rules of procedure.</w:t>
      </w:r>
    </w:p>
    <w:p w14:paraId="3E2446A3" w14:textId="33C9739C" w:rsidR="00681A4E" w:rsidRPr="00A7082A" w:rsidRDefault="00681A4E" w:rsidP="00957120">
      <w:pPr>
        <w:pStyle w:val="Normalnumber"/>
      </w:pPr>
      <w:r w:rsidRPr="00A7082A">
        <w:t>The represent</w:t>
      </w:r>
      <w:r w:rsidR="00187284" w:rsidRPr="00A7082A">
        <w:t xml:space="preserve">ative speaking on behalf of the </w:t>
      </w:r>
      <w:r w:rsidRPr="00A7082A">
        <w:t xml:space="preserve">Eastern European States, taking the example of activities under way in one country in her region, stressed the importance of legislation in combating mercury. That country had enacted all-encompassing legislation on chemicals and, </w:t>
      </w:r>
      <w:r w:rsidR="00A673FE" w:rsidRPr="00A7082A">
        <w:t>in that regard</w:t>
      </w:r>
      <w:r w:rsidRPr="00A7082A">
        <w:t>, was seeking to ban mercury in thermometers as of 2024 and cut down on the use of mercury in certain products. She encouraged all countries that had ratified the Convention to move to its implementation and urged all countries that had not yet ratified it to do so as soon as possible. She also stressed the need to redouble efforts to cooperate with the secretariats of other multilateral environmental agreements as part of a holistic approach to the management of chemicals.</w:t>
      </w:r>
    </w:p>
    <w:p w14:paraId="4BBCF239" w14:textId="1C772ADE" w:rsidR="00681A4E" w:rsidRPr="00A7082A" w:rsidRDefault="00681A4E" w:rsidP="00957120">
      <w:pPr>
        <w:pStyle w:val="Normalnumber"/>
      </w:pPr>
      <w:r w:rsidRPr="00A7082A">
        <w:t>The representative speaking on behalf of the Latin American and Caribbean States</w:t>
      </w:r>
      <w:r w:rsidR="003051A1" w:rsidRPr="00A7082A">
        <w:t xml:space="preserve"> </w:t>
      </w:r>
      <w:r w:rsidR="007445C6" w:rsidRPr="00A7082A">
        <w:t xml:space="preserve">expressed her gratitude to the Executive Secretary for her work and commitment to the Minamata Convention. She </w:t>
      </w:r>
      <w:r w:rsidRPr="00A7082A">
        <w:t xml:space="preserve">said that, in her region, countries required technical and financial resources for implementation. The Convention’s </w:t>
      </w:r>
      <w:r w:rsidR="00D35835" w:rsidRPr="00A7082A">
        <w:t xml:space="preserve">financial </w:t>
      </w:r>
      <w:r w:rsidRPr="00A7082A">
        <w:t xml:space="preserve">mechanism therefore need to be robust. She also highlighted the importance of monitoring and the verification of compliance and effectiveness; the need to strengthen cooperation and coordination with the </w:t>
      </w:r>
      <w:r w:rsidR="00851014" w:rsidRPr="00A7082A">
        <w:t>s</w:t>
      </w:r>
      <w:r w:rsidRPr="00A7082A">
        <w:t xml:space="preserve">ecretariat of the Basel, Rotterdam and Stockholm Conventions with a view to </w:t>
      </w:r>
      <w:r w:rsidR="00D35835" w:rsidRPr="00A7082A">
        <w:t xml:space="preserve">making the best use of </w:t>
      </w:r>
      <w:r w:rsidRPr="00A7082A">
        <w:t xml:space="preserve">resources; and the importance of the </w:t>
      </w:r>
      <w:r w:rsidR="00275E07" w:rsidRPr="00A7082A">
        <w:t xml:space="preserve">Basel and Stockholm </w:t>
      </w:r>
      <w:r w:rsidRPr="00A7082A">
        <w:t xml:space="preserve">conventions’ regional centres, </w:t>
      </w:r>
      <w:r w:rsidR="00593714" w:rsidRPr="00A7082A">
        <w:t xml:space="preserve">in </w:t>
      </w:r>
      <w:r w:rsidRPr="00A7082A">
        <w:t>particular their support and expertise in terms of capacity-building and technology transfer. She thanked donors to the Specific International Programme, urged more to contribute and underlined the need to strengthen the programme.</w:t>
      </w:r>
      <w:r w:rsidRPr="00A7082A" w:rsidDel="00B7641D">
        <w:t xml:space="preserve"> </w:t>
      </w:r>
      <w:r w:rsidRPr="00A7082A">
        <w:t>Of particular concern to the region were the issues related to artisanal and small-scale gold mining, which had to be dealt with in the framework of a public policy on sustainable development, transborder trade in mercury and the management of contaminated sites. Emissions from open burning of mercury-containing waste also</w:t>
      </w:r>
      <w:r w:rsidR="00593714" w:rsidRPr="00A7082A">
        <w:t xml:space="preserve"> constituted</w:t>
      </w:r>
      <w:r w:rsidRPr="00A7082A">
        <w:t xml:space="preserve"> an important issue and further information thereon should be solicited from parties. In closing, she </w:t>
      </w:r>
      <w:r w:rsidR="00D35835" w:rsidRPr="00A7082A">
        <w:t xml:space="preserve">highlighted </w:t>
      </w:r>
      <w:r w:rsidRPr="00A7082A">
        <w:t xml:space="preserve">the offer by a country in her region to host the fourth meeting of the Conference of the Parties. </w:t>
      </w:r>
    </w:p>
    <w:p w14:paraId="24D40ABD" w14:textId="1E9CEBE1" w:rsidR="00681A4E" w:rsidRPr="00A7082A" w:rsidRDefault="00681A4E" w:rsidP="00957120">
      <w:pPr>
        <w:pStyle w:val="Normalnumber"/>
      </w:pPr>
      <w:r w:rsidRPr="00A7082A">
        <w:t>The representative speaking on behalf of the European Union and its member States</w:t>
      </w:r>
      <w:r w:rsidR="007445C6" w:rsidRPr="00A7082A">
        <w:t>, thanking the Executive Secretary for her excellent work,</w:t>
      </w:r>
      <w:r w:rsidRPr="00A7082A">
        <w:t xml:space="preserve"> said that the Minamata Convention constituted a solid legal framework that supported efforts to achieve the Sustainable Development Goals. Noting the success of the first two meetings of the Conference of the Parties, she cautioned parties not to become complacent. The countries in her region remained fully committed to working with other parties and stakeholders to ensure the full functionality of the Convention. She underscored the importance of agreeing on the guidelines for contaminated sites; the relevant thresholds for mercury waste; a suitable process for conducting the review of </w:t>
      </w:r>
      <w:r w:rsidR="00BC507E" w:rsidRPr="00A7082A">
        <w:t>a</w:t>
      </w:r>
      <w:r w:rsidRPr="00A7082A">
        <w:t xml:space="preserve">nnexes A and B; and a functional framework for effectiveness evaluation of the Convention. The countries in the region also looked forward to engaging with other parties on developing a stable and long-term framework to enhance cooperation between the Minamata Convention and the </w:t>
      </w:r>
      <w:r w:rsidR="00174D64" w:rsidRPr="00A7082A">
        <w:t>Basel Convention on the Control of Transboundary Movements of Hazardous Wastes and Their Disposal, the Rotterdam Convention on the Prior Informed Consent Procedure for Certain Hazardous Chemicals and Pesticides in International Trade and the Stockholm Convention on Persistent Organic Pollutants</w:t>
      </w:r>
      <w:r w:rsidRPr="00A7082A">
        <w:t xml:space="preserve"> and between their secretariats. Welcoming the offers received by two countries to host the fourth meeting of the Conference of the Parties, she encouraged the</w:t>
      </w:r>
      <w:r w:rsidR="00593714" w:rsidRPr="00A7082A">
        <w:t>m</w:t>
      </w:r>
      <w:r w:rsidRPr="00A7082A">
        <w:t xml:space="preserve"> to discuss the matter bilaterally and propose a way forward.</w:t>
      </w:r>
    </w:p>
    <w:p w14:paraId="7D02C9A4" w14:textId="74A2CFBA" w:rsidR="00681A4E" w:rsidRPr="00A7082A" w:rsidRDefault="006C5082" w:rsidP="002434DA">
      <w:pPr>
        <w:pStyle w:val="Normalnumber"/>
      </w:pPr>
      <w:r w:rsidRPr="00A7082A">
        <w:t xml:space="preserve">Speaking on behalf of victims of Minamata disease, </w:t>
      </w:r>
      <w:r w:rsidR="00681A4E" w:rsidRPr="00A7082A">
        <w:t>Koichiro Matsunaga,</w:t>
      </w:r>
      <w:r w:rsidR="00593714" w:rsidRPr="00A7082A">
        <w:t xml:space="preserve"> representing the Collaboration Centre for Minamata Disease Victims,</w:t>
      </w:r>
      <w:r w:rsidR="00681A4E" w:rsidRPr="00A7082A">
        <w:t xml:space="preserve"> told his personal story. Exposed to mercury in the womb through his mother’s contact with factory wastewater and confined to a wheelchair, he said that his motor skills and speech were in fact much better than</w:t>
      </w:r>
      <w:r w:rsidR="00625E09" w:rsidRPr="00A7082A">
        <w:t xml:space="preserve"> those of</w:t>
      </w:r>
      <w:r w:rsidR="00681A4E" w:rsidRPr="00A7082A">
        <w:t xml:space="preserve"> many of his contemporaries. Expressing </w:t>
      </w:r>
      <w:r w:rsidR="00D35835" w:rsidRPr="00A7082A">
        <w:t xml:space="preserve">disappointment </w:t>
      </w:r>
      <w:r w:rsidR="00681A4E" w:rsidRPr="00A7082A">
        <w:t xml:space="preserve">at the </w:t>
      </w:r>
      <w:r w:rsidR="00D35835" w:rsidRPr="00A7082A">
        <w:t xml:space="preserve">facts </w:t>
      </w:r>
      <w:r w:rsidR="00681A4E" w:rsidRPr="00A7082A">
        <w:t>that had led to his fate, he urged parties not to repeat the mistakes of Minamata and not to allow children in the future to suffer as he had.</w:t>
      </w:r>
    </w:p>
    <w:p w14:paraId="7425EC46" w14:textId="77777777" w:rsidR="0099003C" w:rsidRPr="00A7082A" w:rsidRDefault="0099003C" w:rsidP="009E64B0">
      <w:pPr>
        <w:pStyle w:val="CH1"/>
      </w:pPr>
      <w:r w:rsidRPr="00A7082A">
        <w:lastRenderedPageBreak/>
        <w:tab/>
      </w:r>
      <w:bookmarkStart w:id="4" w:name="_Toc7079403"/>
      <w:r w:rsidRPr="00A7082A">
        <w:t>II.</w:t>
      </w:r>
      <w:r w:rsidRPr="00A7082A">
        <w:tab/>
        <w:t>Organizational matters</w:t>
      </w:r>
      <w:bookmarkEnd w:id="4"/>
    </w:p>
    <w:p w14:paraId="6DE6276C" w14:textId="77777777" w:rsidR="0099003C" w:rsidRPr="00A7082A" w:rsidDel="000B174B" w:rsidRDefault="0099003C" w:rsidP="009E64B0">
      <w:pPr>
        <w:pStyle w:val="CH2"/>
      </w:pPr>
      <w:r w:rsidRPr="00A7082A" w:rsidDel="000B174B">
        <w:tab/>
      </w:r>
      <w:bookmarkStart w:id="5" w:name="_Toc27124720"/>
      <w:r w:rsidRPr="00A7082A" w:rsidDel="000B174B">
        <w:t>A.</w:t>
      </w:r>
      <w:r w:rsidRPr="00A7082A" w:rsidDel="000B174B">
        <w:tab/>
      </w:r>
      <w:r w:rsidRPr="00A7082A">
        <w:t>O</w:t>
      </w:r>
      <w:r w:rsidRPr="00A7082A" w:rsidDel="000B174B">
        <w:t>fficers</w:t>
      </w:r>
      <w:bookmarkEnd w:id="5"/>
      <w:r w:rsidRPr="00A7082A" w:rsidDel="000B174B">
        <w:t xml:space="preserve"> </w:t>
      </w:r>
    </w:p>
    <w:p w14:paraId="31834CF3" w14:textId="0511C7E5" w:rsidR="0099003C" w:rsidRPr="00A7082A" w:rsidRDefault="00C832DE" w:rsidP="00957120">
      <w:pPr>
        <w:pStyle w:val="Normalnumber"/>
      </w:pPr>
      <w:r w:rsidRPr="00A7082A">
        <w:t>At its second</w:t>
      </w:r>
      <w:r w:rsidR="0099003C" w:rsidRPr="00A7082A">
        <w:t xml:space="preserve"> meeting, the Conference of the Parties had elected the following officers to serve at its </w:t>
      </w:r>
      <w:r w:rsidRPr="00A7082A">
        <w:t>third</w:t>
      </w:r>
      <w:r w:rsidR="0099003C" w:rsidRPr="00A7082A">
        <w:t xml:space="preserve"> meeting, </w:t>
      </w:r>
      <w:r w:rsidR="00593714" w:rsidRPr="00A7082A">
        <w:t>and also</w:t>
      </w:r>
      <w:r w:rsidR="0099003C" w:rsidRPr="00A7082A">
        <w:t xml:space="preserve"> during the intersessional period: </w:t>
      </w:r>
    </w:p>
    <w:p w14:paraId="152BE3B7" w14:textId="5C95C810" w:rsidR="0099003C" w:rsidRPr="00A7082A" w:rsidRDefault="0099003C" w:rsidP="00320066">
      <w:pPr>
        <w:pStyle w:val="Normal-pool"/>
        <w:tabs>
          <w:tab w:val="clear" w:pos="1247"/>
          <w:tab w:val="clear" w:pos="1814"/>
          <w:tab w:val="clear" w:pos="2381"/>
          <w:tab w:val="clear" w:pos="2948"/>
          <w:tab w:val="clear" w:pos="3515"/>
          <w:tab w:val="clear" w:pos="4082"/>
          <w:tab w:val="left" w:pos="3742"/>
        </w:tabs>
        <w:spacing w:after="100"/>
        <w:ind w:left="1871"/>
      </w:pPr>
      <w:r w:rsidRPr="00A7082A">
        <w:t xml:space="preserve">President: </w:t>
      </w:r>
      <w:r w:rsidRPr="00A7082A">
        <w:tab/>
      </w:r>
      <w:r w:rsidR="00C832DE" w:rsidRPr="00A7082A">
        <w:tab/>
        <w:t>David Kapindula (Zambia)</w:t>
      </w:r>
    </w:p>
    <w:p w14:paraId="47A92FBD" w14:textId="22F7F430" w:rsidR="00C832DE" w:rsidRPr="00A7082A" w:rsidRDefault="0099003C">
      <w:pPr>
        <w:pStyle w:val="Normal-pool"/>
        <w:tabs>
          <w:tab w:val="clear" w:pos="1247"/>
          <w:tab w:val="clear" w:pos="1814"/>
          <w:tab w:val="clear" w:pos="2381"/>
          <w:tab w:val="clear" w:pos="2948"/>
          <w:tab w:val="clear" w:pos="3515"/>
          <w:tab w:val="clear" w:pos="4082"/>
          <w:tab w:val="left" w:pos="3742"/>
        </w:tabs>
        <w:spacing w:after="100"/>
        <w:ind w:left="1871"/>
      </w:pPr>
      <w:r w:rsidRPr="00A7082A">
        <w:t>Vice-Presidents:</w:t>
      </w:r>
      <w:r w:rsidRPr="00A7082A">
        <w:tab/>
      </w:r>
      <w:r w:rsidR="00C832DE" w:rsidRPr="00A7082A">
        <w:t>Alison Dickson (Canada)</w:t>
      </w:r>
    </w:p>
    <w:p w14:paraId="40994D96" w14:textId="77777777" w:rsidR="00C832DE" w:rsidRPr="00A7082A" w:rsidRDefault="00C832DE" w:rsidP="00C832DE">
      <w:pPr>
        <w:pStyle w:val="Normal-pool"/>
        <w:spacing w:after="100"/>
        <w:ind w:left="3742"/>
      </w:pPr>
      <w:r w:rsidRPr="00A7082A">
        <w:t>María del Mar Solano Trejos (Costa Rica)</w:t>
      </w:r>
    </w:p>
    <w:p w14:paraId="54424ADC" w14:textId="77777777" w:rsidR="00C832DE" w:rsidRPr="00A7082A" w:rsidRDefault="00C832DE" w:rsidP="00C832DE">
      <w:pPr>
        <w:pStyle w:val="Normal-pool"/>
        <w:spacing w:after="100"/>
        <w:ind w:left="3742"/>
      </w:pPr>
      <w:r w:rsidRPr="00A7082A">
        <w:t>Karel Bláha (Czechia)</w:t>
      </w:r>
    </w:p>
    <w:p w14:paraId="0E3EABD2" w14:textId="70D71C6C" w:rsidR="00C832DE" w:rsidRPr="00A7082A" w:rsidRDefault="00C832DE" w:rsidP="00C832DE">
      <w:pPr>
        <w:pStyle w:val="Normal-pool"/>
        <w:spacing w:after="100"/>
        <w:ind w:left="3742"/>
      </w:pPr>
      <w:bookmarkStart w:id="6" w:name="_Hlk39488022"/>
      <w:r w:rsidRPr="00A7082A">
        <w:t>Serge Molly Allo’o</w:t>
      </w:r>
      <w:r w:rsidR="0088650A" w:rsidRPr="00A7082A">
        <w:t xml:space="preserve"> </w:t>
      </w:r>
      <w:r w:rsidR="00573E7F" w:rsidRPr="00A7082A">
        <w:t>Allo’o</w:t>
      </w:r>
      <w:r w:rsidR="00A32D85" w:rsidRPr="00A7082A">
        <w:t xml:space="preserve"> </w:t>
      </w:r>
      <w:r w:rsidRPr="00A7082A">
        <w:t xml:space="preserve">(Gabon) </w:t>
      </w:r>
    </w:p>
    <w:bookmarkEnd w:id="6"/>
    <w:p w14:paraId="15525F39" w14:textId="77777777" w:rsidR="00C832DE" w:rsidRPr="00A7082A" w:rsidRDefault="00C832DE" w:rsidP="00C832DE">
      <w:pPr>
        <w:pStyle w:val="Normal-pool"/>
        <w:spacing w:after="100"/>
        <w:ind w:left="3742"/>
      </w:pPr>
      <w:r w:rsidRPr="00A7082A">
        <w:t>Mariscia Charles (Guyana)</w:t>
      </w:r>
    </w:p>
    <w:p w14:paraId="141BCF92" w14:textId="77777777" w:rsidR="00C832DE" w:rsidRPr="00A7082A" w:rsidRDefault="00C832DE" w:rsidP="00C832DE">
      <w:pPr>
        <w:pStyle w:val="Normal-pool"/>
        <w:spacing w:after="100"/>
        <w:ind w:left="3742"/>
      </w:pPr>
      <w:r w:rsidRPr="00A7082A">
        <w:t>Adel Jahankhah (Islamic Republic of Iran)</w:t>
      </w:r>
    </w:p>
    <w:p w14:paraId="09F6E0EB" w14:textId="77777777" w:rsidR="00C832DE" w:rsidRPr="00A7082A" w:rsidRDefault="00C832DE" w:rsidP="00C832DE">
      <w:pPr>
        <w:pStyle w:val="Normal-pool"/>
        <w:spacing w:after="100"/>
        <w:ind w:left="3742"/>
      </w:pPr>
      <w:r w:rsidRPr="00A7082A">
        <w:t>Mohammed Khashashneh (Jordan)</w:t>
      </w:r>
    </w:p>
    <w:p w14:paraId="5F1F58C8" w14:textId="77777777" w:rsidR="00C832DE" w:rsidRPr="00A7082A" w:rsidRDefault="00C832DE" w:rsidP="00C832DE">
      <w:pPr>
        <w:pStyle w:val="Normal-pool"/>
        <w:spacing w:after="100"/>
        <w:ind w:left="3742"/>
      </w:pPr>
      <w:r w:rsidRPr="00A7082A">
        <w:t>Svetlana Bolocan (Republic of Moldova)</w:t>
      </w:r>
    </w:p>
    <w:p w14:paraId="309CEA25" w14:textId="72CD26B5" w:rsidR="0099003C" w:rsidRPr="00A7082A" w:rsidRDefault="00C832DE" w:rsidP="009E64B0">
      <w:pPr>
        <w:pStyle w:val="Normal-pool"/>
        <w:spacing w:after="100"/>
        <w:ind w:left="3742"/>
      </w:pPr>
      <w:r w:rsidRPr="00A7082A">
        <w:t>Nina Cromnier (Sweden)</w:t>
      </w:r>
      <w:r w:rsidR="0099003C" w:rsidRPr="00A7082A">
        <w:t xml:space="preserve"> </w:t>
      </w:r>
    </w:p>
    <w:p w14:paraId="0ECF6170" w14:textId="209AF26E" w:rsidR="0099003C" w:rsidRPr="00A7082A" w:rsidRDefault="00BC57A1" w:rsidP="00957120">
      <w:pPr>
        <w:pStyle w:val="Normalnumber"/>
      </w:pPr>
      <w:r w:rsidRPr="00A7082A">
        <w:t xml:space="preserve">Karel Bláha (Czechia) </w:t>
      </w:r>
      <w:r w:rsidR="0099003C" w:rsidRPr="00A7082A">
        <w:t>had been elected to serve as Rapporteur.</w:t>
      </w:r>
    </w:p>
    <w:p w14:paraId="44D9D0EA" w14:textId="4C645778" w:rsidR="0099003C" w:rsidRPr="00A7082A" w:rsidRDefault="0099003C" w:rsidP="005655AA">
      <w:pPr>
        <w:pStyle w:val="Normalnumber"/>
        <w:tabs>
          <w:tab w:val="clear" w:pos="1134"/>
          <w:tab w:val="clear" w:pos="1247"/>
        </w:tabs>
      </w:pPr>
      <w:r w:rsidRPr="00A7082A">
        <w:t xml:space="preserve">During the intersessional period, </w:t>
      </w:r>
      <w:r w:rsidR="00BC57A1" w:rsidRPr="00A7082A">
        <w:t>Mohsen Naziri Asl</w:t>
      </w:r>
      <w:r w:rsidR="00C832DE" w:rsidRPr="00A7082A">
        <w:t xml:space="preserve"> </w:t>
      </w:r>
      <w:r w:rsidRPr="00A7082A">
        <w:t>(</w:t>
      </w:r>
      <w:r w:rsidR="00BC57A1" w:rsidRPr="00A7082A">
        <w:t>Islamic Republic of Iran</w:t>
      </w:r>
      <w:r w:rsidRPr="00A7082A">
        <w:t xml:space="preserve">) </w:t>
      </w:r>
      <w:r w:rsidR="00BC57A1" w:rsidRPr="00A7082A">
        <w:t xml:space="preserve">had </w:t>
      </w:r>
      <w:r w:rsidRPr="00A7082A">
        <w:t xml:space="preserve">replaced </w:t>
      </w:r>
      <w:r w:rsidR="00BC57A1" w:rsidRPr="00A7082A">
        <w:t>Adel Jahankhah</w:t>
      </w:r>
      <w:r w:rsidRPr="00A7082A">
        <w:t xml:space="preserve">, who </w:t>
      </w:r>
      <w:r w:rsidR="00BC57A1" w:rsidRPr="00A7082A">
        <w:t>had been</w:t>
      </w:r>
      <w:r w:rsidRPr="00A7082A">
        <w:t xml:space="preserve"> unable to complete his assigned term. </w:t>
      </w:r>
    </w:p>
    <w:p w14:paraId="733088EE" w14:textId="20686E8D" w:rsidR="0099003C" w:rsidRPr="00A7082A" w:rsidRDefault="0099003C" w:rsidP="009E64B0">
      <w:pPr>
        <w:pStyle w:val="CH2"/>
      </w:pPr>
      <w:r w:rsidRPr="00A7082A">
        <w:tab/>
      </w:r>
      <w:bookmarkStart w:id="7" w:name="_Toc27124721"/>
      <w:r w:rsidRPr="00A7082A">
        <w:t>B.</w:t>
      </w:r>
      <w:r w:rsidRPr="00A7082A">
        <w:tab/>
        <w:t xml:space="preserve">Election of officers for the intersessional period and the </w:t>
      </w:r>
      <w:r w:rsidR="00A47FB0" w:rsidRPr="00A7082A">
        <w:t xml:space="preserve">fourth </w:t>
      </w:r>
      <w:r w:rsidRPr="00A7082A">
        <w:t>meeting of the Conference of the Parties</w:t>
      </w:r>
      <w:bookmarkEnd w:id="7"/>
    </w:p>
    <w:p w14:paraId="31D8CA86" w14:textId="77777777" w:rsidR="00113D26" w:rsidRPr="00A7082A" w:rsidRDefault="00113D26" w:rsidP="00311CAC">
      <w:pPr>
        <w:pStyle w:val="Normalnumber"/>
      </w:pPr>
      <w:r w:rsidRPr="00A7082A">
        <w:t xml:space="preserve">Introducing the item, the President recalled that, pursuant to the rules of procedure, the Conference of the Parties would need to elect a President and nine Vice-Presidents, one of whom would act as Rapporteur, from among the representatives of the parties present at the meeting, to serve from the closure of the meeting until the closure of the fourth meeting, including the intersessional period. </w:t>
      </w:r>
    </w:p>
    <w:p w14:paraId="64DE450E" w14:textId="16BD6C10" w:rsidR="00113D26" w:rsidRPr="00A7082A" w:rsidRDefault="00113D26" w:rsidP="00113D26">
      <w:pPr>
        <w:pStyle w:val="Normalnumber"/>
        <w:spacing w:after="100"/>
      </w:pPr>
      <w:r w:rsidRPr="00A7082A">
        <w:t xml:space="preserve">Subsequently, the Conference of the Parties elected the following officers to the </w:t>
      </w:r>
      <w:r w:rsidR="00EA57CE" w:rsidRPr="00A7082A">
        <w:t>B</w:t>
      </w:r>
      <w:r w:rsidRPr="00A7082A">
        <w:t>ureau for the fourth meeting of the Conference</w:t>
      </w:r>
      <w:r w:rsidR="00EA57CE" w:rsidRPr="00A7082A">
        <w:t xml:space="preserve"> of the Parties</w:t>
      </w:r>
      <w:r w:rsidRPr="00A7082A">
        <w:t>:</w:t>
      </w:r>
    </w:p>
    <w:p w14:paraId="3E0C03C7" w14:textId="7C7F47BB" w:rsidR="00113D26" w:rsidRPr="00A7082A" w:rsidRDefault="00113D26" w:rsidP="008F77F9">
      <w:pPr>
        <w:pStyle w:val="Normal-pool"/>
        <w:tabs>
          <w:tab w:val="clear" w:pos="1247"/>
          <w:tab w:val="clear" w:pos="1814"/>
          <w:tab w:val="clear" w:pos="2381"/>
          <w:tab w:val="clear" w:pos="2948"/>
          <w:tab w:val="clear" w:pos="3515"/>
          <w:tab w:val="clear" w:pos="4082"/>
          <w:tab w:val="left" w:pos="3544"/>
        </w:tabs>
        <w:spacing w:after="100"/>
        <w:ind w:left="1871"/>
      </w:pPr>
      <w:r w:rsidRPr="00A7082A">
        <w:t>President:</w:t>
      </w:r>
      <w:r w:rsidRPr="00A7082A">
        <w:tab/>
        <w:t>Rosa Vivien</w:t>
      </w:r>
      <w:r w:rsidR="00A2178F" w:rsidRPr="00A7082A">
        <w:t xml:space="preserve"> Ratnawati</w:t>
      </w:r>
      <w:r w:rsidRPr="00A7082A">
        <w:t xml:space="preserve"> (Indonesia)</w:t>
      </w:r>
    </w:p>
    <w:p w14:paraId="1A2C744E" w14:textId="19AC84B6" w:rsidR="002464A9" w:rsidRPr="00A7082A" w:rsidRDefault="00113D26" w:rsidP="009557F8">
      <w:pPr>
        <w:pStyle w:val="Normal-pool"/>
        <w:tabs>
          <w:tab w:val="clear" w:pos="1247"/>
          <w:tab w:val="clear" w:pos="1814"/>
          <w:tab w:val="clear" w:pos="2381"/>
          <w:tab w:val="clear" w:pos="2948"/>
          <w:tab w:val="clear" w:pos="3515"/>
          <w:tab w:val="clear" w:pos="4082"/>
          <w:tab w:val="left" w:pos="3544"/>
        </w:tabs>
        <w:spacing w:after="100"/>
        <w:ind w:left="1871"/>
      </w:pPr>
      <w:r w:rsidRPr="00A7082A">
        <w:t>Vice-Presidents:</w:t>
      </w:r>
      <w:r w:rsidRPr="00A7082A">
        <w:tab/>
      </w:r>
      <w:r w:rsidR="002464A9" w:rsidRPr="00A7082A">
        <w:t>Anahit Aleksandryan (Armenia)</w:t>
      </w:r>
    </w:p>
    <w:p w14:paraId="388E9DD2" w14:textId="300C2221" w:rsidR="002464A9" w:rsidRPr="00A7082A" w:rsidRDefault="002464A9" w:rsidP="002464A9">
      <w:pPr>
        <w:pStyle w:val="Normal-pool"/>
        <w:tabs>
          <w:tab w:val="clear" w:pos="3515"/>
          <w:tab w:val="left" w:pos="3544"/>
        </w:tabs>
        <w:spacing w:after="100"/>
        <w:ind w:left="3544"/>
      </w:pPr>
      <w:r w:rsidRPr="00A7082A">
        <w:t>Oarabile Serumola (Botswana)</w:t>
      </w:r>
    </w:p>
    <w:p w14:paraId="39C022CC" w14:textId="6AD753EA" w:rsidR="002464A9" w:rsidRPr="00A7082A" w:rsidRDefault="002464A9" w:rsidP="006D4DE3">
      <w:pPr>
        <w:pStyle w:val="Normal-pool"/>
        <w:tabs>
          <w:tab w:val="clear" w:pos="3515"/>
          <w:tab w:val="left" w:pos="3544"/>
        </w:tabs>
        <w:spacing w:after="100"/>
        <w:ind w:left="3544"/>
      </w:pPr>
      <w:r w:rsidRPr="00A7082A">
        <w:t>Roger Baro (Burkina Faso)</w:t>
      </w:r>
    </w:p>
    <w:p w14:paraId="4F5ECA3B" w14:textId="77777777" w:rsidR="002464A9" w:rsidRPr="00A7082A" w:rsidRDefault="002464A9" w:rsidP="002464A9">
      <w:pPr>
        <w:pStyle w:val="Normal-pool"/>
        <w:tabs>
          <w:tab w:val="clear" w:pos="3515"/>
          <w:tab w:val="left" w:pos="3544"/>
        </w:tabs>
        <w:spacing w:after="100"/>
        <w:ind w:left="3544"/>
      </w:pPr>
      <w:r w:rsidRPr="00A7082A">
        <w:t>Alison Dickson (Canada)</w:t>
      </w:r>
    </w:p>
    <w:p w14:paraId="028109D6" w14:textId="77777777" w:rsidR="002464A9" w:rsidRPr="00A7082A" w:rsidRDefault="002464A9" w:rsidP="002464A9">
      <w:pPr>
        <w:pStyle w:val="Normal-pool"/>
        <w:tabs>
          <w:tab w:val="clear" w:pos="3515"/>
          <w:tab w:val="left" w:pos="3544"/>
        </w:tabs>
        <w:spacing w:after="100"/>
        <w:ind w:left="3544"/>
      </w:pPr>
      <w:r w:rsidRPr="00A7082A">
        <w:t>Angela Rivera (Colombia)</w:t>
      </w:r>
    </w:p>
    <w:p w14:paraId="236812A6" w14:textId="77777777" w:rsidR="002464A9" w:rsidRPr="00A7082A" w:rsidRDefault="002464A9" w:rsidP="002464A9">
      <w:pPr>
        <w:pStyle w:val="Normal-pool"/>
        <w:tabs>
          <w:tab w:val="clear" w:pos="3515"/>
          <w:tab w:val="left" w:pos="3544"/>
        </w:tabs>
        <w:spacing w:after="100"/>
        <w:ind w:left="3544"/>
      </w:pPr>
      <w:r w:rsidRPr="00A7082A">
        <w:t>Marie-Claire Lhenry (France)</w:t>
      </w:r>
    </w:p>
    <w:p w14:paraId="6AA01EFA" w14:textId="77777777" w:rsidR="002464A9" w:rsidRPr="00A7082A" w:rsidRDefault="002464A9" w:rsidP="002464A9">
      <w:pPr>
        <w:pStyle w:val="Normal-pool"/>
        <w:tabs>
          <w:tab w:val="clear" w:pos="3515"/>
          <w:tab w:val="left" w:pos="3544"/>
        </w:tabs>
        <w:spacing w:after="100"/>
        <w:ind w:left="3544"/>
      </w:pPr>
      <w:r w:rsidRPr="00A7082A">
        <w:t>Bethune Morgan (Jamaica)</w:t>
      </w:r>
    </w:p>
    <w:p w14:paraId="56ED877E" w14:textId="6861A360" w:rsidR="00113D26" w:rsidRPr="00A7082A" w:rsidRDefault="00113D26" w:rsidP="00EF0D69">
      <w:pPr>
        <w:pStyle w:val="Normal-pool"/>
        <w:tabs>
          <w:tab w:val="clear" w:pos="3515"/>
          <w:tab w:val="left" w:pos="3544"/>
        </w:tabs>
        <w:spacing w:after="100"/>
        <w:ind w:left="3544"/>
      </w:pPr>
      <w:r w:rsidRPr="00A7082A">
        <w:t>Karmen Krajnc (Slovenia)</w:t>
      </w:r>
    </w:p>
    <w:p w14:paraId="7CD136B5" w14:textId="61BB34D6" w:rsidR="002464A9" w:rsidRPr="00A7082A" w:rsidRDefault="002464A9" w:rsidP="006D4DE3">
      <w:pPr>
        <w:pStyle w:val="Normal-pool"/>
        <w:tabs>
          <w:tab w:val="clear" w:pos="3515"/>
          <w:tab w:val="left" w:pos="3544"/>
        </w:tabs>
        <w:spacing w:after="100"/>
        <w:ind w:left="3544"/>
      </w:pPr>
      <w:bookmarkStart w:id="8" w:name="_Hlk38275898"/>
      <w:r w:rsidRPr="00A7082A">
        <w:t>W.</w:t>
      </w:r>
      <w:r w:rsidR="00B50AB4" w:rsidRPr="00A7082A">
        <w:t xml:space="preserve"> </w:t>
      </w:r>
      <w:r w:rsidRPr="00A7082A">
        <w:t>T.</w:t>
      </w:r>
      <w:r w:rsidR="00B50AB4" w:rsidRPr="00A7082A">
        <w:t xml:space="preserve"> </w:t>
      </w:r>
      <w:r w:rsidRPr="00A7082A">
        <w:t xml:space="preserve">B. Dissanayake (Sri Lanka) </w:t>
      </w:r>
      <w:bookmarkEnd w:id="8"/>
    </w:p>
    <w:p w14:paraId="61F259D9" w14:textId="58A3EDDD" w:rsidR="00113D26" w:rsidRPr="00A7082A" w:rsidRDefault="00275E07" w:rsidP="009C52E8">
      <w:pPr>
        <w:pStyle w:val="Normalnumber"/>
        <w:spacing w:after="100"/>
      </w:pPr>
      <w:r w:rsidRPr="00A7082A">
        <w:t>It was agreed that the Rapporteur for the third meeting of the Conference of the Parties would be designated by the Bureau during the intersessional period.</w:t>
      </w:r>
      <w:r w:rsidRPr="00A7082A" w:rsidDel="00275E07">
        <w:t xml:space="preserve"> </w:t>
      </w:r>
    </w:p>
    <w:p w14:paraId="13CDAFBB" w14:textId="77777777" w:rsidR="0099003C" w:rsidRPr="00A7082A" w:rsidRDefault="0099003C" w:rsidP="00321D40">
      <w:pPr>
        <w:pStyle w:val="CH2"/>
      </w:pPr>
      <w:r w:rsidRPr="00A7082A">
        <w:lastRenderedPageBreak/>
        <w:tab/>
      </w:r>
      <w:bookmarkStart w:id="9" w:name="_Toc27124722"/>
      <w:r w:rsidRPr="00A7082A">
        <w:t>C.</w:t>
      </w:r>
      <w:r w:rsidRPr="00A7082A">
        <w:tab/>
        <w:t>Adoption of the agenda</w:t>
      </w:r>
      <w:bookmarkEnd w:id="9"/>
    </w:p>
    <w:p w14:paraId="54DB4883" w14:textId="217ED9CF" w:rsidR="0099003C" w:rsidRPr="00A7082A" w:rsidRDefault="0099003C" w:rsidP="00321D40">
      <w:pPr>
        <w:pStyle w:val="Normalnumber"/>
        <w:keepNext/>
        <w:keepLines/>
      </w:pPr>
      <w:r w:rsidRPr="00A7082A">
        <w:t>The Conference of the Parties adopted the following agenda on the basis of the provisional agenda (UNEP/MC/COP.</w:t>
      </w:r>
      <w:r w:rsidR="00A220F7" w:rsidRPr="00A7082A">
        <w:t>3</w:t>
      </w:r>
      <w:r w:rsidRPr="00A7082A">
        <w:t>/1):</w:t>
      </w:r>
    </w:p>
    <w:p w14:paraId="3E1ADC78" w14:textId="77777777" w:rsidR="00612D58" w:rsidRPr="00A7082A" w:rsidRDefault="00612D58" w:rsidP="00321D40">
      <w:pPr>
        <w:pStyle w:val="Normal-pool"/>
        <w:keepNext/>
        <w:keepLines/>
        <w:numPr>
          <w:ilvl w:val="0"/>
          <w:numId w:val="12"/>
        </w:numPr>
        <w:tabs>
          <w:tab w:val="clear" w:pos="1247"/>
          <w:tab w:val="clear" w:pos="1814"/>
          <w:tab w:val="clear" w:pos="2381"/>
          <w:tab w:val="clear" w:pos="2948"/>
          <w:tab w:val="clear" w:pos="3515"/>
          <w:tab w:val="clear" w:pos="4082"/>
          <w:tab w:val="left" w:pos="624"/>
        </w:tabs>
        <w:spacing w:after="120"/>
        <w:ind w:left="2495" w:hanging="624"/>
      </w:pPr>
      <w:r w:rsidRPr="00A7082A">
        <w:t>Opening of the meeting.</w:t>
      </w:r>
    </w:p>
    <w:p w14:paraId="2788CB1A" w14:textId="77777777" w:rsidR="00612D58" w:rsidRPr="00A7082A" w:rsidRDefault="00612D58" w:rsidP="00321D40">
      <w:pPr>
        <w:pStyle w:val="Normal-pool"/>
        <w:keepNext/>
        <w:keepLines/>
        <w:numPr>
          <w:ilvl w:val="0"/>
          <w:numId w:val="12"/>
        </w:numPr>
        <w:tabs>
          <w:tab w:val="clear" w:pos="1247"/>
          <w:tab w:val="clear" w:pos="1814"/>
          <w:tab w:val="clear" w:pos="2381"/>
          <w:tab w:val="clear" w:pos="2948"/>
          <w:tab w:val="clear" w:pos="3515"/>
          <w:tab w:val="clear" w:pos="4082"/>
          <w:tab w:val="left" w:pos="624"/>
        </w:tabs>
        <w:spacing w:after="120"/>
        <w:ind w:left="2495" w:hanging="624"/>
      </w:pPr>
      <w:r w:rsidRPr="00A7082A">
        <w:t>Organizational matters:</w:t>
      </w:r>
    </w:p>
    <w:p w14:paraId="45E46050" w14:textId="77777777" w:rsidR="00612D58" w:rsidRPr="00A7082A" w:rsidRDefault="00612D58" w:rsidP="00417FE2">
      <w:pPr>
        <w:pStyle w:val="Normal-pool"/>
        <w:numPr>
          <w:ilvl w:val="0"/>
          <w:numId w:val="13"/>
        </w:numPr>
        <w:tabs>
          <w:tab w:val="clear" w:pos="1247"/>
          <w:tab w:val="clear" w:pos="1814"/>
          <w:tab w:val="clear" w:pos="2381"/>
          <w:tab w:val="clear" w:pos="2948"/>
          <w:tab w:val="clear" w:pos="3515"/>
          <w:tab w:val="clear" w:pos="4082"/>
          <w:tab w:val="left" w:pos="624"/>
        </w:tabs>
        <w:spacing w:after="120"/>
        <w:ind w:left="3119" w:hanging="624"/>
      </w:pPr>
      <w:r w:rsidRPr="00A7082A">
        <w:t>Election of officers for the intersessional period and the fourth meeting of the Conference of the Parties;</w:t>
      </w:r>
    </w:p>
    <w:p w14:paraId="654FBBEB" w14:textId="77777777" w:rsidR="00612D58" w:rsidRPr="00A7082A" w:rsidRDefault="00612D58" w:rsidP="003051A1">
      <w:pPr>
        <w:pStyle w:val="Normal-pool"/>
        <w:numPr>
          <w:ilvl w:val="0"/>
          <w:numId w:val="13"/>
        </w:numPr>
        <w:tabs>
          <w:tab w:val="clear" w:pos="1247"/>
          <w:tab w:val="clear" w:pos="1814"/>
          <w:tab w:val="clear" w:pos="2381"/>
          <w:tab w:val="clear" w:pos="2948"/>
          <w:tab w:val="clear" w:pos="3515"/>
          <w:tab w:val="clear" w:pos="4082"/>
          <w:tab w:val="left" w:pos="624"/>
        </w:tabs>
        <w:spacing w:after="120"/>
        <w:ind w:left="3119" w:hanging="624"/>
      </w:pPr>
      <w:r w:rsidRPr="00A7082A">
        <w:t>Adoption of the agenda;</w:t>
      </w:r>
    </w:p>
    <w:p w14:paraId="3EE924ED" w14:textId="77777777" w:rsidR="00612D58" w:rsidRPr="00A7082A" w:rsidRDefault="00612D58" w:rsidP="003051A1">
      <w:pPr>
        <w:pStyle w:val="Normal-pool"/>
        <w:numPr>
          <w:ilvl w:val="0"/>
          <w:numId w:val="13"/>
        </w:numPr>
        <w:tabs>
          <w:tab w:val="clear" w:pos="1247"/>
          <w:tab w:val="clear" w:pos="1814"/>
          <w:tab w:val="clear" w:pos="2381"/>
          <w:tab w:val="clear" w:pos="2948"/>
          <w:tab w:val="clear" w:pos="3515"/>
          <w:tab w:val="clear" w:pos="4082"/>
          <w:tab w:val="left" w:pos="624"/>
        </w:tabs>
        <w:spacing w:after="120"/>
        <w:ind w:left="3119" w:hanging="624"/>
      </w:pPr>
      <w:r w:rsidRPr="00A7082A">
        <w:t>Organization of work.</w:t>
      </w:r>
    </w:p>
    <w:p w14:paraId="113A69EC" w14:textId="77777777" w:rsidR="00612D58" w:rsidRPr="00A7082A" w:rsidRDefault="00612D58" w:rsidP="009E64B0">
      <w:pPr>
        <w:pStyle w:val="Normal-pool"/>
        <w:numPr>
          <w:ilvl w:val="0"/>
          <w:numId w:val="12"/>
        </w:numPr>
        <w:tabs>
          <w:tab w:val="clear" w:pos="1247"/>
          <w:tab w:val="clear" w:pos="1814"/>
          <w:tab w:val="clear" w:pos="2381"/>
          <w:tab w:val="clear" w:pos="2948"/>
          <w:tab w:val="clear" w:pos="3515"/>
          <w:tab w:val="clear" w:pos="4082"/>
          <w:tab w:val="left" w:pos="624"/>
        </w:tabs>
        <w:spacing w:after="120"/>
        <w:ind w:left="2495" w:hanging="624"/>
      </w:pPr>
      <w:r w:rsidRPr="00A7082A">
        <w:t>Rules of procedure for the Conference of the Parties: consideration of rule 45.</w:t>
      </w:r>
    </w:p>
    <w:p w14:paraId="08FE43B3" w14:textId="77777777" w:rsidR="00612D58" w:rsidRPr="00A7082A" w:rsidRDefault="00612D58" w:rsidP="009E64B0">
      <w:pPr>
        <w:pStyle w:val="Normal-pool"/>
        <w:numPr>
          <w:ilvl w:val="0"/>
          <w:numId w:val="12"/>
        </w:numPr>
        <w:tabs>
          <w:tab w:val="clear" w:pos="1247"/>
          <w:tab w:val="clear" w:pos="1814"/>
          <w:tab w:val="clear" w:pos="2381"/>
          <w:tab w:val="clear" w:pos="2948"/>
          <w:tab w:val="clear" w:pos="3515"/>
          <w:tab w:val="clear" w:pos="4082"/>
          <w:tab w:val="left" w:pos="624"/>
        </w:tabs>
        <w:spacing w:after="120"/>
        <w:ind w:left="2495" w:hanging="624"/>
      </w:pPr>
      <w:r w:rsidRPr="00A7082A">
        <w:t>Report on the credentials of representatives to the third meeting of the Conference of the Parties.</w:t>
      </w:r>
    </w:p>
    <w:p w14:paraId="1D77F003" w14:textId="77777777" w:rsidR="00612D58" w:rsidRPr="00A7082A" w:rsidRDefault="00612D58" w:rsidP="009E64B0">
      <w:pPr>
        <w:pStyle w:val="Normal-pool"/>
        <w:numPr>
          <w:ilvl w:val="0"/>
          <w:numId w:val="12"/>
        </w:numPr>
        <w:tabs>
          <w:tab w:val="clear" w:pos="1247"/>
          <w:tab w:val="clear" w:pos="1814"/>
          <w:tab w:val="clear" w:pos="2381"/>
          <w:tab w:val="clear" w:pos="2948"/>
          <w:tab w:val="clear" w:pos="3515"/>
          <w:tab w:val="clear" w:pos="4082"/>
          <w:tab w:val="left" w:pos="624"/>
        </w:tabs>
        <w:spacing w:after="120"/>
        <w:ind w:left="2495" w:hanging="624"/>
      </w:pPr>
      <w:r w:rsidRPr="00A7082A">
        <w:t xml:space="preserve">Matters for consideration or action by the Conference of the Parties: </w:t>
      </w:r>
    </w:p>
    <w:p w14:paraId="1D3F6F98" w14:textId="77777777" w:rsidR="00612D58" w:rsidRPr="00A7082A" w:rsidRDefault="00612D58" w:rsidP="003F4DA7">
      <w:pPr>
        <w:pStyle w:val="Normal-pool"/>
        <w:numPr>
          <w:ilvl w:val="0"/>
          <w:numId w:val="18"/>
        </w:numPr>
        <w:tabs>
          <w:tab w:val="clear" w:pos="1247"/>
          <w:tab w:val="clear" w:pos="1814"/>
          <w:tab w:val="clear" w:pos="2381"/>
          <w:tab w:val="clear" w:pos="2948"/>
          <w:tab w:val="clear" w:pos="3515"/>
          <w:tab w:val="clear" w:pos="4082"/>
          <w:tab w:val="left" w:pos="624"/>
        </w:tabs>
        <w:spacing w:after="120"/>
        <w:ind w:left="3119" w:hanging="624"/>
      </w:pPr>
      <w:r w:rsidRPr="00A7082A">
        <w:t>Mercury-added products and manufacturing processes in which mercury or mercury compounds are used;</w:t>
      </w:r>
    </w:p>
    <w:p w14:paraId="25A8DF28" w14:textId="77777777" w:rsidR="00612D58" w:rsidRPr="00A7082A" w:rsidRDefault="00612D58" w:rsidP="009E64B0">
      <w:pPr>
        <w:pStyle w:val="Normal-pool"/>
        <w:numPr>
          <w:ilvl w:val="0"/>
          <w:numId w:val="14"/>
        </w:numPr>
        <w:tabs>
          <w:tab w:val="clear" w:pos="1247"/>
          <w:tab w:val="clear" w:pos="1814"/>
          <w:tab w:val="clear" w:pos="2381"/>
          <w:tab w:val="clear" w:pos="2948"/>
          <w:tab w:val="clear" w:pos="3515"/>
          <w:tab w:val="clear" w:pos="4082"/>
          <w:tab w:val="left" w:pos="624"/>
        </w:tabs>
        <w:spacing w:after="120"/>
        <w:ind w:left="3743" w:hanging="624"/>
      </w:pPr>
      <w:bookmarkStart w:id="10" w:name="_Hlk2905442"/>
      <w:r w:rsidRPr="00A7082A">
        <w:t>Review of annexes A and B;</w:t>
      </w:r>
    </w:p>
    <w:p w14:paraId="5A85B934" w14:textId="77777777" w:rsidR="00612D58" w:rsidRPr="00A7082A" w:rsidRDefault="00612D58" w:rsidP="009E64B0">
      <w:pPr>
        <w:pStyle w:val="Normal-pool"/>
        <w:numPr>
          <w:ilvl w:val="0"/>
          <w:numId w:val="14"/>
        </w:numPr>
        <w:tabs>
          <w:tab w:val="clear" w:pos="1247"/>
          <w:tab w:val="clear" w:pos="1814"/>
          <w:tab w:val="clear" w:pos="2381"/>
          <w:tab w:val="clear" w:pos="2948"/>
          <w:tab w:val="clear" w:pos="3515"/>
          <w:tab w:val="clear" w:pos="4082"/>
          <w:tab w:val="left" w:pos="624"/>
        </w:tabs>
        <w:spacing w:after="120"/>
        <w:ind w:left="3743" w:hanging="624"/>
      </w:pPr>
      <w:r w:rsidRPr="00A7082A">
        <w:t>Proposal to amend annex A;</w:t>
      </w:r>
    </w:p>
    <w:bookmarkEnd w:id="10"/>
    <w:p w14:paraId="571ED828" w14:textId="77777777" w:rsidR="00612D58" w:rsidRPr="00A7082A" w:rsidRDefault="00612D58" w:rsidP="009E64B0">
      <w:pPr>
        <w:pStyle w:val="Normal-pool"/>
        <w:numPr>
          <w:ilvl w:val="0"/>
          <w:numId w:val="14"/>
        </w:numPr>
        <w:tabs>
          <w:tab w:val="clear" w:pos="1247"/>
          <w:tab w:val="clear" w:pos="1814"/>
          <w:tab w:val="clear" w:pos="2381"/>
          <w:tab w:val="clear" w:pos="2948"/>
          <w:tab w:val="clear" w:pos="3515"/>
          <w:tab w:val="clear" w:pos="4082"/>
          <w:tab w:val="left" w:pos="624"/>
        </w:tabs>
        <w:spacing w:after="120"/>
        <w:ind w:left="3743" w:hanging="624"/>
      </w:pPr>
      <w:r w:rsidRPr="00A7082A">
        <w:t>Harmonized System codes;</w:t>
      </w:r>
    </w:p>
    <w:p w14:paraId="55574F52" w14:textId="77777777" w:rsidR="00612D58" w:rsidRPr="00A7082A" w:rsidRDefault="00612D58" w:rsidP="003F4DA7">
      <w:pPr>
        <w:pStyle w:val="Normal-pool"/>
        <w:numPr>
          <w:ilvl w:val="0"/>
          <w:numId w:val="18"/>
        </w:numPr>
        <w:tabs>
          <w:tab w:val="clear" w:pos="1247"/>
          <w:tab w:val="clear" w:pos="1814"/>
          <w:tab w:val="clear" w:pos="2381"/>
          <w:tab w:val="clear" w:pos="2948"/>
          <w:tab w:val="clear" w:pos="3515"/>
          <w:tab w:val="clear" w:pos="4082"/>
          <w:tab w:val="left" w:pos="624"/>
        </w:tabs>
        <w:spacing w:after="120"/>
        <w:ind w:left="3119" w:hanging="624"/>
      </w:pPr>
      <w:r w:rsidRPr="00A7082A">
        <w:t>Releases of mercury;</w:t>
      </w:r>
    </w:p>
    <w:p w14:paraId="118ADFFF" w14:textId="77777777" w:rsidR="00612D58" w:rsidRPr="00A7082A" w:rsidRDefault="00612D58" w:rsidP="003F4DA7">
      <w:pPr>
        <w:pStyle w:val="Normal-pool"/>
        <w:numPr>
          <w:ilvl w:val="0"/>
          <w:numId w:val="18"/>
        </w:numPr>
        <w:tabs>
          <w:tab w:val="clear" w:pos="1247"/>
          <w:tab w:val="clear" w:pos="1814"/>
          <w:tab w:val="clear" w:pos="2381"/>
          <w:tab w:val="clear" w:pos="2948"/>
          <w:tab w:val="clear" w:pos="3515"/>
          <w:tab w:val="clear" w:pos="4082"/>
          <w:tab w:val="left" w:pos="624"/>
        </w:tabs>
        <w:spacing w:after="120"/>
        <w:ind w:left="3119" w:hanging="624"/>
      </w:pPr>
      <w:r w:rsidRPr="00A7082A">
        <w:t>Mercury waste, in particular the consideration of relevant thresholds;</w:t>
      </w:r>
    </w:p>
    <w:p w14:paraId="17BFFFFF" w14:textId="77777777" w:rsidR="00612D58" w:rsidRPr="00A7082A" w:rsidRDefault="00612D58" w:rsidP="003F4DA7">
      <w:pPr>
        <w:pStyle w:val="Normal-pool"/>
        <w:numPr>
          <w:ilvl w:val="0"/>
          <w:numId w:val="18"/>
        </w:numPr>
        <w:tabs>
          <w:tab w:val="clear" w:pos="1247"/>
          <w:tab w:val="clear" w:pos="1814"/>
          <w:tab w:val="clear" w:pos="2381"/>
          <w:tab w:val="clear" w:pos="2948"/>
          <w:tab w:val="clear" w:pos="3515"/>
          <w:tab w:val="clear" w:pos="4082"/>
          <w:tab w:val="left" w:pos="624"/>
        </w:tabs>
        <w:spacing w:after="120"/>
        <w:ind w:left="3119" w:hanging="624"/>
      </w:pPr>
      <w:r w:rsidRPr="00A7082A">
        <w:t>Guidance on the management of contaminated sites;</w:t>
      </w:r>
    </w:p>
    <w:p w14:paraId="3BCCA29E" w14:textId="77777777" w:rsidR="00612D58" w:rsidRPr="00A7082A" w:rsidRDefault="00612D58" w:rsidP="003F4DA7">
      <w:pPr>
        <w:pStyle w:val="Normal-pool"/>
        <w:numPr>
          <w:ilvl w:val="0"/>
          <w:numId w:val="18"/>
        </w:numPr>
        <w:tabs>
          <w:tab w:val="clear" w:pos="1247"/>
          <w:tab w:val="clear" w:pos="1814"/>
          <w:tab w:val="clear" w:pos="2381"/>
          <w:tab w:val="clear" w:pos="2948"/>
          <w:tab w:val="clear" w:pos="3515"/>
          <w:tab w:val="clear" w:pos="4082"/>
          <w:tab w:val="left" w:pos="624"/>
        </w:tabs>
        <w:spacing w:after="120"/>
        <w:ind w:left="3119" w:hanging="624"/>
      </w:pPr>
      <w:r w:rsidRPr="00A7082A">
        <w:t>Financial mechanism:</w:t>
      </w:r>
    </w:p>
    <w:p w14:paraId="34875E17" w14:textId="77777777" w:rsidR="00612D58" w:rsidRPr="00A7082A" w:rsidRDefault="00612D58" w:rsidP="009E64B0">
      <w:pPr>
        <w:pStyle w:val="Normal-pool"/>
        <w:numPr>
          <w:ilvl w:val="0"/>
          <w:numId w:val="15"/>
        </w:numPr>
        <w:tabs>
          <w:tab w:val="clear" w:pos="1247"/>
          <w:tab w:val="clear" w:pos="1814"/>
          <w:tab w:val="clear" w:pos="2381"/>
          <w:tab w:val="clear" w:pos="2948"/>
          <w:tab w:val="clear" w:pos="3515"/>
          <w:tab w:val="clear" w:pos="4082"/>
          <w:tab w:val="left" w:pos="624"/>
        </w:tabs>
        <w:spacing w:after="120"/>
        <w:ind w:left="3743" w:hanging="624"/>
      </w:pPr>
      <w:r w:rsidRPr="00A7082A">
        <w:t>Global Environment Facility;</w:t>
      </w:r>
    </w:p>
    <w:p w14:paraId="48317843" w14:textId="77777777" w:rsidR="00612D58" w:rsidRPr="00A7082A" w:rsidRDefault="00612D58" w:rsidP="009E64B0">
      <w:pPr>
        <w:pStyle w:val="Normal-pool"/>
        <w:numPr>
          <w:ilvl w:val="0"/>
          <w:numId w:val="15"/>
        </w:numPr>
        <w:tabs>
          <w:tab w:val="clear" w:pos="1247"/>
          <w:tab w:val="clear" w:pos="1814"/>
          <w:tab w:val="clear" w:pos="2381"/>
          <w:tab w:val="clear" w:pos="2948"/>
          <w:tab w:val="clear" w:pos="3515"/>
          <w:tab w:val="clear" w:pos="4082"/>
          <w:tab w:val="left" w:pos="624"/>
        </w:tabs>
        <w:spacing w:after="120"/>
        <w:ind w:left="3743" w:hanging="624"/>
      </w:pPr>
      <w:r w:rsidRPr="00A7082A">
        <w:t>Specific International Programme to Support Capacity-Building and Technical Assistance;</w:t>
      </w:r>
    </w:p>
    <w:p w14:paraId="2CDF8F5D" w14:textId="77777777" w:rsidR="00612D58" w:rsidRPr="00A7082A" w:rsidRDefault="00612D58" w:rsidP="009E64B0">
      <w:pPr>
        <w:pStyle w:val="Normal-pool"/>
        <w:numPr>
          <w:ilvl w:val="0"/>
          <w:numId w:val="15"/>
        </w:numPr>
        <w:tabs>
          <w:tab w:val="clear" w:pos="1247"/>
          <w:tab w:val="clear" w:pos="1814"/>
          <w:tab w:val="clear" w:pos="2381"/>
          <w:tab w:val="clear" w:pos="2948"/>
          <w:tab w:val="clear" w:pos="3515"/>
          <w:tab w:val="clear" w:pos="4082"/>
          <w:tab w:val="left" w:pos="624"/>
        </w:tabs>
        <w:spacing w:after="120"/>
        <w:ind w:left="3743" w:hanging="624"/>
      </w:pPr>
      <w:r w:rsidRPr="00A7082A">
        <w:t>Review of the financial mechanism;</w:t>
      </w:r>
    </w:p>
    <w:p w14:paraId="178BA147" w14:textId="77777777" w:rsidR="00612D58" w:rsidRPr="00A7082A" w:rsidRDefault="00612D58" w:rsidP="008F77F9">
      <w:pPr>
        <w:pStyle w:val="Normal-pool"/>
        <w:numPr>
          <w:ilvl w:val="0"/>
          <w:numId w:val="18"/>
        </w:numPr>
        <w:tabs>
          <w:tab w:val="clear" w:pos="1247"/>
          <w:tab w:val="clear" w:pos="1814"/>
          <w:tab w:val="clear" w:pos="2381"/>
          <w:tab w:val="clear" w:pos="2948"/>
          <w:tab w:val="clear" w:pos="3515"/>
          <w:tab w:val="clear" w:pos="4082"/>
          <w:tab w:val="left" w:pos="624"/>
        </w:tabs>
        <w:spacing w:after="120"/>
        <w:ind w:left="3119" w:hanging="624"/>
      </w:pPr>
      <w:r w:rsidRPr="00A7082A">
        <w:t>Capacity-building, technical assistance and technology transfer;</w:t>
      </w:r>
    </w:p>
    <w:p w14:paraId="62B6E700" w14:textId="77777777" w:rsidR="00612D58" w:rsidRPr="00A7082A" w:rsidRDefault="00612D58" w:rsidP="008F77F9">
      <w:pPr>
        <w:pStyle w:val="Normal-pool"/>
        <w:numPr>
          <w:ilvl w:val="0"/>
          <w:numId w:val="18"/>
        </w:numPr>
        <w:tabs>
          <w:tab w:val="clear" w:pos="1247"/>
          <w:tab w:val="clear" w:pos="1814"/>
          <w:tab w:val="clear" w:pos="2381"/>
          <w:tab w:val="clear" w:pos="2948"/>
          <w:tab w:val="clear" w:pos="3515"/>
          <w:tab w:val="clear" w:pos="4082"/>
          <w:tab w:val="left" w:pos="624"/>
        </w:tabs>
        <w:spacing w:after="120"/>
        <w:ind w:left="3119" w:hanging="624"/>
      </w:pPr>
      <w:r w:rsidRPr="00A7082A">
        <w:t>Implementation and Compliance Committee;</w:t>
      </w:r>
    </w:p>
    <w:p w14:paraId="1DC8CC69" w14:textId="77777777" w:rsidR="00612D58" w:rsidRPr="00A7082A" w:rsidRDefault="00612D58" w:rsidP="008F77F9">
      <w:pPr>
        <w:pStyle w:val="Normal-pool"/>
        <w:numPr>
          <w:ilvl w:val="0"/>
          <w:numId w:val="18"/>
        </w:numPr>
        <w:tabs>
          <w:tab w:val="clear" w:pos="1247"/>
          <w:tab w:val="clear" w:pos="1814"/>
          <w:tab w:val="clear" w:pos="2381"/>
          <w:tab w:val="clear" w:pos="2948"/>
          <w:tab w:val="clear" w:pos="3515"/>
          <w:tab w:val="clear" w:pos="4082"/>
          <w:tab w:val="left" w:pos="624"/>
        </w:tabs>
        <w:spacing w:after="120"/>
        <w:ind w:left="3119" w:hanging="624"/>
      </w:pPr>
      <w:r w:rsidRPr="00A7082A">
        <w:t>Effectiveness evaluation;</w:t>
      </w:r>
    </w:p>
    <w:p w14:paraId="3B5690B7" w14:textId="77777777" w:rsidR="00612D58" w:rsidRPr="00A7082A" w:rsidRDefault="00612D58" w:rsidP="008F77F9">
      <w:pPr>
        <w:pStyle w:val="Normal-pool"/>
        <w:numPr>
          <w:ilvl w:val="0"/>
          <w:numId w:val="18"/>
        </w:numPr>
        <w:tabs>
          <w:tab w:val="clear" w:pos="1247"/>
          <w:tab w:val="clear" w:pos="1814"/>
          <w:tab w:val="clear" w:pos="2381"/>
          <w:tab w:val="clear" w:pos="2948"/>
          <w:tab w:val="clear" w:pos="3515"/>
          <w:tab w:val="clear" w:pos="4082"/>
          <w:tab w:val="left" w:pos="624"/>
        </w:tabs>
        <w:spacing w:after="120"/>
        <w:ind w:left="3119" w:hanging="624"/>
      </w:pPr>
      <w:r w:rsidRPr="00A7082A">
        <w:t>Financial rules;</w:t>
      </w:r>
    </w:p>
    <w:p w14:paraId="02FA9BA5" w14:textId="77777777" w:rsidR="00612D58" w:rsidRPr="00A7082A" w:rsidRDefault="00612D58" w:rsidP="008F77F9">
      <w:pPr>
        <w:pStyle w:val="Normal-pool"/>
        <w:numPr>
          <w:ilvl w:val="0"/>
          <w:numId w:val="18"/>
        </w:numPr>
        <w:tabs>
          <w:tab w:val="clear" w:pos="1247"/>
          <w:tab w:val="clear" w:pos="1814"/>
          <w:tab w:val="clear" w:pos="2381"/>
          <w:tab w:val="clear" w:pos="2948"/>
          <w:tab w:val="clear" w:pos="3515"/>
          <w:tab w:val="clear" w:pos="4082"/>
          <w:tab w:val="left" w:pos="624"/>
        </w:tabs>
        <w:spacing w:after="120"/>
        <w:ind w:left="3119" w:hanging="624"/>
      </w:pPr>
      <w:r w:rsidRPr="00A7082A">
        <w:t>Secretariat;</w:t>
      </w:r>
    </w:p>
    <w:p w14:paraId="6331B047" w14:textId="77777777" w:rsidR="00612D58" w:rsidRPr="00A7082A" w:rsidRDefault="00612D58" w:rsidP="008F77F9">
      <w:pPr>
        <w:pStyle w:val="Normal-pool"/>
        <w:numPr>
          <w:ilvl w:val="0"/>
          <w:numId w:val="18"/>
        </w:numPr>
        <w:tabs>
          <w:tab w:val="clear" w:pos="1247"/>
          <w:tab w:val="clear" w:pos="1814"/>
          <w:tab w:val="clear" w:pos="2381"/>
          <w:tab w:val="clear" w:pos="2948"/>
          <w:tab w:val="clear" w:pos="3515"/>
          <w:tab w:val="clear" w:pos="4082"/>
          <w:tab w:val="left" w:pos="624"/>
        </w:tabs>
        <w:spacing w:after="120"/>
        <w:ind w:left="3119" w:hanging="624"/>
      </w:pPr>
      <w:r w:rsidRPr="00A7082A">
        <w:t>Emissions of mercury resulting from the open burning of waste.</w:t>
      </w:r>
    </w:p>
    <w:p w14:paraId="04447B80" w14:textId="77777777" w:rsidR="00612D58" w:rsidRPr="00A7082A" w:rsidRDefault="00612D58" w:rsidP="009E64B0">
      <w:pPr>
        <w:pStyle w:val="Normal-pool"/>
        <w:numPr>
          <w:ilvl w:val="0"/>
          <w:numId w:val="12"/>
        </w:numPr>
        <w:tabs>
          <w:tab w:val="clear" w:pos="1247"/>
          <w:tab w:val="clear" w:pos="1814"/>
          <w:tab w:val="clear" w:pos="2381"/>
          <w:tab w:val="clear" w:pos="2948"/>
          <w:tab w:val="clear" w:pos="3515"/>
          <w:tab w:val="clear" w:pos="4082"/>
          <w:tab w:val="left" w:pos="624"/>
        </w:tabs>
        <w:spacing w:after="120"/>
        <w:ind w:left="2495" w:hanging="624"/>
      </w:pPr>
      <w:r w:rsidRPr="00A7082A">
        <w:t xml:space="preserve">International cooperation and coordination: </w:t>
      </w:r>
    </w:p>
    <w:p w14:paraId="5242909A" w14:textId="77777777" w:rsidR="00612D58" w:rsidRPr="00A7082A" w:rsidRDefault="00612D58" w:rsidP="009E64B0">
      <w:pPr>
        <w:pStyle w:val="Normal-pool"/>
        <w:numPr>
          <w:ilvl w:val="0"/>
          <w:numId w:val="16"/>
        </w:numPr>
        <w:tabs>
          <w:tab w:val="clear" w:pos="1247"/>
          <w:tab w:val="clear" w:pos="1814"/>
          <w:tab w:val="clear" w:pos="2381"/>
          <w:tab w:val="clear" w:pos="2948"/>
          <w:tab w:val="clear" w:pos="3515"/>
          <w:tab w:val="clear" w:pos="4082"/>
          <w:tab w:val="left" w:pos="624"/>
        </w:tabs>
        <w:spacing w:after="120"/>
        <w:ind w:left="3119" w:hanging="624"/>
      </w:pPr>
      <w:r w:rsidRPr="00A7082A">
        <w:t>World Health Organization; International Labour Organization;</w:t>
      </w:r>
    </w:p>
    <w:p w14:paraId="5EB23923" w14:textId="77777777" w:rsidR="00612D58" w:rsidRPr="00A7082A" w:rsidRDefault="00612D58" w:rsidP="009E64B0">
      <w:pPr>
        <w:pStyle w:val="Normal-pool"/>
        <w:numPr>
          <w:ilvl w:val="0"/>
          <w:numId w:val="16"/>
        </w:numPr>
        <w:tabs>
          <w:tab w:val="clear" w:pos="1247"/>
          <w:tab w:val="clear" w:pos="1814"/>
          <w:tab w:val="clear" w:pos="2381"/>
          <w:tab w:val="clear" w:pos="2948"/>
          <w:tab w:val="clear" w:pos="3515"/>
          <w:tab w:val="clear" w:pos="4082"/>
          <w:tab w:val="left" w:pos="624"/>
        </w:tabs>
        <w:spacing w:after="120"/>
        <w:ind w:left="3119" w:hanging="624"/>
      </w:pPr>
      <w:r w:rsidRPr="00A7082A">
        <w:t>Other international organizations and bodies.</w:t>
      </w:r>
    </w:p>
    <w:p w14:paraId="7646E1B5" w14:textId="77777777" w:rsidR="00612D58" w:rsidRPr="00A7082A" w:rsidRDefault="00612D58" w:rsidP="009E64B0">
      <w:pPr>
        <w:pStyle w:val="Normal-pool"/>
        <w:numPr>
          <w:ilvl w:val="0"/>
          <w:numId w:val="12"/>
        </w:numPr>
        <w:tabs>
          <w:tab w:val="clear" w:pos="1247"/>
          <w:tab w:val="clear" w:pos="1814"/>
          <w:tab w:val="clear" w:pos="2381"/>
          <w:tab w:val="clear" w:pos="2948"/>
          <w:tab w:val="clear" w:pos="3515"/>
          <w:tab w:val="clear" w:pos="4082"/>
          <w:tab w:val="left" w:pos="624"/>
        </w:tabs>
        <w:spacing w:after="120"/>
        <w:ind w:left="2495" w:hanging="624"/>
      </w:pPr>
      <w:r w:rsidRPr="00A7082A">
        <w:t>Programme of work and budget.</w:t>
      </w:r>
    </w:p>
    <w:p w14:paraId="184DCF79" w14:textId="77777777" w:rsidR="00612D58" w:rsidRPr="00A7082A" w:rsidRDefault="00612D58" w:rsidP="009E64B0">
      <w:pPr>
        <w:pStyle w:val="Normal-pool"/>
        <w:numPr>
          <w:ilvl w:val="0"/>
          <w:numId w:val="12"/>
        </w:numPr>
        <w:tabs>
          <w:tab w:val="clear" w:pos="1247"/>
          <w:tab w:val="clear" w:pos="1814"/>
          <w:tab w:val="clear" w:pos="2381"/>
          <w:tab w:val="clear" w:pos="2948"/>
          <w:tab w:val="clear" w:pos="3515"/>
          <w:tab w:val="clear" w:pos="4082"/>
          <w:tab w:val="left" w:pos="624"/>
        </w:tabs>
        <w:spacing w:after="120"/>
        <w:ind w:left="2495" w:hanging="624"/>
      </w:pPr>
      <w:r w:rsidRPr="00A7082A">
        <w:t>Venue and date of the fourth meeting of the Conference of the Parties.</w:t>
      </w:r>
    </w:p>
    <w:p w14:paraId="7C1D0C07" w14:textId="77777777" w:rsidR="00612D58" w:rsidRPr="00A7082A" w:rsidRDefault="00612D58" w:rsidP="009E64B0">
      <w:pPr>
        <w:pStyle w:val="Normal-pool"/>
        <w:numPr>
          <w:ilvl w:val="0"/>
          <w:numId w:val="12"/>
        </w:numPr>
        <w:tabs>
          <w:tab w:val="clear" w:pos="1247"/>
          <w:tab w:val="clear" w:pos="1814"/>
          <w:tab w:val="clear" w:pos="2381"/>
          <w:tab w:val="clear" w:pos="2948"/>
          <w:tab w:val="clear" w:pos="3515"/>
          <w:tab w:val="clear" w:pos="4082"/>
          <w:tab w:val="left" w:pos="624"/>
        </w:tabs>
        <w:spacing w:after="120"/>
        <w:ind w:left="2495" w:hanging="624"/>
      </w:pPr>
      <w:r w:rsidRPr="00A7082A">
        <w:t>Other matters.</w:t>
      </w:r>
    </w:p>
    <w:p w14:paraId="016355CB" w14:textId="77777777" w:rsidR="00612D58" w:rsidRPr="00A7082A" w:rsidRDefault="00612D58" w:rsidP="009E64B0">
      <w:pPr>
        <w:pStyle w:val="Normal-pool"/>
        <w:numPr>
          <w:ilvl w:val="0"/>
          <w:numId w:val="12"/>
        </w:numPr>
        <w:tabs>
          <w:tab w:val="clear" w:pos="1247"/>
          <w:tab w:val="clear" w:pos="1814"/>
          <w:tab w:val="clear" w:pos="2381"/>
          <w:tab w:val="clear" w:pos="2948"/>
          <w:tab w:val="clear" w:pos="3515"/>
          <w:tab w:val="clear" w:pos="4082"/>
          <w:tab w:val="left" w:pos="624"/>
        </w:tabs>
        <w:spacing w:after="120"/>
        <w:ind w:left="2495" w:hanging="624"/>
      </w:pPr>
      <w:r w:rsidRPr="00A7082A">
        <w:t>Adoption of the report.</w:t>
      </w:r>
    </w:p>
    <w:p w14:paraId="5ADEF9ED" w14:textId="77777777" w:rsidR="00612D58" w:rsidRPr="00A7082A" w:rsidRDefault="00612D58" w:rsidP="009E64B0">
      <w:pPr>
        <w:pStyle w:val="Normal-pool"/>
        <w:numPr>
          <w:ilvl w:val="0"/>
          <w:numId w:val="12"/>
        </w:numPr>
        <w:tabs>
          <w:tab w:val="clear" w:pos="1247"/>
          <w:tab w:val="clear" w:pos="1814"/>
          <w:tab w:val="clear" w:pos="2381"/>
          <w:tab w:val="clear" w:pos="2948"/>
          <w:tab w:val="clear" w:pos="3515"/>
          <w:tab w:val="clear" w:pos="4082"/>
          <w:tab w:val="left" w:pos="624"/>
        </w:tabs>
        <w:spacing w:after="120"/>
        <w:ind w:left="2495" w:hanging="624"/>
      </w:pPr>
      <w:r w:rsidRPr="00A7082A">
        <w:t>Closure of the meeting.</w:t>
      </w:r>
    </w:p>
    <w:p w14:paraId="1CFE5F22" w14:textId="77777777" w:rsidR="0099003C" w:rsidRPr="00A7082A" w:rsidRDefault="0099003C" w:rsidP="009557F8">
      <w:pPr>
        <w:pStyle w:val="CH2"/>
      </w:pPr>
      <w:r w:rsidRPr="00A7082A">
        <w:lastRenderedPageBreak/>
        <w:tab/>
        <w:t>D.</w:t>
      </w:r>
      <w:r w:rsidRPr="00A7082A">
        <w:tab/>
        <w:t>Organization of work</w:t>
      </w:r>
    </w:p>
    <w:p w14:paraId="659455DE" w14:textId="162E55AA" w:rsidR="0099003C" w:rsidRPr="00A7082A" w:rsidRDefault="00C832DE" w:rsidP="00957120">
      <w:pPr>
        <w:pStyle w:val="Normalnumber"/>
      </w:pPr>
      <w:r w:rsidRPr="00A7082A">
        <w:t xml:space="preserve">The Conference of the Parties decided, in accordance with the proposals </w:t>
      </w:r>
      <w:r w:rsidR="00593714" w:rsidRPr="00A7082A">
        <w:t xml:space="preserve">set out </w:t>
      </w:r>
      <w:r w:rsidRPr="00A7082A">
        <w:t>in a scenario note for the meeting prepared by the President (UNEP/MC/COP.3/2), that it would meet from 10 a.m. to 1 p.m. and from 3 to 6 p.m. each day and that small groups would be established as necessary.</w:t>
      </w:r>
      <w:r w:rsidR="0099003C" w:rsidRPr="00A7082A">
        <w:t xml:space="preserve"> </w:t>
      </w:r>
    </w:p>
    <w:p w14:paraId="06AF2089" w14:textId="171B283F" w:rsidR="0099003C" w:rsidRPr="00A7082A" w:rsidRDefault="0099003C" w:rsidP="00C5004A">
      <w:pPr>
        <w:pStyle w:val="CH2"/>
      </w:pPr>
      <w:r w:rsidRPr="00A7082A">
        <w:tab/>
        <w:t>E.</w:t>
      </w:r>
      <w:r w:rsidRPr="00A7082A">
        <w:tab/>
        <w:t>Attendance</w:t>
      </w:r>
    </w:p>
    <w:p w14:paraId="077FD70E" w14:textId="57E776A6" w:rsidR="0099003C" w:rsidRPr="00A7082A" w:rsidRDefault="0099003C" w:rsidP="00C5004A">
      <w:pPr>
        <w:pStyle w:val="Normalnumber"/>
        <w:keepNext/>
        <w:keepLines/>
      </w:pPr>
      <w:r w:rsidRPr="00A7082A">
        <w:t xml:space="preserve">The meeting was attended by representatives of the following </w:t>
      </w:r>
      <w:r w:rsidR="00EE6A6E" w:rsidRPr="00A7082A">
        <w:t>104</w:t>
      </w:r>
      <w:r w:rsidRPr="00A7082A">
        <w:t xml:space="preserve"> parties: </w:t>
      </w:r>
      <w:bookmarkStart w:id="11" w:name="_Hlk10192133"/>
      <w:r w:rsidR="001004E7" w:rsidRPr="00A7082A">
        <w:rPr>
          <w:color w:val="000000" w:themeColor="text1"/>
        </w:rPr>
        <w:t xml:space="preserve">Afghanistan, Antigua and Barbuda, Argentina, Armenia, Austria, Belgium, Benin, Bolivia (Plurinational State of), Botswana, Brazil, Bulgaria, Burkina Faso, Canada, Chad, Chile, China, Colombia, Congo, Costa Rica, Croatia, Cuba, Czechia, Denmark, Djibouti, Dominican Republic, Ecuador, El Salvador, Estonia, Eswatini, European Union, Finland, France, Gabon, Gambia, Germany, Ghana, Guinea, </w:t>
      </w:r>
      <w:r w:rsidR="00A26651" w:rsidRPr="00A7082A">
        <w:rPr>
          <w:color w:val="000000" w:themeColor="text1"/>
        </w:rPr>
        <w:t>Guinea</w:t>
      </w:r>
      <w:r w:rsidR="00A26651" w:rsidRPr="00A7082A">
        <w:rPr>
          <w:color w:val="000000" w:themeColor="text1"/>
        </w:rPr>
        <w:noBreakHyphen/>
        <w:t>Bissau</w:t>
      </w:r>
      <w:r w:rsidR="003C2150" w:rsidRPr="00A7082A">
        <w:rPr>
          <w:color w:val="000000" w:themeColor="text1"/>
        </w:rPr>
        <w:t xml:space="preserve">, </w:t>
      </w:r>
      <w:r w:rsidR="001004E7" w:rsidRPr="00A7082A">
        <w:rPr>
          <w:color w:val="000000" w:themeColor="text1"/>
        </w:rPr>
        <w:t xml:space="preserve">Guyana, Honduras, Hungary, Iceland, Indonesia, Iran (Islamic Republic of), </w:t>
      </w:r>
      <w:r w:rsidR="003C2150" w:rsidRPr="00A7082A">
        <w:rPr>
          <w:color w:val="000000" w:themeColor="text1"/>
        </w:rPr>
        <w:t xml:space="preserve">Ireland, </w:t>
      </w:r>
      <w:r w:rsidR="001004E7" w:rsidRPr="00A7082A">
        <w:rPr>
          <w:color w:val="000000" w:themeColor="text1"/>
        </w:rPr>
        <w:t xml:space="preserve">Jamaica, Japan, Jordan, Kiribati, Kuwait, Lao People’s Democratic Republic, Latvia, Lebanon, Lesotho, Lithuania, Luxembourg, Madagascar, Mali, Mauritania, Mauritius, Mexico, Monaco, Mongolia, </w:t>
      </w:r>
      <w:r w:rsidR="003C2150" w:rsidRPr="00A7082A">
        <w:rPr>
          <w:color w:val="000000" w:themeColor="text1"/>
        </w:rPr>
        <w:t xml:space="preserve">Montenegro, </w:t>
      </w:r>
      <w:r w:rsidR="001004E7" w:rsidRPr="00A7082A">
        <w:rPr>
          <w:color w:val="000000" w:themeColor="text1"/>
        </w:rPr>
        <w:t xml:space="preserve">Namibia, </w:t>
      </w:r>
      <w:r w:rsidR="00DF5F15" w:rsidRPr="00A7082A">
        <w:rPr>
          <w:color w:val="000000" w:themeColor="text1"/>
        </w:rPr>
        <w:t xml:space="preserve">Netherlands, </w:t>
      </w:r>
      <w:r w:rsidR="001004E7" w:rsidRPr="00A7082A">
        <w:rPr>
          <w:color w:val="000000" w:themeColor="text1"/>
        </w:rPr>
        <w:t xml:space="preserve">Nicaragua, Niger, Nigeria, Norway, Palau, Panama, Paraguay, Peru, </w:t>
      </w:r>
      <w:r w:rsidR="003C2150" w:rsidRPr="00A7082A">
        <w:rPr>
          <w:color w:val="000000" w:themeColor="text1"/>
        </w:rPr>
        <w:t xml:space="preserve">Portugal, </w:t>
      </w:r>
      <w:r w:rsidR="001004E7" w:rsidRPr="00A7082A">
        <w:rPr>
          <w:color w:val="000000" w:themeColor="text1"/>
        </w:rPr>
        <w:t xml:space="preserve">Republic of Moldova, Romania, Saint Kitts and Nevis, Samoa, </w:t>
      </w:r>
      <w:r w:rsidR="003C2150" w:rsidRPr="00A7082A">
        <w:rPr>
          <w:color w:val="000000" w:themeColor="text1"/>
        </w:rPr>
        <w:t xml:space="preserve">Saudi Arabia, </w:t>
      </w:r>
      <w:r w:rsidR="001004E7" w:rsidRPr="00A7082A">
        <w:rPr>
          <w:color w:val="000000" w:themeColor="text1"/>
        </w:rPr>
        <w:t xml:space="preserve">Senegal, Sierra Leone, Singapore, Slovakia, Slovenia, </w:t>
      </w:r>
      <w:r w:rsidR="003C2150" w:rsidRPr="00A7082A">
        <w:rPr>
          <w:color w:val="000000" w:themeColor="text1"/>
        </w:rPr>
        <w:t xml:space="preserve">South Africa, </w:t>
      </w:r>
      <w:r w:rsidR="001004E7" w:rsidRPr="00A7082A">
        <w:rPr>
          <w:color w:val="000000" w:themeColor="text1"/>
        </w:rPr>
        <w:t xml:space="preserve">Sri Lanka, </w:t>
      </w:r>
      <w:r w:rsidR="003C2150" w:rsidRPr="00A7082A">
        <w:rPr>
          <w:color w:val="000000" w:themeColor="text1"/>
        </w:rPr>
        <w:t xml:space="preserve">State of Palestine, </w:t>
      </w:r>
      <w:r w:rsidR="001004E7" w:rsidRPr="00A7082A">
        <w:rPr>
          <w:color w:val="000000" w:themeColor="text1"/>
        </w:rPr>
        <w:t xml:space="preserve">Suriname, Sweden, Switzerland, Syrian Arab Republic, Thailand, Togo, </w:t>
      </w:r>
      <w:r w:rsidR="00FF476C" w:rsidRPr="00A7082A">
        <w:rPr>
          <w:color w:val="000000" w:themeColor="text1"/>
        </w:rPr>
        <w:t xml:space="preserve">Tonga, Tuvalu, Uganda, </w:t>
      </w:r>
      <w:r w:rsidR="001004E7" w:rsidRPr="00A7082A">
        <w:rPr>
          <w:color w:val="000000" w:themeColor="text1"/>
        </w:rPr>
        <w:t>United Arab Emirates, United Kingdom of Great Britain and Northern Ireland, United</w:t>
      </w:r>
      <w:r w:rsidR="00A26651" w:rsidRPr="00A7082A">
        <w:rPr>
          <w:color w:val="000000" w:themeColor="text1"/>
        </w:rPr>
        <w:t> </w:t>
      </w:r>
      <w:r w:rsidR="001004E7" w:rsidRPr="00A7082A">
        <w:rPr>
          <w:color w:val="000000" w:themeColor="text1"/>
        </w:rPr>
        <w:t>States</w:t>
      </w:r>
      <w:r w:rsidR="00A26651" w:rsidRPr="00A7082A">
        <w:rPr>
          <w:color w:val="000000" w:themeColor="text1"/>
        </w:rPr>
        <w:t> </w:t>
      </w:r>
      <w:r w:rsidR="001004E7" w:rsidRPr="00A7082A">
        <w:rPr>
          <w:color w:val="000000" w:themeColor="text1"/>
        </w:rPr>
        <w:t xml:space="preserve">of America, Uruguay, </w:t>
      </w:r>
      <w:r w:rsidR="00FF476C" w:rsidRPr="00A7082A">
        <w:rPr>
          <w:color w:val="000000" w:themeColor="text1"/>
        </w:rPr>
        <w:t xml:space="preserve">Vanuatu, </w:t>
      </w:r>
      <w:r w:rsidR="001004E7" w:rsidRPr="00A7082A">
        <w:rPr>
          <w:color w:val="000000" w:themeColor="text1"/>
        </w:rPr>
        <w:t>Viet Nam, Zambia</w:t>
      </w:r>
      <w:bookmarkEnd w:id="11"/>
      <w:r w:rsidR="001004E7" w:rsidRPr="00A7082A">
        <w:rPr>
          <w:color w:val="000000" w:themeColor="text1"/>
        </w:rPr>
        <w:t>.</w:t>
      </w:r>
    </w:p>
    <w:p w14:paraId="6DF92E4E" w14:textId="079B23CD" w:rsidR="001004E7" w:rsidRPr="00A7082A" w:rsidRDefault="0099003C" w:rsidP="006201E6">
      <w:pPr>
        <w:pStyle w:val="Normalnumber"/>
      </w:pPr>
      <w:r w:rsidRPr="00A7082A">
        <w:t xml:space="preserve">In addition, the meeting was attended by representatives of the following </w:t>
      </w:r>
      <w:bookmarkStart w:id="12" w:name="_Hlk12533066"/>
      <w:r w:rsidRPr="00A7082A">
        <w:t>observer States</w:t>
      </w:r>
      <w:bookmarkEnd w:id="12"/>
      <w:r w:rsidRPr="00A7082A">
        <w:t xml:space="preserve">: </w:t>
      </w:r>
      <w:r w:rsidR="001004E7" w:rsidRPr="00A7082A">
        <w:t xml:space="preserve">Algeria, </w:t>
      </w:r>
      <w:r w:rsidR="00FF476C" w:rsidRPr="00A7082A">
        <w:t xml:space="preserve">Angola, </w:t>
      </w:r>
      <w:r w:rsidR="001004E7" w:rsidRPr="00A7082A">
        <w:t xml:space="preserve">Australia, Bahamas, Bangladesh, Belarus, Cameroon, Côte d’Ivoire, </w:t>
      </w:r>
      <w:r w:rsidR="00FF476C" w:rsidRPr="00A7082A">
        <w:t xml:space="preserve">Democratic People's Republic of Korea; </w:t>
      </w:r>
      <w:r w:rsidR="001004E7" w:rsidRPr="00A7082A">
        <w:t xml:space="preserve">Ethiopia, Georgia, Iraq, Italy, Kenya, Maldives, Morocco, </w:t>
      </w:r>
      <w:r w:rsidR="00CD6283" w:rsidRPr="00A7082A">
        <w:t xml:space="preserve">Myanmar, </w:t>
      </w:r>
      <w:r w:rsidR="006006B1" w:rsidRPr="00A7082A">
        <w:t>Nepal, North Macedonia,</w:t>
      </w:r>
      <w:r w:rsidR="001004E7" w:rsidRPr="00A7082A">
        <w:t xml:space="preserve"> Philippines, Poland, Republic of Korea, Russian Federation, Spain, </w:t>
      </w:r>
      <w:r w:rsidR="006006B1" w:rsidRPr="00A7082A">
        <w:t xml:space="preserve">Sudan, Tunisia, Turkey, </w:t>
      </w:r>
      <w:r w:rsidR="001004E7" w:rsidRPr="00A7082A">
        <w:t>Venezuela (Bolivarian Republic of), Yemen.</w:t>
      </w:r>
    </w:p>
    <w:p w14:paraId="4DAF0A76" w14:textId="0D331A8D" w:rsidR="0099003C" w:rsidRPr="00A7082A" w:rsidRDefault="0099003C" w:rsidP="00957120">
      <w:pPr>
        <w:pStyle w:val="Normalnumber"/>
      </w:pPr>
      <w:r w:rsidRPr="00A7082A">
        <w:t xml:space="preserve">The following United Nations entities and specialized agencies were represented as observers: </w:t>
      </w:r>
      <w:r w:rsidR="001004E7" w:rsidRPr="00A7082A">
        <w:rPr>
          <w:color w:val="000000" w:themeColor="text1"/>
        </w:rPr>
        <w:t xml:space="preserve">Global Environment Facility, International Atomic Energy Agency, International Labour Organization, secretariat of the Basel Convention on the Control of Transboundary Movements of Hazardous Wastes and Their Disposal, the Rotterdam Convention on the Prior Informed Consent Procedure for Certain Hazardous Chemicals and Pesticides in International Trade and the Stockholm Convention on Persistent Organic Pollutants, </w:t>
      </w:r>
      <w:r w:rsidR="007B6424" w:rsidRPr="00A7082A">
        <w:rPr>
          <w:color w:val="000000" w:themeColor="text1"/>
        </w:rPr>
        <w:t xml:space="preserve">secretariat of the </w:t>
      </w:r>
      <w:r w:rsidR="007B6424" w:rsidRPr="00A7082A">
        <w:t xml:space="preserve">Convention on Wetlands of International Importance, Especially as Waterfowl Habitat (Ramsar Convention), </w:t>
      </w:r>
      <w:r w:rsidR="001004E7" w:rsidRPr="00A7082A">
        <w:rPr>
          <w:color w:val="000000" w:themeColor="text1"/>
        </w:rPr>
        <w:t xml:space="preserve">United Nations Development Programme, </w:t>
      </w:r>
      <w:r w:rsidR="00E360AB" w:rsidRPr="00A7082A">
        <w:rPr>
          <w:color w:val="000000" w:themeColor="text1"/>
        </w:rPr>
        <w:t>United Nations Environment Programme</w:t>
      </w:r>
      <w:r w:rsidR="001004E7" w:rsidRPr="00A7082A">
        <w:rPr>
          <w:color w:val="000000" w:themeColor="text1"/>
        </w:rPr>
        <w:t>, United Nations Industrial Development Organization, United Nations Institute for Training and Research, World Bank, World</w:t>
      </w:r>
      <w:r w:rsidR="00587D09" w:rsidRPr="00A7082A">
        <w:rPr>
          <w:color w:val="000000" w:themeColor="text1"/>
        </w:rPr>
        <w:t> </w:t>
      </w:r>
      <w:r w:rsidR="001004E7" w:rsidRPr="00A7082A">
        <w:rPr>
          <w:color w:val="000000" w:themeColor="text1"/>
        </w:rPr>
        <w:t>Health Organization</w:t>
      </w:r>
      <w:r w:rsidR="006006B1" w:rsidRPr="00A7082A">
        <w:rPr>
          <w:color w:val="000000" w:themeColor="text1"/>
        </w:rPr>
        <w:t>, World Meteorological Organization, World Trade Organization</w:t>
      </w:r>
      <w:r w:rsidR="001004E7" w:rsidRPr="00A7082A">
        <w:rPr>
          <w:color w:val="000000" w:themeColor="text1"/>
        </w:rPr>
        <w:t>.</w:t>
      </w:r>
    </w:p>
    <w:p w14:paraId="4F31307A" w14:textId="23E91639" w:rsidR="0099003C" w:rsidRPr="00A7082A" w:rsidRDefault="0099003C" w:rsidP="00957120">
      <w:pPr>
        <w:pStyle w:val="Normalnumber"/>
      </w:pPr>
      <w:r w:rsidRPr="00A7082A">
        <w:t xml:space="preserve">The following intergovernmental organizations were represented as observers: </w:t>
      </w:r>
      <w:r w:rsidR="006006B1" w:rsidRPr="00A7082A">
        <w:t xml:space="preserve">Economic Community of West African States (ECOWAS), Group on Earth Observations, </w:t>
      </w:r>
      <w:r w:rsidR="001004E7" w:rsidRPr="00A7082A">
        <w:t xml:space="preserve">International Lead and Zinc Study Group, </w:t>
      </w:r>
      <w:r w:rsidR="006006B1" w:rsidRPr="00A7082A">
        <w:t xml:space="preserve">Regional Organization for the Environment of the Red Sea and Gulf of Aden region, </w:t>
      </w:r>
      <w:r w:rsidR="00851014" w:rsidRPr="00A7082A">
        <w:t>s</w:t>
      </w:r>
      <w:r w:rsidR="001004E7" w:rsidRPr="00A7082A">
        <w:t>ecretariat of the Pacific Regional Environment Programme.</w:t>
      </w:r>
      <w:r w:rsidR="001004E7" w:rsidRPr="00A7082A" w:rsidDel="001004E7">
        <w:t xml:space="preserve"> </w:t>
      </w:r>
    </w:p>
    <w:p w14:paraId="2D1D8978" w14:textId="4B0BBF90" w:rsidR="0099003C" w:rsidRPr="00A7082A" w:rsidRDefault="0099003C" w:rsidP="00957120">
      <w:pPr>
        <w:pStyle w:val="Normalnumber"/>
      </w:pPr>
      <w:r w:rsidRPr="00A7082A">
        <w:t xml:space="preserve">A number of governmental bodies and agencies, regional and subregional centres, </w:t>
      </w:r>
      <w:r w:rsidR="00815F2E" w:rsidRPr="00A7082A">
        <w:t>non</w:t>
      </w:r>
      <w:r w:rsidR="00815F2E" w:rsidRPr="00A7082A">
        <w:noBreakHyphen/>
        <w:t xml:space="preserve">governmental </w:t>
      </w:r>
      <w:r w:rsidRPr="00A7082A">
        <w:t>organizations, private-sector entities and academic institutions were represented as observers. The names of those organizations are included in the list of participants (UNEP/MC/COP.</w:t>
      </w:r>
      <w:r w:rsidR="00077945" w:rsidRPr="00A7082A">
        <w:t>3</w:t>
      </w:r>
      <w:r w:rsidRPr="00A7082A">
        <w:t>/INF</w:t>
      </w:r>
      <w:r w:rsidR="00A2178F" w:rsidRPr="00A7082A">
        <w:t>/28</w:t>
      </w:r>
      <w:r w:rsidR="00077945" w:rsidRPr="00A7082A">
        <w:t>)</w:t>
      </w:r>
      <w:r w:rsidRPr="00A7082A">
        <w:t>.</w:t>
      </w:r>
    </w:p>
    <w:p w14:paraId="612F8F91" w14:textId="397E9C32" w:rsidR="0099003C" w:rsidRPr="00A7082A" w:rsidRDefault="0099003C" w:rsidP="009E64B0">
      <w:pPr>
        <w:pStyle w:val="CH1"/>
      </w:pPr>
      <w:r w:rsidRPr="00A7082A">
        <w:tab/>
      </w:r>
      <w:bookmarkStart w:id="13" w:name="_Toc7079404"/>
      <w:r w:rsidRPr="00A7082A">
        <w:t>III.</w:t>
      </w:r>
      <w:r w:rsidRPr="00A7082A">
        <w:tab/>
        <w:t>Rules of procedure for the Conference</w:t>
      </w:r>
      <w:bookmarkEnd w:id="13"/>
      <w:r w:rsidRPr="00A7082A">
        <w:t xml:space="preserve"> of the Parties</w:t>
      </w:r>
      <w:r w:rsidR="00077945" w:rsidRPr="00A7082A">
        <w:t>: consideration of rule 45</w:t>
      </w:r>
    </w:p>
    <w:p w14:paraId="59D45C8A" w14:textId="686E1B72" w:rsidR="00345E23" w:rsidRPr="00A7082A" w:rsidRDefault="00345E23" w:rsidP="00957120">
      <w:pPr>
        <w:pStyle w:val="Normalnumber"/>
      </w:pPr>
      <w:r w:rsidRPr="00A7082A">
        <w:t>Introducing the item, the representative of the secretariat recalled that, by its decision MC-1/1, the Conference of the Parties had adopted the rules of procedure, with the exception of the second sentence of paragraph 1 of rule 45, which related to the option to take a decision on matters of substance by means of voting, should all efforts to reach consensus fail, and paragraph 3 of rule 45, which related to the mechanism used to decide whether a matter before the Conference of the Parties</w:t>
      </w:r>
      <w:r w:rsidR="00593714" w:rsidRPr="00A7082A">
        <w:t>,</w:t>
      </w:r>
      <w:r w:rsidRPr="00A7082A">
        <w:t xml:space="preserve"> should be considered a matter of substance or a matter of procedure. As there had again been no agreement on those elements at </w:t>
      </w:r>
      <w:r w:rsidR="00372928" w:rsidRPr="00A7082A">
        <w:t>its</w:t>
      </w:r>
      <w:r w:rsidRPr="00A7082A">
        <w:t xml:space="preserve"> second meeting, the Conference had before it, at the present meeting, the bracketed text of rule 45 for reconsideration (UNEP/MC/COP.3/3). </w:t>
      </w:r>
    </w:p>
    <w:p w14:paraId="42EEFF10" w14:textId="77777777" w:rsidR="00345E23" w:rsidRPr="00A7082A" w:rsidRDefault="00345E23" w:rsidP="00957120">
      <w:pPr>
        <w:pStyle w:val="Normalnumber"/>
      </w:pPr>
      <w:r w:rsidRPr="00A7082A">
        <w:t xml:space="preserve">In relation to paragraph 1, all the representatives who took the floor underscored the importance of consensus, which gave the greatest legitimacy to decisions. Several of them, however, including one speaking on behalf of a group of countries, supported an alternative approach once all </w:t>
      </w:r>
      <w:r w:rsidRPr="00A7082A">
        <w:lastRenderedPageBreak/>
        <w:t>efforts to reach consensus had been exhausted. One of them pointed out that the possibility of a vote helped to make multilateral environmental agreements more effective by avoiding the will of a very small minority overriding the will of the majority.</w:t>
      </w:r>
    </w:p>
    <w:p w14:paraId="65BBD5FD" w14:textId="77777777" w:rsidR="00345E23" w:rsidRPr="00A7082A" w:rsidRDefault="00345E23" w:rsidP="00C5004A">
      <w:pPr>
        <w:pStyle w:val="Normalnumber"/>
        <w:keepNext/>
        <w:keepLines/>
      </w:pPr>
      <w:r w:rsidRPr="00A7082A">
        <w:t xml:space="preserve">In relation to the bracketed text in paragraph 3, one representative expressed support for the proposal that, if there was debate as to whether a matter was procedural or substantive, it should automatically be treated as substantive, but a few others suggested that the parties should have a say in the matter, which should therefore be put to the vote. One of them highlighted that the wording of the proposal was the same as that in the rules of procedure of the Basel, Rotterdam and Stockholm conventions and other important environmental conventions and protocols. Another representative, however, rejected the idea of a vote of any kind. </w:t>
      </w:r>
    </w:p>
    <w:p w14:paraId="720D2831" w14:textId="77777777" w:rsidR="00345E23" w:rsidRPr="00A7082A" w:rsidRDefault="00345E23" w:rsidP="00957120">
      <w:pPr>
        <w:pStyle w:val="Normalnumber"/>
      </w:pPr>
      <w:r w:rsidRPr="00A7082A">
        <w:t>The Conference of the Parties therefore agreed to defer consideration of the bracketed text in rule 45 to its fourth meeting.</w:t>
      </w:r>
    </w:p>
    <w:p w14:paraId="7866F72B" w14:textId="74D6DBE1" w:rsidR="0099003C" w:rsidRPr="00A7082A" w:rsidRDefault="0099003C" w:rsidP="00092C24">
      <w:pPr>
        <w:pStyle w:val="CH1"/>
      </w:pPr>
      <w:r w:rsidRPr="00A7082A">
        <w:tab/>
      </w:r>
      <w:bookmarkStart w:id="14" w:name="_Toc7079405"/>
      <w:r w:rsidRPr="00A7082A">
        <w:t>IV.</w:t>
      </w:r>
      <w:r w:rsidRPr="00A7082A">
        <w:tab/>
        <w:t xml:space="preserve">Report on the credentials of representatives to the </w:t>
      </w:r>
      <w:r w:rsidR="00077945" w:rsidRPr="00A7082A">
        <w:t xml:space="preserve">third </w:t>
      </w:r>
      <w:r w:rsidRPr="00A7082A">
        <w:t>meeting of the Conference</w:t>
      </w:r>
      <w:bookmarkEnd w:id="14"/>
      <w:r w:rsidRPr="00A7082A">
        <w:t xml:space="preserve"> of the Parties </w:t>
      </w:r>
    </w:p>
    <w:p w14:paraId="132D5270" w14:textId="38EF61ED" w:rsidR="00113D26" w:rsidRPr="00A7082A" w:rsidRDefault="00113D26" w:rsidP="00311CAC">
      <w:pPr>
        <w:pStyle w:val="Normalnumber"/>
      </w:pPr>
      <w:r w:rsidRPr="00A7082A">
        <w:t>Presenting the report of the Bureau on credentials, M</w:t>
      </w:r>
      <w:r w:rsidR="00E07443" w:rsidRPr="00A7082A">
        <w:t>r.</w:t>
      </w:r>
      <w:r w:rsidRPr="00A7082A">
        <w:t xml:space="preserve"> Niziri Asl said that the Bureau had examined the credentials submitted by parties in accordance with rules 19 and 20 of the rules of procedure and had found that, as at 26 November 2019, the representatives of 77 parties had submitted credentials issued either by a Head of State or Government or by a minister for foreign affairs or, in the case of a regional economic integration organization, by the competent authority of that organization. In addition, 28 parties had communicated credentials or information concerning the appointment of representatives by facsimile or in photocopy, or in the form of letters or notes verbales from the mission concerned. Eight parties had not communicated any information on their representatives. </w:t>
      </w:r>
    </w:p>
    <w:p w14:paraId="493029EB" w14:textId="4CC058E5" w:rsidR="00054828" w:rsidRPr="00A7082A" w:rsidRDefault="00113D26" w:rsidP="00113D26">
      <w:pPr>
        <w:pStyle w:val="Normalnumber"/>
      </w:pPr>
      <w:r w:rsidRPr="00A7082A">
        <w:t>The Conference</w:t>
      </w:r>
      <w:r w:rsidRPr="00A7082A">
        <w:rPr>
          <w:color w:val="000000" w:themeColor="text1"/>
        </w:rPr>
        <w:t xml:space="preserve"> of the Parties</w:t>
      </w:r>
      <w:r w:rsidRPr="00A7082A">
        <w:t xml:space="preserve"> took note of the report as approved by the Bureau.</w:t>
      </w:r>
    </w:p>
    <w:p w14:paraId="471B433E" w14:textId="77777777" w:rsidR="0099003C" w:rsidRPr="00A7082A" w:rsidRDefault="0099003C" w:rsidP="0099003C">
      <w:pPr>
        <w:pStyle w:val="CH1"/>
      </w:pPr>
      <w:r w:rsidRPr="00A7082A">
        <w:tab/>
      </w:r>
      <w:bookmarkStart w:id="15" w:name="_Toc7079406"/>
      <w:r w:rsidRPr="00A7082A">
        <w:t>V.</w:t>
      </w:r>
      <w:r w:rsidRPr="00A7082A">
        <w:tab/>
        <w:t>Matters for consideration or action by the Conference</w:t>
      </w:r>
      <w:bookmarkEnd w:id="15"/>
      <w:r w:rsidRPr="00A7082A">
        <w:t xml:space="preserve"> of the Parties </w:t>
      </w:r>
    </w:p>
    <w:p w14:paraId="7BEF6E06" w14:textId="5240F794" w:rsidR="0099003C" w:rsidRPr="00A7082A" w:rsidRDefault="0099003C" w:rsidP="009E64B0">
      <w:pPr>
        <w:pStyle w:val="CH2"/>
      </w:pPr>
      <w:r w:rsidRPr="00A7082A">
        <w:tab/>
      </w:r>
      <w:bookmarkStart w:id="16" w:name="_Toc27124723"/>
      <w:r w:rsidRPr="00A7082A">
        <w:t>A.</w:t>
      </w:r>
      <w:r w:rsidRPr="00A7082A">
        <w:tab/>
      </w:r>
      <w:r w:rsidR="00077945" w:rsidRPr="00A7082A">
        <w:t>Mercury-added products and manufacturing processes in which mercury or mercury compounds are used</w:t>
      </w:r>
      <w:bookmarkEnd w:id="16"/>
      <w:r w:rsidR="00077945" w:rsidRPr="00A7082A" w:rsidDel="00077945">
        <w:t xml:space="preserve"> </w:t>
      </w:r>
    </w:p>
    <w:p w14:paraId="605D038D" w14:textId="37E92E91" w:rsidR="00077945" w:rsidRPr="00A7082A" w:rsidRDefault="00077945" w:rsidP="009E64B0">
      <w:pPr>
        <w:pStyle w:val="CH3"/>
      </w:pPr>
      <w:r w:rsidRPr="00A7082A">
        <w:tab/>
        <w:t>1.</w:t>
      </w:r>
      <w:r w:rsidRPr="00A7082A">
        <w:tab/>
        <w:t>Review of annexes A and B</w:t>
      </w:r>
    </w:p>
    <w:p w14:paraId="54C20D5E" w14:textId="1A79B2DA" w:rsidR="00CE13C3" w:rsidRPr="00A7082A" w:rsidRDefault="00CE13C3" w:rsidP="00957120">
      <w:pPr>
        <w:pStyle w:val="Normalnumber"/>
      </w:pPr>
      <w:r w:rsidRPr="00A7082A">
        <w:t xml:space="preserve">Introducing the sub-item, the representative of the secretariat recalled that articles 4 and 5 of the Convention provided for reviews of annexes A and B no later than five years after the date of entry into force of the Convention. At its second meeting, the Conference of the Parties had addressed the matter and had agreed to defer consideration thereof to its third meeting and to request the secretariat to prepare a document on the matter for consideration at that meeting. Accordingly, the Conference of the Parties had before it a note by the secretariat on the review of annexes A and B (UNEP/MC/COP.3/4), the annex of which </w:t>
      </w:r>
      <w:r w:rsidR="00593714" w:rsidRPr="00A7082A">
        <w:t xml:space="preserve">set out </w:t>
      </w:r>
      <w:r w:rsidRPr="00A7082A">
        <w:t xml:space="preserve">a draft decision to establish an </w:t>
      </w:r>
      <w:r w:rsidR="0026572F" w:rsidRPr="00A7082A">
        <w:t>ad hoc</w:t>
      </w:r>
      <w:r w:rsidRPr="00A7082A">
        <w:t xml:space="preserve"> group of experts to review the provisions of annexes A and B to the Convention, taking into account the information submitted by parties, and draft terms of reference for the group.</w:t>
      </w:r>
    </w:p>
    <w:p w14:paraId="3387A64B" w14:textId="079BD467" w:rsidR="00CE13C3" w:rsidRPr="00A7082A" w:rsidRDefault="00CE13C3" w:rsidP="00957120">
      <w:pPr>
        <w:pStyle w:val="Normalnumber"/>
      </w:pPr>
      <w:r w:rsidRPr="00A7082A">
        <w:t xml:space="preserve">In the ensuing discussion, </w:t>
      </w:r>
      <w:r w:rsidR="00146792" w:rsidRPr="00A7082A">
        <w:t>m</w:t>
      </w:r>
      <w:r w:rsidRPr="00A7082A">
        <w:t>any representatives, including one speaking on behalf of a group of countries, expressed support for the establishment of an expert group to collect relevant technical information, including on technically and economically feasible alternatives to mercury-added products and mercury-reliant processes listed in annexes A and B, to enable the parties to review and consider possible future amendments to the annexes to the Convention. Two representatives suggested that it was important to ensure that the review process was open, transparent and inclusive. One representative said that the expert group should have sufficient representation from the regions to enable consensus to be built, and should be given a clear mandate focused on answering technical issues, including the sensitive issues of economic and technical feasibility of mercury-free alternatives to mercury-added products or mercury-reliant processes. Another representative said that it was critical that, before adding new products or processes to annexes A and B to the Convention, consideration be given to the different capacities of the parties to phase out the products and processes currently listed in those annexes and to implement their existing obligations under the Convention with respect to such products and processes.</w:t>
      </w:r>
    </w:p>
    <w:p w14:paraId="76F72074" w14:textId="271C39B1" w:rsidR="00CE13C3" w:rsidRPr="00A7082A" w:rsidRDefault="00CE13C3" w:rsidP="00957120">
      <w:pPr>
        <w:pStyle w:val="Normalnumber"/>
      </w:pPr>
      <w:r w:rsidRPr="00A7082A">
        <w:lastRenderedPageBreak/>
        <w:t>One representative</w:t>
      </w:r>
      <w:r w:rsidR="003051A1" w:rsidRPr="00A7082A">
        <w:t xml:space="preserve"> </w:t>
      </w:r>
      <w:r w:rsidRPr="00A7082A">
        <w:t xml:space="preserve">proposed that expertise on mercury-free alternatives to mercury-added products or mercury-reliant processes should be added to the list of qualifications of members of the proposed </w:t>
      </w:r>
      <w:r w:rsidR="0026572F" w:rsidRPr="00A7082A">
        <w:t>ad hoc</w:t>
      </w:r>
      <w:r w:rsidRPr="00A7082A">
        <w:t xml:space="preserve"> expert group. She also urged careful consideration of whether the use and harmonization of customs codes to identify mercury-added products should be added to the mandate of the proposed expert group, stressing that the issue of customs codes required a high degree of specialization and was not directly related to the review of the annexes to the Convention and that work on the harmonization of customs codes was already under way under the Convention and should be allowed to continue</w:t>
      </w:r>
      <w:r w:rsidR="00C3589A" w:rsidRPr="00A7082A">
        <w:t xml:space="preserve"> separately</w:t>
      </w:r>
      <w:r w:rsidRPr="00A7082A">
        <w:t>. Another representative, speaking on behalf of a group of countries</w:t>
      </w:r>
      <w:r w:rsidR="00593714" w:rsidRPr="00A7082A">
        <w:t>,</w:t>
      </w:r>
      <w:r w:rsidRPr="00A7082A">
        <w:t xml:space="preserve"> said that the issue of customs codes was critical for countries that did not manufacture, but did import, </w:t>
      </w:r>
      <w:r w:rsidR="000C690C" w:rsidRPr="00A7082A">
        <w:t>mercury</w:t>
      </w:r>
      <w:r w:rsidR="000C690C" w:rsidRPr="00A7082A">
        <w:noBreakHyphen/>
        <w:t>added</w:t>
      </w:r>
      <w:r w:rsidRPr="00A7082A">
        <w:t xml:space="preserve"> products, to be able to identify them.</w:t>
      </w:r>
    </w:p>
    <w:p w14:paraId="2E97A6E9" w14:textId="291C722A" w:rsidR="00CE13C3" w:rsidRPr="00A7082A" w:rsidRDefault="00CE13C3" w:rsidP="00957120">
      <w:pPr>
        <w:pStyle w:val="Normalnumber"/>
      </w:pPr>
      <w:r w:rsidRPr="00A7082A">
        <w:t>One representative</w:t>
      </w:r>
      <w:r w:rsidR="003051A1" w:rsidRPr="00A7082A">
        <w:t xml:space="preserve"> </w:t>
      </w:r>
      <w:r w:rsidRPr="00A7082A">
        <w:t xml:space="preserve">announced that a group of countries from the Latin American and Caribbean region would present a conference room paper on the review of annexes A and B that was fully in line with articles 4 and 5 </w:t>
      </w:r>
      <w:r w:rsidR="00593714" w:rsidRPr="00A7082A">
        <w:t>of</w:t>
      </w:r>
      <w:r w:rsidRPr="00A7082A">
        <w:t xml:space="preserve"> the Convention. She said that, pursuant to those two articles, which delineated the responsibilities of the parties, the secretariat and the Conference of the Parties in the review process, it was not appropriate for an expert group to be given a mandate to compile or analyse the information provided pursuant to articles 4 and 5 </w:t>
      </w:r>
      <w:r w:rsidR="00593714" w:rsidRPr="00A7082A">
        <w:t>of</w:t>
      </w:r>
      <w:r w:rsidRPr="00A7082A">
        <w:t xml:space="preserve"> the Convention. Another representative</w:t>
      </w:r>
      <w:r w:rsidR="003051A1" w:rsidRPr="00A7082A">
        <w:t xml:space="preserve"> </w:t>
      </w:r>
      <w:r w:rsidRPr="00A7082A">
        <w:t>expressed support for the statement.</w:t>
      </w:r>
    </w:p>
    <w:p w14:paraId="7778D8FC" w14:textId="095B4DD9" w:rsidR="00CE13C3" w:rsidRPr="00A7082A" w:rsidRDefault="00CE13C3" w:rsidP="00957120">
      <w:pPr>
        <w:pStyle w:val="Normalnumber"/>
      </w:pPr>
      <w:r w:rsidRPr="00A7082A">
        <w:t>One represe</w:t>
      </w:r>
      <w:r w:rsidR="000C690C" w:rsidRPr="00A7082A">
        <w:t>ntative</w:t>
      </w:r>
      <w:r w:rsidRPr="00A7082A">
        <w:t>, noting that the review process under the Convention was not intended to be time</w:t>
      </w:r>
      <w:r w:rsidRPr="00A7082A">
        <w:noBreakHyphen/>
        <w:t>consuming or resource-intensive, suggested that the proposed process was unnecessarily burdensome.</w:t>
      </w:r>
    </w:p>
    <w:p w14:paraId="3115CB59" w14:textId="77777777" w:rsidR="00CE13C3" w:rsidRPr="00A7082A" w:rsidRDefault="00CE13C3" w:rsidP="00957120">
      <w:pPr>
        <w:pStyle w:val="Normalnumber"/>
      </w:pPr>
      <w:r w:rsidRPr="00A7082A">
        <w:t xml:space="preserve">The representative of an observer said that new uses of mercury had emerged since the adoption of annexes A and B, including in gold plating and as a rocket fuel in satellite propulsion, and that the annex review process should consider information provided by the parties and other stakeholders and provide for meaningful input from non-governmental organizations. </w:t>
      </w:r>
    </w:p>
    <w:p w14:paraId="61409EA0" w14:textId="34B1D9CE" w:rsidR="00EE6A6E" w:rsidRPr="00A7082A" w:rsidRDefault="00CE13C3" w:rsidP="00B62407">
      <w:pPr>
        <w:pStyle w:val="Normalnumber"/>
      </w:pPr>
      <w:r w:rsidRPr="00A7082A">
        <w:t xml:space="preserve">Following the discussion, the Conference of the Parties agreed to </w:t>
      </w:r>
      <w:r w:rsidR="006C5082" w:rsidRPr="00A7082A">
        <w:t>establish</w:t>
      </w:r>
      <w:r w:rsidRPr="00A7082A">
        <w:t xml:space="preserve"> a contact group on technical issues, co-chaired by Silvij</w:t>
      </w:r>
      <w:r w:rsidR="00AB3B26" w:rsidRPr="00A7082A">
        <w:t xml:space="preserve">a Nora Kalnins (Latvia) and </w:t>
      </w:r>
      <w:r w:rsidRPr="00A7082A">
        <w:t>Sam Adu-Kumi (Ghana)</w:t>
      </w:r>
      <w:r w:rsidR="006C5082" w:rsidRPr="00A7082A">
        <w:t>, requesting the contact g</w:t>
      </w:r>
      <w:r w:rsidRPr="00A7082A">
        <w:t xml:space="preserve">roup to develop a draft decision on the review of annexes A and B, taking into account the draft decision set out in document UNEP/MC/COP.3/4, the conference room paper to be </w:t>
      </w:r>
      <w:r w:rsidR="006C5082" w:rsidRPr="00A7082A">
        <w:t>submitted by a group of parties</w:t>
      </w:r>
      <w:r w:rsidRPr="00A7082A">
        <w:t xml:space="preserve"> and the discussion held in plenary.</w:t>
      </w:r>
    </w:p>
    <w:p w14:paraId="1D4C434B" w14:textId="31C56FF2" w:rsidR="00394A5E" w:rsidRPr="00A7082A" w:rsidRDefault="00C3589A" w:rsidP="00B62407">
      <w:pPr>
        <w:pStyle w:val="Normalnumber"/>
      </w:pPr>
      <w:r w:rsidRPr="00A7082A">
        <w:t>Subsequently, t</w:t>
      </w:r>
      <w:r w:rsidR="00B14C4B" w:rsidRPr="00A7082A">
        <w:t>he</w:t>
      </w:r>
      <w:r w:rsidR="00EE6A6E" w:rsidRPr="00A7082A">
        <w:t xml:space="preserve"> Conference of the Parties adopted decision MC-3/1 on the review of annexes A and B, as submitted by the contact group on technical issues, as set out in </w:t>
      </w:r>
      <w:r w:rsidR="00A32D85" w:rsidRPr="00A7082A">
        <w:t xml:space="preserve">the </w:t>
      </w:r>
      <w:r w:rsidR="00EE6A6E" w:rsidRPr="00A7082A">
        <w:t>annex to the present report.</w:t>
      </w:r>
      <w:r w:rsidR="00F55A86" w:rsidRPr="00A7082A">
        <w:t xml:space="preserve"> </w:t>
      </w:r>
    </w:p>
    <w:p w14:paraId="5BED365A" w14:textId="219EF9F5" w:rsidR="00077945" w:rsidRPr="00A7082A" w:rsidRDefault="00394A5E" w:rsidP="009E64B0">
      <w:pPr>
        <w:pStyle w:val="CH3"/>
      </w:pPr>
      <w:r w:rsidRPr="00A7082A">
        <w:tab/>
        <w:t>2.</w:t>
      </w:r>
      <w:r w:rsidRPr="00A7082A">
        <w:tab/>
        <w:t>Proposal to amend annex A to the Convention</w:t>
      </w:r>
    </w:p>
    <w:p w14:paraId="1C1CC548" w14:textId="0BC1B22A" w:rsidR="00EF0951" w:rsidRPr="00A7082A" w:rsidRDefault="00EF0951" w:rsidP="00957120">
      <w:pPr>
        <w:pStyle w:val="Normalnumber"/>
      </w:pPr>
      <w:r w:rsidRPr="00A7082A">
        <w:t xml:space="preserve">Introducing the sub-item, the representative of the secretariat said that articles 26 and 27 established the procedure to amend the Convention, including its annexes. In line with those procedures, a proposal submitted by Botswana, Chad, Gabon, </w:t>
      </w:r>
      <w:r w:rsidR="00A26651" w:rsidRPr="00A7082A">
        <w:t>Guinea</w:t>
      </w:r>
      <w:r w:rsidR="00A26651" w:rsidRPr="00A7082A">
        <w:noBreakHyphen/>
        <w:t>Bissau</w:t>
      </w:r>
      <w:r w:rsidRPr="00A7082A">
        <w:t xml:space="preserve">, </w:t>
      </w:r>
      <w:r w:rsidR="006C5082" w:rsidRPr="00A7082A">
        <w:t xml:space="preserve">the </w:t>
      </w:r>
      <w:r w:rsidRPr="00A7082A">
        <w:t xml:space="preserve">Niger and Senegal to amend annex A of the Minamata Convention on Mercury was </w:t>
      </w:r>
      <w:r w:rsidR="00593714" w:rsidRPr="00A7082A">
        <w:t xml:space="preserve">set out </w:t>
      </w:r>
      <w:r w:rsidRPr="00A7082A">
        <w:t>in the annex to document UNEP/MC/COP.3/21. The proposal was to move dental amalgam from part II of annex A and place it in part I. The secretariat had received the proposal from the group of countries on 8 May 2019, and the Executive Secretary had informed the parties and signatories to the Convention of the proposed amendment in a letter dated 24 May 2019, in accordance with the stipulation in paragraph 2 of article</w:t>
      </w:r>
      <w:r w:rsidR="005C5239" w:rsidRPr="00A7082A">
        <w:t> </w:t>
      </w:r>
      <w:r w:rsidRPr="00A7082A">
        <w:t xml:space="preserve">26 that the text of any proposed amendment should be communicated to the parties by the secretariat at least six months before the meeting at which it was proposed for adoption. </w:t>
      </w:r>
    </w:p>
    <w:p w14:paraId="37206B13" w14:textId="34343390" w:rsidR="00306CEE" w:rsidRPr="00A7082A" w:rsidRDefault="00306CEE" w:rsidP="00306CEE">
      <w:pPr>
        <w:pStyle w:val="Normalnumber"/>
      </w:pPr>
      <w:r w:rsidRPr="00A7082A">
        <w:t>On behalf of the proponents, the representative of Gabon introduced the proposal to amend annex A. It proposed phase-out date</w:t>
      </w:r>
      <w:r w:rsidR="003E4E1E" w:rsidRPr="00A7082A">
        <w:t>s</w:t>
      </w:r>
      <w:r w:rsidRPr="00A7082A">
        <w:t xml:space="preserve"> for dental amalgam of </w:t>
      </w:r>
      <w:r w:rsidR="003E4E1E" w:rsidRPr="00A7082A">
        <w:t xml:space="preserve">2021 for vulnerable groups and </w:t>
      </w:r>
      <w:r w:rsidRPr="00A7082A">
        <w:t>2024</w:t>
      </w:r>
      <w:r w:rsidR="003E4E1E" w:rsidRPr="00A7082A">
        <w:t xml:space="preserve"> for general population</w:t>
      </w:r>
      <w:r w:rsidRPr="00A7082A">
        <w:t xml:space="preserve">. </w:t>
      </w:r>
    </w:p>
    <w:p w14:paraId="4FB66377" w14:textId="54AE51D4" w:rsidR="00306CEE" w:rsidRPr="00A7082A" w:rsidRDefault="00306CEE" w:rsidP="007875B8">
      <w:pPr>
        <w:pStyle w:val="Normalnumber"/>
      </w:pPr>
      <w:r w:rsidRPr="00A7082A">
        <w:t>Several representatives and an observer</w:t>
      </w:r>
      <w:r w:rsidR="003051A1" w:rsidRPr="00A7082A">
        <w:t xml:space="preserve"> </w:t>
      </w:r>
      <w:r w:rsidRPr="00A7082A">
        <w:t xml:space="preserve">spoke in support of the amendment as proposed. One representative, speaking on behalf of a group of countries, </w:t>
      </w:r>
      <w:r w:rsidR="007875B8" w:rsidRPr="00A7082A">
        <w:t xml:space="preserve">welcomed </w:t>
      </w:r>
      <w:r w:rsidRPr="00A7082A">
        <w:t>the proposal</w:t>
      </w:r>
      <w:r w:rsidR="00593714" w:rsidRPr="00A7082A">
        <w:t>,</w:t>
      </w:r>
      <w:r w:rsidRPr="00A7082A">
        <w:t xml:space="preserve"> </w:t>
      </w:r>
      <w:r w:rsidR="007875B8" w:rsidRPr="00A7082A">
        <w:t>saying that in their countries</w:t>
      </w:r>
      <w:r w:rsidR="003F3608" w:rsidRPr="00A7082A">
        <w:t>, for precautionary reasons, the use of</w:t>
      </w:r>
      <w:r w:rsidR="007875B8" w:rsidRPr="00A7082A">
        <w:t xml:space="preserve"> dental amalgam was prohibited </w:t>
      </w:r>
      <w:r w:rsidR="003F3608" w:rsidRPr="00A7082A">
        <w:t>in the care of</w:t>
      </w:r>
      <w:r w:rsidR="007875B8" w:rsidRPr="00A7082A">
        <w:t xml:space="preserve"> deciduous teeth</w:t>
      </w:r>
      <w:r w:rsidR="003F3608" w:rsidRPr="00A7082A">
        <w:t>, the teeth</w:t>
      </w:r>
      <w:r w:rsidR="007875B8" w:rsidRPr="00A7082A">
        <w:t xml:space="preserve"> of children under 15</w:t>
      </w:r>
      <w:r w:rsidR="00BF0CFE" w:rsidRPr="00A7082A">
        <w:t xml:space="preserve"> </w:t>
      </w:r>
      <w:r w:rsidR="007875B8" w:rsidRPr="00A7082A">
        <w:t xml:space="preserve">years and </w:t>
      </w:r>
      <w:r w:rsidR="003F3608" w:rsidRPr="00A7082A">
        <w:t xml:space="preserve">those of </w:t>
      </w:r>
      <w:r w:rsidR="007875B8" w:rsidRPr="00A7082A">
        <w:t>pregnant and breastfeeding women, regulating its use rather than manufacture, import and export.</w:t>
      </w:r>
      <w:r w:rsidR="003051A1" w:rsidRPr="00A7082A">
        <w:t xml:space="preserve"> </w:t>
      </w:r>
    </w:p>
    <w:p w14:paraId="1C20E1BC" w14:textId="77777777" w:rsidR="00306CEE" w:rsidRPr="00A7082A" w:rsidRDefault="00306CEE" w:rsidP="007875B8">
      <w:pPr>
        <w:pStyle w:val="Normalnumber"/>
      </w:pPr>
      <w:r w:rsidRPr="00A7082A">
        <w:t>Although there was widespread support among other representatives for the concept of phasing out dental amalgam, many stated that their countries would find it very difficult or impossible to follow the proposed phase-out schedule, citing numerous reasons, the main ones being the lack of alternatives with the same strength and durability for use in restorative dentistry; the cost of alternatives; and a lack of technical capacity to make the transition. All those elements could have an impact on the standard of care.</w:t>
      </w:r>
    </w:p>
    <w:p w14:paraId="4458F19F" w14:textId="79DEEB53" w:rsidR="00306CEE" w:rsidRPr="00A7082A" w:rsidRDefault="00306CEE" w:rsidP="00306CEE">
      <w:pPr>
        <w:pStyle w:val="Normalnumber"/>
      </w:pPr>
      <w:r w:rsidRPr="00A7082A">
        <w:lastRenderedPageBreak/>
        <w:t>Their concerns accorded with those that had been expressed in a survey, conducted by the Oral</w:t>
      </w:r>
      <w:r w:rsidR="00587D09" w:rsidRPr="00A7082A">
        <w:t> </w:t>
      </w:r>
      <w:r w:rsidRPr="00A7082A">
        <w:t xml:space="preserve">Health Programme of </w:t>
      </w:r>
      <w:r w:rsidR="00B13D2A" w:rsidRPr="00A7082A">
        <w:t>the World Health Organization (</w:t>
      </w:r>
      <w:r w:rsidRPr="00A7082A">
        <w:t>WHO</w:t>
      </w:r>
      <w:r w:rsidR="00B13D2A" w:rsidRPr="00A7082A">
        <w:t>)</w:t>
      </w:r>
      <w:r w:rsidRPr="00A7082A">
        <w:t xml:space="preserve"> in October 2019, of 79 policymakers in dental public health from 71 countries with varying income levels, all members of an online community of practice hosted by the organization. Introducing the results of the survey, as set out in document UNEP/MC/COP.3/</w:t>
      </w:r>
      <w:r w:rsidR="00CD3A0F" w:rsidRPr="00A7082A">
        <w:t>INF/25</w:t>
      </w:r>
      <w:r w:rsidRPr="00A7082A">
        <w:t xml:space="preserve">, the representative of WHO explained that, irrespective of </w:t>
      </w:r>
      <w:r w:rsidR="00CD3A0F" w:rsidRPr="00A7082A">
        <w:t xml:space="preserve">agreeing or disagreeing with the proposed amendment, </w:t>
      </w:r>
      <w:r w:rsidRPr="00A7082A">
        <w:t>almost two</w:t>
      </w:r>
      <w:r w:rsidR="00B13D2A" w:rsidRPr="00A7082A">
        <w:t xml:space="preserve"> </w:t>
      </w:r>
      <w:r w:rsidRPr="00A7082A">
        <w:t>thirds of participants reported concerns</w:t>
      </w:r>
      <w:r w:rsidR="00CD3A0F" w:rsidRPr="00A7082A">
        <w:t xml:space="preserve"> with phasing out dental amalgam</w:t>
      </w:r>
      <w:r w:rsidRPr="00A7082A">
        <w:t xml:space="preserve">. </w:t>
      </w:r>
      <w:r w:rsidR="00CD3A0F" w:rsidRPr="00A7082A">
        <w:t>H</w:t>
      </w:r>
      <w:r w:rsidRPr="00A7082A">
        <w:t xml:space="preserve">e said that </w:t>
      </w:r>
      <w:r w:rsidR="00D76CD4" w:rsidRPr="00A7082A">
        <w:t>WHO</w:t>
      </w:r>
      <w:r w:rsidRPr="00A7082A">
        <w:t xml:space="preserve"> </w:t>
      </w:r>
      <w:r w:rsidR="00D76CD4" w:rsidRPr="00A7082A">
        <w:t>supported the focus of</w:t>
      </w:r>
      <w:r w:rsidRPr="00A7082A">
        <w:t xml:space="preserve"> efforts on accelerating the phase-down of dental amalgam use through a comprehensive, progressive and inclusive process, following an implementation schedule that accorded with national situations. In add</w:t>
      </w:r>
      <w:r w:rsidR="00D76CD4" w:rsidRPr="00A7082A">
        <w:t xml:space="preserve">ition, the establishment or </w:t>
      </w:r>
      <w:r w:rsidRPr="00A7082A">
        <w:t xml:space="preserve">reinforcement of collaboration between health ministries and environment ministries, and further research, both private and public, into environmentally sound alternatives, were matters of urgency. </w:t>
      </w:r>
    </w:p>
    <w:p w14:paraId="09E18EE6" w14:textId="4E6393CD" w:rsidR="00306CEE" w:rsidRPr="00A7082A" w:rsidRDefault="00306CEE" w:rsidP="00306CEE">
      <w:pPr>
        <w:pStyle w:val="Normalnumber"/>
      </w:pPr>
      <w:r w:rsidRPr="00A7082A">
        <w:t xml:space="preserve">An observer concurred that research needed continued investment to accelerate the development of alternatives and increase their </w:t>
      </w:r>
      <w:r w:rsidR="00D76CD4" w:rsidRPr="00A7082A">
        <w:t xml:space="preserve">affordability. Another called </w:t>
      </w:r>
      <w:r w:rsidRPr="00A7082A">
        <w:t xml:space="preserve">on WHO to update its 2009 </w:t>
      </w:r>
      <w:r w:rsidR="00D76CD4" w:rsidRPr="00A7082A">
        <w:t>report on</w:t>
      </w:r>
      <w:r w:rsidR="00D76CD4" w:rsidRPr="00A7082A">
        <w:rPr>
          <w:i/>
        </w:rPr>
        <w:t xml:space="preserve"> </w:t>
      </w:r>
      <w:r w:rsidRPr="00A7082A">
        <w:rPr>
          <w:i/>
        </w:rPr>
        <w:t>Future Use of Materials for Dental Restoration</w:t>
      </w:r>
      <w:r w:rsidRPr="00A7082A">
        <w:t xml:space="preserve"> with the latest scientific evidence on alternative restorative materials before any decision on the amendment could be taken. A third observer highlighted that the phase-out of dental amalgam would cut off a major source of mercury to gold mining. </w:t>
      </w:r>
    </w:p>
    <w:p w14:paraId="375E4C1C" w14:textId="25803C3B" w:rsidR="00306CEE" w:rsidRPr="00A7082A" w:rsidRDefault="00D97A8A" w:rsidP="00306CEE">
      <w:pPr>
        <w:pStyle w:val="Normalnumber"/>
      </w:pPr>
      <w:r w:rsidRPr="00A7082A">
        <w:t xml:space="preserve">While </w:t>
      </w:r>
      <w:r w:rsidR="00306CEE" w:rsidRPr="00A7082A">
        <w:t>several representatives and observers stress</w:t>
      </w:r>
      <w:r w:rsidR="005A1A70" w:rsidRPr="00A7082A">
        <w:t>ed</w:t>
      </w:r>
      <w:r w:rsidR="00306CEE" w:rsidRPr="00A7082A">
        <w:t xml:space="preserve"> the need to phase down the use of dental amalgam owing to its threat to human health, one observer said that, on the basis of the best available evidence, his organization affirmed the safety of dental amalgam for the general population without allergies to amalgam com</w:t>
      </w:r>
      <w:r w:rsidR="00D76CD4" w:rsidRPr="00A7082A">
        <w:t>ponents or severe renal disease</w:t>
      </w:r>
      <w:r w:rsidR="00306CEE" w:rsidRPr="00A7082A">
        <w:t>.</w:t>
      </w:r>
    </w:p>
    <w:p w14:paraId="4412426A" w14:textId="77777777" w:rsidR="00306CEE" w:rsidRPr="00A7082A" w:rsidRDefault="00306CEE" w:rsidP="00306CEE">
      <w:pPr>
        <w:pStyle w:val="Normalnumber"/>
      </w:pPr>
      <w:r w:rsidRPr="00A7082A">
        <w:t xml:space="preserve">Two representatives stressed the importance, in phasing out dental amalgam, of countries having the technical capacity to deal with waste amalgam and minimize the release of mercury to the environment. </w:t>
      </w:r>
    </w:p>
    <w:p w14:paraId="65C6EBE1" w14:textId="1566CC4E" w:rsidR="00306CEE" w:rsidRPr="00A7082A" w:rsidRDefault="00306CEE" w:rsidP="00306CEE">
      <w:pPr>
        <w:pStyle w:val="Normalnumber"/>
      </w:pPr>
      <w:r w:rsidRPr="00A7082A">
        <w:t>One representative explained that</w:t>
      </w:r>
      <w:r w:rsidR="00B13D2A" w:rsidRPr="00A7082A">
        <w:t>,</w:t>
      </w:r>
      <w:r w:rsidRPr="00A7082A">
        <w:t xml:space="preserve"> in his country</w:t>
      </w:r>
      <w:r w:rsidR="00B13D2A" w:rsidRPr="00A7082A">
        <w:t>,</w:t>
      </w:r>
      <w:r w:rsidRPr="00A7082A">
        <w:t xml:space="preserve"> studies were being undertaken regarding the dental health of the population and indigenous peoples. The results were expected to be available in 2023 and he the</w:t>
      </w:r>
      <w:r w:rsidR="00D76CD4" w:rsidRPr="00A7082A">
        <w:t>refore said that</w:t>
      </w:r>
      <w:r w:rsidR="004E58BA" w:rsidRPr="00A7082A">
        <w:t>, in order to ensure the right of vulnerable groups to health care,</w:t>
      </w:r>
      <w:r w:rsidR="00D76CD4" w:rsidRPr="00A7082A">
        <w:t xml:space="preserve"> his country would be</w:t>
      </w:r>
      <w:r w:rsidRPr="00A7082A">
        <w:t xml:space="preserve"> unable to enter into discussion on the proposed amendment until it had considered the updated information in studies about the current use, efficiency and real possibility of substitution of dental amalgam. Several representatives, including one speaking </w:t>
      </w:r>
      <w:r w:rsidR="00067DDB" w:rsidRPr="00A7082A">
        <w:t xml:space="preserve">on </w:t>
      </w:r>
      <w:r w:rsidRPr="00A7082A">
        <w:t xml:space="preserve">behalf of the proponents, however, were against deferral of the matter and </w:t>
      </w:r>
      <w:r w:rsidR="00966E25" w:rsidRPr="00A7082A">
        <w:t>held</w:t>
      </w:r>
      <w:r w:rsidRPr="00A7082A">
        <w:t xml:space="preserve"> that a decision should be reached at the present meeting.</w:t>
      </w:r>
    </w:p>
    <w:p w14:paraId="7FEA9C4B" w14:textId="4B94314F" w:rsidR="00306CEE" w:rsidRPr="00A7082A" w:rsidRDefault="00306CEE" w:rsidP="00306CEE">
      <w:pPr>
        <w:pStyle w:val="Normalnumber"/>
      </w:pPr>
      <w:r w:rsidRPr="00A7082A">
        <w:t xml:space="preserve">Following the discussion, the Conference of the Parties agreed to refer the matter to the contact group on technical issues, requesting it to elaborate a proposal </w:t>
      </w:r>
      <w:r w:rsidR="00966E25" w:rsidRPr="00A7082A">
        <w:t>which reflect</w:t>
      </w:r>
      <w:r w:rsidR="00BF0CFE" w:rsidRPr="00A7082A">
        <w:t>ed</w:t>
      </w:r>
      <w:r w:rsidR="00E20B37" w:rsidRPr="00A7082A">
        <w:t xml:space="preserve"> the discussion </w:t>
      </w:r>
      <w:r w:rsidR="00966E25" w:rsidRPr="00A7082A">
        <w:t>and</w:t>
      </w:r>
      <w:r w:rsidR="00BF0CFE" w:rsidRPr="00A7082A">
        <w:t xml:space="preserve"> the</w:t>
      </w:r>
      <w:r w:rsidR="00966E25" w:rsidRPr="00A7082A">
        <w:t xml:space="preserve"> views expressed</w:t>
      </w:r>
      <w:r w:rsidRPr="00A7082A">
        <w:t>.</w:t>
      </w:r>
    </w:p>
    <w:p w14:paraId="71CFDBCB" w14:textId="191D0B61" w:rsidR="00077945" w:rsidRPr="00A7082A" w:rsidRDefault="00865EB1" w:rsidP="00306CEE">
      <w:pPr>
        <w:pStyle w:val="Normalnumber"/>
      </w:pPr>
      <w:r w:rsidRPr="00A7082A">
        <w:t>Subsequently, the Conference of the Parties adopted decision</w:t>
      </w:r>
      <w:r w:rsidR="00EE6A6E" w:rsidRPr="00A7082A">
        <w:t xml:space="preserve"> MC-3/2 on dental amalgam</w:t>
      </w:r>
      <w:r w:rsidRPr="00A7082A">
        <w:t>, as submitted by the contact group on technical issues</w:t>
      </w:r>
      <w:r w:rsidR="00BD604A" w:rsidRPr="00A7082A">
        <w:t xml:space="preserve"> and orally amended</w:t>
      </w:r>
      <w:r w:rsidRPr="00A7082A">
        <w:t xml:space="preserve">, as set out in </w:t>
      </w:r>
      <w:r w:rsidR="0009789E" w:rsidRPr="00A7082A">
        <w:t xml:space="preserve">the </w:t>
      </w:r>
      <w:r w:rsidRPr="00A7082A">
        <w:t>annex to the present report.</w:t>
      </w:r>
    </w:p>
    <w:p w14:paraId="364AFE47" w14:textId="6E3205E5" w:rsidR="00077945" w:rsidRPr="00A7082A" w:rsidRDefault="00077945" w:rsidP="007661A1">
      <w:pPr>
        <w:pStyle w:val="CH3"/>
      </w:pPr>
      <w:r w:rsidRPr="00A7082A">
        <w:tab/>
      </w:r>
      <w:bookmarkStart w:id="17" w:name="_Hlk25753765"/>
      <w:r w:rsidRPr="00A7082A">
        <w:t>3.</w:t>
      </w:r>
      <w:r w:rsidRPr="00A7082A">
        <w:tab/>
        <w:t>Harmonized System codes</w:t>
      </w:r>
    </w:p>
    <w:p w14:paraId="3442696A" w14:textId="32DD4228" w:rsidR="00905AD7" w:rsidRPr="00A7082A" w:rsidRDefault="00905AD7" w:rsidP="009557F8">
      <w:pPr>
        <w:pStyle w:val="Normalnumber"/>
        <w:tabs>
          <w:tab w:val="clear" w:pos="1134"/>
        </w:tabs>
      </w:pPr>
      <w:r w:rsidRPr="00A7082A">
        <w:t>Introducing the sub-item, the representative of the secretariat reviewed the process by which the approaches to customs codes to distinguish non-</w:t>
      </w:r>
      <w:r w:rsidR="000C690C" w:rsidRPr="00A7082A">
        <w:t>mercury</w:t>
      </w:r>
      <w:r w:rsidR="000C690C" w:rsidRPr="00A7082A">
        <w:noBreakHyphen/>
        <w:t>added</w:t>
      </w:r>
      <w:r w:rsidRPr="00A7082A">
        <w:t xml:space="preserve"> and </w:t>
      </w:r>
      <w:r w:rsidR="000C690C" w:rsidRPr="00A7082A">
        <w:t>mercury</w:t>
      </w:r>
      <w:r w:rsidR="000C690C" w:rsidRPr="00A7082A">
        <w:noBreakHyphen/>
        <w:t>added</w:t>
      </w:r>
      <w:r w:rsidRPr="00A7082A">
        <w:t xml:space="preserve"> products listed in annex A had been prepared, involving collaboration with the UNEP Global Mercury Partnership’s Mercury in Products partnership area and consultation with relevant organizations, followed by a review of comments received from parties and other stakeholders. He outlined the resulting four approaches put forward for the consideration</w:t>
      </w:r>
      <w:r w:rsidR="00E67667" w:rsidRPr="00A7082A">
        <w:t xml:space="preserve"> of the Conference of the Parties</w:t>
      </w:r>
      <w:r w:rsidRPr="00A7082A">
        <w:t xml:space="preserve"> – first, the development of internationally harmonized six-digit codes following the process established pursuant to the World</w:t>
      </w:r>
      <w:r w:rsidR="00FE1452" w:rsidRPr="00A7082A">
        <w:t> </w:t>
      </w:r>
      <w:r w:rsidRPr="00A7082A">
        <w:t>Customs Organization (WCO) provisions; second, the development of statistical codes of more than six digits; third, a combination of those two approaches, essentially comprising interim statistical codes of more than six digits in the near term, some or all of which could ultimately be superseded by six-digit Harmonized System codes; and, fourth, not to explore new customs codes under the Convention. He drew attention to the note by the secretariat on the issue (UNEP/MC/COP.3/5), which provided an executive summary of the report on the approaches, and the full report, which was set out in the background information on the issue (UNEP/MC/COP.3/INF/12).</w:t>
      </w:r>
    </w:p>
    <w:p w14:paraId="72D2D91A" w14:textId="5662EDDD" w:rsidR="00905AD7" w:rsidRPr="00A7082A" w:rsidRDefault="00905AD7" w:rsidP="00905AD7">
      <w:pPr>
        <w:pStyle w:val="Normalnumber"/>
      </w:pPr>
      <w:r w:rsidRPr="00A7082A">
        <w:t xml:space="preserve">The representative of the Global Mercury Partnership’s Mercury in Products partnership area gave further details of the preparation of the report, in which the Partnership had collaborated. </w:t>
      </w:r>
    </w:p>
    <w:p w14:paraId="1DDFB33B" w14:textId="41A407C7" w:rsidR="00905AD7" w:rsidRPr="00A7082A" w:rsidRDefault="00905AD7" w:rsidP="00905AD7">
      <w:pPr>
        <w:pStyle w:val="Normalnumber"/>
      </w:pPr>
      <w:r w:rsidRPr="00A7082A">
        <w:lastRenderedPageBreak/>
        <w:t xml:space="preserve">In the ensuing discussion, support was expressed in general for arrangements to harmonize customs codes for products listed in annex A and for international cooperation in tackling the trade in mercury products. A number of representatives welcomed the proposals on the issue prepared by the European Union and </w:t>
      </w:r>
      <w:r w:rsidR="00353228" w:rsidRPr="00A7082A">
        <w:t>a number</w:t>
      </w:r>
      <w:r w:rsidRPr="00A7082A">
        <w:t xml:space="preserve"> of Latin American and Caribbean States</w:t>
      </w:r>
      <w:r w:rsidR="00BC507E" w:rsidRPr="00A7082A">
        <w:t xml:space="preserve"> and set out in their conference room papers on customs codes and on Harmonized System codes, respectively</w:t>
      </w:r>
      <w:r w:rsidRPr="00A7082A">
        <w:t xml:space="preserve">. The representative of the European Union noted that there were areas both of convergence and of divergence between its proposal and that submitted by </w:t>
      </w:r>
      <w:r w:rsidR="00353228" w:rsidRPr="00A7082A">
        <w:t>a number</w:t>
      </w:r>
      <w:r w:rsidRPr="00A7082A">
        <w:t xml:space="preserve"> of Latin American and Caribbean States and called for continued intersessional work on the codes, in collaboration with the Mercury in Products partnership area of the Global Mercury Partnership, by an open-ended group of experts working electronically. A representative speaking on behalf of the Latin American and Caribbean States </w:t>
      </w:r>
      <w:r w:rsidR="00241BDC" w:rsidRPr="00A7082A">
        <w:t xml:space="preserve">concerned </w:t>
      </w:r>
      <w:r w:rsidRPr="00A7082A">
        <w:t xml:space="preserve">explained that their proposal called for continued work on the development of a flexible set of voluntary codes for annex A products and the compilation of other monitoring tools, to be undertaken by an </w:t>
      </w:r>
      <w:r w:rsidR="000C690C" w:rsidRPr="00A7082A">
        <w:t>open</w:t>
      </w:r>
      <w:r w:rsidR="000C690C" w:rsidRPr="00A7082A">
        <w:noBreakHyphen/>
        <w:t>ended</w:t>
      </w:r>
      <w:r w:rsidRPr="00A7082A">
        <w:t xml:space="preserve"> contact group working by electronic means. </w:t>
      </w:r>
    </w:p>
    <w:p w14:paraId="29EBB0C8" w14:textId="2A4B6DD2" w:rsidR="00905AD7" w:rsidRPr="00A7082A" w:rsidRDefault="00905AD7" w:rsidP="00905AD7">
      <w:pPr>
        <w:pStyle w:val="Normalnumber"/>
      </w:pPr>
      <w:r w:rsidRPr="00A7082A">
        <w:t xml:space="preserve">Representatives expressed support for various options set out in the note by the secretariat. One representative, noting that the use of customs codes offered an effective means of enforcing compliance with import and export restrictions, expressed a preference for the first option; while another representative, speaking on behalf of a group of countries, favoured the second option because it could be implemented quickly and built on work already undertaken by national </w:t>
      </w:r>
      <w:r w:rsidR="00697127" w:rsidRPr="00A7082A">
        <w:t>Governments</w:t>
      </w:r>
      <w:r w:rsidRPr="00A7082A">
        <w:t xml:space="preserve">. </w:t>
      </w:r>
    </w:p>
    <w:p w14:paraId="51E9B409" w14:textId="2AC0D001" w:rsidR="00905AD7" w:rsidRPr="00A7082A" w:rsidRDefault="00905AD7" w:rsidP="00905AD7">
      <w:pPr>
        <w:pStyle w:val="Normalnumber"/>
      </w:pPr>
      <w:r w:rsidRPr="00A7082A">
        <w:t>Some representatives, including one representative speaking on behalf of a group of countries, expressed a preference for the third option and stressed that work on the assignment of codes should begin as promptly as possible</w:t>
      </w:r>
      <w:r w:rsidR="00697127" w:rsidRPr="00A7082A">
        <w:t>.</w:t>
      </w:r>
      <w:r w:rsidRPr="00A7082A">
        <w:t xml:space="preserve"> </w:t>
      </w:r>
    </w:p>
    <w:p w14:paraId="0DAC8CC6" w14:textId="3DCAFB10" w:rsidR="00905AD7" w:rsidRPr="00A7082A" w:rsidRDefault="00905AD7" w:rsidP="00905AD7">
      <w:pPr>
        <w:pStyle w:val="Normalnumber"/>
      </w:pPr>
      <w:r w:rsidRPr="00A7082A">
        <w:t>One representative</w:t>
      </w:r>
      <w:r w:rsidR="003051A1" w:rsidRPr="00A7082A">
        <w:t xml:space="preserve"> </w:t>
      </w:r>
      <w:r w:rsidRPr="00A7082A">
        <w:t xml:space="preserve">expressed concern that voluntary codes would not be effective, given the requirement under the Convention to prohibit the export of products listed in annex A to the Convention. A number of representatives expressed a preference for options which allowed flexibility, such as that offered by non-binding six-digit customs codes, and one, speaking on behalf of a group of countries, drew attention to her delegation’s conference room paper on the issue, outlining good practices in the use of customs codes to support import restrictions. </w:t>
      </w:r>
    </w:p>
    <w:p w14:paraId="2FA130B1" w14:textId="7BC1969C" w:rsidR="00905AD7" w:rsidRPr="00A7082A" w:rsidRDefault="00905AD7" w:rsidP="00905AD7">
      <w:pPr>
        <w:pStyle w:val="Normalnumber"/>
      </w:pPr>
      <w:r w:rsidRPr="00A7082A">
        <w:t>Some representatives, including one representative speaking on behalf of a group of countries, pointed out that, as their countries did not manufacture mercury products and were net mercury importers, they supported the conduct of further work on the Harmonized System codes. Given the complexity of the issue, however, it was agreed by many that further consideration was needed, including in the contact group on technical issues, on the basis of the proposals put forward by two groups of countries in their respective conference room papers. A number of representatives, including two speaking on behalf of groups of countries, called for intersessional work on the issue, possibly also involving collaboration between the secretariat and WCO.</w:t>
      </w:r>
    </w:p>
    <w:p w14:paraId="55D5C8F2" w14:textId="31158D3D" w:rsidR="00905AD7" w:rsidRPr="00A7082A" w:rsidRDefault="00905AD7" w:rsidP="00905AD7">
      <w:pPr>
        <w:pStyle w:val="Normalnumber"/>
      </w:pPr>
      <w:r w:rsidRPr="00A7082A">
        <w:t xml:space="preserve">Following the discussion, the Conference of the Parties agreed to refer the matter to the contact group on technical issues, requesting it to </w:t>
      </w:r>
      <w:r w:rsidR="00966E25" w:rsidRPr="00A7082A">
        <w:t xml:space="preserve">identify and </w:t>
      </w:r>
      <w:r w:rsidRPr="00A7082A">
        <w:t xml:space="preserve">elaborate a process for </w:t>
      </w:r>
      <w:r w:rsidR="00966E25" w:rsidRPr="00A7082A">
        <w:t xml:space="preserve">further </w:t>
      </w:r>
      <w:r w:rsidRPr="00A7082A">
        <w:t>work on customs codes in the intersessional period, taking into account the discussion and the conference room papers submitted.</w:t>
      </w:r>
    </w:p>
    <w:p w14:paraId="22271F59" w14:textId="74DB8024" w:rsidR="00077945" w:rsidRPr="00A7082A" w:rsidRDefault="00BD604A" w:rsidP="00311CAC">
      <w:pPr>
        <w:pStyle w:val="Normalnumber"/>
      </w:pPr>
      <w:r w:rsidRPr="00A7082A">
        <w:t>Subsequently, t</w:t>
      </w:r>
      <w:r w:rsidR="00B14C4B" w:rsidRPr="00A7082A">
        <w:t>he</w:t>
      </w:r>
      <w:r w:rsidR="00865EB1" w:rsidRPr="00A7082A">
        <w:t xml:space="preserve"> Conference of the Parties adopted decision MC-3/</w:t>
      </w:r>
      <w:r w:rsidR="00EE6A6E" w:rsidRPr="00A7082A">
        <w:t>3</w:t>
      </w:r>
      <w:r w:rsidR="00865EB1" w:rsidRPr="00A7082A">
        <w:t xml:space="preserve"> on </w:t>
      </w:r>
      <w:r w:rsidR="00990DF9" w:rsidRPr="00A7082A">
        <w:t xml:space="preserve">customs </w:t>
      </w:r>
      <w:r w:rsidR="00865EB1" w:rsidRPr="00A7082A">
        <w:t xml:space="preserve">codes, as submitted by the contact group on technical issues, as set out in </w:t>
      </w:r>
      <w:r w:rsidR="00A32D85" w:rsidRPr="00A7082A">
        <w:t xml:space="preserve">the </w:t>
      </w:r>
      <w:r w:rsidR="00865EB1" w:rsidRPr="00A7082A">
        <w:t xml:space="preserve">annex to the present report. </w:t>
      </w:r>
    </w:p>
    <w:bookmarkEnd w:id="17"/>
    <w:p w14:paraId="587BBF08" w14:textId="3D22F5DC" w:rsidR="00077945" w:rsidRPr="00A7082A" w:rsidRDefault="00A7033C" w:rsidP="00BC5645">
      <w:pPr>
        <w:pStyle w:val="CH2"/>
      </w:pPr>
      <w:r w:rsidRPr="00A7082A">
        <w:tab/>
      </w:r>
      <w:bookmarkStart w:id="18" w:name="_Toc27124724"/>
      <w:r w:rsidRPr="00A7082A">
        <w:t>B.</w:t>
      </w:r>
      <w:r w:rsidRPr="00A7082A">
        <w:tab/>
      </w:r>
      <w:r w:rsidR="00077945" w:rsidRPr="00A7082A">
        <w:t>Releases of mercury</w:t>
      </w:r>
      <w:bookmarkEnd w:id="18"/>
    </w:p>
    <w:p w14:paraId="46EF93C3" w14:textId="05AA0276" w:rsidR="00397781" w:rsidRPr="00A7082A" w:rsidRDefault="00397781" w:rsidP="00397781">
      <w:pPr>
        <w:pStyle w:val="Normalnumber"/>
      </w:pPr>
      <w:r w:rsidRPr="00A7082A">
        <w:t>Introducing the item, the representative of the secretariat noted that article 9 of the Convention provided that the Conference of the Parties was to adopt, as soon as practicable, guidance on best available techniques and best environmental practices, and on the methodology for preparing inventories of releases. At its second meeting, in its decision MC</w:t>
      </w:r>
      <w:r w:rsidRPr="00A7082A">
        <w:noBreakHyphen/>
        <w:t xml:space="preserve">2/3, the Conference of the Parties had established a group of technical experts to develop draft guidance on methodologies for preparing inventories for a list of potentially relevant point source categories. In accordance with the terms of reference set out in the annex to the decision, the group was to prepare a report including a list of any significant anthropogenic point source </w:t>
      </w:r>
      <w:r w:rsidR="000D2FAB" w:rsidRPr="00A7082A">
        <w:t xml:space="preserve">of release </w:t>
      </w:r>
      <w:r w:rsidRPr="00A7082A">
        <w:t xml:space="preserve">categories not addressed in provisions of the Convention other than article 9, along with a suggested road map and structure for the development of draft guidance on methodologies for preparing its inventories. Accordingly, the Conference of the Parties had before it a note by the secretariat presenting the report by the group of technical experts on guidance in relation to mercury releases (UNEP/MC/COP.3/6). </w:t>
      </w:r>
    </w:p>
    <w:p w14:paraId="76413F71" w14:textId="11ED31D9" w:rsidR="00397781" w:rsidRPr="00A7082A" w:rsidRDefault="00397781" w:rsidP="00225BA1">
      <w:pPr>
        <w:pStyle w:val="Normalnumber"/>
      </w:pPr>
      <w:r w:rsidRPr="00A7082A">
        <w:t>In the ensuing discussion, several representatives welcomed the report of the group of technical experts. One representative, speaking on</w:t>
      </w:r>
      <w:r w:rsidR="000C690C" w:rsidRPr="00A7082A">
        <w:t xml:space="preserve"> behalf of a group of countries</w:t>
      </w:r>
      <w:r w:rsidRPr="00A7082A">
        <w:t>, said that</w:t>
      </w:r>
      <w:r w:rsidR="00B13D2A" w:rsidRPr="00A7082A">
        <w:t>,</w:t>
      </w:r>
      <w:r w:rsidR="007E78E9" w:rsidRPr="00A7082A">
        <w:t xml:space="preserve"> although</w:t>
      </w:r>
      <w:r w:rsidRPr="00A7082A">
        <w:t xml:space="preserve"> the report provided a sound basis for further intersessional work on the matter of mercury releases, </w:t>
      </w:r>
      <w:r w:rsidRPr="00A7082A">
        <w:lastRenderedPageBreak/>
        <w:t xml:space="preserve">there was a need for the </w:t>
      </w:r>
      <w:r w:rsidR="007E78E9" w:rsidRPr="00A7082A">
        <w:t>Conference of the Parties at the</w:t>
      </w:r>
      <w:r w:rsidRPr="00A7082A">
        <w:t xml:space="preserve"> </w:t>
      </w:r>
      <w:r w:rsidR="00B13D2A" w:rsidRPr="00A7082A">
        <w:t xml:space="preserve">current </w:t>
      </w:r>
      <w:r w:rsidRPr="00A7082A">
        <w:t xml:space="preserve">meeting to give additional guidance to the expert group on the delineation of the scope of article 9 on releases, and specifically its link with article 11 on </w:t>
      </w:r>
      <w:r w:rsidR="00D157F5" w:rsidRPr="00A7082A">
        <w:t xml:space="preserve">mercury </w:t>
      </w:r>
      <w:r w:rsidRPr="00A7082A">
        <w:t>waste</w:t>
      </w:r>
      <w:r w:rsidR="00D157F5" w:rsidRPr="00A7082A">
        <w:t>s</w:t>
      </w:r>
      <w:r w:rsidRPr="00A7082A">
        <w:t xml:space="preserve">, for example with regard to the regulation of wastewater. Other representatives, including one speaking on behalf of a group of countries, expressed concern at the release of mercury through the disposal of municipal wastewater, as highlighted in </w:t>
      </w:r>
      <w:r w:rsidRPr="00A7082A">
        <w:rPr>
          <w:i/>
        </w:rPr>
        <w:t>Global Mercury Assessment 2018</w:t>
      </w:r>
      <w:r w:rsidRPr="00A7082A">
        <w:t>.</w:t>
      </w:r>
    </w:p>
    <w:p w14:paraId="69EEF339" w14:textId="730E8F75" w:rsidR="00397781" w:rsidRPr="00A7082A" w:rsidRDefault="00397781" w:rsidP="00397781">
      <w:pPr>
        <w:pStyle w:val="Normalnumber"/>
      </w:pPr>
      <w:r w:rsidRPr="00A7082A">
        <w:t xml:space="preserve">Several representatives, including one speaking on behalf of a group of countries, supported the call for the group of technical experts to continue its work intersessionally, including in such areas as the definition of key terms, listing of potentially relevant source categories, and the road map for the development of guidance on the preparation of inventories, based on available tools. Some representatives said that the group should hold at least one face-to-face meeting, given the complexity of the issues under discussion and the longer intersessional period of two years between the third and fourth meetings of the Conference of the Parties. One representative said that the interpretation of article 9 </w:t>
      </w:r>
      <w:r w:rsidR="007E78E9" w:rsidRPr="00A7082A">
        <w:t xml:space="preserve">should be clarified at the present meeting </w:t>
      </w:r>
      <w:r w:rsidRPr="00A7082A">
        <w:t xml:space="preserve">so that the expert group could focus on technical work and developing guidance. </w:t>
      </w:r>
    </w:p>
    <w:p w14:paraId="0585E036" w14:textId="163B531D" w:rsidR="00397781" w:rsidRPr="00A7082A" w:rsidRDefault="00397781" w:rsidP="00397781">
      <w:pPr>
        <w:pStyle w:val="Normalnumber"/>
      </w:pPr>
      <w:r w:rsidRPr="00A7082A">
        <w:t>One representative</w:t>
      </w:r>
      <w:r w:rsidR="003051A1" w:rsidRPr="00A7082A">
        <w:t xml:space="preserve"> </w:t>
      </w:r>
      <w:r w:rsidRPr="00A7082A">
        <w:t>expressed support for the suggestion in the report that the road map include planning for the development of draft guidance on best available techniques and best environmental practices for releases, to be evaluated at the fourth meeting of the Conference of the Parties. Another representative</w:t>
      </w:r>
      <w:r w:rsidR="003051A1" w:rsidRPr="00A7082A">
        <w:t xml:space="preserve"> </w:t>
      </w:r>
      <w:r w:rsidRPr="00A7082A">
        <w:t>said that</w:t>
      </w:r>
      <w:r w:rsidR="00B13D2A" w:rsidRPr="00A7082A">
        <w:t>,</w:t>
      </w:r>
      <w:r w:rsidRPr="00A7082A">
        <w:t xml:space="preserve"> before starting work on that matter, agreement should be reached on the methodology for the development of release inventories. </w:t>
      </w:r>
    </w:p>
    <w:p w14:paraId="543FE943" w14:textId="75330D41" w:rsidR="00397781" w:rsidRPr="00A7082A" w:rsidRDefault="00397781" w:rsidP="00397781">
      <w:pPr>
        <w:pStyle w:val="Normalnumber"/>
      </w:pPr>
      <w:r w:rsidRPr="00A7082A">
        <w:t>One representative of a non-governmental organization</w:t>
      </w:r>
      <w:r w:rsidR="003051A1" w:rsidRPr="00A7082A">
        <w:t xml:space="preserve"> </w:t>
      </w:r>
      <w:r w:rsidRPr="00A7082A">
        <w:t>supported the need for further work in such areas as the development of inventories, the development of draft guidance on best available techniques and best environmental practices for releases, and how wastewater should be addressed.</w:t>
      </w:r>
    </w:p>
    <w:p w14:paraId="03C30325" w14:textId="3C66FC02" w:rsidR="00397781" w:rsidRPr="00A7082A" w:rsidRDefault="00397781" w:rsidP="00397781">
      <w:pPr>
        <w:pStyle w:val="Normalnumber"/>
      </w:pPr>
      <w:r w:rsidRPr="00A7082A">
        <w:t xml:space="preserve">Following the discussion, the Conference of the Parties agreed to refer the matter to the contact group on technical issues, </w:t>
      </w:r>
      <w:r w:rsidR="007E78E9" w:rsidRPr="00A7082A">
        <w:t>requesting it to</w:t>
      </w:r>
      <w:r w:rsidRPr="00A7082A">
        <w:t xml:space="preserve"> </w:t>
      </w:r>
      <w:r w:rsidR="00996BF1" w:rsidRPr="00A7082A">
        <w:t xml:space="preserve">clarify issues related to </w:t>
      </w:r>
      <w:r w:rsidRPr="00A7082A">
        <w:t xml:space="preserve">mercury releases referred to in paragraphs 8, 16, 18 and 22 of annex II to document UNEP/MC/COP.3/6; and </w:t>
      </w:r>
      <w:r w:rsidR="007E78E9" w:rsidRPr="00A7082A">
        <w:t>to prepare</w:t>
      </w:r>
      <w:r w:rsidRPr="00A7082A">
        <w:t xml:space="preserve"> a draft decision that included a road map for the development of draft guidance on methodologies for preparing inventories of releases, the proposed categories of point sources of releases, and a road map for the development of guidance on best available techniques and best environmental practices.</w:t>
      </w:r>
    </w:p>
    <w:p w14:paraId="10255666" w14:textId="18453AE1" w:rsidR="00865EB1" w:rsidRPr="00A7082A" w:rsidRDefault="00865EB1" w:rsidP="00311CAC">
      <w:pPr>
        <w:pStyle w:val="Normalnumber"/>
      </w:pPr>
      <w:r w:rsidRPr="00A7082A">
        <w:t>Subsequently, the Conference of the Parties adopted decision MC-3/</w:t>
      </w:r>
      <w:r w:rsidR="00EE6A6E" w:rsidRPr="00A7082A">
        <w:t>4</w:t>
      </w:r>
      <w:r w:rsidRPr="00A7082A">
        <w:t xml:space="preserve"> on releases of mercury, as submitted by the contact group on technical issues, as set out in </w:t>
      </w:r>
      <w:r w:rsidR="00A32D85" w:rsidRPr="00A7082A">
        <w:t xml:space="preserve">the </w:t>
      </w:r>
      <w:r w:rsidRPr="00A7082A">
        <w:t xml:space="preserve">annex to the present report. </w:t>
      </w:r>
    </w:p>
    <w:p w14:paraId="1E5C8002" w14:textId="5865D2FE" w:rsidR="00077945" w:rsidRPr="00A7082A" w:rsidRDefault="00A7033C" w:rsidP="00A7033C">
      <w:pPr>
        <w:pStyle w:val="CH2"/>
      </w:pPr>
      <w:r w:rsidRPr="00A7082A">
        <w:tab/>
      </w:r>
      <w:bookmarkStart w:id="19" w:name="_Toc27124725"/>
      <w:r w:rsidRPr="00A7082A">
        <w:t>C.</w:t>
      </w:r>
      <w:r w:rsidRPr="00A7082A">
        <w:tab/>
      </w:r>
      <w:r w:rsidR="00077945" w:rsidRPr="00A7082A">
        <w:t>Mercury waste, in particular the consideration of relevant thresholds</w:t>
      </w:r>
      <w:bookmarkEnd w:id="19"/>
    </w:p>
    <w:p w14:paraId="4ADB80AF" w14:textId="1731C51A" w:rsidR="009F2E94" w:rsidRPr="00A7082A" w:rsidRDefault="009F2E94" w:rsidP="009F2E94">
      <w:pPr>
        <w:pStyle w:val="Normalnumber"/>
      </w:pPr>
      <w:r w:rsidRPr="00A7082A">
        <w:t>Introducing the sub-item, the representative of the secretariat drew attention to a note by the secretariat on the outcome of the work of the group of technical experts on mercury waste thresholds (UNEP/MC/COP.3/7). He recalled that, pursuant to paragraph 2 of article 11 of the Convention, the Conference of the Parties was required to define relevant thresholds for mercury wastes and that, by its decision MC-2/2, the Conference had established a group of technical experts to discuss the issue in the period between its second and third meetings and requested the secretariat to report on the outcomes of that work at its third meeting.</w:t>
      </w:r>
      <w:r w:rsidRPr="00A7082A" w:rsidDel="00DA68FD">
        <w:t xml:space="preserve"> </w:t>
      </w:r>
      <w:r w:rsidRPr="00A7082A">
        <w:t xml:space="preserve">A draft decision on mercury waste thresholds based on the work of the group of technical experts was set out in annex I to the note, while the report on the group’s work was set out in annex II thereto. The secretariat had also prepared a note on lists of mercury compounds and </w:t>
      </w:r>
      <w:r w:rsidR="000C690C" w:rsidRPr="00A7082A">
        <w:t>mercury</w:t>
      </w:r>
      <w:r w:rsidR="000C690C" w:rsidRPr="00A7082A">
        <w:noBreakHyphen/>
        <w:t>added</w:t>
      </w:r>
      <w:r w:rsidRPr="00A7082A">
        <w:t xml:space="preserve"> products (UNEP/MC/COP.3/INF/18). </w:t>
      </w:r>
    </w:p>
    <w:p w14:paraId="61E49536" w14:textId="33AF7FFD" w:rsidR="009F2E94" w:rsidRPr="00A7082A" w:rsidRDefault="009F2E94" w:rsidP="009F2E94">
      <w:pPr>
        <w:pStyle w:val="Normalnumber"/>
      </w:pPr>
      <w:r w:rsidRPr="00A7082A">
        <w:t xml:space="preserve">Andreas Gössnitzer (Switzerland), co-chair of the group of technical experts on mercury waste thresholds, summarized the outcome of the group’s work, undertaken during two teleconferences and a face-to-face meeting held in Osaka, Japan, from 27 to 29 May 2019, </w:t>
      </w:r>
      <w:r w:rsidR="007B31FB" w:rsidRPr="00A7082A">
        <w:t>hosted</w:t>
      </w:r>
      <w:r w:rsidRPr="00A7082A">
        <w:t xml:space="preserve"> by the Government of Japan. He noted that the expert group </w:t>
      </w:r>
      <w:r w:rsidR="00BF0CFE" w:rsidRPr="00A7082A">
        <w:t xml:space="preserve">had </w:t>
      </w:r>
      <w:r w:rsidR="00AB3E9B" w:rsidRPr="00A7082A">
        <w:t>considered the</w:t>
      </w:r>
      <w:r w:rsidRPr="00A7082A">
        <w:t xml:space="preserve"> three categories</w:t>
      </w:r>
      <w:r w:rsidR="00AB3E9B" w:rsidRPr="00A7082A">
        <w:t xml:space="preserve"> of mercury waste</w:t>
      </w:r>
      <w:r w:rsidRPr="00A7082A">
        <w:t xml:space="preserve">, namely, waste consisting of mercury or mercury compounds (“category A” waste); waste containing mercury or mercury compounds (“category B” waste); and waste contaminated with mercury or mercury compounds (“category C” waste), and developed a list of category A waste and indicative lists of category B and category C wastes. Upon examination of the three waste categories, the group had concluded that thresholds were needed only for category C wastes, and had developed two possible options for consideration by the parties to set such thresholds. </w:t>
      </w:r>
      <w:r w:rsidR="00AB3E9B" w:rsidRPr="00A7082A">
        <w:t>One</w:t>
      </w:r>
      <w:r w:rsidRPr="00A7082A">
        <w:t xml:space="preserve"> option was to set the value of 25</w:t>
      </w:r>
      <w:r w:rsidR="009E027F" w:rsidRPr="00A7082A">
        <w:t> </w:t>
      </w:r>
      <w:r w:rsidRPr="00A7082A">
        <w:t xml:space="preserve">mg/kg, expressed as total mercury, as the threshold to define mercury waste under article 11 of the Convention; the other option was that the Conference of the Parties request the expert group to conduct further work to define the threshold. Lastly, the group had developed a two-tiered approach for establishing thresholds for mining tailings from industrial-scale mines. </w:t>
      </w:r>
    </w:p>
    <w:p w14:paraId="193D1814" w14:textId="5178AAE4" w:rsidR="009F2E94" w:rsidRPr="00A7082A" w:rsidRDefault="009F2E94" w:rsidP="009F2E94">
      <w:pPr>
        <w:pStyle w:val="Normalnumber"/>
      </w:pPr>
      <w:r w:rsidRPr="00A7082A">
        <w:lastRenderedPageBreak/>
        <w:t xml:space="preserve">The representative of the </w:t>
      </w:r>
      <w:r w:rsidR="00851014" w:rsidRPr="00A7082A">
        <w:t>s</w:t>
      </w:r>
      <w:r w:rsidRPr="00A7082A">
        <w:t>ecretariat of the Basel, Rotterdam and Stockholm Conventions</w:t>
      </w:r>
      <w:r w:rsidR="003051A1" w:rsidRPr="00A7082A">
        <w:t xml:space="preserve"> </w:t>
      </w:r>
      <w:r w:rsidRPr="00A7082A">
        <w:t xml:space="preserve">provided an update on the work being undertaken under the Basel Convention to update the technical guidelines on the environmentally sound management of wastes consisting of elemental mercury and wastes containing or contaminated with mercury, in response to the invitation by the Conference of the Parties to the Minamata Convention in its decision MC-2/2. She said that the </w:t>
      </w:r>
      <w:r w:rsidR="00851014" w:rsidRPr="00A7082A">
        <w:t>s</w:t>
      </w:r>
      <w:r w:rsidRPr="00A7082A">
        <w:t xml:space="preserve">ecretariat of the Basel, Rotterdam and Stockholm Conventions was actively collaborating with the secretariat of the Minamata Convention to ensure that the work on mercury waste being undertaken under the Minamata Convention, including the work of the group of technical experts on mercury waste thresholds, was considered by the Basel Convention small intersessional working group that was updating the Basel Convention </w:t>
      </w:r>
      <w:r w:rsidR="00871F2F" w:rsidRPr="00A7082A">
        <w:t xml:space="preserve">technical </w:t>
      </w:r>
      <w:r w:rsidRPr="00A7082A">
        <w:t>guidelines.</w:t>
      </w:r>
    </w:p>
    <w:p w14:paraId="57D17A7A" w14:textId="1E8F7736" w:rsidR="009F2E94" w:rsidRPr="00A7082A" w:rsidRDefault="009F2E94" w:rsidP="009F2E94">
      <w:pPr>
        <w:pStyle w:val="Normalnumber"/>
      </w:pPr>
      <w:r w:rsidRPr="00A7082A">
        <w:t>In the ensuing discussion, representatives expressed appreciation to the expert group for its work and report. Many representatives, including one speaking on behalf of a group of countries, expressed support for the expert group’s conclusion that thresholds were required only for category C wastes, as reflected in the draft decision (UNEP/MC/COP.3/7, annex I), and for the lists of category A, category B and category C wastes developed by the group (UNEP/MC/COP.3/7, annex II, appendix). Several representatives, including two speaking on behalf of groups of countries, suggested that there was a need to revise the lists.</w:t>
      </w:r>
    </w:p>
    <w:p w14:paraId="34947F18" w14:textId="6BDA2735" w:rsidR="009F2E94" w:rsidRPr="00A7082A" w:rsidRDefault="009F2E94" w:rsidP="009F2E94">
      <w:pPr>
        <w:pStyle w:val="Normalnumber"/>
      </w:pPr>
      <w:r w:rsidRPr="00A7082A">
        <w:t>Many representatives, including one speaking on</w:t>
      </w:r>
      <w:r w:rsidR="000C690C" w:rsidRPr="00A7082A">
        <w:t xml:space="preserve"> behalf of a group of countries</w:t>
      </w:r>
      <w:r w:rsidRPr="00A7082A">
        <w:t>, expressed support for using the proposed value of 25 mg/kg, expressed as total mercury, as the threshold to define mercury waste under article 11 of the Convention, as set out in option 1 of the draft decision. One representative</w:t>
      </w:r>
      <w:r w:rsidR="003051A1" w:rsidRPr="00A7082A">
        <w:t xml:space="preserve"> </w:t>
      </w:r>
      <w:r w:rsidRPr="00A7082A">
        <w:t xml:space="preserve">said that, should circumstances change, the proposed threshold may need to be revised. </w:t>
      </w:r>
    </w:p>
    <w:p w14:paraId="0AEF914F" w14:textId="3B204B3D" w:rsidR="009F2E94" w:rsidRPr="00A7082A" w:rsidRDefault="009F2E94" w:rsidP="009F2E94">
      <w:pPr>
        <w:pStyle w:val="Normalnumber"/>
      </w:pPr>
      <w:r w:rsidRPr="00A7082A">
        <w:t>The representative of the European Union</w:t>
      </w:r>
      <w:r w:rsidR="003051A1" w:rsidRPr="00A7082A">
        <w:t xml:space="preserve"> </w:t>
      </w:r>
      <w:r w:rsidRPr="00A7082A">
        <w:t>introduced a conference room paper</w:t>
      </w:r>
      <w:r w:rsidR="00205869" w:rsidRPr="00A7082A">
        <w:t>,</w:t>
      </w:r>
      <w:r w:rsidRPr="00A7082A">
        <w:t xml:space="preserve"> which supported, and outlined the rationale for, using the proposed 25 mg/kg value. </w:t>
      </w:r>
    </w:p>
    <w:p w14:paraId="39BC753D" w14:textId="6BEFE210" w:rsidR="009F2E94" w:rsidRPr="00A7082A" w:rsidRDefault="009F2E94" w:rsidP="009F2E94">
      <w:pPr>
        <w:pStyle w:val="Normalnumber"/>
      </w:pPr>
      <w:r w:rsidRPr="00A7082A">
        <w:t xml:space="preserve">Many other representatives, including one speaking on behalf of a group of countries, expressed support for requesting the expert group to conduct additional work to determine a threshold or thresholds for category C wastes, in line with option 2 of the draft decision, with most of them suggesting that the threshold or thresholds developed should be based on environmental risk assessments and take into account different regional or national environmental settings and circumstances. </w:t>
      </w:r>
    </w:p>
    <w:p w14:paraId="0DEA6AD9" w14:textId="6B7B5D12" w:rsidR="009F2E94" w:rsidRPr="00A7082A" w:rsidRDefault="009F2E94" w:rsidP="009F2E94">
      <w:pPr>
        <w:pStyle w:val="Normalnumber"/>
      </w:pPr>
      <w:r w:rsidRPr="00A7082A">
        <w:t>One representative</w:t>
      </w:r>
      <w:r w:rsidR="003051A1" w:rsidRPr="00A7082A">
        <w:t xml:space="preserve"> </w:t>
      </w:r>
      <w:r w:rsidRPr="00A7082A">
        <w:t>voiced her concern that the report of the expert group did not address whether waste fractions contaminated with mercury listed in table 3 (indicative list of waste contaminated with mercury or mercury compounds) of the draft decision normally had a concentration above the proposed 25 mg/kg threshold</w:t>
      </w:r>
      <w:r w:rsidR="00205869" w:rsidRPr="00A7082A">
        <w:t>. It was therefore</w:t>
      </w:r>
      <w:r w:rsidRPr="00A7082A">
        <w:t xml:space="preserve"> unclear </w:t>
      </w:r>
      <w:r w:rsidR="00205869" w:rsidRPr="00A7082A">
        <w:t>whether</w:t>
      </w:r>
      <w:r w:rsidRPr="00A7082A">
        <w:t xml:space="preserve"> that threshold would ensure that the main waste types contaminated with mercury would be subject to the requirements of environmentally sound management set out in article 11 of the Convention.</w:t>
      </w:r>
    </w:p>
    <w:p w14:paraId="7511B775" w14:textId="347186F1" w:rsidR="009F2E94" w:rsidRPr="00A7082A" w:rsidRDefault="009F2E94" w:rsidP="009F2E94">
      <w:pPr>
        <w:pStyle w:val="Normalnumber"/>
      </w:pPr>
      <w:r w:rsidRPr="00A7082A">
        <w:t>One representative</w:t>
      </w:r>
      <w:r w:rsidR="00205869" w:rsidRPr="00A7082A">
        <w:t>,</w:t>
      </w:r>
      <w:r w:rsidRPr="00A7082A">
        <w:t xml:space="preserve"> speaking on behalf of a group of countries,</w:t>
      </w:r>
      <w:r w:rsidR="003051A1" w:rsidRPr="00A7082A">
        <w:t xml:space="preserve"> </w:t>
      </w:r>
      <w:r w:rsidRPr="00A7082A">
        <w:t xml:space="preserve">expressed support for the </w:t>
      </w:r>
      <w:r w:rsidR="009451BB" w:rsidRPr="00A7082A">
        <w:t>two</w:t>
      </w:r>
      <w:r w:rsidR="009451BB" w:rsidRPr="00A7082A">
        <w:noBreakHyphen/>
        <w:t xml:space="preserve">tiered </w:t>
      </w:r>
      <w:r w:rsidRPr="00A7082A">
        <w:t xml:space="preserve">approach for mining waste proposed in the draft decision. </w:t>
      </w:r>
    </w:p>
    <w:p w14:paraId="04C9700F" w14:textId="3491E22D" w:rsidR="009F2E94" w:rsidRPr="00A7082A" w:rsidRDefault="009F2E94" w:rsidP="009F2E94">
      <w:pPr>
        <w:pStyle w:val="Normalnumber"/>
      </w:pPr>
      <w:r w:rsidRPr="00A7082A">
        <w:t>Another representative</w:t>
      </w:r>
      <w:r w:rsidR="003051A1" w:rsidRPr="00A7082A">
        <w:t xml:space="preserve"> </w:t>
      </w:r>
      <w:r w:rsidRPr="00A7082A">
        <w:t xml:space="preserve">said that there was a need to clarify in paragraph 4 of the draft decision that the use of the 25 mg/kg threshold as the first tier of the </w:t>
      </w:r>
      <w:r w:rsidR="009451BB" w:rsidRPr="00A7082A">
        <w:t>two</w:t>
      </w:r>
      <w:r w:rsidR="009451BB" w:rsidRPr="00A7082A">
        <w:noBreakHyphen/>
        <w:t xml:space="preserve">tiered </w:t>
      </w:r>
      <w:r w:rsidRPr="00A7082A">
        <w:t>approach to develop thresholds for mining tailings did not apply to certain mining waste. Drawing attention to the mandate of the expert group, as set out in paragraph 2 (d) of the annex to decision MC-2/2, she said that mining overburden, waste rock and tailings, except from primary mercury mining, were a special waste category, rather than a category C waste.</w:t>
      </w:r>
    </w:p>
    <w:p w14:paraId="3EDCAF70" w14:textId="1D40C792" w:rsidR="009F2E94" w:rsidRPr="00A7082A" w:rsidRDefault="009F2E94" w:rsidP="009F2E94">
      <w:pPr>
        <w:pStyle w:val="Normalnumber"/>
      </w:pPr>
      <w:r w:rsidRPr="00A7082A">
        <w:t xml:space="preserve">With regard to the Basel Convention technical guidelines on mercury waste, two representatives emphasized the importance of good cooperation with the </w:t>
      </w:r>
      <w:r w:rsidR="00851014" w:rsidRPr="00A7082A">
        <w:t>s</w:t>
      </w:r>
      <w:r w:rsidRPr="00A7082A">
        <w:t xml:space="preserve">ecretariat of the Basel, Rotterdam and Stockholm Conventions, </w:t>
      </w:r>
      <w:r w:rsidR="00B13D2A" w:rsidRPr="00A7082A">
        <w:t xml:space="preserve">in particular </w:t>
      </w:r>
      <w:r w:rsidRPr="00A7082A">
        <w:t>in the context of the Basel Convention small intersessional working group that was updating the guidelines. Another representative said that his country had been engaged in such work and remained committed to working closely with the Minamata Convention on the guidelines, stressing that it was important that the Conference of the Parties to the Minamata Convention agree on a threshold for mercury waste so that the threshold could be included in the guidelines and used by the parties to both the Basel and Minamata conventions.</w:t>
      </w:r>
    </w:p>
    <w:p w14:paraId="351B85B3" w14:textId="2A046F9C" w:rsidR="009F2E94" w:rsidRPr="00A7082A" w:rsidRDefault="009F2E94" w:rsidP="009F2E94">
      <w:pPr>
        <w:pStyle w:val="Normalnumber"/>
      </w:pPr>
      <w:r w:rsidRPr="00A7082A">
        <w:t xml:space="preserve">Many representatives, including two speaking on behalf of groups of countries, cautioned against establishing thresholds, for the purpose of article 11 of the Convention, for tailings from artisanal and small-scale gold mining and processing, which were considered a category C waste in the proposed draft decision but had specific characteristics that warranted a different approach, as reflected in article 7 of the Convention. Two representatives, including one speaking on behalf of a group of countries, suggested that the management of waste resulting from artisanal small-scale </w:t>
      </w:r>
      <w:r w:rsidRPr="00A7082A">
        <w:lastRenderedPageBreak/>
        <w:t xml:space="preserve">mining should be addressed in national </w:t>
      </w:r>
      <w:r w:rsidR="003D42CF" w:rsidRPr="00A7082A">
        <w:t>action plans for such mining, and that</w:t>
      </w:r>
      <w:r w:rsidRPr="00A7082A">
        <w:t xml:space="preserve"> appropriate guidance should</w:t>
      </w:r>
      <w:r w:rsidR="003D42CF" w:rsidRPr="00A7082A">
        <w:t xml:space="preserve"> therefore</w:t>
      </w:r>
      <w:r w:rsidRPr="00A7082A">
        <w:t xml:space="preserve"> be developed to promote the environmentally sound management of such waste under the plans. One representative further suggested that experts on artisanal and small-scale gold mining waste should actively engage in the revision of the Basel Convention technical guidelines on mercury waste.</w:t>
      </w:r>
    </w:p>
    <w:p w14:paraId="7BE4E416" w14:textId="71718895" w:rsidR="009F2E94" w:rsidRPr="00A7082A" w:rsidRDefault="003D42CF" w:rsidP="009557F8">
      <w:pPr>
        <w:pStyle w:val="Normalnumber"/>
      </w:pPr>
      <w:r w:rsidRPr="00A7082A">
        <w:t>S</w:t>
      </w:r>
      <w:r w:rsidR="009F2E94" w:rsidRPr="00A7082A">
        <w:t>everal observers made comments on the proposed draft decision. One said that the draft decision should specify avenues for collaboration between the secretariats of the Minamata and Basel conventions on the mercury waste guidelines and suggested two such avenues. Another said that the Basel Convention</w:t>
      </w:r>
      <w:r w:rsidR="003858F9" w:rsidRPr="00A7082A">
        <w:t xml:space="preserve"> technical</w:t>
      </w:r>
      <w:r w:rsidR="009F2E94" w:rsidRPr="00A7082A">
        <w:t xml:space="preserve"> guidelines on mercury waste did not provide sufficient guidance for </w:t>
      </w:r>
      <w:r w:rsidRPr="00A7082A">
        <w:t xml:space="preserve">the environmentally </w:t>
      </w:r>
      <w:r w:rsidR="009F2E94" w:rsidRPr="00A7082A">
        <w:t>sound management of waste in the artisanal and small-scale gold mining sector and suggested that such guidance should be develope</w:t>
      </w:r>
      <w:r w:rsidRPr="00A7082A">
        <w:t>d under</w:t>
      </w:r>
      <w:r w:rsidR="009F2E94" w:rsidRPr="00A7082A">
        <w:t xml:space="preserve"> the Minamata Convention. One said that it was important to consider best available technologies to properly dispose of, and not merely dilute, mercury waste, and to develop synergies with the Rotterdam Convention on issues such as obsolete pesticides. Another called for the adoption of 1 mg/kg as the threshold for defining mercury waste, stressing that the proposed 25 mg/kg threshold was too high, and called for the use of a single-tiered approach based on total concentration values to define thresholds for mining waste.</w:t>
      </w:r>
    </w:p>
    <w:p w14:paraId="43CF75B4" w14:textId="56953D0E" w:rsidR="005D03D4" w:rsidRPr="00A7082A" w:rsidRDefault="005D03D4" w:rsidP="00311CAC">
      <w:pPr>
        <w:pStyle w:val="Normalnumber"/>
      </w:pPr>
      <w:r w:rsidRPr="00A7082A">
        <w:t xml:space="preserve">Following the discussion, the Conference of the Parties agreed to refer the matter to the contact group on technical issues and requested the group to develop a draft decision, taking into account the draft decision in annex I to document UNEP/MC/COP.3/7 and, as appropriate, the conference room paper </w:t>
      </w:r>
      <w:r w:rsidR="002E3FD9" w:rsidRPr="00A7082A">
        <w:t xml:space="preserve">submitted by </w:t>
      </w:r>
      <w:r w:rsidRPr="00A7082A">
        <w:t>the European Union.</w:t>
      </w:r>
    </w:p>
    <w:p w14:paraId="13BB8677" w14:textId="71FF6249" w:rsidR="00DA68FD" w:rsidRPr="00A7082A" w:rsidRDefault="005D03D4" w:rsidP="00311CAC">
      <w:pPr>
        <w:pStyle w:val="Normalnumber"/>
      </w:pPr>
      <w:r w:rsidRPr="00A7082A">
        <w:t>Subsequently, the Conference of the Parties adopted decision MC-3/</w:t>
      </w:r>
      <w:r w:rsidR="00EE6A6E" w:rsidRPr="00A7082A">
        <w:t>5</w:t>
      </w:r>
      <w:r w:rsidRPr="00A7082A">
        <w:t xml:space="preserve"> on mercury waste thresholds, as submitted by the contact group on technical issues and as orally amended. The decision is set out in </w:t>
      </w:r>
      <w:r w:rsidR="00A32D85" w:rsidRPr="00A7082A">
        <w:t xml:space="preserve">the </w:t>
      </w:r>
      <w:r w:rsidRPr="00A7082A">
        <w:t xml:space="preserve">annex to the present report. </w:t>
      </w:r>
    </w:p>
    <w:p w14:paraId="5DA787FE" w14:textId="0C7AEF8B" w:rsidR="00077945" w:rsidRPr="00A7082A" w:rsidRDefault="00A7033C" w:rsidP="009E027F">
      <w:pPr>
        <w:pStyle w:val="CH2"/>
      </w:pPr>
      <w:r w:rsidRPr="00A7082A">
        <w:tab/>
      </w:r>
      <w:bookmarkStart w:id="20" w:name="_Toc27124726"/>
      <w:r w:rsidRPr="00A7082A">
        <w:t>D.</w:t>
      </w:r>
      <w:r w:rsidRPr="00A7082A">
        <w:tab/>
      </w:r>
      <w:r w:rsidR="00077945" w:rsidRPr="00A7082A">
        <w:t>Guidance on the management of contaminated sites</w:t>
      </w:r>
      <w:bookmarkEnd w:id="20"/>
    </w:p>
    <w:p w14:paraId="7E85F123" w14:textId="2040C06F" w:rsidR="00113D26" w:rsidRPr="00A7082A" w:rsidRDefault="00113D26" w:rsidP="0053138D">
      <w:pPr>
        <w:pStyle w:val="Normalnumber"/>
      </w:pPr>
      <w:r w:rsidRPr="00A7082A">
        <w:t xml:space="preserve">Introducing the sub-item, the representative of the secretariat drew attention to notes by the secretariat on guidance on the management of contaminated sites (UNEP/MC/COP.3/8) and on technical information supplementing the guidance on the management of contaminated sites (UNEP/MC/COP.3/INF/13), which had been prepared in response to decision MC-2/8. He recalled that, </w:t>
      </w:r>
      <w:r w:rsidR="00382DD5" w:rsidRPr="00A7082A">
        <w:t xml:space="preserve">in </w:t>
      </w:r>
      <w:r w:rsidRPr="00A7082A">
        <w:t xml:space="preserve">that decision, the Conference of the Parties had requested the secretariat to </w:t>
      </w:r>
      <w:r w:rsidR="00E67667" w:rsidRPr="00A7082A">
        <w:t>revise</w:t>
      </w:r>
      <w:r w:rsidR="00C00A80" w:rsidRPr="00A7082A">
        <w:t>, in consultation with nominated experts,</w:t>
      </w:r>
      <w:r w:rsidRPr="00A7082A">
        <w:t xml:space="preserve"> </w:t>
      </w:r>
      <w:r w:rsidR="009C2A09" w:rsidRPr="00A7082A">
        <w:t xml:space="preserve">the </w:t>
      </w:r>
      <w:r w:rsidRPr="00A7082A">
        <w:t xml:space="preserve">earlier draft guidance on the management of contaminated sites prepared by the secretariat. Accordingly, the secretariat had revised the earlier draft guidance, making a number of changes thereto. Some technical and other information provided by parties and experts, which supplemented the guidance, had been compiled in a separate document (UNEP/MC/COP.3/INF/13) and would be posted and kept up to date on the Convention website. A draft decision on the draft guidance was set out in annex I to document UNEP/MC/COP.3/8, while the draft guidance was </w:t>
      </w:r>
      <w:r w:rsidR="005A5A62" w:rsidRPr="00A7082A">
        <w:t xml:space="preserve">set out </w:t>
      </w:r>
      <w:r w:rsidRPr="00A7082A">
        <w:t>in annex II to the same document.</w:t>
      </w:r>
    </w:p>
    <w:p w14:paraId="7380CA91" w14:textId="77777777" w:rsidR="00113D26" w:rsidRPr="00A7082A" w:rsidRDefault="00113D26" w:rsidP="00113D26">
      <w:pPr>
        <w:pStyle w:val="Normalnumber"/>
      </w:pPr>
      <w:r w:rsidRPr="00A7082A">
        <w:t xml:space="preserve">In the ensuing discussion, many representatives, including one speaking on behalf of a group of countries, thanked the secretariat and all those who had contributed to the draft guidance, noting that it constituted a practical tool for the parties and represented a significant improvement on the earlier draft version. </w:t>
      </w:r>
    </w:p>
    <w:p w14:paraId="2EE80A72" w14:textId="77777777" w:rsidR="00113D26" w:rsidRPr="00A7082A" w:rsidRDefault="00113D26" w:rsidP="00113D26">
      <w:pPr>
        <w:pStyle w:val="Normalnumber"/>
      </w:pPr>
      <w:r w:rsidRPr="00A7082A">
        <w:t>Several representatives suggested that the draft guidance could be further improved with regard to its structure, definition of specific objectives, scope, definition of terms, and clarity around technical issues such as site identification, characterization, risk evaluation and remediation measures.</w:t>
      </w:r>
    </w:p>
    <w:p w14:paraId="16E5954D" w14:textId="77777777" w:rsidR="00113D26" w:rsidRPr="00A7082A" w:rsidRDefault="00113D26" w:rsidP="00113D26">
      <w:pPr>
        <w:pStyle w:val="Normalnumber"/>
      </w:pPr>
      <w:r w:rsidRPr="00A7082A">
        <w:t xml:space="preserve">Many representatives, including one speaking on behalf of a group of countries, said that it was crucial that the Conference of the Parties adopt the guidance on the management of contaminated sites at the current meeting so that the parties could start to implement it, and suggested that there was a need to provide technical and other support to parties to support its implementation. Many representatives drew attention to legislation and other measures taken by their countries to identify and manage contaminated sites, and said that the guidance would contribute to such efforts. </w:t>
      </w:r>
    </w:p>
    <w:p w14:paraId="009D754E" w14:textId="77777777" w:rsidR="00113D26" w:rsidRPr="00A7082A" w:rsidRDefault="00113D26" w:rsidP="00113D26">
      <w:pPr>
        <w:pStyle w:val="Normalnumber"/>
      </w:pPr>
      <w:r w:rsidRPr="00A7082A">
        <w:t>One representative, speaking on behalf of a group of countries, said that the issue of mercury</w:t>
      </w:r>
      <w:r w:rsidRPr="00A7082A">
        <w:noBreakHyphen/>
        <w:t>contaminated sites was of particular significance to African countries owing to the presence in such countries of mercury-using artisanal and small-scale gold mining sites; open burning sites for municipal waste, including end-of-life mercury-added products; enterprises which used mercury and had no pollution control equipment; and the close proximity of zones of atmospheric deposition of mercury to residential areas and protected areas, which created a risk of mercury exposure for humans and wildlife.</w:t>
      </w:r>
    </w:p>
    <w:p w14:paraId="33A9EC02" w14:textId="5B1208BC" w:rsidR="00113D26" w:rsidRPr="00A7082A" w:rsidRDefault="00113D26" w:rsidP="00113D26">
      <w:pPr>
        <w:pStyle w:val="Normalnumber"/>
      </w:pPr>
      <w:r w:rsidRPr="00A7082A">
        <w:lastRenderedPageBreak/>
        <w:t xml:space="preserve">Many representatives, including one speaking on behalf of a group of countries, suggested that technical assistance, capacity-building and financial support should be provided to parties to support their implementation of the guidance, and that the guidance should be reviewed </w:t>
      </w:r>
      <w:r w:rsidR="006E58D7" w:rsidRPr="00A7082A">
        <w:t xml:space="preserve">periodically </w:t>
      </w:r>
      <w:r w:rsidRPr="00A7082A">
        <w:t>in the light of new information and experience acquired during its implementation. Two representatives said that the guidelines should be pilot tested so that the results of such testing could feed into the review process, and proposed that a specific timeline should be set to review the guidance.</w:t>
      </w:r>
    </w:p>
    <w:p w14:paraId="18CFC4D3" w14:textId="77777777" w:rsidR="00113D26" w:rsidRPr="00A7082A" w:rsidRDefault="00113D26" w:rsidP="00113D26">
      <w:pPr>
        <w:pStyle w:val="Normalnumber"/>
      </w:pPr>
      <w:r w:rsidRPr="00A7082A">
        <w:t>With regard to the draft decision, one representative proposed adding a new paragraph to the draft decision to emphasize the role of technology transfer, financial support and capacity-building to enable the parties to implement the guidance.</w:t>
      </w:r>
    </w:p>
    <w:p w14:paraId="75BE8530" w14:textId="5934DE3D" w:rsidR="00113D26" w:rsidRPr="00A7082A" w:rsidRDefault="00113D26" w:rsidP="00113D26">
      <w:pPr>
        <w:pStyle w:val="Normalnumber"/>
      </w:pPr>
      <w:r w:rsidRPr="00A7082A">
        <w:t xml:space="preserve">One representative urged the secretariat of the Minamata Convention to work closely with the </w:t>
      </w:r>
      <w:r w:rsidR="00851014" w:rsidRPr="00A7082A">
        <w:t>s</w:t>
      </w:r>
      <w:r w:rsidRPr="00A7082A">
        <w:t>ecretariat of the Basel, Rotterdam and Stockholm Conventions on mercury-waste-related matters in order to avoid duplication of effort and make best use of available resources and expertise. Stressing that his country had some of the world’s most contaminated sites due to irresponsible mercury waste management and storage practices by industry, he said that the implementation of the guidance to remediate contaminated sites should be the ultimate goal under the Convention.</w:t>
      </w:r>
    </w:p>
    <w:p w14:paraId="29088347" w14:textId="5DE5F9F9" w:rsidR="00113D26" w:rsidRPr="00A7082A" w:rsidRDefault="00113D26" w:rsidP="00113D26">
      <w:pPr>
        <w:pStyle w:val="Normalnumber"/>
      </w:pPr>
      <w:r w:rsidRPr="00A7082A">
        <w:t>Two observers called on the Conference of the Parties to adopt the guidance and request the secretariat to continue collect</w:t>
      </w:r>
      <w:r w:rsidR="006E58D7" w:rsidRPr="00A7082A">
        <w:t>ing</w:t>
      </w:r>
      <w:r w:rsidRPr="00A7082A">
        <w:t xml:space="preserve"> technical information to supplement it. One further urged the parties to prevent the creation of new contaminated sites by ceasing trade in mercury for use in artisanal and small-scale gold mining, chlor-alkali production and other polluting activities, and to fund and support the remediation of existing contaminated sites under the Minamata Convention. The other drew attention to work undertaken by her organization to help countries to deal with legacy sites of artisanal and small-scale gold mining.</w:t>
      </w:r>
    </w:p>
    <w:p w14:paraId="46A10E30" w14:textId="1ACB8787" w:rsidR="00113D26" w:rsidRPr="00A7082A" w:rsidRDefault="00113D26" w:rsidP="00113D26">
      <w:pPr>
        <w:pStyle w:val="Normalnumber"/>
      </w:pPr>
      <w:r w:rsidRPr="00A7082A">
        <w:t xml:space="preserve">Following the discussion, the Conference of the Parties agreed that informal consultations would be held among interested parties to finalize the draft guidance and the related draft decision. </w:t>
      </w:r>
    </w:p>
    <w:p w14:paraId="65AA9C04" w14:textId="2A1F86F4" w:rsidR="00A84C80" w:rsidRPr="00A7082A" w:rsidRDefault="00A84C80" w:rsidP="0053138D">
      <w:pPr>
        <w:pStyle w:val="Normalnumber"/>
      </w:pPr>
      <w:r w:rsidRPr="00A7082A">
        <w:t>Subsequently, the Conference of the Parties adopted decision MC-3/</w:t>
      </w:r>
      <w:r w:rsidR="00EE6A6E" w:rsidRPr="00A7082A">
        <w:t>6</w:t>
      </w:r>
      <w:r w:rsidRPr="00A7082A">
        <w:t xml:space="preserve"> on guidance on the management of contaminated sites, as submitted following the informal consultations</w:t>
      </w:r>
      <w:r w:rsidR="00BD604A" w:rsidRPr="00A7082A">
        <w:t xml:space="preserve"> and orally amended</w:t>
      </w:r>
      <w:r w:rsidR="005A5A62" w:rsidRPr="00A7082A">
        <w:t xml:space="preserve">, as set out in </w:t>
      </w:r>
      <w:r w:rsidR="00A32D85" w:rsidRPr="00A7082A">
        <w:t xml:space="preserve">the </w:t>
      </w:r>
      <w:r w:rsidR="005A5A62" w:rsidRPr="00A7082A">
        <w:t>annex to the present report</w:t>
      </w:r>
      <w:r w:rsidRPr="00A7082A">
        <w:t xml:space="preserve">. </w:t>
      </w:r>
    </w:p>
    <w:p w14:paraId="7F190F1C" w14:textId="52E160DE" w:rsidR="00077945" w:rsidRPr="00A7082A" w:rsidRDefault="00A7033C" w:rsidP="00A7033C">
      <w:pPr>
        <w:pStyle w:val="CH2"/>
      </w:pPr>
      <w:r w:rsidRPr="00A7082A">
        <w:tab/>
      </w:r>
      <w:bookmarkStart w:id="21" w:name="_Toc27124727"/>
      <w:r w:rsidRPr="00A7082A">
        <w:t>E.</w:t>
      </w:r>
      <w:r w:rsidRPr="00A7082A">
        <w:tab/>
      </w:r>
      <w:r w:rsidR="00077945" w:rsidRPr="00A7082A">
        <w:t>Financial mechanism</w:t>
      </w:r>
      <w:bookmarkEnd w:id="21"/>
    </w:p>
    <w:p w14:paraId="7F659E54" w14:textId="3F0111DB" w:rsidR="00077945" w:rsidRPr="00A7082A" w:rsidRDefault="00A7033C" w:rsidP="00A7033C">
      <w:pPr>
        <w:pStyle w:val="CH3"/>
      </w:pPr>
      <w:r w:rsidRPr="00A7082A">
        <w:tab/>
        <w:t>1.</w:t>
      </w:r>
      <w:r w:rsidRPr="00A7082A">
        <w:tab/>
      </w:r>
      <w:r w:rsidR="00077945" w:rsidRPr="00A7082A">
        <w:t>Global Environment Facility</w:t>
      </w:r>
    </w:p>
    <w:p w14:paraId="66FD0F66" w14:textId="6F8080A2" w:rsidR="00A9792E" w:rsidRPr="00A7082A" w:rsidRDefault="00A9792E" w:rsidP="00A9792E">
      <w:pPr>
        <w:pStyle w:val="Normalnumber"/>
        <w:rPr>
          <w:color w:val="000000"/>
        </w:rPr>
      </w:pPr>
      <w:r w:rsidRPr="00A7082A">
        <w:rPr>
          <w:color w:val="000000"/>
        </w:rPr>
        <w:t>The representative of GEF</w:t>
      </w:r>
      <w:r w:rsidR="003051A1" w:rsidRPr="00A7082A">
        <w:rPr>
          <w:color w:val="000000"/>
        </w:rPr>
        <w:t xml:space="preserve"> </w:t>
      </w:r>
      <w:r w:rsidRPr="00A7082A">
        <w:rPr>
          <w:color w:val="000000"/>
        </w:rPr>
        <w:t>presented the report of the Council of the Global Environment Facility to the Conference of the Parties to the Minamata Convention on Mercury at its third meeting (</w:t>
      </w:r>
      <w:bookmarkStart w:id="22" w:name="_Hlk38276988"/>
      <w:r w:rsidRPr="00A7082A">
        <w:rPr>
          <w:color w:val="000000"/>
        </w:rPr>
        <w:t>UNEP/MC/COP.3/</w:t>
      </w:r>
      <w:bookmarkEnd w:id="22"/>
      <w:r w:rsidR="0008244A" w:rsidRPr="00A7082A">
        <w:rPr>
          <w:color w:val="000000"/>
        </w:rPr>
        <w:t>INF/2</w:t>
      </w:r>
      <w:r w:rsidRPr="00A7082A">
        <w:rPr>
          <w:color w:val="000000"/>
        </w:rPr>
        <w:t xml:space="preserve">, annex). The report presented the work of GEF in fulfilling its mandate under the Minamata Convention between 1 July 2018 and 30 June 2019, and </w:t>
      </w:r>
      <w:r w:rsidR="00B13D2A" w:rsidRPr="00A7082A">
        <w:rPr>
          <w:color w:val="000000"/>
        </w:rPr>
        <w:t xml:space="preserve">indicated </w:t>
      </w:r>
      <w:r w:rsidRPr="00A7082A">
        <w:rPr>
          <w:color w:val="000000"/>
        </w:rPr>
        <w:t xml:space="preserve">how the Facility had responded to the guidance received from the Conference of the Parties to date. During the reporting period, the Facility had approved three full-sized projects covering 15 countries, one </w:t>
      </w:r>
      <w:r w:rsidR="00073984" w:rsidRPr="00A7082A">
        <w:rPr>
          <w:color w:val="000000"/>
        </w:rPr>
        <w:t>single</w:t>
      </w:r>
      <w:r w:rsidR="00073984" w:rsidRPr="00A7082A">
        <w:rPr>
          <w:color w:val="000000"/>
        </w:rPr>
        <w:noBreakHyphen/>
        <w:t>country</w:t>
      </w:r>
      <w:r w:rsidRPr="00A7082A">
        <w:rPr>
          <w:color w:val="000000"/>
        </w:rPr>
        <w:t xml:space="preserve"> medium-sized project, one programme covering 27 countries, and four </w:t>
      </w:r>
      <w:r w:rsidR="00073984" w:rsidRPr="00A7082A">
        <w:rPr>
          <w:color w:val="000000"/>
        </w:rPr>
        <w:t>single</w:t>
      </w:r>
      <w:r w:rsidR="00073984" w:rsidRPr="00A7082A">
        <w:rPr>
          <w:color w:val="000000"/>
        </w:rPr>
        <w:noBreakHyphen/>
        <w:t>country</w:t>
      </w:r>
      <w:r w:rsidRPr="00A7082A">
        <w:rPr>
          <w:color w:val="000000"/>
        </w:rPr>
        <w:t xml:space="preserve"> enabling activity projects. In its seventh replenishment, GEF had significantly increased the funding allocated to projects under the Minamata Convention. Of the total pledged by donors for the seventh replenishment, the sum of $599 million had been indicatively allocated to the chemicals and waste focal area, of which $206 million had been indicatively allocated to the implementation of the Minamata Convention, representing a significant increase over the $141 million allocated for that purpose in the sixth replenishment. Lastly, she said that the </w:t>
      </w:r>
      <w:r w:rsidR="00B13D2A" w:rsidRPr="00A7082A">
        <w:rPr>
          <w:color w:val="000000"/>
        </w:rPr>
        <w:t xml:space="preserve">GEF </w:t>
      </w:r>
      <w:r w:rsidRPr="00A7082A">
        <w:rPr>
          <w:color w:val="000000"/>
        </w:rPr>
        <w:t>Council, at its fifty-sixth meeting, had approved the memorandum of understanding between the Conference of the Parties and the Council adopted by the Conference of the Parties at its second meeting</w:t>
      </w:r>
      <w:r w:rsidR="009125AF" w:rsidRPr="00A7082A">
        <w:rPr>
          <w:color w:val="000000"/>
        </w:rPr>
        <w:t xml:space="preserve"> and she noted that the memorandum was in effect</w:t>
      </w:r>
      <w:r w:rsidRPr="00A7082A">
        <w:rPr>
          <w:color w:val="000000"/>
        </w:rPr>
        <w:t>.</w:t>
      </w:r>
    </w:p>
    <w:p w14:paraId="219A1562" w14:textId="3A258AA9" w:rsidR="00397781" w:rsidRPr="00A7082A" w:rsidRDefault="00397781" w:rsidP="000A6D92">
      <w:pPr>
        <w:pStyle w:val="Normalnumber"/>
      </w:pPr>
      <w:r w:rsidRPr="00A7082A">
        <w:t xml:space="preserve">The representative of the secretariat </w:t>
      </w:r>
      <w:r w:rsidR="00A9792E" w:rsidRPr="00A7082A">
        <w:t>noted</w:t>
      </w:r>
      <w:r w:rsidR="00FF3822" w:rsidRPr="00A7082A">
        <w:t xml:space="preserve"> </w:t>
      </w:r>
      <w:r w:rsidRPr="00A7082A">
        <w:t xml:space="preserve">that document UNEP/MC/COP.3/9 </w:t>
      </w:r>
      <w:r w:rsidR="00B13D2A" w:rsidRPr="00A7082A">
        <w:t xml:space="preserve">set out </w:t>
      </w:r>
      <w:r w:rsidRPr="00A7082A">
        <w:t xml:space="preserve">an update on matters related to GEF, pursuant to article 13 of the Convention and in accordance with decision MC-1/5 of the Conference of the Parties at its first meeting, which gave guidance to the Facility on activities that could receive support from the GEF Trust Fund. </w:t>
      </w:r>
    </w:p>
    <w:p w14:paraId="55C56731" w14:textId="1A119448" w:rsidR="00397781" w:rsidRPr="00A7082A" w:rsidRDefault="00397781" w:rsidP="00397781">
      <w:pPr>
        <w:pStyle w:val="Normalnumber"/>
      </w:pPr>
      <w:r w:rsidRPr="00A7082A">
        <w:t>One representative</w:t>
      </w:r>
      <w:r w:rsidR="00990E1B" w:rsidRPr="00A7082A">
        <w:t xml:space="preserve"> </w:t>
      </w:r>
      <w:r w:rsidRPr="00A7082A">
        <w:t>said that the criteria for funding of projects under GEF should be applied fairly and equitably to all parties</w:t>
      </w:r>
      <w:r w:rsidR="00121E44" w:rsidRPr="00A7082A">
        <w:t xml:space="preserve"> and that the Conference of the Parties should urge GEF to refrain from politicization</w:t>
      </w:r>
      <w:r w:rsidRPr="00A7082A">
        <w:t xml:space="preserve">. </w:t>
      </w:r>
      <w:r w:rsidR="007055F4" w:rsidRPr="00A7082A">
        <w:t>He</w:t>
      </w:r>
      <w:r w:rsidR="006B7260" w:rsidRPr="00A7082A">
        <w:t xml:space="preserve"> urged GEF to provide financial assistance to all </w:t>
      </w:r>
      <w:r w:rsidR="0008244A" w:rsidRPr="00A7082A">
        <w:t>parties</w:t>
      </w:r>
      <w:r w:rsidR="006B7260" w:rsidRPr="00A7082A">
        <w:t xml:space="preserve"> in full conformity with the provisions of the Convention without any discrimination</w:t>
      </w:r>
      <w:r w:rsidR="007055F4" w:rsidRPr="00A7082A">
        <w:t xml:space="preserve">. </w:t>
      </w:r>
    </w:p>
    <w:p w14:paraId="3F5B81D1" w14:textId="7D07B403" w:rsidR="00E23737" w:rsidRPr="00A7082A" w:rsidRDefault="00397781" w:rsidP="008D3539">
      <w:pPr>
        <w:pStyle w:val="Normalnumber"/>
      </w:pPr>
      <w:r w:rsidRPr="00A7082A">
        <w:t xml:space="preserve">The Conference of the Parties took note </w:t>
      </w:r>
      <w:r w:rsidR="003D42CF" w:rsidRPr="00A7082A">
        <w:t>of the report of the GEF Council</w:t>
      </w:r>
      <w:r w:rsidR="00E23737" w:rsidRPr="00A7082A">
        <w:t xml:space="preserve"> and expressed its appreciation </w:t>
      </w:r>
      <w:r w:rsidR="008D3539" w:rsidRPr="00A7082A">
        <w:t>for</w:t>
      </w:r>
      <w:r w:rsidR="00E23737" w:rsidRPr="00A7082A">
        <w:t xml:space="preserve"> the support of GEF in its role as one of the entities of the financial mechanism of the Minamata Convention</w:t>
      </w:r>
      <w:r w:rsidRPr="00A7082A">
        <w:t xml:space="preserve">. </w:t>
      </w:r>
    </w:p>
    <w:p w14:paraId="7877F1C6" w14:textId="0A55F709" w:rsidR="00077945" w:rsidRPr="00A7082A" w:rsidRDefault="00A7033C" w:rsidP="00A7033C">
      <w:pPr>
        <w:pStyle w:val="CH3"/>
      </w:pPr>
      <w:r w:rsidRPr="00A7082A">
        <w:lastRenderedPageBreak/>
        <w:tab/>
        <w:t>2.</w:t>
      </w:r>
      <w:r w:rsidRPr="00A7082A">
        <w:tab/>
      </w:r>
      <w:r w:rsidR="00077945" w:rsidRPr="00A7082A">
        <w:t>Specific International Programme to Support Capacity-Building and Technical Assistance</w:t>
      </w:r>
    </w:p>
    <w:p w14:paraId="429D2CB7" w14:textId="655762A9" w:rsidR="003A006F" w:rsidRPr="00A7082A" w:rsidRDefault="00113D26" w:rsidP="009557F8">
      <w:pPr>
        <w:pStyle w:val="Normalnumber"/>
      </w:pPr>
      <w:r w:rsidRPr="00A7082A">
        <w:t xml:space="preserve">Introducing the sub-item, the representative of the secretariat recalled that, in paragraph 5 of article 13, on financial resources and the financial mechanism, the Minamata Convention on Mercury defined a mechanism for the provision of adequate, predictable and timely financial resources to support developing-country parties and parties with economies in transition in implementing their obligations under the Convention. In paragraph 6 of that article, the Specific International Programme was identified as one of the two entities forming the financial mechanism. At its first meeting, in its decision MC-1/6, the Conference of the Parties had decided that UNEP would host that Programme </w:t>
      </w:r>
      <w:r w:rsidR="00CB38F6" w:rsidRPr="00A7082A">
        <w:t xml:space="preserve">and had </w:t>
      </w:r>
      <w:r w:rsidRPr="00A7082A">
        <w:t>provid</w:t>
      </w:r>
      <w:r w:rsidR="00CB38F6" w:rsidRPr="00A7082A">
        <w:t>ed</w:t>
      </w:r>
      <w:r w:rsidRPr="00A7082A">
        <w:t xml:space="preserve"> guidance on the operations, duration and terms of reference of the Programme. The Conference of the Parties had also requested the Executive Director of UNEP to establish a trust fund for the Programme. Accordingly, the trust fund for the Specific International Programme had been established. </w:t>
      </w:r>
      <w:r w:rsidR="003A006F" w:rsidRPr="00A7082A">
        <w:t>She also noted that the rules of procedure of the Governing Board of the Specific International Programme provide</w:t>
      </w:r>
      <w:r w:rsidR="008C7C57" w:rsidRPr="00A7082A">
        <w:t>d</w:t>
      </w:r>
      <w:r w:rsidR="003A006F" w:rsidRPr="00A7082A">
        <w:t xml:space="preserve"> that the first members of the Governing Board </w:t>
      </w:r>
      <w:r w:rsidR="008C7C57" w:rsidRPr="00A7082A">
        <w:t>were to</w:t>
      </w:r>
      <w:r w:rsidR="003A006F" w:rsidRPr="00A7082A">
        <w:t xml:space="preserve"> serve until the third meeting of the Conference of the Parties. Thereafter, the members </w:t>
      </w:r>
      <w:r w:rsidR="008C7C57" w:rsidRPr="00A7082A">
        <w:t>we</w:t>
      </w:r>
      <w:r w:rsidR="003A006F" w:rsidRPr="00A7082A">
        <w:t xml:space="preserve">re to be nominated every two years by </w:t>
      </w:r>
      <w:r w:rsidR="008C7C57" w:rsidRPr="00A7082A">
        <w:t xml:space="preserve">the </w:t>
      </w:r>
      <w:r w:rsidR="003A006F" w:rsidRPr="00A7082A">
        <w:t xml:space="preserve">regional groups and their membership </w:t>
      </w:r>
      <w:r w:rsidR="008C7C57" w:rsidRPr="00A7082A">
        <w:t>was</w:t>
      </w:r>
      <w:r w:rsidR="003A006F" w:rsidRPr="00A7082A">
        <w:t xml:space="preserve"> to be confirmed by the Conference of the Parties. At its third meeting, the Conference of the Parties </w:t>
      </w:r>
      <w:r w:rsidR="008C7C57" w:rsidRPr="00A7082A">
        <w:t>was</w:t>
      </w:r>
      <w:r w:rsidR="003A006F" w:rsidRPr="00A7082A">
        <w:t xml:space="preserve"> therefore expected to confirm the members for the next term based on the nominations received from the regions. </w:t>
      </w:r>
    </w:p>
    <w:p w14:paraId="05EB1715" w14:textId="6A521BE1" w:rsidR="00113D26" w:rsidRPr="00A7082A" w:rsidRDefault="00113D26" w:rsidP="0053138D">
      <w:pPr>
        <w:pStyle w:val="Normalnumber"/>
      </w:pPr>
      <w:r w:rsidRPr="00A7082A">
        <w:t xml:space="preserve">She drew attention to the relevant information provided in the overall report on the Specific International Programme (UNEP/MC/COP.3/10), the annex to which set out a draft decision on the Programme; the report of the Governing Board of the Programme (UNEP/MC/COP.3/10/Add.1); and the application guidelines for the second round of applications to the Programme (UNEP/MC/COP.3/INF/3). </w:t>
      </w:r>
      <w:r w:rsidR="003A006F" w:rsidRPr="00A7082A">
        <w:t xml:space="preserve">She also noted that the Conference </w:t>
      </w:r>
      <w:r w:rsidR="008C7C57" w:rsidRPr="00A7082A">
        <w:t>of the Parties was to</w:t>
      </w:r>
      <w:r w:rsidR="003A006F" w:rsidRPr="00A7082A">
        <w:t xml:space="preserve"> confirm the names of the members of the Governing Board for its next term at th</w:t>
      </w:r>
      <w:r w:rsidR="008C7C57" w:rsidRPr="00A7082A">
        <w:t>e current</w:t>
      </w:r>
      <w:r w:rsidR="003A006F" w:rsidRPr="00A7082A">
        <w:t xml:space="preserve"> meeting. </w:t>
      </w:r>
    </w:p>
    <w:p w14:paraId="26E1383A" w14:textId="342F87D1" w:rsidR="00113D26" w:rsidRPr="00A7082A" w:rsidRDefault="00113D26" w:rsidP="00113D26">
      <w:pPr>
        <w:pStyle w:val="Normalnumber"/>
      </w:pPr>
      <w:r w:rsidRPr="00A7082A">
        <w:t xml:space="preserve">In concluding her presentation, and in response to queries submitted by interested parties, she presented a slide illustrating </w:t>
      </w:r>
      <w:r w:rsidR="00CB38F6" w:rsidRPr="00A7082A">
        <w:t xml:space="preserve">the fact </w:t>
      </w:r>
      <w:r w:rsidRPr="00A7082A">
        <w:t xml:space="preserve">that the financial mechanism of the Convention comprised GEF and the </w:t>
      </w:r>
      <w:r w:rsidR="00CB38F6" w:rsidRPr="00A7082A">
        <w:t xml:space="preserve">Specific International </w:t>
      </w:r>
      <w:r w:rsidRPr="00A7082A">
        <w:t>Programme. That financial mechanism was to be differentiated from a related fund that also supported parties to the Minamata Convention, namely the Special Programme to support institutional strengthening at the national level for implementation of the Basel, Rotterdam and Stockholm conventions, the Minamata Convention and the Strategic Approach to International Chemicals Management.</w:t>
      </w:r>
    </w:p>
    <w:p w14:paraId="2936DA5F" w14:textId="6A1DDAB1" w:rsidR="00113D26" w:rsidRPr="00A7082A" w:rsidRDefault="00113D26" w:rsidP="00113D26">
      <w:pPr>
        <w:pStyle w:val="Normalnumber"/>
      </w:pPr>
      <w:r w:rsidRPr="00A7082A">
        <w:t>Reginald Hernaus (Netherlands), speaking also on behalf of the other co-chair of the Governing Board of the Programme, Sam Adu-Kumi (Ghana), presented the report of the Board. Noting the Board’s achievement in making the Programme operational, he expressed appreciation to all the members of the Board for their constructive work over the previous year. With limited staff, the secretariat had performed an admirable job in facilitating the Board’s meetings. The Board had selected projects in 10 countries under the second round of applications, namely Antigua and Barbuda, Ecuador, Ghana, Indonesia, the Islamic Republic of Iran, the Republic of Moldova, Nigeria, Peru, Sri</w:t>
      </w:r>
      <w:r w:rsidR="00073984" w:rsidRPr="00A7082A">
        <w:t> </w:t>
      </w:r>
      <w:r w:rsidRPr="00A7082A">
        <w:t xml:space="preserve">Lanka and Zambia, for funding to a total of some $2 million. The second round of applications had run from 5 March to 14 June 2019 and projects were considered for funding in amounts of between $50,000 and $250,000. Lessons had been learned from the first round of applications and comments by applicants had been taken into account in the Board’s guidelines and application documents. </w:t>
      </w:r>
    </w:p>
    <w:p w14:paraId="3864250F" w14:textId="42B331D2" w:rsidR="00113D26" w:rsidRPr="00A7082A" w:rsidRDefault="00113D26" w:rsidP="00113D26">
      <w:pPr>
        <w:pStyle w:val="Normalnumber"/>
      </w:pPr>
      <w:r w:rsidRPr="00A7082A">
        <w:t xml:space="preserve">He </w:t>
      </w:r>
      <w:r w:rsidR="00CB38F6" w:rsidRPr="00A7082A">
        <w:t xml:space="preserve">provided an overview of </w:t>
      </w:r>
      <w:r w:rsidRPr="00A7082A">
        <w:t xml:space="preserve">the Board’s meetings over the previous year. In conclusion, he thanked donors that had contributed to the second round, namely Austria, Denmark, Germany, the Netherlands, Norway, Switzerland, the United Kingdom and the United States. </w:t>
      </w:r>
    </w:p>
    <w:p w14:paraId="74EE9347" w14:textId="255278E6" w:rsidR="00113D26" w:rsidRPr="00A7082A" w:rsidRDefault="00113D26" w:rsidP="00113D26">
      <w:pPr>
        <w:pStyle w:val="Normalnumber"/>
      </w:pPr>
      <w:r w:rsidRPr="00A7082A">
        <w:t xml:space="preserve">In the ensuing discussion, representatives of several of the countries which had benefited from funding under the Programme expressed appreciation for that funding and commended the donors to the Programme on their support, which would enable them to step up their efforts to implement the Convention in their countries. Representatives from some other countries expressed disappointment </w:t>
      </w:r>
      <w:r w:rsidR="00776BEA" w:rsidRPr="00A7082A">
        <w:t>that</w:t>
      </w:r>
      <w:r w:rsidRPr="00A7082A">
        <w:t xml:space="preserve"> their applications</w:t>
      </w:r>
      <w:r w:rsidR="00776BEA" w:rsidRPr="00A7082A">
        <w:t xml:space="preserve"> </w:t>
      </w:r>
      <w:r w:rsidR="008C7C57" w:rsidRPr="00A7082A">
        <w:t>had</w:t>
      </w:r>
      <w:r w:rsidR="00776BEA" w:rsidRPr="00A7082A">
        <w:t xml:space="preserve"> not</w:t>
      </w:r>
      <w:r w:rsidR="008C7C57" w:rsidRPr="00A7082A">
        <w:t xml:space="preserve"> been</w:t>
      </w:r>
      <w:r w:rsidR="00776BEA" w:rsidRPr="00A7082A">
        <w:t xml:space="preserve"> successful</w:t>
      </w:r>
      <w:r w:rsidRPr="00A7082A">
        <w:t>. One representative, speaking on behalf of a group of countries, voiced concern at the inadequate level of resources in the Programme and urged other countries to make contributions, while two others noted shortcomings in the criteria for selection of projects and requested the secretariat to make those criteria clearer.</w:t>
      </w:r>
    </w:p>
    <w:p w14:paraId="7F94FB08" w14:textId="77777777" w:rsidR="00113D26" w:rsidRPr="00A7082A" w:rsidRDefault="00113D26" w:rsidP="00113D26">
      <w:pPr>
        <w:pStyle w:val="Normalnumber"/>
      </w:pPr>
      <w:r w:rsidRPr="00A7082A">
        <w:t xml:space="preserve">Several representatives expressed support for the strengthening of the secretariat and the Programme, although one pointed out that strengthening measures could be effected in different ways. One representative, speaking on behalf of a group of countries, expressed her delegation’s willingness to discuss the issue of strengthening the secretariat’s human resources for the performance of Programme-related functions, but stressed that the issue should not be taken up under the item on the Specific International Programme and the election of its members, but should be assigned to the contact group on the programme of work and budget, in accordance with article 13 of the Convention. </w:t>
      </w:r>
      <w:r w:rsidRPr="00A7082A">
        <w:lastRenderedPageBreak/>
        <w:t>In line with that position, which was supported by two other representatives, she proposed the deletion of paragraph 2 of the draft decision set out in the annex to the overall report.</w:t>
      </w:r>
    </w:p>
    <w:p w14:paraId="116F6602" w14:textId="77777777" w:rsidR="00113D26" w:rsidRPr="00A7082A" w:rsidRDefault="00113D26" w:rsidP="00113D26">
      <w:pPr>
        <w:pStyle w:val="Normalnumber"/>
      </w:pPr>
      <w:r w:rsidRPr="00A7082A">
        <w:t>Reaffirming their support for the Programme, the representatives of Norway and Switzerland announced pledges of financial support in the amounts of, respectively, 5 million kroner and 100,000 Swiss francs.</w:t>
      </w:r>
    </w:p>
    <w:p w14:paraId="2D839C10" w14:textId="77777777" w:rsidR="00113D26" w:rsidRPr="00A7082A" w:rsidRDefault="00113D26" w:rsidP="00113D26">
      <w:pPr>
        <w:pStyle w:val="Normalnumber"/>
      </w:pPr>
      <w:r w:rsidRPr="00A7082A">
        <w:t xml:space="preserve">Following the discussion, the Conference of the Parties agreed to refer issues relating to discussions on how to strengthen the Specific International Programme, including its operations, to the group of friends of the President for further consideration and the question of increasing the staffing of the secretariat to the contact group on the programme of work and budget. </w:t>
      </w:r>
    </w:p>
    <w:p w14:paraId="1C6696B5" w14:textId="5527027C" w:rsidR="00A84C80" w:rsidRPr="00A7082A" w:rsidRDefault="00A84C80" w:rsidP="0053138D">
      <w:pPr>
        <w:pStyle w:val="Normalnumber"/>
      </w:pPr>
      <w:r w:rsidRPr="00A7082A">
        <w:t>Subsequently, following the recommendation of the group of friends of the President, the Conference of the Parties agreed to include the following text in the present report:</w:t>
      </w:r>
      <w:r w:rsidR="00CB38F6" w:rsidRPr="00A7082A" w:rsidDel="00CB38F6">
        <w:t xml:space="preserve"> </w:t>
      </w:r>
      <w:r w:rsidR="00CB38F6" w:rsidRPr="00A7082A">
        <w:t>t</w:t>
      </w:r>
      <w:r w:rsidRPr="00A7082A">
        <w:t xml:space="preserve">he Conference of the Parties recognized the efforts reported by the Executive Director of UNEP to implement the reform initiatives of the Secretary-General of the United Nations, including those relating to global consolidation of administrative services. In that context, the </w:t>
      </w:r>
      <w:r w:rsidR="0052730B" w:rsidRPr="00A7082A">
        <w:t>Conference of the P</w:t>
      </w:r>
      <w:r w:rsidRPr="00A7082A">
        <w:t xml:space="preserve">arties encouraged the Executive Director, in consultation with the Governing Board of the Specific International Programme, to assess possible options for enhancing the Programme and its operations. The aim of such options would be to ensure the capability of the Specific International Programme to deliver on its mandate and to apply sound administrative procedures and project management, thereby enhancing the effectiveness of the Programme in supporting eligible parties in implementing the Minamata Convention. Furthermore, the Conference of the Parties invited the Executive Director to present a report on the matter for consideration at its fourth meeting. </w:t>
      </w:r>
    </w:p>
    <w:p w14:paraId="6D754A62" w14:textId="4911CF44" w:rsidR="003A006F" w:rsidRPr="00A7082A" w:rsidRDefault="003A006F" w:rsidP="003A006F">
      <w:pPr>
        <w:pStyle w:val="Normalnumber"/>
      </w:pPr>
      <w:r w:rsidRPr="00A7082A">
        <w:t>Subsequently, the Conference of the Parties confirmed the following members of the Governing Board of the Specific International Programme:</w:t>
      </w:r>
    </w:p>
    <w:p w14:paraId="6A3D2A8E" w14:textId="03DFC2DE" w:rsidR="00D648F6" w:rsidRPr="00A7082A" w:rsidRDefault="00D648F6" w:rsidP="008F77F9">
      <w:pPr>
        <w:pStyle w:val="Normalnumber"/>
        <w:numPr>
          <w:ilvl w:val="0"/>
          <w:numId w:val="0"/>
        </w:numPr>
        <w:ind w:left="1247" w:firstLine="624"/>
      </w:pPr>
      <w:r w:rsidRPr="00A7082A">
        <w:tab/>
      </w:r>
      <w:r w:rsidR="001413F6" w:rsidRPr="00A7082A">
        <w:t>F</w:t>
      </w:r>
      <w:r w:rsidRPr="00A7082A">
        <w:t>rom the</w:t>
      </w:r>
      <w:r w:rsidR="001413F6" w:rsidRPr="00A7082A">
        <w:t xml:space="preserve"> Africa</w:t>
      </w:r>
      <w:r w:rsidRPr="00A7082A">
        <w:t>n States</w:t>
      </w:r>
      <w:r w:rsidR="001413F6" w:rsidRPr="00A7082A">
        <w:t>:</w:t>
      </w:r>
      <w:r w:rsidR="007D4E66" w:rsidRPr="00A7082A">
        <w:t xml:space="preserve"> </w:t>
      </w:r>
    </w:p>
    <w:p w14:paraId="13F1CF8E" w14:textId="77777777" w:rsidR="00EA57CE" w:rsidRPr="00A7082A" w:rsidRDefault="00D648F6">
      <w:pPr>
        <w:pStyle w:val="Normalnumber"/>
        <w:numPr>
          <w:ilvl w:val="0"/>
          <w:numId w:val="0"/>
        </w:numPr>
        <w:tabs>
          <w:tab w:val="clear" w:pos="624"/>
          <w:tab w:val="left" w:pos="1985"/>
        </w:tabs>
        <w:ind w:left="1871" w:firstLine="624"/>
      </w:pPr>
      <w:r w:rsidRPr="00A7082A">
        <w:tab/>
      </w:r>
      <w:r w:rsidR="001413F6" w:rsidRPr="00A7082A">
        <w:t xml:space="preserve">Olubunmi Olusanya (Nigeria) </w:t>
      </w:r>
    </w:p>
    <w:p w14:paraId="48930ECC" w14:textId="2F72551E" w:rsidR="001413F6" w:rsidRPr="00A7082A" w:rsidRDefault="001413F6" w:rsidP="00417FE2">
      <w:pPr>
        <w:pStyle w:val="Normalnumber"/>
        <w:numPr>
          <w:ilvl w:val="0"/>
          <w:numId w:val="0"/>
        </w:numPr>
        <w:tabs>
          <w:tab w:val="clear" w:pos="624"/>
          <w:tab w:val="left" w:pos="1985"/>
        </w:tabs>
        <w:ind w:left="1871" w:firstLine="624"/>
      </w:pPr>
      <w:r w:rsidRPr="00A7082A">
        <w:t>A</w:t>
      </w:r>
      <w:r w:rsidR="00AE2D06" w:rsidRPr="00A7082A">
        <w:t>ï</w:t>
      </w:r>
      <w:r w:rsidRPr="00A7082A">
        <w:t>ta Seck (Senegal)</w:t>
      </w:r>
    </w:p>
    <w:p w14:paraId="6134C165" w14:textId="26F7F024" w:rsidR="00D648F6" w:rsidRPr="00A7082A" w:rsidRDefault="00D648F6" w:rsidP="008F77F9">
      <w:pPr>
        <w:pStyle w:val="Normalnumber"/>
        <w:numPr>
          <w:ilvl w:val="0"/>
          <w:numId w:val="0"/>
        </w:numPr>
        <w:ind w:left="1247" w:firstLine="624"/>
      </w:pPr>
      <w:r w:rsidRPr="00A7082A">
        <w:tab/>
      </w:r>
      <w:r w:rsidR="001413F6" w:rsidRPr="00A7082A">
        <w:t>F</w:t>
      </w:r>
      <w:r w:rsidRPr="00A7082A">
        <w:t>rom</w:t>
      </w:r>
      <w:r w:rsidR="001413F6" w:rsidRPr="00A7082A">
        <w:t xml:space="preserve"> </w:t>
      </w:r>
      <w:r w:rsidRPr="00A7082A">
        <w:t xml:space="preserve">the </w:t>
      </w:r>
      <w:r w:rsidR="001413F6" w:rsidRPr="00A7082A">
        <w:t>Asia</w:t>
      </w:r>
      <w:r w:rsidRPr="00A7082A">
        <w:t>-</w:t>
      </w:r>
      <w:r w:rsidR="001413F6" w:rsidRPr="00A7082A">
        <w:t>Pacific</w:t>
      </w:r>
      <w:r w:rsidRPr="00A7082A">
        <w:t xml:space="preserve"> States</w:t>
      </w:r>
      <w:r w:rsidR="001413F6" w:rsidRPr="00A7082A">
        <w:t xml:space="preserve">: </w:t>
      </w:r>
    </w:p>
    <w:p w14:paraId="2CF67963" w14:textId="77777777" w:rsidR="00EA57CE" w:rsidRPr="00A7082A" w:rsidRDefault="00D648F6">
      <w:pPr>
        <w:pStyle w:val="Normalnumber"/>
        <w:numPr>
          <w:ilvl w:val="0"/>
          <w:numId w:val="0"/>
        </w:numPr>
        <w:tabs>
          <w:tab w:val="clear" w:pos="624"/>
          <w:tab w:val="left" w:pos="1985"/>
        </w:tabs>
        <w:ind w:left="1871" w:firstLine="624"/>
      </w:pPr>
      <w:r w:rsidRPr="00A7082A">
        <w:tab/>
        <w:t xml:space="preserve">Mohsen Naziri Asl (Islamic Republic of Iran) </w:t>
      </w:r>
    </w:p>
    <w:p w14:paraId="4CAB8E63" w14:textId="3A436BD5" w:rsidR="001413F6" w:rsidRPr="00A7082A" w:rsidRDefault="001413F6" w:rsidP="00417FE2">
      <w:pPr>
        <w:pStyle w:val="Normalnumber"/>
        <w:numPr>
          <w:ilvl w:val="0"/>
          <w:numId w:val="0"/>
        </w:numPr>
        <w:tabs>
          <w:tab w:val="clear" w:pos="624"/>
          <w:tab w:val="left" w:pos="1985"/>
        </w:tabs>
        <w:ind w:left="1871" w:firstLine="624"/>
      </w:pPr>
      <w:r w:rsidRPr="00A7082A">
        <w:t>Prasert Tapaneeyangkul (Thailand)</w:t>
      </w:r>
      <w:r w:rsidR="007D4E66" w:rsidRPr="00A7082A">
        <w:t xml:space="preserve"> </w:t>
      </w:r>
    </w:p>
    <w:p w14:paraId="13454BDA" w14:textId="48DFE141" w:rsidR="00D648F6" w:rsidRPr="00A7082A" w:rsidRDefault="00D648F6" w:rsidP="008F77F9">
      <w:pPr>
        <w:pStyle w:val="Normalnumber"/>
        <w:numPr>
          <w:ilvl w:val="0"/>
          <w:numId w:val="0"/>
        </w:numPr>
        <w:ind w:left="1247" w:firstLine="624"/>
      </w:pPr>
      <w:r w:rsidRPr="00A7082A">
        <w:tab/>
      </w:r>
      <w:r w:rsidR="001413F6" w:rsidRPr="00A7082A">
        <w:t>F</w:t>
      </w:r>
      <w:r w:rsidRPr="00A7082A">
        <w:t xml:space="preserve">rom the </w:t>
      </w:r>
      <w:r w:rsidR="001413F6" w:rsidRPr="00A7082A">
        <w:t>Central and Eastern Europe</w:t>
      </w:r>
      <w:r w:rsidRPr="00A7082A">
        <w:t>an States</w:t>
      </w:r>
      <w:r w:rsidR="001413F6" w:rsidRPr="00A7082A">
        <w:t xml:space="preserve">: </w:t>
      </w:r>
    </w:p>
    <w:p w14:paraId="76119E21" w14:textId="77777777" w:rsidR="00EA57CE" w:rsidRPr="00A7082A" w:rsidRDefault="00D648F6">
      <w:pPr>
        <w:pStyle w:val="Normalnumber"/>
        <w:numPr>
          <w:ilvl w:val="0"/>
          <w:numId w:val="0"/>
        </w:numPr>
        <w:tabs>
          <w:tab w:val="clear" w:pos="624"/>
          <w:tab w:val="left" w:pos="1985"/>
        </w:tabs>
        <w:ind w:left="1871" w:firstLine="624"/>
      </w:pPr>
      <w:r w:rsidRPr="00A7082A">
        <w:tab/>
        <w:t xml:space="preserve">Anahit Aleksandryan (Armenia) </w:t>
      </w:r>
    </w:p>
    <w:p w14:paraId="6C82437B" w14:textId="4FD1629D" w:rsidR="001413F6" w:rsidRPr="00A7082A" w:rsidRDefault="001413F6" w:rsidP="00417FE2">
      <w:pPr>
        <w:pStyle w:val="Normalnumber"/>
        <w:numPr>
          <w:ilvl w:val="0"/>
          <w:numId w:val="0"/>
        </w:numPr>
        <w:tabs>
          <w:tab w:val="clear" w:pos="624"/>
          <w:tab w:val="left" w:pos="1985"/>
        </w:tabs>
        <w:ind w:left="1871" w:firstLine="624"/>
      </w:pPr>
      <w:r w:rsidRPr="00A7082A">
        <w:t xml:space="preserve">Kaupo Heinma (Estonia) </w:t>
      </w:r>
    </w:p>
    <w:p w14:paraId="17B58D2A" w14:textId="3D11AD4A" w:rsidR="00D648F6" w:rsidRPr="00A7082A" w:rsidRDefault="00D648F6" w:rsidP="008F77F9">
      <w:pPr>
        <w:pStyle w:val="Normalnumber"/>
        <w:numPr>
          <w:ilvl w:val="0"/>
          <w:numId w:val="0"/>
        </w:numPr>
        <w:ind w:left="1247" w:firstLine="624"/>
      </w:pPr>
      <w:r w:rsidRPr="00A7082A">
        <w:tab/>
      </w:r>
      <w:r w:rsidR="001413F6" w:rsidRPr="00A7082A">
        <w:t>F</w:t>
      </w:r>
      <w:r w:rsidRPr="00A7082A">
        <w:t>rom the</w:t>
      </w:r>
      <w:r w:rsidR="001413F6" w:rsidRPr="00A7082A">
        <w:t xml:space="preserve"> Latin America</w:t>
      </w:r>
      <w:r w:rsidRPr="00A7082A">
        <w:t>n</w:t>
      </w:r>
      <w:r w:rsidR="001413F6" w:rsidRPr="00A7082A">
        <w:t xml:space="preserve"> and Caribbean</w:t>
      </w:r>
      <w:r w:rsidRPr="00A7082A">
        <w:t xml:space="preserve"> States</w:t>
      </w:r>
      <w:r w:rsidR="001413F6" w:rsidRPr="00A7082A">
        <w:t xml:space="preserve">: </w:t>
      </w:r>
    </w:p>
    <w:p w14:paraId="2F905DB0" w14:textId="6A31B830" w:rsidR="00EA57CE" w:rsidRPr="00A7082A" w:rsidRDefault="00D648F6">
      <w:pPr>
        <w:pStyle w:val="Normalnumber"/>
        <w:numPr>
          <w:ilvl w:val="0"/>
          <w:numId w:val="0"/>
        </w:numPr>
        <w:tabs>
          <w:tab w:val="clear" w:pos="624"/>
          <w:tab w:val="left" w:pos="1985"/>
        </w:tabs>
        <w:ind w:left="1871" w:firstLine="624"/>
      </w:pPr>
      <w:r w:rsidRPr="00A7082A">
        <w:tab/>
      </w:r>
      <w:r w:rsidR="001413F6" w:rsidRPr="00A7082A">
        <w:t xml:space="preserve">Pedro Piacesi de Souza (Brazil) </w:t>
      </w:r>
    </w:p>
    <w:p w14:paraId="5C63A584" w14:textId="1073EE25" w:rsidR="001413F6" w:rsidRPr="00A7082A" w:rsidRDefault="001413F6" w:rsidP="00417FE2">
      <w:pPr>
        <w:pStyle w:val="Normalnumber"/>
        <w:numPr>
          <w:ilvl w:val="0"/>
          <w:numId w:val="0"/>
        </w:numPr>
        <w:tabs>
          <w:tab w:val="clear" w:pos="624"/>
          <w:tab w:val="left" w:pos="1985"/>
        </w:tabs>
        <w:ind w:left="1871" w:firstLine="624"/>
      </w:pPr>
      <w:r w:rsidRPr="00A7082A">
        <w:t>Gina Griffith (Suriname)</w:t>
      </w:r>
    </w:p>
    <w:p w14:paraId="5C08D2B9" w14:textId="37BE9164" w:rsidR="00D648F6" w:rsidRPr="00A7082A" w:rsidRDefault="00D648F6" w:rsidP="008F77F9">
      <w:pPr>
        <w:pStyle w:val="Normalnumber"/>
        <w:numPr>
          <w:ilvl w:val="0"/>
          <w:numId w:val="0"/>
        </w:numPr>
        <w:ind w:left="1247" w:firstLine="624"/>
      </w:pPr>
      <w:r w:rsidRPr="00A7082A">
        <w:tab/>
      </w:r>
      <w:r w:rsidR="001413F6" w:rsidRPr="00A7082A">
        <w:t>F</w:t>
      </w:r>
      <w:r w:rsidRPr="00A7082A">
        <w:t>rom the</w:t>
      </w:r>
      <w:r w:rsidR="001413F6" w:rsidRPr="00A7082A">
        <w:t xml:space="preserve"> Western Europe</w:t>
      </w:r>
      <w:r w:rsidR="008C7C57" w:rsidRPr="00A7082A">
        <w:t>an</w:t>
      </w:r>
      <w:r w:rsidR="001413F6" w:rsidRPr="00A7082A">
        <w:t xml:space="preserve"> and </w:t>
      </w:r>
      <w:r w:rsidR="008C7C57" w:rsidRPr="00A7082A">
        <w:t>o</w:t>
      </w:r>
      <w:r w:rsidR="001413F6" w:rsidRPr="00A7082A">
        <w:t>ther</w:t>
      </w:r>
      <w:r w:rsidR="008C7C57" w:rsidRPr="00A7082A">
        <w:t xml:space="preserve"> States</w:t>
      </w:r>
      <w:r w:rsidR="001413F6" w:rsidRPr="00A7082A">
        <w:t xml:space="preserve">: </w:t>
      </w:r>
    </w:p>
    <w:p w14:paraId="18F11457" w14:textId="50382244" w:rsidR="00EA57CE" w:rsidRPr="00A7082A" w:rsidRDefault="00D648F6">
      <w:pPr>
        <w:pStyle w:val="Normalnumber"/>
        <w:numPr>
          <w:ilvl w:val="0"/>
          <w:numId w:val="0"/>
        </w:numPr>
        <w:tabs>
          <w:tab w:val="clear" w:pos="624"/>
          <w:tab w:val="left" w:pos="1985"/>
        </w:tabs>
        <w:ind w:left="1871" w:firstLine="624"/>
      </w:pPr>
      <w:r w:rsidRPr="00A7082A">
        <w:tab/>
      </w:r>
      <w:r w:rsidR="0092538E" w:rsidRPr="00A7082A">
        <w:t xml:space="preserve">Reginald </w:t>
      </w:r>
      <w:r w:rsidR="001413F6" w:rsidRPr="00A7082A">
        <w:t xml:space="preserve">Hernaus (Netherlands) </w:t>
      </w:r>
    </w:p>
    <w:p w14:paraId="54972357" w14:textId="4E71C093" w:rsidR="003A006F" w:rsidRPr="00A7082A" w:rsidRDefault="001413F6" w:rsidP="00417FE2">
      <w:pPr>
        <w:pStyle w:val="Normalnumber"/>
        <w:numPr>
          <w:ilvl w:val="0"/>
          <w:numId w:val="0"/>
        </w:numPr>
        <w:tabs>
          <w:tab w:val="clear" w:pos="624"/>
          <w:tab w:val="left" w:pos="1985"/>
        </w:tabs>
        <w:ind w:left="1871" w:firstLine="624"/>
      </w:pPr>
      <w:r w:rsidRPr="00A7082A">
        <w:t>Atle Fretheim (Norway)</w:t>
      </w:r>
    </w:p>
    <w:p w14:paraId="2C834379" w14:textId="749CF88D" w:rsidR="00077945" w:rsidRPr="00A7082A" w:rsidRDefault="00A7033C" w:rsidP="0053138D">
      <w:pPr>
        <w:pStyle w:val="CH3"/>
      </w:pPr>
      <w:r w:rsidRPr="00A7082A">
        <w:tab/>
        <w:t>3.</w:t>
      </w:r>
      <w:r w:rsidRPr="00A7082A">
        <w:tab/>
      </w:r>
      <w:r w:rsidR="00077945" w:rsidRPr="00A7082A">
        <w:t>Review of the financial mechanism</w:t>
      </w:r>
    </w:p>
    <w:p w14:paraId="4BDAE3E8" w14:textId="77777777" w:rsidR="00113D26" w:rsidRPr="00A7082A" w:rsidRDefault="00113D26" w:rsidP="0053138D">
      <w:pPr>
        <w:pStyle w:val="Normalnumber"/>
      </w:pPr>
      <w:r w:rsidRPr="00A7082A">
        <w:t xml:space="preserve">Introducing the sub-item, the representative of the secretariat drew attention to the provisions of article 13 of the Convention and recalled that, at its second meeting, the Conference of the Parties had requested the secretariat to compile the information to be provided by GEF, the Specific International Programme, parties and other relevant sources on matters identified in paragraph 11 of that article as being necessary for the review of the financial mechanism of the Convention, and to present a synthesis of such information for consideration by the Conference of the Parties at its third meeting (UNEP/MC/COP.2/19, para. 120). Accordingly, the Conference of the Parties had before it a note by the secretariat on the review of the financial mechanism (UNEP/MC/COP.3/11), synthesizing the information received from GEF and the Governing Board of the Specific International Programme. No information on the matter had been provided by parties or other relevant sources. </w:t>
      </w:r>
    </w:p>
    <w:p w14:paraId="2766262B" w14:textId="20E530FB" w:rsidR="00113D26" w:rsidRPr="00A7082A" w:rsidRDefault="00113D26" w:rsidP="00225BA1">
      <w:pPr>
        <w:pStyle w:val="Normalnumber"/>
      </w:pPr>
      <w:r w:rsidRPr="00A7082A">
        <w:t xml:space="preserve">One representative, speaking on behalf of a group of countries, praised the rapid operationalization of the financial mechanism. Two other representatives speaking on behalf of groups </w:t>
      </w:r>
      <w:r w:rsidRPr="00A7082A">
        <w:lastRenderedPageBreak/>
        <w:t>of countries reiterated the essential role of the Specific International Programme for those countries, with one of them welcoming the improvements made in terms of the transparency and simplification of the application process over the course of the two rounds. She also called for an extension of the duration of the Programme. The other representative, however, pointed out that, as of the first round, it had been clear that the Programme was lacking sufficient resources and expressed concern that it was overwhelmed</w:t>
      </w:r>
      <w:r w:rsidR="00776BEA" w:rsidRPr="00A7082A">
        <w:t xml:space="preserve"> by demand</w:t>
      </w:r>
      <w:r w:rsidRPr="00A7082A">
        <w:t xml:space="preserve"> so early on in its existence</w:t>
      </w:r>
      <w:r w:rsidR="009D509F" w:rsidRPr="00A7082A">
        <w:t>.</w:t>
      </w:r>
      <w:r w:rsidR="00F55A86" w:rsidRPr="00A7082A">
        <w:t xml:space="preserve"> </w:t>
      </w:r>
    </w:p>
    <w:p w14:paraId="14D30A8D" w14:textId="77777777" w:rsidR="00113D26" w:rsidRPr="00A7082A" w:rsidRDefault="00113D26" w:rsidP="00113D26">
      <w:pPr>
        <w:pStyle w:val="Normalnumber"/>
        <w:tabs>
          <w:tab w:val="clear" w:pos="624"/>
        </w:tabs>
      </w:pPr>
      <w:r w:rsidRPr="00A7082A">
        <w:t>Given the importance of action not only at the national level but also at the regional and subregional levels in combating mercury, one representative proposed that the draft terms of reference for the second review of the financial mechanism, to be prepared for the consideration of the Conference of the Parties at its fourth meeting, allow for special attention to be given to regional and subregional projects.</w:t>
      </w:r>
    </w:p>
    <w:p w14:paraId="44F8227F" w14:textId="38CD3657" w:rsidR="00A7033C" w:rsidRPr="00A7082A" w:rsidRDefault="00113D26" w:rsidP="00113D26">
      <w:pPr>
        <w:pStyle w:val="Normalnumber"/>
      </w:pPr>
      <w:r w:rsidRPr="00A7082A">
        <w:t>The Conference of the Parties adopted decision MC-3/</w:t>
      </w:r>
      <w:r w:rsidR="00EE6A6E" w:rsidRPr="00A7082A">
        <w:t>7</w:t>
      </w:r>
      <w:r w:rsidR="00D648F6" w:rsidRPr="00A7082A">
        <w:t>,</w:t>
      </w:r>
      <w:r w:rsidRPr="00A7082A">
        <w:t xml:space="preserve"> on the </w:t>
      </w:r>
      <w:r w:rsidR="00990DF9" w:rsidRPr="00A7082A">
        <w:t xml:space="preserve">first </w:t>
      </w:r>
      <w:r w:rsidRPr="00A7082A">
        <w:t xml:space="preserve">review of the financial mechanism, as set out in </w:t>
      </w:r>
      <w:r w:rsidR="00A32D85" w:rsidRPr="00A7082A">
        <w:t xml:space="preserve">the </w:t>
      </w:r>
      <w:r w:rsidRPr="00A7082A">
        <w:t xml:space="preserve">annex to the present report. </w:t>
      </w:r>
    </w:p>
    <w:p w14:paraId="42C04D40" w14:textId="44883514" w:rsidR="00077945" w:rsidRPr="00A7082A" w:rsidRDefault="00A7033C" w:rsidP="00A7033C">
      <w:pPr>
        <w:pStyle w:val="CH2"/>
      </w:pPr>
      <w:r w:rsidRPr="00A7082A">
        <w:tab/>
      </w:r>
      <w:bookmarkStart w:id="23" w:name="_Toc27124728"/>
      <w:r w:rsidRPr="00A7082A">
        <w:t>F.</w:t>
      </w:r>
      <w:r w:rsidRPr="00A7082A">
        <w:tab/>
      </w:r>
      <w:r w:rsidR="00077945" w:rsidRPr="00A7082A">
        <w:t>Capacity-building, technical assistance and technology transfer</w:t>
      </w:r>
      <w:bookmarkEnd w:id="23"/>
    </w:p>
    <w:p w14:paraId="6EBF0AFA" w14:textId="5CC86FAA" w:rsidR="00397781" w:rsidRPr="00A7082A" w:rsidRDefault="00397781" w:rsidP="00397781">
      <w:pPr>
        <w:pStyle w:val="Normalnumber"/>
      </w:pPr>
      <w:r w:rsidRPr="00A7082A">
        <w:t xml:space="preserve">Introducing the item, the representative of the secretariat recalled that, at its second meeting, the Conference of the Parties, in its decision MC-2/11, had requested the secretariat to collect information received from the existing regional, subregional and national arrangements on their capacity-building and technical assistance to support parties in implementing their obligations under the Minamata Convention and to report thereon to the Conference of the Parties at its third meeting. In the same decision, it had emphasized the relevance of using, as appropriate, regional, subregional and national arrangements, including existing regional and subregional centres, in the delivery of </w:t>
      </w:r>
      <w:r w:rsidR="009451BB" w:rsidRPr="00A7082A">
        <w:t>capacity</w:t>
      </w:r>
      <w:r w:rsidR="009451BB" w:rsidRPr="00A7082A">
        <w:noBreakHyphen/>
        <w:t>building</w:t>
      </w:r>
      <w:r w:rsidRPr="00A7082A">
        <w:t xml:space="preserve"> and technical assistance consistent with article 14 of the Convention. Accordingly, the Conference of the Parties had before it a note by the secretariat on the matter (UNEP/MC/COP.3/12) and a compilation of the information received (UNEP/MC/COP.3/INF/14). </w:t>
      </w:r>
    </w:p>
    <w:p w14:paraId="6CB320D7" w14:textId="4FEA2844" w:rsidR="00397781" w:rsidRPr="00A7082A" w:rsidRDefault="00397781" w:rsidP="00397781">
      <w:pPr>
        <w:pStyle w:val="Normalnumber"/>
      </w:pPr>
      <w:r w:rsidRPr="00A7082A">
        <w:t xml:space="preserve">One representative queried the omission of “technology transfer” from the heading and content of document UNEP/MC/COP.3/12, despite its inclusion under article 14. The </w:t>
      </w:r>
      <w:r w:rsidR="005B514F" w:rsidRPr="00A7082A">
        <w:t>Executive Secretary</w:t>
      </w:r>
      <w:r w:rsidRPr="00A7082A">
        <w:t xml:space="preserve"> responded that the Conference of the Parties, in its decision MC-2/11, had only requested the secretariat to report at the present meeting on </w:t>
      </w:r>
      <w:r w:rsidR="009451BB" w:rsidRPr="00A7082A">
        <w:t>capacity</w:t>
      </w:r>
      <w:r w:rsidR="009451BB" w:rsidRPr="00A7082A">
        <w:noBreakHyphen/>
        <w:t>building</w:t>
      </w:r>
      <w:r w:rsidRPr="00A7082A">
        <w:t xml:space="preserve"> and technical assistance, and the secretariat had acted in accordance with its mandate from the parties. </w:t>
      </w:r>
    </w:p>
    <w:p w14:paraId="26739362" w14:textId="1F9A3EF7" w:rsidR="00397781" w:rsidRPr="00A7082A" w:rsidRDefault="00397781" w:rsidP="00397781">
      <w:pPr>
        <w:pStyle w:val="Normalnumber"/>
      </w:pPr>
      <w:r w:rsidRPr="00A7082A">
        <w:t xml:space="preserve">During the ensuing discussion, many representatives spoke of the importance of </w:t>
      </w:r>
      <w:r w:rsidR="009451BB" w:rsidRPr="00A7082A">
        <w:t>capacity</w:t>
      </w:r>
      <w:r w:rsidR="009451BB" w:rsidRPr="00A7082A">
        <w:noBreakHyphen/>
        <w:t>building</w:t>
      </w:r>
      <w:r w:rsidRPr="00A7082A">
        <w:t xml:space="preserve">, technical assistance and technology transfer to ensure that all parties were able to fulfil their obligations under the Convention. One representative, speaking on behalf of a group of countries, highlighted the role of the regional and subregional centres in enhancing the provision of technical assistance and </w:t>
      </w:r>
      <w:r w:rsidR="009451BB" w:rsidRPr="00A7082A">
        <w:t>capacity</w:t>
      </w:r>
      <w:r w:rsidR="009451BB" w:rsidRPr="00A7082A">
        <w:noBreakHyphen/>
        <w:t>building</w:t>
      </w:r>
      <w:r w:rsidRPr="00A7082A">
        <w:t xml:space="preserve">, in accordance with decision MC-2/11. Supported by other parties, he said that the mandate to the secretariat to gather information on those matters and report the findings to the parties should be extended to the fourth meeting of the Conference of the Parties with information sought both from parties and from other stakeholders and experts. Another representative speaking on behalf of a group of countries underscored a number of areas where </w:t>
      </w:r>
      <w:r w:rsidR="009451BB" w:rsidRPr="00A7082A">
        <w:t>capacity</w:t>
      </w:r>
      <w:r w:rsidR="009451BB" w:rsidRPr="00A7082A">
        <w:noBreakHyphen/>
        <w:t>building</w:t>
      </w:r>
      <w:r w:rsidRPr="00A7082A">
        <w:t xml:space="preserve">, technical assistance and technology transfer would be of benefit to developing countries, including the development of national action plans, ensuring that the technology shared was appropriate and up to date, strengthening the science-policy interface, and building partnerships at all levels, including through North–South and South–South cooperation, and the creation of synergies between the Minamata Convention, the Basel, Rotterdam and Stockholm conventions, UNEP and other relevant partners to ensure that resources were used efficiently. </w:t>
      </w:r>
    </w:p>
    <w:p w14:paraId="3A751F56" w14:textId="162009DF" w:rsidR="00397781" w:rsidRPr="00A7082A" w:rsidRDefault="00397781" w:rsidP="00397781">
      <w:pPr>
        <w:pStyle w:val="Normalnumber"/>
      </w:pPr>
      <w:r w:rsidRPr="00A7082A">
        <w:t xml:space="preserve">Two representatives referred to the role of </w:t>
      </w:r>
      <w:r w:rsidR="009451BB" w:rsidRPr="00A7082A">
        <w:t>capacity</w:t>
      </w:r>
      <w:r w:rsidR="009451BB" w:rsidRPr="00A7082A">
        <w:noBreakHyphen/>
        <w:t>building</w:t>
      </w:r>
      <w:r w:rsidRPr="00A7082A">
        <w:t xml:space="preserve"> in combating illegal trade and transboundary movement of mercury. One representative said that improved information exchange between focal points, customs authorities and other entities would assist in that regard. A number of representatives mentioned the threat to the environment and to human health of artisanal and </w:t>
      </w:r>
      <w:r w:rsidR="000C690C" w:rsidRPr="00A7082A">
        <w:t>small</w:t>
      </w:r>
      <w:r w:rsidR="000C690C" w:rsidRPr="00A7082A">
        <w:noBreakHyphen/>
        <w:t>scale</w:t>
      </w:r>
      <w:r w:rsidRPr="00A7082A">
        <w:t xml:space="preserve"> gold mining as an area where countries urgently required assistance, </w:t>
      </w:r>
      <w:r w:rsidR="007055F4" w:rsidRPr="00A7082A">
        <w:t xml:space="preserve">in </w:t>
      </w:r>
      <w:r w:rsidRPr="00A7082A">
        <w:t xml:space="preserve">particular in developing and applying alternative technologies, in accordance with article 7 of the Convention. One representative said that </w:t>
      </w:r>
      <w:r w:rsidR="009451BB" w:rsidRPr="00A7082A">
        <w:t>capacity</w:t>
      </w:r>
      <w:r w:rsidR="009451BB" w:rsidRPr="00A7082A">
        <w:noBreakHyphen/>
        <w:t>building</w:t>
      </w:r>
      <w:r w:rsidRPr="00A7082A">
        <w:t xml:space="preserve">, technical assistance and technology transfer should be based on country needs and clear targets. </w:t>
      </w:r>
    </w:p>
    <w:p w14:paraId="450ACEE5" w14:textId="07098567" w:rsidR="00397781" w:rsidRPr="00A7082A" w:rsidRDefault="00397781" w:rsidP="00397781">
      <w:pPr>
        <w:pStyle w:val="Normalnumber"/>
      </w:pPr>
      <w:r w:rsidRPr="00A7082A">
        <w:t>The representative of the European Union</w:t>
      </w:r>
      <w:r w:rsidR="003051A1" w:rsidRPr="00A7082A">
        <w:t xml:space="preserve"> </w:t>
      </w:r>
      <w:r w:rsidRPr="00A7082A">
        <w:t xml:space="preserve">welcomed the activities of the secretariat under article 14 of the Convention, and announced that the European Union had </w:t>
      </w:r>
      <w:r w:rsidR="00080762" w:rsidRPr="00A7082A">
        <w:t>provided</w:t>
      </w:r>
      <w:r w:rsidRPr="00A7082A">
        <w:t xml:space="preserve"> the secretariat </w:t>
      </w:r>
      <w:r w:rsidR="00080762" w:rsidRPr="00A7082A">
        <w:t>with</w:t>
      </w:r>
      <w:r w:rsidRPr="00A7082A">
        <w:t xml:space="preserve"> €500,000 to support </w:t>
      </w:r>
      <w:r w:rsidR="009451BB" w:rsidRPr="00A7082A">
        <w:t>capacity</w:t>
      </w:r>
      <w:r w:rsidR="009451BB" w:rsidRPr="00A7082A">
        <w:noBreakHyphen/>
        <w:t>building</w:t>
      </w:r>
      <w:r w:rsidRPr="00A7082A">
        <w:t xml:space="preserve"> on mercury trade and emissions at the subregional level. The </w:t>
      </w:r>
      <w:r w:rsidR="009125AF" w:rsidRPr="00A7082A">
        <w:t>Executive Secretary</w:t>
      </w:r>
      <w:r w:rsidRPr="00A7082A">
        <w:t xml:space="preserve"> added that a number of workshops had already been held in </w:t>
      </w:r>
      <w:r w:rsidR="00080762" w:rsidRPr="00A7082A">
        <w:t xml:space="preserve">Latin </w:t>
      </w:r>
      <w:r w:rsidRPr="00A7082A">
        <w:t xml:space="preserve">America and Asia under the </w:t>
      </w:r>
      <w:r w:rsidR="009125AF" w:rsidRPr="00A7082A">
        <w:t>project funded by the European Union</w:t>
      </w:r>
      <w:r w:rsidRPr="00A7082A">
        <w:t>.</w:t>
      </w:r>
      <w:r w:rsidR="009125AF" w:rsidRPr="00A7082A">
        <w:t xml:space="preserve"> Other workshops and follow-up activities were planned</w:t>
      </w:r>
      <w:r w:rsidR="007055F4" w:rsidRPr="00A7082A">
        <w:t>.</w:t>
      </w:r>
      <w:r w:rsidRPr="00A7082A">
        <w:t xml:space="preserve"> </w:t>
      </w:r>
    </w:p>
    <w:p w14:paraId="6AF58029" w14:textId="37017280" w:rsidR="00113D26" w:rsidRPr="00A7082A" w:rsidRDefault="00CB38F6" w:rsidP="00113D26">
      <w:pPr>
        <w:pStyle w:val="Normalnumber"/>
      </w:pPr>
      <w:r w:rsidRPr="00A7082A">
        <w:lastRenderedPageBreak/>
        <w:t>The</w:t>
      </w:r>
      <w:r w:rsidR="00113D26" w:rsidRPr="00A7082A">
        <w:t xml:space="preserve"> representative of a number of parties from Latin America and the Caribbean introduced a conference room paper containing a draft decision entitled “Article 14: </w:t>
      </w:r>
      <w:r w:rsidRPr="00A7082A">
        <w:t>c</w:t>
      </w:r>
      <w:r w:rsidR="00113D26" w:rsidRPr="00A7082A">
        <w:t>apacity</w:t>
      </w:r>
      <w:r w:rsidR="00113D26" w:rsidRPr="00A7082A">
        <w:noBreakHyphen/>
        <w:t>building, technical assistance and technology transfer”. The proposed draft decision emphasized the importance of regional, subregional and national arrangements, including the regional and subregional centres of the Basel and Stockholm conventions, in the delivery of capacity</w:t>
      </w:r>
      <w:r w:rsidR="00113D26" w:rsidRPr="00A7082A">
        <w:noBreakHyphen/>
        <w:t xml:space="preserve">building and technical assistance consistent with article 14 of the Convention, and requested the secretariat to undertake activities, including information collection and sharing, to support parties in that regard. </w:t>
      </w:r>
    </w:p>
    <w:p w14:paraId="04610CE8" w14:textId="221D0596" w:rsidR="000B502C" w:rsidRPr="00A7082A" w:rsidRDefault="00CB38F6" w:rsidP="0053138D">
      <w:pPr>
        <w:pStyle w:val="Normalnumber"/>
      </w:pPr>
      <w:r w:rsidRPr="00A7082A">
        <w:t>Subsequently</w:t>
      </w:r>
      <w:r w:rsidR="000B502C" w:rsidRPr="00A7082A">
        <w:t>, the Conference of the Parties adopted decision MC-3/</w:t>
      </w:r>
      <w:r w:rsidR="00EE6A6E" w:rsidRPr="00A7082A">
        <w:t>8</w:t>
      </w:r>
      <w:r w:rsidR="000B502C" w:rsidRPr="00A7082A">
        <w:t xml:space="preserve"> </w:t>
      </w:r>
      <w:r w:rsidR="00A84C80" w:rsidRPr="00A7082A">
        <w:t>entitled</w:t>
      </w:r>
      <w:r w:rsidR="000B502C" w:rsidRPr="00A7082A">
        <w:t xml:space="preserve"> </w:t>
      </w:r>
      <w:r w:rsidR="00A84C80" w:rsidRPr="00A7082A">
        <w:t>“A</w:t>
      </w:r>
      <w:r w:rsidR="000B502C" w:rsidRPr="00A7082A">
        <w:t>rticle 14: capacity-building, technical assistance and technology transfer</w:t>
      </w:r>
      <w:r w:rsidR="00A84C80" w:rsidRPr="00A7082A">
        <w:t>”</w:t>
      </w:r>
      <w:r w:rsidR="000B502C" w:rsidRPr="00A7082A">
        <w:t>, as submitted following informal consultations</w:t>
      </w:r>
      <w:r w:rsidR="0073584A" w:rsidRPr="00A7082A">
        <w:t>, as</w:t>
      </w:r>
      <w:r w:rsidR="000B502C" w:rsidRPr="00A7082A">
        <w:t xml:space="preserve"> set out in </w:t>
      </w:r>
      <w:r w:rsidR="00A32D85" w:rsidRPr="00A7082A">
        <w:t xml:space="preserve">the </w:t>
      </w:r>
      <w:r w:rsidR="000B502C" w:rsidRPr="00A7082A">
        <w:t xml:space="preserve">annex to the present report. </w:t>
      </w:r>
    </w:p>
    <w:p w14:paraId="66607759" w14:textId="13C20985" w:rsidR="00077945" w:rsidRPr="00A7082A" w:rsidRDefault="00A7033C" w:rsidP="00A7033C">
      <w:pPr>
        <w:pStyle w:val="CH2"/>
      </w:pPr>
      <w:r w:rsidRPr="00A7082A">
        <w:tab/>
      </w:r>
      <w:bookmarkStart w:id="24" w:name="_Toc27124729"/>
      <w:r w:rsidRPr="00A7082A">
        <w:t>G.</w:t>
      </w:r>
      <w:r w:rsidRPr="00A7082A">
        <w:tab/>
      </w:r>
      <w:r w:rsidR="00077945" w:rsidRPr="00A7082A">
        <w:t>Implementation and Compliance Committee</w:t>
      </w:r>
      <w:bookmarkEnd w:id="24"/>
    </w:p>
    <w:p w14:paraId="1C5D7345" w14:textId="29F510FD" w:rsidR="00113D26" w:rsidRPr="00A7082A" w:rsidRDefault="00113D26" w:rsidP="0053138D">
      <w:pPr>
        <w:pStyle w:val="Normalnumber"/>
      </w:pPr>
      <w:r w:rsidRPr="00A7082A">
        <w:t xml:space="preserve">Introducing the item, the representative of the secretariat recalled that article 15 of the Convention had established a mechanism, including an Implementation and Compliance Committee as a subsidiary body of the Conference of the Parties, to promote the implementation of, and review compliance with, all its provisions. </w:t>
      </w:r>
      <w:r w:rsidR="00CB38F6" w:rsidRPr="00A7082A">
        <w:t>In</w:t>
      </w:r>
      <w:r w:rsidRPr="00A7082A">
        <w:t xml:space="preserve"> its decision MC-1/7, the Conference of the Parties had elected the first 15 members of the Committee. In accordance with the rules of procedure, the Conference of the Parties would re-elect 10 members from among the first members of the Committee for one term and five new members for two terms. A note by the secretariat on the work of the Implementation and Compliance Committee (UNEP/MC/COP.3/13) </w:t>
      </w:r>
      <w:r w:rsidR="0053138D" w:rsidRPr="00A7082A">
        <w:t>set out</w:t>
      </w:r>
      <w:r w:rsidRPr="00A7082A">
        <w:t xml:space="preserve"> in its annex the report on the second meeting of the Implementation and Compliance Committee, held in Geneva on 3 and 4 June 2019. Appendices to that report </w:t>
      </w:r>
      <w:r w:rsidR="0053138D" w:rsidRPr="00A7082A">
        <w:t>set out</w:t>
      </w:r>
      <w:r w:rsidRPr="00A7082A">
        <w:t xml:space="preserve"> draft terms of reference for the Implementation and Compliance Committee; a draft decision </w:t>
      </w:r>
      <w:r w:rsidR="00CB38F6" w:rsidRPr="00A7082A">
        <w:t xml:space="preserve">for the </w:t>
      </w:r>
      <w:r w:rsidRPr="00A7082A">
        <w:t>adopt</w:t>
      </w:r>
      <w:r w:rsidR="00CB38F6" w:rsidRPr="00A7082A">
        <w:t>ion of</w:t>
      </w:r>
      <w:r w:rsidRPr="00A7082A">
        <w:t xml:space="preserve"> the terms of reference and </w:t>
      </w:r>
      <w:r w:rsidR="00CB38F6" w:rsidRPr="00A7082A">
        <w:t>for the approval of</w:t>
      </w:r>
      <w:r w:rsidRPr="00A7082A">
        <w:t xml:space="preserve"> a draft template for written submissions from parties with respect to their own compliance</w:t>
      </w:r>
      <w:r w:rsidR="00214D18" w:rsidRPr="00A7082A">
        <w:t>;</w:t>
      </w:r>
      <w:r w:rsidR="00EF7CA8" w:rsidRPr="00A7082A">
        <w:t xml:space="preserve"> and the draft template itself</w:t>
      </w:r>
      <w:r w:rsidRPr="00A7082A">
        <w:t>.</w:t>
      </w:r>
      <w:r w:rsidR="001D5DEF" w:rsidRPr="00A7082A">
        <w:t xml:space="preserve"> </w:t>
      </w:r>
    </w:p>
    <w:p w14:paraId="481BD7E9" w14:textId="5716E7E4" w:rsidR="00113D26" w:rsidRPr="00A7082A" w:rsidRDefault="00113D26" w:rsidP="00113D26">
      <w:pPr>
        <w:pStyle w:val="Normalnumber"/>
      </w:pPr>
      <w:r w:rsidRPr="00A7082A">
        <w:t xml:space="preserve">Claudia Sorina Dumitru (Romania), chair of the Implementation and Compliance Committee, presented a summary report of its second meeting. Matters considered at that meeting included the terms of reference for the Committee; guidance in relation to written submissions from a party </w:t>
      </w:r>
      <w:r w:rsidR="0053138D" w:rsidRPr="00A7082A">
        <w:t>with regard to</w:t>
      </w:r>
      <w:r w:rsidRPr="00A7082A">
        <w:t xml:space="preserve"> its own compliance; an update on national reporting pursuant to article 21; notifications submitted by parties pursuant to paragraph 9 of article 3; information and recommendations provided pursuant to article 15 that might be used for the conduct of the effectiveness evaluation pursuant to article 22; and the work programme of the Implementation and Compliance Committee. The Committee </w:t>
      </w:r>
      <w:r w:rsidR="00CB38F6" w:rsidRPr="00A7082A">
        <w:t xml:space="preserve">had </w:t>
      </w:r>
      <w:r w:rsidRPr="00A7082A">
        <w:t>decided that its third meeting would be a three-day face-to-face meeting in Geneva in the first quarter of 2021.</w:t>
      </w:r>
    </w:p>
    <w:p w14:paraId="6F36E82C" w14:textId="77777777" w:rsidR="00113D26" w:rsidRPr="00A7082A" w:rsidRDefault="00113D26" w:rsidP="00113D26">
      <w:pPr>
        <w:pStyle w:val="Normalnumber"/>
      </w:pPr>
      <w:r w:rsidRPr="00A7082A">
        <w:t xml:space="preserve">In the ensuing discussion, several representatives said that the draft terms of reference and the draft template for written submissions from parties in respect of their own compliance represented a useful basis for the future work of the Implementation and Compliance Committee. On the matter of the terms of reference, two representatives, including one speaking on behalf of a group of countries, proposed changes to the text of the terms of reference. Another representative expressed opposition to the proposed changes, as they had legal connotations and had not been presented to the Conference of the Parties in a timely manner. Yet another representative, speaking on behalf of a group of countries, said that more time was required to review the suggested changes. </w:t>
      </w:r>
    </w:p>
    <w:p w14:paraId="2875DAB8" w14:textId="77777777" w:rsidR="00113D26" w:rsidRPr="00A7082A" w:rsidRDefault="00113D26" w:rsidP="00113D26">
      <w:pPr>
        <w:pStyle w:val="Normalnumber"/>
      </w:pPr>
      <w:r w:rsidRPr="00A7082A">
        <w:t xml:space="preserve">Several representatives viewed the adoption of the terms of reference at the present meeting as an urgent priority. Some favoured further discussions on the text with varying degrees of formality, but many others called for the adoption of the terms of reference without any further amendment. Opinions differed on the most appropriate approach for considering the proposed changes to the terms of reference. The President invited the parties interested in the matter to consult in an informal manner. </w:t>
      </w:r>
    </w:p>
    <w:p w14:paraId="4C548CB3" w14:textId="63274B2A" w:rsidR="00113D26" w:rsidRPr="00A7082A" w:rsidRDefault="004D3A31" w:rsidP="00225BA1">
      <w:pPr>
        <w:pStyle w:val="Normalnumber"/>
      </w:pPr>
      <w:r w:rsidRPr="00A7082A">
        <w:t>Following the informal consultations</w:t>
      </w:r>
      <w:r w:rsidR="00113D26" w:rsidRPr="00A7082A">
        <w:t>, the Conference of the Parties agreed to refer the matter o</w:t>
      </w:r>
      <w:r w:rsidRPr="00A7082A">
        <w:t>f</w:t>
      </w:r>
      <w:r w:rsidR="00113D26" w:rsidRPr="00A7082A">
        <w:t xml:space="preserve"> the terms of reference to the group of friends of the President for further consideration. </w:t>
      </w:r>
    </w:p>
    <w:p w14:paraId="6C57BD74" w14:textId="33AA7A1A" w:rsidR="00CC6D5F" w:rsidRPr="00A7082A" w:rsidRDefault="004D3A31" w:rsidP="00225BA1">
      <w:pPr>
        <w:pStyle w:val="Normalnumber"/>
      </w:pPr>
      <w:r w:rsidRPr="00A7082A">
        <w:t>Subsequently</w:t>
      </w:r>
      <w:r w:rsidR="00CC6D5F" w:rsidRPr="00A7082A">
        <w:t>, the Conference of the Parties elected the following members of the Implementation and Compliance Committee:</w:t>
      </w:r>
    </w:p>
    <w:p w14:paraId="2E1B10C3" w14:textId="1C9A05BA" w:rsidR="00D648F6" w:rsidRPr="00A7082A" w:rsidRDefault="00D648F6" w:rsidP="00225BA1">
      <w:pPr>
        <w:pStyle w:val="Normalnumber"/>
        <w:numPr>
          <w:ilvl w:val="0"/>
          <w:numId w:val="0"/>
        </w:numPr>
        <w:ind w:left="1247" w:firstLine="624"/>
      </w:pPr>
      <w:r w:rsidRPr="00A7082A">
        <w:tab/>
        <w:t>From the African States:</w:t>
      </w:r>
    </w:p>
    <w:p w14:paraId="49E5D913" w14:textId="62B37882" w:rsidR="00F519E9" w:rsidRPr="00A7082A" w:rsidRDefault="00D648F6" w:rsidP="00225BA1">
      <w:pPr>
        <w:pStyle w:val="Normalnumber"/>
        <w:numPr>
          <w:ilvl w:val="0"/>
          <w:numId w:val="0"/>
        </w:numPr>
        <w:ind w:left="1871" w:firstLine="624"/>
      </w:pPr>
      <w:r w:rsidRPr="00A7082A">
        <w:tab/>
      </w:r>
      <w:r w:rsidR="00F519E9" w:rsidRPr="00A7082A">
        <w:t>Hanitriniaina Liliane Randrianomenjanahary (Madagascar)</w:t>
      </w:r>
    </w:p>
    <w:p w14:paraId="11C586EC" w14:textId="1A230FE9" w:rsidR="00F519E9" w:rsidRPr="00A7082A" w:rsidRDefault="00D648F6" w:rsidP="00225BA1">
      <w:pPr>
        <w:pStyle w:val="Normalnumber"/>
        <w:numPr>
          <w:ilvl w:val="0"/>
          <w:numId w:val="0"/>
        </w:numPr>
        <w:ind w:left="1871" w:firstLine="624"/>
      </w:pPr>
      <w:r w:rsidRPr="00A7082A">
        <w:tab/>
      </w:r>
      <w:r w:rsidR="00F519E9" w:rsidRPr="00A7082A">
        <w:t>Mohamed Abdulai Kamara (Sierra Leone)</w:t>
      </w:r>
    </w:p>
    <w:p w14:paraId="61D5B71E" w14:textId="4E261AB6" w:rsidR="00F519E9" w:rsidRPr="00A7082A" w:rsidRDefault="00D648F6" w:rsidP="00225BA1">
      <w:pPr>
        <w:pStyle w:val="Normalnumber"/>
        <w:numPr>
          <w:ilvl w:val="0"/>
          <w:numId w:val="0"/>
        </w:numPr>
        <w:ind w:left="1871" w:firstLine="624"/>
      </w:pPr>
      <w:r w:rsidRPr="00A7082A">
        <w:tab/>
      </w:r>
      <w:r w:rsidR="00F519E9" w:rsidRPr="00A7082A">
        <w:t>Christopher Kanema (Zambia)</w:t>
      </w:r>
      <w:r w:rsidR="00F519E9" w:rsidRPr="00A7082A">
        <w:tab/>
      </w:r>
    </w:p>
    <w:p w14:paraId="4C1B2D0D" w14:textId="4624124E" w:rsidR="00D648F6" w:rsidRPr="00A7082A" w:rsidRDefault="00D648F6" w:rsidP="00726051">
      <w:pPr>
        <w:pStyle w:val="Normalnumber"/>
        <w:keepNext/>
        <w:keepLines/>
        <w:numPr>
          <w:ilvl w:val="0"/>
          <w:numId w:val="0"/>
        </w:numPr>
        <w:ind w:left="1247" w:firstLine="624"/>
      </w:pPr>
      <w:r w:rsidRPr="00A7082A">
        <w:lastRenderedPageBreak/>
        <w:t>From the Asia-Pacific States:</w:t>
      </w:r>
    </w:p>
    <w:p w14:paraId="2B5C04DA" w14:textId="09E883CB" w:rsidR="00D648F6" w:rsidRPr="00A7082A" w:rsidRDefault="00D648F6" w:rsidP="00726051">
      <w:pPr>
        <w:pStyle w:val="Normalnumber"/>
        <w:keepNext/>
        <w:keepLines/>
        <w:numPr>
          <w:ilvl w:val="0"/>
          <w:numId w:val="0"/>
        </w:numPr>
        <w:ind w:left="1871" w:firstLine="624"/>
      </w:pPr>
      <w:r w:rsidRPr="00A7082A">
        <w:tab/>
        <w:t>Haijun Chen (China)</w:t>
      </w:r>
    </w:p>
    <w:p w14:paraId="5EDEDA41" w14:textId="39997B40" w:rsidR="00F519E9" w:rsidRPr="00A7082A" w:rsidRDefault="00D648F6" w:rsidP="00417FE2">
      <w:pPr>
        <w:pStyle w:val="Normalnumber"/>
        <w:numPr>
          <w:ilvl w:val="0"/>
          <w:numId w:val="0"/>
        </w:numPr>
        <w:ind w:left="1871" w:firstLine="624"/>
      </w:pPr>
      <w:r w:rsidRPr="00A7082A">
        <w:tab/>
      </w:r>
      <w:r w:rsidR="00F519E9" w:rsidRPr="00A7082A">
        <w:t>Itsuki Kuroda (Japan)</w:t>
      </w:r>
    </w:p>
    <w:p w14:paraId="2667E015" w14:textId="0260AC0D" w:rsidR="00F519E9" w:rsidRPr="00A7082A" w:rsidRDefault="00F519E9" w:rsidP="00417FE2">
      <w:pPr>
        <w:pStyle w:val="Normalnumber"/>
        <w:numPr>
          <w:ilvl w:val="0"/>
          <w:numId w:val="0"/>
        </w:numPr>
        <w:ind w:left="1871" w:firstLine="624"/>
      </w:pPr>
      <w:r w:rsidRPr="00A7082A">
        <w:t>Ahmad Al Qatarneh (Jordan)</w:t>
      </w:r>
    </w:p>
    <w:p w14:paraId="15FAE697" w14:textId="2A17713D" w:rsidR="00D648F6" w:rsidRPr="00A7082A" w:rsidRDefault="00D648F6" w:rsidP="008F77F9">
      <w:pPr>
        <w:pStyle w:val="Normalnumber"/>
        <w:numPr>
          <w:ilvl w:val="0"/>
          <w:numId w:val="0"/>
        </w:numPr>
        <w:ind w:left="1247" w:firstLine="624"/>
      </w:pPr>
      <w:r w:rsidRPr="00A7082A">
        <w:tab/>
        <w:t>From the Central and Eastern European States:</w:t>
      </w:r>
    </w:p>
    <w:p w14:paraId="45A947EF" w14:textId="51B514C9" w:rsidR="00F519E9" w:rsidRPr="00A7082A" w:rsidRDefault="00D648F6" w:rsidP="00417FE2">
      <w:pPr>
        <w:pStyle w:val="Normalnumber"/>
        <w:numPr>
          <w:ilvl w:val="0"/>
          <w:numId w:val="0"/>
        </w:numPr>
        <w:ind w:left="1871" w:firstLine="624"/>
      </w:pPr>
      <w:r w:rsidRPr="00A7082A">
        <w:tab/>
      </w:r>
      <w:r w:rsidR="00F519E9" w:rsidRPr="00A7082A">
        <w:t>Dubravka Marija Krekovic (Croatia)</w:t>
      </w:r>
    </w:p>
    <w:p w14:paraId="0A39682E" w14:textId="5EEEF80B" w:rsidR="00F519E9" w:rsidRPr="00A7082A" w:rsidRDefault="00D648F6" w:rsidP="00417FE2">
      <w:pPr>
        <w:pStyle w:val="Normalnumber"/>
        <w:numPr>
          <w:ilvl w:val="0"/>
          <w:numId w:val="0"/>
        </w:numPr>
        <w:ind w:left="1871" w:firstLine="624"/>
      </w:pPr>
      <w:r w:rsidRPr="00A7082A">
        <w:tab/>
      </w:r>
      <w:r w:rsidR="00F519E9" w:rsidRPr="00A7082A">
        <w:t>Svetlana Bolocan (</w:t>
      </w:r>
      <w:r w:rsidRPr="00A7082A">
        <w:t xml:space="preserve">Republic of </w:t>
      </w:r>
      <w:r w:rsidR="00F519E9" w:rsidRPr="00A7082A">
        <w:t>Moldova)</w:t>
      </w:r>
    </w:p>
    <w:p w14:paraId="575E63B5" w14:textId="10AE9C1C" w:rsidR="00F519E9" w:rsidRPr="00A7082A" w:rsidRDefault="00D648F6" w:rsidP="00417FE2">
      <w:pPr>
        <w:pStyle w:val="Normalnumber"/>
        <w:numPr>
          <w:ilvl w:val="0"/>
          <w:numId w:val="0"/>
        </w:numPr>
        <w:ind w:left="1871" w:firstLine="624"/>
      </w:pPr>
      <w:r w:rsidRPr="00A7082A">
        <w:tab/>
      </w:r>
      <w:r w:rsidR="00F519E9" w:rsidRPr="00A7082A">
        <w:t>Claudia Sorina Dumitru (Romania)</w:t>
      </w:r>
    </w:p>
    <w:p w14:paraId="4620E13B" w14:textId="425F59C0" w:rsidR="00D648F6" w:rsidRPr="00A7082A" w:rsidRDefault="00D648F6" w:rsidP="009557F8">
      <w:pPr>
        <w:pStyle w:val="Normalnumber"/>
        <w:numPr>
          <w:ilvl w:val="0"/>
          <w:numId w:val="0"/>
        </w:numPr>
        <w:ind w:left="1247" w:firstLine="624"/>
      </w:pPr>
      <w:r w:rsidRPr="00A7082A">
        <w:t>From the Latin American and Caribbean States:</w:t>
      </w:r>
    </w:p>
    <w:p w14:paraId="5D9CB714" w14:textId="2AEB475A" w:rsidR="00D648F6" w:rsidRPr="00A7082A" w:rsidRDefault="00D648F6" w:rsidP="009557F8">
      <w:pPr>
        <w:pStyle w:val="Normalnumber"/>
        <w:numPr>
          <w:ilvl w:val="0"/>
          <w:numId w:val="0"/>
        </w:numPr>
        <w:ind w:left="1871" w:firstLine="624"/>
      </w:pPr>
      <w:r w:rsidRPr="00A7082A">
        <w:tab/>
        <w:t xml:space="preserve">Paulina </w:t>
      </w:r>
      <w:r w:rsidR="003114F5" w:rsidRPr="00A7082A">
        <w:t xml:space="preserve">Riquelme </w:t>
      </w:r>
      <w:r w:rsidRPr="00A7082A">
        <w:t>(Chile)</w:t>
      </w:r>
    </w:p>
    <w:p w14:paraId="7891F179" w14:textId="1F1D1A7E" w:rsidR="00D648F6" w:rsidRPr="00A7082A" w:rsidRDefault="00D648F6" w:rsidP="009557F8">
      <w:pPr>
        <w:pStyle w:val="Normalnumber"/>
        <w:numPr>
          <w:ilvl w:val="0"/>
          <w:numId w:val="0"/>
        </w:numPr>
        <w:ind w:left="1871" w:firstLine="624"/>
      </w:pPr>
      <w:r w:rsidRPr="00A7082A">
        <w:tab/>
        <w:t>Jos</w:t>
      </w:r>
      <w:r w:rsidR="003114F5" w:rsidRPr="00A7082A">
        <w:t>é</w:t>
      </w:r>
      <w:r w:rsidRPr="00A7082A">
        <w:t xml:space="preserve"> Antonio Piedra Montoya (Ecuador)</w:t>
      </w:r>
    </w:p>
    <w:p w14:paraId="68BD5611" w14:textId="2EB893CA" w:rsidR="00F519E9" w:rsidRPr="00A7082A" w:rsidRDefault="00D648F6" w:rsidP="009557F8">
      <w:pPr>
        <w:pStyle w:val="Normalnumber"/>
        <w:numPr>
          <w:ilvl w:val="0"/>
          <w:numId w:val="0"/>
        </w:numPr>
        <w:ind w:left="1871" w:firstLine="624"/>
      </w:pPr>
      <w:r w:rsidRPr="00A7082A">
        <w:tab/>
      </w:r>
      <w:r w:rsidR="00F519E9" w:rsidRPr="00A7082A">
        <w:t>Arturo Gavilan García (Mexico)</w:t>
      </w:r>
    </w:p>
    <w:p w14:paraId="5420F942" w14:textId="3180F720" w:rsidR="00D648F6" w:rsidRPr="00A7082A" w:rsidRDefault="00D648F6" w:rsidP="00417FE2">
      <w:pPr>
        <w:pStyle w:val="Normalnumber"/>
        <w:numPr>
          <w:ilvl w:val="0"/>
          <w:numId w:val="0"/>
        </w:numPr>
        <w:ind w:left="1247" w:firstLine="624"/>
      </w:pPr>
      <w:r w:rsidRPr="00A7082A">
        <w:t>From the Western European and other States:</w:t>
      </w:r>
    </w:p>
    <w:p w14:paraId="5559C269" w14:textId="3ABD3B8E" w:rsidR="00D648F6" w:rsidRPr="00A7082A" w:rsidRDefault="00D648F6" w:rsidP="008F77F9">
      <w:pPr>
        <w:pStyle w:val="Normalnumber"/>
        <w:numPr>
          <w:ilvl w:val="0"/>
          <w:numId w:val="0"/>
        </w:numPr>
        <w:ind w:left="1871" w:firstLine="624"/>
      </w:pPr>
      <w:r w:rsidRPr="00A7082A">
        <w:tab/>
        <w:t>Karoliina Anttonen (Finland)</w:t>
      </w:r>
    </w:p>
    <w:p w14:paraId="429BB03A" w14:textId="3A8E2299" w:rsidR="00F519E9" w:rsidRPr="00A7082A" w:rsidRDefault="00D648F6" w:rsidP="00417FE2">
      <w:pPr>
        <w:pStyle w:val="Normalnumber"/>
        <w:numPr>
          <w:ilvl w:val="0"/>
          <w:numId w:val="0"/>
        </w:numPr>
        <w:ind w:left="1871" w:firstLine="624"/>
      </w:pPr>
      <w:r w:rsidRPr="00A7082A">
        <w:tab/>
      </w:r>
      <w:r w:rsidR="00F519E9" w:rsidRPr="00A7082A">
        <w:t>Janine van Aalst (Netherlands)</w:t>
      </w:r>
    </w:p>
    <w:p w14:paraId="230CB8BC" w14:textId="79D224B7" w:rsidR="00F519E9" w:rsidRPr="00A7082A" w:rsidRDefault="00D648F6" w:rsidP="00417FE2">
      <w:pPr>
        <w:pStyle w:val="Normalnumber"/>
        <w:numPr>
          <w:ilvl w:val="0"/>
          <w:numId w:val="0"/>
        </w:numPr>
        <w:ind w:left="1871" w:firstLine="624"/>
      </w:pPr>
      <w:r w:rsidRPr="00A7082A">
        <w:tab/>
      </w:r>
      <w:r w:rsidR="00F519E9" w:rsidRPr="00A7082A">
        <w:t>Gene Smilansky (United States of America)</w:t>
      </w:r>
    </w:p>
    <w:p w14:paraId="5B74FFE5" w14:textId="77777777" w:rsidR="00CC6D5F" w:rsidRPr="00A7082A" w:rsidRDefault="00CC6D5F" w:rsidP="0053138D">
      <w:pPr>
        <w:pStyle w:val="Normalnumber"/>
      </w:pPr>
      <w:r w:rsidRPr="00A7082A">
        <w:t>The Conference of the Parties also approved the template for written submissions from parties with respect to their own compliance (article 15, paragraph 4 (a)), as set out in appendix III to the annex to document UNEP/MC/COP.3/13.</w:t>
      </w:r>
    </w:p>
    <w:p w14:paraId="15F3EA51" w14:textId="7506EDB3" w:rsidR="00A7033C" w:rsidRPr="00A7082A" w:rsidRDefault="00CC6D5F" w:rsidP="0053138D">
      <w:pPr>
        <w:pStyle w:val="Normalnumber"/>
      </w:pPr>
      <w:r w:rsidRPr="00A7082A">
        <w:t>In addition, the Conference of the Parties approved the terms of reference, as amended, and adopted decision MC-3/</w:t>
      </w:r>
      <w:r w:rsidR="00EE6A6E" w:rsidRPr="00A7082A">
        <w:t>9</w:t>
      </w:r>
      <w:r w:rsidRPr="00A7082A">
        <w:t xml:space="preserve"> </w:t>
      </w:r>
      <w:r w:rsidR="0073584A" w:rsidRPr="00A7082A">
        <w:t>entitled “Implementation and Compliance Committee: terms of reference and template for written submissions form parties with respect to their own compliance”</w:t>
      </w:r>
      <w:r w:rsidRPr="00A7082A">
        <w:t xml:space="preserve">, as submitted by the group of friends of the President, as set out in </w:t>
      </w:r>
      <w:r w:rsidR="00A32D85" w:rsidRPr="00A7082A">
        <w:t xml:space="preserve">the </w:t>
      </w:r>
      <w:r w:rsidRPr="00A7082A">
        <w:t xml:space="preserve">annex to the present report. </w:t>
      </w:r>
    </w:p>
    <w:p w14:paraId="1DCF8F24" w14:textId="406FC954" w:rsidR="00077945" w:rsidRPr="00A7082A" w:rsidRDefault="00A7033C" w:rsidP="00A7033C">
      <w:pPr>
        <w:pStyle w:val="CH2"/>
      </w:pPr>
      <w:r w:rsidRPr="00A7082A">
        <w:tab/>
      </w:r>
      <w:bookmarkStart w:id="25" w:name="_Toc27124730"/>
      <w:r w:rsidRPr="00A7082A">
        <w:t>H.</w:t>
      </w:r>
      <w:r w:rsidRPr="00A7082A">
        <w:tab/>
      </w:r>
      <w:r w:rsidR="00077945" w:rsidRPr="00A7082A">
        <w:t>Effectiveness evaluation</w:t>
      </w:r>
      <w:bookmarkEnd w:id="25"/>
    </w:p>
    <w:p w14:paraId="64C343EB" w14:textId="60AA7119" w:rsidR="001248F8" w:rsidRPr="00A7082A" w:rsidRDefault="001248F8" w:rsidP="00957120">
      <w:pPr>
        <w:pStyle w:val="Normalnumber"/>
      </w:pPr>
      <w:r w:rsidRPr="00A7082A">
        <w:t xml:space="preserve">Introducing the item, the representative of the secretariat recalled that article 22 of the Convention provided for an evaluation of the Convention’s effectiveness. She reviewed the steps taken by </w:t>
      </w:r>
      <w:r w:rsidR="007055F4" w:rsidRPr="00A7082A">
        <w:t xml:space="preserve">the </w:t>
      </w:r>
      <w:r w:rsidRPr="00A7082A">
        <w:t>Conference of the Parties, at its first and second meetings and in the intersessional period leading up to the third meeting, to develop that process, including arrangements for the provision of comparable monitoring data on the movement of mercury in the environment, on trends in the levels of mercury compounds in biotic media and vulnerable populations and the terms of reference for an effectiveness evaluation committee. She drew attention to the information set out in the note by the secretariat on the matter (UNEP/MC/COP.3/14; UNEP/MC/COP.3/14/Add.1)</w:t>
      </w:r>
      <w:r w:rsidR="00B56FE3" w:rsidRPr="00A7082A">
        <w:t>,</w:t>
      </w:r>
      <w:r w:rsidRPr="00A7082A">
        <w:t xml:space="preserve"> </w:t>
      </w:r>
      <w:r w:rsidR="00776BEA" w:rsidRPr="00A7082A">
        <w:t>which include</w:t>
      </w:r>
      <w:r w:rsidR="00B56FE3" w:rsidRPr="00A7082A">
        <w:t>d</w:t>
      </w:r>
      <w:r w:rsidR="00776BEA" w:rsidRPr="00A7082A">
        <w:t xml:space="preserve"> the report by the </w:t>
      </w:r>
      <w:r w:rsidR="0026572F" w:rsidRPr="00A7082A">
        <w:t>ad hoc</w:t>
      </w:r>
      <w:r w:rsidR="00776BEA" w:rsidRPr="00A7082A">
        <w:t xml:space="preserve"> technical expert group on the proposed framework for the effectiveness evaluation of the </w:t>
      </w:r>
      <w:r w:rsidR="007B5A1D" w:rsidRPr="00A7082A">
        <w:t>Convention</w:t>
      </w:r>
      <w:r w:rsidR="00776BEA" w:rsidRPr="00A7082A">
        <w:t xml:space="preserve"> </w:t>
      </w:r>
      <w:r w:rsidRPr="00A7082A">
        <w:t>and the technical information compiled by the group to assist it in its consideration of the matter</w:t>
      </w:r>
      <w:r w:rsidR="00311F6A" w:rsidRPr="00A7082A">
        <w:t>, as well as background information on mercury monitoring</w:t>
      </w:r>
      <w:r w:rsidRPr="00A7082A">
        <w:t xml:space="preserve"> (UNEP/MC/COP.3/INF/15). </w:t>
      </w:r>
    </w:p>
    <w:p w14:paraId="77FF870E" w14:textId="3EBE06F1" w:rsidR="00DD3130" w:rsidRPr="00A7082A" w:rsidRDefault="00DD3130" w:rsidP="00957120">
      <w:pPr>
        <w:pStyle w:val="Normalnumber"/>
      </w:pPr>
      <w:r w:rsidRPr="00A7082A">
        <w:t xml:space="preserve">Following that presentation, the co-chairs of the </w:t>
      </w:r>
      <w:r w:rsidR="0026572F" w:rsidRPr="00A7082A">
        <w:t>ad hoc</w:t>
      </w:r>
      <w:r w:rsidRPr="00A7082A">
        <w:t xml:space="preserve"> technical expert group, </w:t>
      </w:r>
      <w:r w:rsidR="002007CF" w:rsidRPr="00A7082A">
        <w:t xml:space="preserve">Kateřina Šebková (Czechia) </w:t>
      </w:r>
      <w:r w:rsidRPr="00A7082A">
        <w:t>and Mohamed K</w:t>
      </w:r>
      <w:r w:rsidR="002007CF" w:rsidRPr="00A7082A">
        <w:t>h</w:t>
      </w:r>
      <w:r w:rsidRPr="00A7082A">
        <w:t>asha</w:t>
      </w:r>
      <w:r w:rsidR="002007CF" w:rsidRPr="00A7082A">
        <w:t>shneh (Jordan)</w:t>
      </w:r>
      <w:r w:rsidRPr="00A7082A">
        <w:t>, reported on the work of the group.</w:t>
      </w:r>
      <w:r w:rsidR="000548F9" w:rsidRPr="00A7082A">
        <w:t xml:space="preserve"> </w:t>
      </w:r>
      <w:r w:rsidR="00B57520" w:rsidRPr="00A7082A">
        <w:t xml:space="preserve">They </w:t>
      </w:r>
      <w:r w:rsidRPr="00A7082A">
        <w:t xml:space="preserve">provided details of the process followed in preparing the proposal for a framework for effectiveness evaluation and global monitoring arrangements under the Convention. While almost all issues arising had been resolved or incorporated in the report, there remained areas where views differed and those were highlighted in grey in the group’s working documents. </w:t>
      </w:r>
      <w:r w:rsidR="00F85716" w:rsidRPr="00A7082A">
        <w:t xml:space="preserve">The </w:t>
      </w:r>
      <w:r w:rsidR="0026572F" w:rsidRPr="00A7082A">
        <w:t>ad hoc</w:t>
      </w:r>
      <w:r w:rsidR="00F85716" w:rsidRPr="00A7082A">
        <w:t xml:space="preserve"> technical expert group report also </w:t>
      </w:r>
      <w:r w:rsidRPr="00A7082A">
        <w:t xml:space="preserve">featured the </w:t>
      </w:r>
      <w:r w:rsidR="00F85716" w:rsidRPr="00A7082A">
        <w:t xml:space="preserve">proposed </w:t>
      </w:r>
      <w:r w:rsidRPr="00A7082A">
        <w:t>monitoring arrangements. Taking into account the possibilities of current knowledge, existing monitoring and research activities and the needs of the Convention, the group had identified five key elements for the Minamata Convention monitoring arrangements. Those were, first, mercury data from human health and environmental monitoring programmes that had global coverage and included core representative data from all regions; second, tools supporting data harmonization; third, expertise to gather and consolidate harmonized information that ensured comparability and consistency in mercury monitoring data over the long term; fourth, modelling capabilities; and, fifth, a periodic global monitoring report on mercury levels and trends.</w:t>
      </w:r>
    </w:p>
    <w:p w14:paraId="20ED2CE8" w14:textId="268E80FF" w:rsidR="00DD3130" w:rsidRPr="00A7082A" w:rsidRDefault="00DD3130" w:rsidP="00957120">
      <w:pPr>
        <w:pStyle w:val="Normalnumber"/>
      </w:pPr>
      <w:r w:rsidRPr="00A7082A">
        <w:lastRenderedPageBreak/>
        <w:t xml:space="preserve">While conceding that there were differences in the degree of harmonization of existing activities that had been reviewed and also data gaps, </w:t>
      </w:r>
      <w:r w:rsidR="000548F9" w:rsidRPr="00A7082A">
        <w:t>they</w:t>
      </w:r>
      <w:r w:rsidRPr="00A7082A">
        <w:t xml:space="preserve"> stressed that the availability of representative mercury monitoring data was vital for an assessment of global mercury levels and trends and as an element of the effectiveness evaluation called for under article 22. Thanking all those who had contributed to the preparation</w:t>
      </w:r>
      <w:r w:rsidR="00F85716" w:rsidRPr="00A7082A">
        <w:t xml:space="preserve"> and review of the report</w:t>
      </w:r>
      <w:r w:rsidRPr="00A7082A">
        <w:t xml:space="preserve">, </w:t>
      </w:r>
      <w:r w:rsidR="000548F9" w:rsidRPr="00A7082A">
        <w:t>they</w:t>
      </w:r>
      <w:r w:rsidRPr="00A7082A">
        <w:t xml:space="preserve"> set forward the proposed monitoring arrangements for consideration and possible adoption at the current meeting.</w:t>
      </w:r>
    </w:p>
    <w:p w14:paraId="1D224D90" w14:textId="2B8D38AE" w:rsidR="00174D64" w:rsidRPr="00A7082A" w:rsidRDefault="00174D64" w:rsidP="00957120">
      <w:pPr>
        <w:pStyle w:val="Normalnumber"/>
      </w:pPr>
      <w:r w:rsidRPr="00A7082A">
        <w:t>During the ensuing discussion, a number of representatives highlighted the importance of effectiveness evaluation to the proper functioning of the Minamata Convention and the implementation of its provisions b</w:t>
      </w:r>
      <w:r w:rsidR="00AB3B26" w:rsidRPr="00A7082A">
        <w:t>y parties. One representative</w:t>
      </w:r>
      <w:r w:rsidR="003051A1" w:rsidRPr="00A7082A">
        <w:t xml:space="preserve"> </w:t>
      </w:r>
      <w:r w:rsidRPr="00A7082A">
        <w:t xml:space="preserve">said that a strong effectiveness evaluation process was needed to measure how well the treaty was working, and it was vital to make progress on the matter at the present meeting. Sufficient funds needed to be set aside within the general trust fund to ensure the robustness of the process. </w:t>
      </w:r>
    </w:p>
    <w:p w14:paraId="34F00009" w14:textId="59C651B4" w:rsidR="00174D64" w:rsidRPr="00A7082A" w:rsidRDefault="00174D64" w:rsidP="00957120">
      <w:pPr>
        <w:pStyle w:val="Normalnumber"/>
      </w:pPr>
      <w:r w:rsidRPr="00A7082A">
        <w:t xml:space="preserve">Several representatives praised the work undertaken by the </w:t>
      </w:r>
      <w:r w:rsidR="0026572F" w:rsidRPr="00A7082A">
        <w:t>ad hoc</w:t>
      </w:r>
      <w:r w:rsidRPr="00A7082A">
        <w:t xml:space="preserve"> technical expert group for effectiveness evaluation in preparing the proposed framework for the effectiveness evaluation of the Minamata Convention on Mercury. The report by the secretariat </w:t>
      </w:r>
      <w:r w:rsidR="007055F4" w:rsidRPr="00A7082A">
        <w:t xml:space="preserve">set out </w:t>
      </w:r>
      <w:r w:rsidRPr="00A7082A">
        <w:t>in document UNEP/MC/COP.3/14 and its addendum was generally viewed as a good basis for further discussion on the matter. One representative, speaking on be</w:t>
      </w:r>
      <w:r w:rsidR="00187284" w:rsidRPr="00A7082A">
        <w:t>half of a group of countries</w:t>
      </w:r>
      <w:r w:rsidRPr="00A7082A">
        <w:t xml:space="preserve">, expressed support for a number of elements proposed by the </w:t>
      </w:r>
      <w:r w:rsidR="0026572F" w:rsidRPr="00A7082A">
        <w:t>ad hoc</w:t>
      </w:r>
      <w:r w:rsidRPr="00A7082A">
        <w:t xml:space="preserve"> technical expert group, including the draft terms of reference for the effectiveness evaluation committee, the proposed global monitoring arrangements pursuant to article 22 of the Convention, the draft terms of reference for the monitoring group, and the proposal to entrust the monitoring group with preparing guidance for parties on the monitoring of mercury, including standard operating procedures. </w:t>
      </w:r>
    </w:p>
    <w:p w14:paraId="4A7813A3" w14:textId="60ECFAAD" w:rsidR="00174D64" w:rsidRPr="00A7082A" w:rsidRDefault="00174D64" w:rsidP="00957120">
      <w:pPr>
        <w:pStyle w:val="Normalnumber"/>
      </w:pPr>
      <w:r w:rsidRPr="00A7082A">
        <w:t xml:space="preserve">Several representatives referred to elements of the outcomes of the </w:t>
      </w:r>
      <w:r w:rsidR="0026572F" w:rsidRPr="00A7082A">
        <w:t>ad hoc</w:t>
      </w:r>
      <w:r w:rsidRPr="00A7082A">
        <w:t xml:space="preserve"> technical expert group that would merit further discussion </w:t>
      </w:r>
      <w:r w:rsidR="00E6709E" w:rsidRPr="00A7082A">
        <w:t xml:space="preserve">on </w:t>
      </w:r>
      <w:r w:rsidRPr="00A7082A">
        <w:t xml:space="preserve">the indicators developed, the number of experts that each United Nations region would nominate for the effectiveness evaluation committee and the monitoring group, the timing and content of the attribution report, and the potential role of </w:t>
      </w:r>
      <w:r w:rsidR="009451BB" w:rsidRPr="00A7082A">
        <w:t>capacity</w:t>
      </w:r>
      <w:r w:rsidR="009451BB" w:rsidRPr="00A7082A">
        <w:noBreakHyphen/>
        <w:t>building</w:t>
      </w:r>
      <w:r w:rsidRPr="00A7082A">
        <w:t xml:space="preserve">, technical assistance and technology transfer pursuant to article 14. In that regard, one representative, speaking on behalf of a group of countries said that the evaluation of effectiveness represented the backbone of the Convention for his region, and sufficient resources were needed to ensure its completion. </w:t>
      </w:r>
      <w:r w:rsidR="00CD3A0F" w:rsidRPr="00A7082A">
        <w:t>One representative stressed</w:t>
      </w:r>
      <w:r w:rsidR="00B56FE3" w:rsidRPr="00A7082A">
        <w:t xml:space="preserve"> that</w:t>
      </w:r>
      <w:r w:rsidR="00CD3A0F" w:rsidRPr="00A7082A">
        <w:t>, i</w:t>
      </w:r>
      <w:r w:rsidR="00631ACD" w:rsidRPr="00A7082A">
        <w:t xml:space="preserve">n order to ensure </w:t>
      </w:r>
      <w:r w:rsidR="00CD3A0F" w:rsidRPr="00A7082A">
        <w:t xml:space="preserve">that </w:t>
      </w:r>
      <w:r w:rsidR="00631ACD" w:rsidRPr="00A7082A">
        <w:t>the conclusions were accurate and authoritative</w:t>
      </w:r>
      <w:r w:rsidR="007055F4" w:rsidRPr="00A7082A">
        <w:t>,</w:t>
      </w:r>
      <w:r w:rsidR="00631ACD" w:rsidRPr="00A7082A">
        <w:t xml:space="preserve"> the data used </w:t>
      </w:r>
      <w:r w:rsidR="00CD3A0F" w:rsidRPr="00A7082A">
        <w:t xml:space="preserve">in the report </w:t>
      </w:r>
      <w:r w:rsidR="00631ACD" w:rsidRPr="00A7082A">
        <w:t xml:space="preserve">should be from </w:t>
      </w:r>
      <w:r w:rsidR="00CD3A0F" w:rsidRPr="00A7082A">
        <w:t xml:space="preserve">the </w:t>
      </w:r>
      <w:r w:rsidR="00631ACD" w:rsidRPr="00A7082A">
        <w:t xml:space="preserve">official </w:t>
      </w:r>
      <w:r w:rsidR="00CD3A0F" w:rsidRPr="00A7082A">
        <w:t xml:space="preserve">data </w:t>
      </w:r>
      <w:r w:rsidR="00631ACD" w:rsidRPr="00A7082A">
        <w:t>and</w:t>
      </w:r>
      <w:r w:rsidR="004233DC" w:rsidRPr="00A7082A">
        <w:t>,</w:t>
      </w:r>
      <w:r w:rsidR="00631ACD" w:rsidRPr="00A7082A">
        <w:t xml:space="preserve"> if they were not available</w:t>
      </w:r>
      <w:r w:rsidR="004233DC" w:rsidRPr="00A7082A">
        <w:t>,</w:t>
      </w:r>
      <w:r w:rsidR="00631ACD" w:rsidRPr="00A7082A">
        <w:t xml:space="preserve"> the data should be endorsed by the government</w:t>
      </w:r>
      <w:r w:rsidR="007055F4" w:rsidRPr="00A7082A">
        <w:t>.</w:t>
      </w:r>
      <w:r w:rsidR="007055F4" w:rsidRPr="00A7082A" w:rsidDel="007055F4">
        <w:t xml:space="preserve"> </w:t>
      </w:r>
      <w:r w:rsidRPr="00A7082A">
        <w:t xml:space="preserve">Another representative said that environmentally sound management of wastes would become increasingly important as </w:t>
      </w:r>
      <w:r w:rsidR="00FE1452" w:rsidRPr="00A7082A">
        <w:t>mercury</w:t>
      </w:r>
      <w:r w:rsidR="00FE1452" w:rsidRPr="00A7082A">
        <w:noBreakHyphen/>
        <w:t>containing</w:t>
      </w:r>
      <w:r w:rsidRPr="00A7082A">
        <w:t xml:space="preserve"> products were phased out, and the waste report was therefore critical to evaluating the effectiveness of articles 9 and 11. One representative, speaking on behalf of a group of countries, stressed the importance of monitoring mercury levels in freshwater aquatic systems, while another</w:t>
      </w:r>
      <w:r w:rsidR="003051A1" w:rsidRPr="00A7082A">
        <w:t xml:space="preserve"> </w:t>
      </w:r>
      <w:r w:rsidRPr="00A7082A">
        <w:t>highlighted the relevance of biomonitoring of mercury for small island developing States.</w:t>
      </w:r>
    </w:p>
    <w:p w14:paraId="4D268D1A" w14:textId="1A97882B" w:rsidR="00174D64" w:rsidRPr="00A7082A" w:rsidRDefault="00174D64" w:rsidP="00957120">
      <w:pPr>
        <w:pStyle w:val="Normalnumber"/>
      </w:pPr>
      <w:r w:rsidRPr="00A7082A">
        <w:t xml:space="preserve">Representatives of non-governmental organizations drew attention to several areas of concern, including the danger posed by high levels of mercury in fresh water and the need to align studies of mercury pollution with Sustainable Development Goal 6, on </w:t>
      </w:r>
      <w:r w:rsidR="001A07BC" w:rsidRPr="00A7082A">
        <w:t>safe</w:t>
      </w:r>
      <w:r w:rsidR="00F51B63" w:rsidRPr="00A7082A">
        <w:t xml:space="preserve"> </w:t>
      </w:r>
      <w:r w:rsidRPr="00A7082A">
        <w:t xml:space="preserve">water; and the accumulation of </w:t>
      </w:r>
      <w:r w:rsidR="00073984" w:rsidRPr="00A7082A">
        <w:t>long</w:t>
      </w:r>
      <w:r w:rsidR="00073984" w:rsidRPr="00A7082A">
        <w:noBreakHyphen/>
        <w:t>range</w:t>
      </w:r>
      <w:r w:rsidRPr="00A7082A">
        <w:t xml:space="preserve"> transported mercury in the Arctic environment, requiring further monitoring and research activities to establish exposure levels and monitor trends. </w:t>
      </w:r>
    </w:p>
    <w:p w14:paraId="26F67070" w14:textId="0E8BCB60" w:rsidR="00174D64" w:rsidRPr="00A7082A" w:rsidRDefault="00174D64" w:rsidP="00957120">
      <w:pPr>
        <w:pStyle w:val="Normalnumber"/>
      </w:pPr>
      <w:r w:rsidRPr="00A7082A">
        <w:t>The representative of UNEP said that the organization, in collaboration with partners</w:t>
      </w:r>
      <w:r w:rsidR="00631ACD" w:rsidRPr="00A7082A">
        <w:t>, including WHO,</w:t>
      </w:r>
      <w:r w:rsidRPr="00A7082A">
        <w:t xml:space="preserve"> and with support from GEF, had developed a plan for global monitoring of human exposure to and environmental concentrations of mercury, as outlined in document UNEP/MC/COP.3/INF/19. He also highlighted the UNEP </w:t>
      </w:r>
      <w:r w:rsidRPr="00A7082A">
        <w:rPr>
          <w:i/>
        </w:rPr>
        <w:t>Global Mercury Assessment 2018</w:t>
      </w:r>
      <w:r w:rsidRPr="00A7082A">
        <w:t xml:space="preserve">, which featured estimates of mercury emissions by sector and country. </w:t>
      </w:r>
    </w:p>
    <w:p w14:paraId="700B3A26" w14:textId="2405E3E4" w:rsidR="00174D64" w:rsidRPr="00A7082A" w:rsidRDefault="00174D64" w:rsidP="009E64B0">
      <w:pPr>
        <w:pStyle w:val="Normalnumber"/>
      </w:pPr>
      <w:r w:rsidRPr="00A7082A">
        <w:t>Following the discussions, the Conference of the Parties agreed to establish a contact group</w:t>
      </w:r>
      <w:r w:rsidR="006B1AD4" w:rsidRPr="00A7082A">
        <w:t xml:space="preserve"> on effectiveness evaluation</w:t>
      </w:r>
      <w:r w:rsidR="006C5082" w:rsidRPr="00A7082A">
        <w:t xml:space="preserve">, co-chaired by Kateřina Šebková (Czechia) and Teeraporn Wiriwutikorn (Thailand), </w:t>
      </w:r>
      <w:r w:rsidRPr="00A7082A">
        <w:t>to resolve any outstanding issues in the proposed framework for effectiveness evaluation; reach agreement on the work to be undertaken intersessionally between the third and fourth meetings of the Conference of the Parties; and, using the draft decision in annex I to document UNEP/MC/COP.3/14 as a basis, prepare a revised draft decision on arrangements for the first effectiveness evaluation of the Minamata Convention, including the description of the framework, the terms of reference of the committee to be established to perform the effectiveness evaluation, the global monitoring arrangements, and a description of the reports t</w:t>
      </w:r>
      <w:r w:rsidR="006C5082" w:rsidRPr="00A7082A">
        <w:t>o be prepared for the committee</w:t>
      </w:r>
      <w:r w:rsidRPr="00A7082A">
        <w:t>.</w:t>
      </w:r>
    </w:p>
    <w:p w14:paraId="6C2CC08D" w14:textId="08A43A62" w:rsidR="00623D70" w:rsidRPr="00A7082A" w:rsidRDefault="003A36C0" w:rsidP="00623D70">
      <w:pPr>
        <w:pStyle w:val="Normalnumber"/>
        <w:tabs>
          <w:tab w:val="clear" w:pos="624"/>
          <w:tab w:val="left" w:pos="1814"/>
          <w:tab w:val="left" w:pos="2381"/>
          <w:tab w:val="left" w:pos="2948"/>
          <w:tab w:val="left" w:pos="3515"/>
          <w:tab w:val="left" w:pos="4082"/>
        </w:tabs>
      </w:pPr>
      <w:r w:rsidRPr="00A7082A">
        <w:t>Following the work of the contact</w:t>
      </w:r>
      <w:r w:rsidR="006B1AD4" w:rsidRPr="00A7082A">
        <w:t xml:space="preserve"> group on effectiveness evaluation to produce a draft decision for consideration by the Conference</w:t>
      </w:r>
      <w:r w:rsidR="00B56FE3" w:rsidRPr="00A7082A">
        <w:t xml:space="preserve"> of the Parties</w:t>
      </w:r>
      <w:r w:rsidR="006B1AD4" w:rsidRPr="00A7082A">
        <w:t>, and further informal consultations, the President proposed</w:t>
      </w:r>
      <w:r w:rsidR="00B56FE3" w:rsidRPr="00A7082A">
        <w:t>,</w:t>
      </w:r>
      <w:r w:rsidR="006B1AD4" w:rsidRPr="00A7082A">
        <w:t xml:space="preserve"> for consideration by the </w:t>
      </w:r>
      <w:r w:rsidR="003037C3" w:rsidRPr="00A7082A">
        <w:t>Conference</w:t>
      </w:r>
      <w:r w:rsidR="006B1AD4" w:rsidRPr="00A7082A">
        <w:t xml:space="preserve"> </w:t>
      </w:r>
      <w:r w:rsidR="00B56FE3" w:rsidRPr="00A7082A">
        <w:t xml:space="preserve">of the Parties, </w:t>
      </w:r>
      <w:r w:rsidR="006B1AD4" w:rsidRPr="00A7082A">
        <w:t xml:space="preserve">a draft decision on the arrangements for </w:t>
      </w:r>
      <w:r w:rsidR="006B1AD4" w:rsidRPr="00A7082A">
        <w:lastRenderedPageBreak/>
        <w:t>the first effectiveness evaluation of the Convention</w:t>
      </w:r>
      <w:r w:rsidR="00B56FE3" w:rsidRPr="00A7082A">
        <w:t>.</w:t>
      </w:r>
      <w:r w:rsidR="006B1AD4" w:rsidRPr="00A7082A">
        <w:t xml:space="preserve"> </w:t>
      </w:r>
      <w:r w:rsidR="00623D70" w:rsidRPr="00A7082A">
        <w:t>Subsequently, the Conference of the Parties adopted decision MC-3/</w:t>
      </w:r>
      <w:r w:rsidR="00EE6A6E" w:rsidRPr="00A7082A">
        <w:t>10</w:t>
      </w:r>
      <w:r w:rsidR="00623D70" w:rsidRPr="00A7082A">
        <w:t xml:space="preserve"> on</w:t>
      </w:r>
      <w:r w:rsidR="00EE6A6E" w:rsidRPr="00A7082A">
        <w:t xml:space="preserve"> the arrangements for the first</w:t>
      </w:r>
      <w:r w:rsidR="00623D70" w:rsidRPr="00A7082A">
        <w:t xml:space="preserve"> effectiveness evaluation</w:t>
      </w:r>
      <w:r w:rsidR="00EE6A6E" w:rsidRPr="00A7082A">
        <w:t xml:space="preserve"> of the Convention</w:t>
      </w:r>
      <w:r w:rsidR="00623D70" w:rsidRPr="00A7082A">
        <w:t xml:space="preserve">, as set out in </w:t>
      </w:r>
      <w:r w:rsidR="00A32D85" w:rsidRPr="00A7082A">
        <w:t xml:space="preserve">the </w:t>
      </w:r>
      <w:r w:rsidR="00623D70" w:rsidRPr="00A7082A">
        <w:t xml:space="preserve">annex to the present report. </w:t>
      </w:r>
    </w:p>
    <w:p w14:paraId="3EB30A95" w14:textId="152F81AE" w:rsidR="00077945" w:rsidRPr="00A7082A" w:rsidRDefault="00A7033C" w:rsidP="009557F8">
      <w:pPr>
        <w:pStyle w:val="CH2"/>
      </w:pPr>
      <w:r w:rsidRPr="00A7082A">
        <w:tab/>
        <w:t>I.</w:t>
      </w:r>
      <w:r w:rsidRPr="00A7082A">
        <w:tab/>
      </w:r>
      <w:r w:rsidR="00077945" w:rsidRPr="00A7082A">
        <w:t>Financial rules</w:t>
      </w:r>
    </w:p>
    <w:p w14:paraId="7859B90D" w14:textId="04AC235E" w:rsidR="00372928" w:rsidRPr="00A7082A" w:rsidRDefault="00372928" w:rsidP="00957120">
      <w:pPr>
        <w:pStyle w:val="Normalnumber"/>
      </w:pPr>
      <w:r w:rsidRPr="00A7082A">
        <w:t xml:space="preserve">Introducing the item, the representative of the secretariat recalled that, at its first meeting, in its decision MC-1/10, the Conference of the Parties had adopted financial rules for itself and any subsidiary bodies it might establish, </w:t>
      </w:r>
      <w:r w:rsidR="007055F4" w:rsidRPr="00A7082A">
        <w:t>together with</w:t>
      </w:r>
      <w:r w:rsidRPr="00A7082A">
        <w:t xml:space="preserve"> financial provisions governing the functioning of the secretariat. Bracketed text remained in paragraph 3 (e) of rule 5 of the financial rules and in paragraphs 2 and 5 of the annex to the financial rules. At its second meeting, the Conference had agreed to defer further consideration of the issue to its third meeting. She drew attention to the relevant information set out in the note by the secretariat on the matter (UNEP/MC/COP.3/15). </w:t>
      </w:r>
    </w:p>
    <w:p w14:paraId="6974ED92" w14:textId="77777777" w:rsidR="00372928" w:rsidRPr="00A7082A" w:rsidRDefault="00372928" w:rsidP="00957120">
      <w:pPr>
        <w:pStyle w:val="Normalnumber"/>
      </w:pPr>
      <w:r w:rsidRPr="00A7082A">
        <w:t xml:space="preserve">The Conference of the Parties first considered paragraph 3 (e) of rule 5. Several representatives objected to the removal of the brackets. A similar objection was raised by another representative to the proposal to remove the brackets around the text in the annex. </w:t>
      </w:r>
    </w:p>
    <w:p w14:paraId="45CAEBC8" w14:textId="4A51756D" w:rsidR="00372928" w:rsidRPr="00A7082A" w:rsidRDefault="00372928" w:rsidP="00957120">
      <w:pPr>
        <w:pStyle w:val="Normalnumber"/>
      </w:pPr>
      <w:r w:rsidRPr="00A7082A">
        <w:t xml:space="preserve">The Conference of the Parties therefore agreed to defer consideration of the bracketed text in rule 5 </w:t>
      </w:r>
      <w:r w:rsidR="008A261B" w:rsidRPr="00A7082A">
        <w:t>and</w:t>
      </w:r>
      <w:r w:rsidR="00415171" w:rsidRPr="00A7082A">
        <w:t xml:space="preserve"> in</w:t>
      </w:r>
      <w:r w:rsidR="008A261B" w:rsidRPr="00A7082A">
        <w:t xml:space="preserve"> the annex to the financial rules </w:t>
      </w:r>
      <w:r w:rsidRPr="00A7082A">
        <w:t>to its fourth meeting.</w:t>
      </w:r>
    </w:p>
    <w:p w14:paraId="14C42728" w14:textId="497E0546" w:rsidR="00372928" w:rsidRPr="00A7082A" w:rsidRDefault="00372928" w:rsidP="00957120">
      <w:pPr>
        <w:pStyle w:val="Normalnumber"/>
      </w:pPr>
      <w:r w:rsidRPr="00A7082A">
        <w:t xml:space="preserve">Recalling the similar situation under agenda item </w:t>
      </w:r>
      <w:r w:rsidR="007055F4" w:rsidRPr="00A7082A">
        <w:t>3</w:t>
      </w:r>
      <w:r w:rsidR="00CE13C3" w:rsidRPr="00A7082A">
        <w:t>,</w:t>
      </w:r>
      <w:r w:rsidRPr="00A7082A">
        <w:t xml:space="preserve"> on rules of procedure, the President </w:t>
      </w:r>
      <w:r w:rsidR="007055F4" w:rsidRPr="00A7082A">
        <w:t xml:space="preserve">reiterated his </w:t>
      </w:r>
      <w:r w:rsidRPr="00A7082A">
        <w:t xml:space="preserve">caution that continuing to defer consideration of such matters was creating a legacy of unresolved issues in </w:t>
      </w:r>
      <w:r w:rsidR="00B739CC" w:rsidRPr="00A7082A">
        <w:t xml:space="preserve">important </w:t>
      </w:r>
      <w:r w:rsidRPr="00A7082A">
        <w:t>areas of the Convention.</w:t>
      </w:r>
      <w:r w:rsidR="009473E1" w:rsidRPr="00A7082A">
        <w:t xml:space="preserve"> </w:t>
      </w:r>
    </w:p>
    <w:p w14:paraId="75A9B9F0" w14:textId="30C0103C" w:rsidR="00077945" w:rsidRPr="00A7082A" w:rsidRDefault="00E321C7" w:rsidP="00683434">
      <w:pPr>
        <w:pStyle w:val="CH2"/>
      </w:pPr>
      <w:r w:rsidRPr="00A7082A">
        <w:tab/>
      </w:r>
      <w:bookmarkStart w:id="26" w:name="_Toc27124731"/>
      <w:r w:rsidR="00A7033C" w:rsidRPr="00A7082A">
        <w:t>J.</w:t>
      </w:r>
      <w:r w:rsidR="00A7033C" w:rsidRPr="00A7082A">
        <w:tab/>
      </w:r>
      <w:r w:rsidR="00077945" w:rsidRPr="00A7082A">
        <w:t>Secretariat</w:t>
      </w:r>
      <w:bookmarkEnd w:id="26"/>
    </w:p>
    <w:p w14:paraId="4598ED4D" w14:textId="31605A9A" w:rsidR="00245877" w:rsidRPr="00A7082A" w:rsidRDefault="00E321C7" w:rsidP="00957120">
      <w:pPr>
        <w:pStyle w:val="Normalnumber"/>
      </w:pPr>
      <w:r w:rsidRPr="00A7082A">
        <w:t>Introducing the item</w:t>
      </w:r>
      <w:r w:rsidR="000548F9" w:rsidRPr="00A7082A">
        <w:t xml:space="preserve"> on behalf of the Executive Director</w:t>
      </w:r>
      <w:r w:rsidRPr="00A7082A">
        <w:t xml:space="preserve">, </w:t>
      </w:r>
      <w:r w:rsidR="00C86C21" w:rsidRPr="00A7082A">
        <w:t xml:space="preserve">Sonja Leighton-Kone, Director, </w:t>
      </w:r>
      <w:r w:rsidR="00B739CC" w:rsidRPr="00A7082A">
        <w:t xml:space="preserve">Division of </w:t>
      </w:r>
      <w:r w:rsidR="00C86C21" w:rsidRPr="00A7082A">
        <w:t xml:space="preserve">Corporate Services, UNEP, </w:t>
      </w:r>
      <w:r w:rsidRPr="00A7082A">
        <w:t>recalled that, a</w:t>
      </w:r>
      <w:r w:rsidR="00D90BAA" w:rsidRPr="00A7082A">
        <w:t>t its second meeting, in its decision MC-2/</w:t>
      </w:r>
      <w:r w:rsidR="000548F9" w:rsidRPr="00A7082A">
        <w:t xml:space="preserve">7, </w:t>
      </w:r>
      <w:r w:rsidR="007746F5" w:rsidRPr="00A7082A">
        <w:t xml:space="preserve">on </w:t>
      </w:r>
      <w:r w:rsidR="009D509F" w:rsidRPr="00A7082A">
        <w:t>c</w:t>
      </w:r>
      <w:r w:rsidR="007746F5" w:rsidRPr="00A7082A">
        <w:t xml:space="preserve">ooperation between the secretariat of the Minamata Convention and the secretariat of the Basel, Rotterdam and Stockholm </w:t>
      </w:r>
      <w:r w:rsidR="007A64F3" w:rsidRPr="00A7082A">
        <w:t>C</w:t>
      </w:r>
      <w:r w:rsidR="007746F5" w:rsidRPr="00A7082A">
        <w:t xml:space="preserve">onventions, </w:t>
      </w:r>
      <w:r w:rsidR="00D90BAA" w:rsidRPr="00A7082A">
        <w:t>the Conference of the Parties</w:t>
      </w:r>
      <w:r w:rsidRPr="00A7082A">
        <w:t xml:space="preserve"> had</w:t>
      </w:r>
      <w:r w:rsidR="000548F9" w:rsidRPr="00A7082A">
        <w:t xml:space="preserve"> requested the Executive Director of UNEP to submit an operative proposal on a stable framework for sharing of services</w:t>
      </w:r>
      <w:r w:rsidR="00B739CC" w:rsidRPr="00A7082A">
        <w:t xml:space="preserve"> between the Minamata Convention secretariat and the </w:t>
      </w:r>
      <w:r w:rsidR="00851014" w:rsidRPr="00A7082A">
        <w:t>s</w:t>
      </w:r>
      <w:r w:rsidR="00B739CC" w:rsidRPr="00A7082A">
        <w:t xml:space="preserve">ecretariat of the Basel, Rotterdam and Stockholm </w:t>
      </w:r>
      <w:r w:rsidR="007A64F3" w:rsidRPr="00A7082A">
        <w:t>Conventions</w:t>
      </w:r>
      <w:r w:rsidR="000548F9" w:rsidRPr="00A7082A">
        <w:t xml:space="preserve">. In consultation with the Executive Secretary of the Minamata Convention and supported by the Executive Secretary of the Basel, Rotterdam and Stockholm </w:t>
      </w:r>
      <w:r w:rsidR="000A6D5B" w:rsidRPr="00A7082A">
        <w:t>c</w:t>
      </w:r>
      <w:r w:rsidR="000548F9" w:rsidRPr="00A7082A">
        <w:t>onventions, UNEP had prepared a proposal which evaluated areas of potential synergies and the efficient delivery of mandates as decided by the conferences of parties. The proposal</w:t>
      </w:r>
      <w:r w:rsidR="00C86C21" w:rsidRPr="00A7082A">
        <w:t>, set out in document UNEP/MC/COP.3/16,</w:t>
      </w:r>
      <w:r w:rsidR="000548F9" w:rsidRPr="00A7082A">
        <w:t xml:space="preserve"> adhered to five basic principles: </w:t>
      </w:r>
      <w:r w:rsidR="00245877" w:rsidRPr="00A7082A">
        <w:t xml:space="preserve">first, the economic use of resources; second, the autonomy of </w:t>
      </w:r>
      <w:r w:rsidR="00347F8B" w:rsidRPr="00A7082A">
        <w:t xml:space="preserve">the </w:t>
      </w:r>
      <w:r w:rsidR="00245877" w:rsidRPr="00A7082A">
        <w:t>secretariats and accountability of their respective executive heads; third, flexibility and predictability; fourth, full cost recovery; and, fifth, compliance with applicable</w:t>
      </w:r>
      <w:r w:rsidR="00B739CC" w:rsidRPr="00A7082A">
        <w:t xml:space="preserve"> </w:t>
      </w:r>
      <w:r w:rsidR="00BF507F" w:rsidRPr="00A7082A">
        <w:t>United</w:t>
      </w:r>
      <w:r w:rsidR="00073984" w:rsidRPr="00A7082A">
        <w:t> </w:t>
      </w:r>
      <w:r w:rsidR="00BF507F" w:rsidRPr="00A7082A">
        <w:t xml:space="preserve">Nations </w:t>
      </w:r>
      <w:r w:rsidR="00245877" w:rsidRPr="00A7082A">
        <w:t>rules and regulations.</w:t>
      </w:r>
      <w:r w:rsidR="00004299" w:rsidRPr="00A7082A">
        <w:t xml:space="preserve"> In </w:t>
      </w:r>
      <w:r w:rsidR="00347F8B" w:rsidRPr="00A7082A">
        <w:t xml:space="preserve">the </w:t>
      </w:r>
      <w:r w:rsidR="00004299" w:rsidRPr="00A7082A">
        <w:t xml:space="preserve">application </w:t>
      </w:r>
      <w:r w:rsidR="00245877" w:rsidRPr="00A7082A">
        <w:t>of those principles, three options had been identified: first, a consolidated unit</w:t>
      </w:r>
      <w:r w:rsidR="00C86C21" w:rsidRPr="00A7082A">
        <w:t xml:space="preserve"> </w:t>
      </w:r>
      <w:r w:rsidR="00A35572" w:rsidRPr="00A7082A">
        <w:t>to provide services to both secretariats, with each secretariat contrib</w:t>
      </w:r>
      <w:r w:rsidR="00995DBC" w:rsidRPr="00A7082A">
        <w:t>uting resources to the new unit</w:t>
      </w:r>
      <w:r w:rsidR="00245877" w:rsidRPr="00A7082A">
        <w:t>; second, the redeployment of staff from the Min</w:t>
      </w:r>
      <w:r w:rsidR="000A6D5B" w:rsidRPr="00A7082A">
        <w:t>a</w:t>
      </w:r>
      <w:r w:rsidR="00245877" w:rsidRPr="00A7082A">
        <w:t xml:space="preserve">mata Convention </w:t>
      </w:r>
      <w:r w:rsidR="00B739CC" w:rsidRPr="00A7082A">
        <w:t xml:space="preserve">secretariat </w:t>
      </w:r>
      <w:r w:rsidR="00245877" w:rsidRPr="00A7082A">
        <w:t xml:space="preserve">to the </w:t>
      </w:r>
      <w:r w:rsidR="00851014" w:rsidRPr="00A7082A">
        <w:t>s</w:t>
      </w:r>
      <w:r w:rsidR="007055F4" w:rsidRPr="00A7082A">
        <w:t xml:space="preserve">ecretariat of the </w:t>
      </w:r>
      <w:r w:rsidR="00245877" w:rsidRPr="00A7082A">
        <w:t xml:space="preserve">Basel, </w:t>
      </w:r>
      <w:r w:rsidR="004D60D7" w:rsidRPr="00A7082A">
        <w:t xml:space="preserve">Rotterdam and Stockholm </w:t>
      </w:r>
      <w:r w:rsidR="007055F4" w:rsidRPr="00A7082A">
        <w:t>C</w:t>
      </w:r>
      <w:r w:rsidR="00245877" w:rsidRPr="00A7082A">
        <w:t>onventions</w:t>
      </w:r>
      <w:r w:rsidR="00B739CC" w:rsidRPr="00A7082A">
        <w:t xml:space="preserve"> </w:t>
      </w:r>
      <w:r w:rsidR="00A35572" w:rsidRPr="00A7082A">
        <w:t>in order for the lat</w:t>
      </w:r>
      <w:r w:rsidR="00AB3B26" w:rsidRPr="00A7082A">
        <w:t>t</w:t>
      </w:r>
      <w:r w:rsidR="00A35572" w:rsidRPr="00A7082A">
        <w:t>er secretariat to provide services to the first</w:t>
      </w:r>
      <w:r w:rsidR="00245877" w:rsidRPr="00A7082A">
        <w:t xml:space="preserve">; and, third, the purchase of services on a </w:t>
      </w:r>
      <w:r w:rsidR="00073984" w:rsidRPr="00A7082A">
        <w:t>cost</w:t>
      </w:r>
      <w:r w:rsidR="00073984" w:rsidRPr="00A7082A">
        <w:noBreakHyphen/>
        <w:t>recovery</w:t>
      </w:r>
      <w:r w:rsidR="00245877" w:rsidRPr="00A7082A">
        <w:t xml:space="preserve"> basis.</w:t>
      </w:r>
      <w:r w:rsidR="004D60D7" w:rsidRPr="00A7082A">
        <w:t xml:space="preserve"> Following a projection of financial data for the three options, the cost recovery model had proved to be the most advantageous and was therefore th</w:t>
      </w:r>
      <w:r w:rsidR="00004299" w:rsidRPr="00A7082A">
        <w:t xml:space="preserve">at </w:t>
      </w:r>
      <w:r w:rsidR="004D60D7" w:rsidRPr="00A7082A">
        <w:t xml:space="preserve">recommended by UNEP. </w:t>
      </w:r>
    </w:p>
    <w:p w14:paraId="46EE70C7" w14:textId="57C4A394" w:rsidR="00CE13C3" w:rsidRPr="00A7082A" w:rsidRDefault="00EF0951" w:rsidP="00957120">
      <w:pPr>
        <w:pStyle w:val="Normalnumber"/>
      </w:pPr>
      <w:r w:rsidRPr="00A7082A">
        <w:t xml:space="preserve">Subsequently, the representative of the </w:t>
      </w:r>
      <w:r w:rsidR="00851014" w:rsidRPr="00A7082A">
        <w:t>s</w:t>
      </w:r>
      <w:r w:rsidRPr="00A7082A">
        <w:t>ecretariat of the Basel, Rotterdam and Stockholm Conventions and the representative of the secretariat of the Minamata Convention</w:t>
      </w:r>
      <w:r w:rsidR="003051A1" w:rsidRPr="00A7082A">
        <w:t xml:space="preserve"> </w:t>
      </w:r>
      <w:r w:rsidRPr="00A7082A">
        <w:t>drew attention to some of the</w:t>
      </w:r>
      <w:r w:rsidR="00A35572" w:rsidRPr="00A7082A">
        <w:t xml:space="preserve"> cooperative</w:t>
      </w:r>
      <w:r w:rsidRPr="00A7082A">
        <w:t xml:space="preserve"> activities</w:t>
      </w:r>
      <w:r w:rsidR="00A35572" w:rsidRPr="00A7082A">
        <w:t xml:space="preserve"> taking place to date</w:t>
      </w:r>
      <w:r w:rsidRPr="00A7082A">
        <w:t xml:space="preserve"> described in documents UNEP/MC/COP.3/INF/6 and UNEP/MC/COP.3/19, respectively.</w:t>
      </w:r>
    </w:p>
    <w:p w14:paraId="7AC564F8" w14:textId="58D23B73" w:rsidR="00EF0951" w:rsidRPr="00A7082A" w:rsidRDefault="00EF0951" w:rsidP="00957120">
      <w:pPr>
        <w:pStyle w:val="Normalnumber"/>
      </w:pPr>
      <w:r w:rsidRPr="00A7082A">
        <w:t>The representative of the European Union</w:t>
      </w:r>
      <w:r w:rsidR="003051A1" w:rsidRPr="00A7082A">
        <w:t xml:space="preserve"> </w:t>
      </w:r>
      <w:r w:rsidRPr="00A7082A">
        <w:t xml:space="preserve">introduced a conference room paper </w:t>
      </w:r>
      <w:r w:rsidR="000001E5" w:rsidRPr="00A7082A">
        <w:t xml:space="preserve">setting out </w:t>
      </w:r>
      <w:r w:rsidRPr="00A7082A">
        <w:t xml:space="preserve">a draft decision on enhanced cooperation between the secretariat of the Minamata Convention and the </w:t>
      </w:r>
      <w:r w:rsidR="00851014" w:rsidRPr="00A7082A">
        <w:t>s</w:t>
      </w:r>
      <w:r w:rsidRPr="00A7082A">
        <w:t xml:space="preserve">ecretariat of the Basel, Rotterdam and Stockholm Conventions, submitted by Costa Rica, the Congo, the European Union and its member States, Gabon, Mali, Norway, Senegal, Switzerland and Thailand. The draft decision built on the operative proposal presented by the Executive Director of UNEP (UNEP/MC/COP.3/16) and, among other things, supported the continued purchase of relevant services by the Minamata Convention secretariat from the </w:t>
      </w:r>
      <w:r w:rsidR="00851014" w:rsidRPr="00A7082A">
        <w:t>s</w:t>
      </w:r>
      <w:r w:rsidRPr="00A7082A">
        <w:t xml:space="preserve">ecretariat of the Basel, Rotterdam and Stockholm Conventions on a cost recovery basis; supported the revitalization of the task force </w:t>
      </w:r>
      <w:r w:rsidR="00AB79ED" w:rsidRPr="00A7082A">
        <w:t>between</w:t>
      </w:r>
      <w:r w:rsidR="00C031D0" w:rsidRPr="00A7082A">
        <w:t xml:space="preserve"> </w:t>
      </w:r>
      <w:r w:rsidRPr="00A7082A">
        <w:t xml:space="preserve">the two secretariats and the UNEP Chemicals and Health Branch; and provided for the establishment of </w:t>
      </w:r>
      <w:r w:rsidR="000C690C" w:rsidRPr="00A7082A">
        <w:t>inter</w:t>
      </w:r>
      <w:r w:rsidR="000C690C" w:rsidRPr="00A7082A">
        <w:noBreakHyphen/>
        <w:t>secretariat</w:t>
      </w:r>
      <w:r w:rsidRPr="00A7082A">
        <w:t xml:space="preserve"> working groups under the task force to address specific substantive or administrative matters.</w:t>
      </w:r>
    </w:p>
    <w:p w14:paraId="01BF6593" w14:textId="77777777" w:rsidR="00EF0951" w:rsidRPr="00A7082A" w:rsidRDefault="00EF0951" w:rsidP="00957120">
      <w:pPr>
        <w:pStyle w:val="Normalnumber"/>
      </w:pPr>
      <w:r w:rsidRPr="00A7082A">
        <w:lastRenderedPageBreak/>
        <w:t xml:space="preserve">In the ensuing discussion, many representatives expressed appreciation to the Executive Director for her operative proposal and thanked the proponents of the conference room paper for their proposal. Many representatives, including one speaking on behalf of a group of countries, expressed support for the draft decision set out in the conference room paper, stressing that it provided a practical and stable framework for enhanced collaboration and cooperation between the two secretariats that went beyond the organization of meetings and the purchasing of services, while respecting the legal autonomy of each secretariat. </w:t>
      </w:r>
    </w:p>
    <w:p w14:paraId="26A86609" w14:textId="3011E8E9" w:rsidR="00EF0951" w:rsidRPr="00A7082A" w:rsidRDefault="00EF0951" w:rsidP="00957120">
      <w:pPr>
        <w:pStyle w:val="Normalnumber"/>
      </w:pPr>
      <w:r w:rsidRPr="00A7082A">
        <w:t xml:space="preserve">Several other representatives said that they needed more time to consider the proposed draft decision. Two representatives expressed support for a decision that was focused on the proposed purchase of services by the Minamata Convention, did not generate additional costs to the parties to the Minamata Convention and enabled the two secretariats to retain their legal autonomy, with one voicing his concern that the proposed draft decision covered </w:t>
      </w:r>
      <w:r w:rsidR="00B739CC" w:rsidRPr="00A7082A">
        <w:t>services</w:t>
      </w:r>
      <w:r w:rsidRPr="00A7082A">
        <w:t xml:space="preserve"> such as legal advice. A third representative expressed support for a strong and independent Minamata Convention secretariat that answered only to the </w:t>
      </w:r>
      <w:r w:rsidR="00347F8B" w:rsidRPr="00A7082A">
        <w:t xml:space="preserve">parties </w:t>
      </w:r>
      <w:r w:rsidRPr="00A7082A">
        <w:t xml:space="preserve">to that Convention. </w:t>
      </w:r>
    </w:p>
    <w:p w14:paraId="255F3280" w14:textId="77777777" w:rsidR="00EF0951" w:rsidRPr="00A7082A" w:rsidRDefault="00EF0951" w:rsidP="00957120">
      <w:pPr>
        <w:pStyle w:val="Normalnumber"/>
      </w:pPr>
      <w:r w:rsidRPr="00A7082A">
        <w:t>One of the proponents of the conference room paper said that the aim of the proposed draft decision was to create a stable framework that enabled the two secretariats to cooperate on all relevant issues and to use resources in the most efficient manner. Another of the proponents, noting that the draft decision was practical and made use of existing tools and mandates, said that, for instance, the UNEP Chemicals and Health Branch and the two secretariats already had the necessary mandates from their governing bodies to enhance their mutual collaboration.</w:t>
      </w:r>
    </w:p>
    <w:p w14:paraId="2464277A" w14:textId="5BB0BDC3" w:rsidR="00EF0951" w:rsidRPr="00A7082A" w:rsidRDefault="00EF0951" w:rsidP="00957120">
      <w:pPr>
        <w:pStyle w:val="Normalnumber"/>
      </w:pPr>
      <w:r w:rsidRPr="00A7082A">
        <w:t xml:space="preserve">Following the discussion, the Conference of the Parties agreed to establish a group of friends of the President, </w:t>
      </w:r>
      <w:r w:rsidR="00890358" w:rsidRPr="00A7082A">
        <w:t xml:space="preserve">open to Parties only and </w:t>
      </w:r>
      <w:r w:rsidRPr="00A7082A">
        <w:t>facilitated by Nina Cromnier (Sweden), to discuss the issue</w:t>
      </w:r>
      <w:r w:rsidR="000001E5" w:rsidRPr="00A7082A">
        <w:t xml:space="preserve"> further, taking into account</w:t>
      </w:r>
      <w:r w:rsidR="00890358" w:rsidRPr="00A7082A">
        <w:t xml:space="preserve"> the operative proposal </w:t>
      </w:r>
      <w:r w:rsidR="000001E5" w:rsidRPr="00A7082A">
        <w:t>by</w:t>
      </w:r>
      <w:r w:rsidR="00890358" w:rsidRPr="00A7082A">
        <w:t xml:space="preserve"> the UNEP Executive Director </w:t>
      </w:r>
      <w:r w:rsidR="000001E5" w:rsidRPr="00A7082A">
        <w:t>and</w:t>
      </w:r>
      <w:r w:rsidR="00890358" w:rsidRPr="00A7082A">
        <w:t xml:space="preserve"> the conference room paper</w:t>
      </w:r>
      <w:r w:rsidR="000001E5" w:rsidRPr="00A7082A">
        <w:t xml:space="preserve"> that had been</w:t>
      </w:r>
      <w:r w:rsidR="00890358" w:rsidRPr="00A7082A">
        <w:t xml:space="preserve"> introduced</w:t>
      </w:r>
      <w:r w:rsidR="000001E5" w:rsidRPr="00A7082A">
        <w:t>,</w:t>
      </w:r>
      <w:r w:rsidR="00890358" w:rsidRPr="00A7082A">
        <w:t xml:space="preserve"> </w:t>
      </w:r>
      <w:r w:rsidRPr="00A7082A">
        <w:t xml:space="preserve">and </w:t>
      </w:r>
      <w:r w:rsidR="000001E5" w:rsidRPr="00A7082A">
        <w:t xml:space="preserve">to </w:t>
      </w:r>
      <w:r w:rsidRPr="00A7082A">
        <w:t>present a revised draft decision for consideration by the Conference of the Parties.</w:t>
      </w:r>
      <w:r w:rsidR="00890358" w:rsidRPr="00A7082A">
        <w:t xml:space="preserve"> </w:t>
      </w:r>
    </w:p>
    <w:p w14:paraId="469067A9" w14:textId="7399D59E" w:rsidR="00A7033C" w:rsidRPr="00A7082A" w:rsidRDefault="00EE6A6E" w:rsidP="00957120">
      <w:pPr>
        <w:pStyle w:val="Normalnumber"/>
      </w:pPr>
      <w:r w:rsidRPr="00A7082A">
        <w:t xml:space="preserve">Subsequently, the Conference of the Parties adopted decision MC-3/11, on enhanced cooperation between the secretariat of the Minamata Convention and the </w:t>
      </w:r>
      <w:r w:rsidR="00851014" w:rsidRPr="00A7082A">
        <w:t>secretariat</w:t>
      </w:r>
      <w:r w:rsidRPr="00A7082A">
        <w:t xml:space="preserve"> of the Basel, Rotterdam and Stockholm Conventions, as submitted by the group of friends of the President, as set out in </w:t>
      </w:r>
      <w:r w:rsidR="00A32D85" w:rsidRPr="00A7082A">
        <w:t xml:space="preserve">the </w:t>
      </w:r>
      <w:r w:rsidRPr="00A7082A">
        <w:t xml:space="preserve">annex to the present report. </w:t>
      </w:r>
    </w:p>
    <w:p w14:paraId="0B4F14CA" w14:textId="2CE59277" w:rsidR="00077945" w:rsidRPr="00A7082A" w:rsidRDefault="00A7033C" w:rsidP="00A7033C">
      <w:pPr>
        <w:pStyle w:val="CH2"/>
      </w:pPr>
      <w:r w:rsidRPr="00A7082A">
        <w:tab/>
      </w:r>
      <w:bookmarkStart w:id="27" w:name="_Toc27124732"/>
      <w:r w:rsidRPr="00A7082A">
        <w:t>K.</w:t>
      </w:r>
      <w:r w:rsidRPr="00A7082A">
        <w:tab/>
      </w:r>
      <w:r w:rsidR="00077945" w:rsidRPr="00A7082A">
        <w:t>Emissions of mercury resulting from the open burning of waste</w:t>
      </w:r>
      <w:bookmarkEnd w:id="27"/>
    </w:p>
    <w:p w14:paraId="389C056F" w14:textId="77777777" w:rsidR="00113D26" w:rsidRPr="00A7082A" w:rsidRDefault="00113D26" w:rsidP="0053138D">
      <w:pPr>
        <w:pStyle w:val="Normalnumber"/>
      </w:pPr>
      <w:r w:rsidRPr="00A7082A">
        <w:t xml:space="preserve">Introducing the sub-item, the representative of the secretariat drew attention to notes by the secretariat on information in relation to emissions of mercury resulting from the open burning of waste (UNEP/MC/COP.3/17) and information received in relation to emissions of mercury resulting from the open burning of waste </w:t>
      </w:r>
      <w:bookmarkStart w:id="28" w:name="_Hlk25733331"/>
      <w:r w:rsidRPr="00A7082A">
        <w:t>(UNEP/MC/COP.3/INF/16</w:t>
      </w:r>
      <w:bookmarkEnd w:id="28"/>
      <w:r w:rsidRPr="00A7082A">
        <w:t xml:space="preserve">). The documents had been prepared by the secretariat in response to the request by the Conference of the Parties, at its second meeting, that the secretariat continue to collect and make available information on mercury emissions from the open burning of waste, which it had provided to the Conference at its second meeting pursuant to its decision MC-1/14. </w:t>
      </w:r>
    </w:p>
    <w:p w14:paraId="54894AEA" w14:textId="1FC66FC8" w:rsidR="00113D26" w:rsidRPr="00A7082A" w:rsidRDefault="00113D26" w:rsidP="00113D26">
      <w:pPr>
        <w:pStyle w:val="Normalnumber"/>
      </w:pPr>
      <w:r w:rsidRPr="00A7082A">
        <w:t xml:space="preserve">In the ensuing discussion, representatives expressed support for requesting the secretariat to continue to collect such information and share it with the parties. One representative, speaking on behalf of a group of countries, suggested that the secretariat create a dedicated section on the Convention website to share such information. Another representative requested the secretariat to collaborate with the </w:t>
      </w:r>
      <w:r w:rsidR="00851014" w:rsidRPr="00A7082A">
        <w:t>secretariat</w:t>
      </w:r>
      <w:r w:rsidRPr="00A7082A">
        <w:t xml:space="preserve"> of the Basel, Rotterdam and Stockholm </w:t>
      </w:r>
      <w:r w:rsidR="007F7A62" w:rsidRPr="00A7082A">
        <w:t xml:space="preserve">Conventions </w:t>
      </w:r>
      <w:r w:rsidRPr="00A7082A">
        <w:t xml:space="preserve">on the issue of open waste burning, </w:t>
      </w:r>
      <w:r w:rsidR="004D3A31" w:rsidRPr="00A7082A">
        <w:t xml:space="preserve">noting that it </w:t>
      </w:r>
      <w:r w:rsidRPr="00A7082A">
        <w:t>was a waste management issue.</w:t>
      </w:r>
    </w:p>
    <w:p w14:paraId="320BD9D0" w14:textId="2943A851" w:rsidR="00113D26" w:rsidRPr="00A7082A" w:rsidRDefault="00113D26" w:rsidP="00113D26">
      <w:pPr>
        <w:pStyle w:val="Normalnumber"/>
      </w:pPr>
      <w:r w:rsidRPr="00A7082A">
        <w:t xml:space="preserve">Another representative asked the secretariat to continue to collect such information in the period between the third and fourth meetings of the Conference of the Parties and present a more comprehensive report on the issue to the Conference of the Parties at its fourth </w:t>
      </w:r>
      <w:r w:rsidR="004D3A31" w:rsidRPr="00A7082A">
        <w:t>meeting</w:t>
      </w:r>
      <w:r w:rsidRPr="00A7082A">
        <w:t xml:space="preserve">. </w:t>
      </w:r>
    </w:p>
    <w:p w14:paraId="0BAFBC22" w14:textId="1ABB1F47" w:rsidR="00113D26" w:rsidRPr="00A7082A" w:rsidRDefault="00113D26" w:rsidP="00113D26">
      <w:pPr>
        <w:pStyle w:val="Normalnumber"/>
      </w:pPr>
      <w:r w:rsidRPr="00A7082A">
        <w:t>One representative drew attention to the workshop on synergies in mercury waste management held in Osaka, Japan, on 30 and 31 May 2019, which, as discussed in document UNEP/MC/COP.3/17, had covered different types of open burning of waste. He invited the parties to read the report of the workshop, which was available on the Convention’s website. He said that Japan had been engaged in projects to monitor mercury in open</w:t>
      </w:r>
      <w:r w:rsidR="007A64F3" w:rsidRPr="00A7082A">
        <w:t>-</w:t>
      </w:r>
      <w:r w:rsidRPr="00A7082A">
        <w:t xml:space="preserve">burning sites in three developing countries and was interested in monitoring additional sites in other countries. </w:t>
      </w:r>
    </w:p>
    <w:p w14:paraId="6FD12756" w14:textId="77777777" w:rsidR="00113D26" w:rsidRPr="00A7082A" w:rsidRDefault="00113D26" w:rsidP="00113D26">
      <w:pPr>
        <w:pStyle w:val="Normalnumber"/>
      </w:pPr>
      <w:r w:rsidRPr="00A7082A">
        <w:t xml:space="preserve">Two representatives, including one speaking on behalf of a group of countries, said that waste management systems in Africa were either inadequate or lacking and called for partnerships and the provision of technical assistance to African countries to help them to address the issue of the open burning of waste. In that regard, they welcomed the offer of Japan to monitor mercury emissions from </w:t>
      </w:r>
      <w:r w:rsidRPr="00A7082A">
        <w:lastRenderedPageBreak/>
        <w:t>sites of open burning of wastes in developing countries and said that African countries were willing to participate in such collaboration.</w:t>
      </w:r>
    </w:p>
    <w:p w14:paraId="45DEF6EB" w14:textId="77777777" w:rsidR="00113D26" w:rsidRPr="00A7082A" w:rsidRDefault="00113D26" w:rsidP="00AA5D77">
      <w:pPr>
        <w:pStyle w:val="Normalnumber"/>
        <w:keepNext/>
        <w:keepLines/>
      </w:pPr>
      <w:r w:rsidRPr="00A7082A">
        <w:t xml:space="preserve">Another representative thanked the Government of Japan for support provided to her country in emissions monitoring and analysis using the UNEP Toolkit for Identification and Quantification of Mercury Releases, which provided practical tools but needed to be updated periodically in the light of changes in the technologies used by countries. </w:t>
      </w:r>
    </w:p>
    <w:p w14:paraId="15B365C6" w14:textId="0AA07C5A" w:rsidR="00113D26" w:rsidRPr="00A7082A" w:rsidRDefault="00113D26" w:rsidP="00113D26">
      <w:pPr>
        <w:pStyle w:val="Normalnumber"/>
      </w:pPr>
      <w:r w:rsidRPr="00A7082A">
        <w:t xml:space="preserve">Several representatives, including one speaking on behalf of a group of countries, said that they were experiencing considerable difficulties </w:t>
      </w:r>
      <w:r w:rsidR="007A64F3" w:rsidRPr="00A7082A">
        <w:t xml:space="preserve">in </w:t>
      </w:r>
      <w:r w:rsidRPr="00A7082A">
        <w:t xml:space="preserve">dealing with the issue of the open burning of waste, which continued to be practised in their countries and regions, even in those cases where it had been banned, and which resulted in releases and emissions of mercury and other pollutants, including dioxins and furans. </w:t>
      </w:r>
      <w:r w:rsidR="004D3A31" w:rsidRPr="00A7082A">
        <w:t xml:space="preserve">One </w:t>
      </w:r>
      <w:r w:rsidRPr="00A7082A">
        <w:t>representative</w:t>
      </w:r>
      <w:r w:rsidR="004D3A31" w:rsidRPr="00A7082A">
        <w:t>,</w:t>
      </w:r>
      <w:r w:rsidRPr="00A7082A">
        <w:t xml:space="preserve"> speaking on behalf of a group of countries</w:t>
      </w:r>
      <w:r w:rsidR="004D3A31" w:rsidRPr="00A7082A">
        <w:t>,</w:t>
      </w:r>
      <w:r w:rsidRPr="00A7082A">
        <w:t xml:space="preserve"> suggested that the issue of mercury emissions and releases from the open burning of waste should be assessed in the evaluation of the effectiveness of the Convention. </w:t>
      </w:r>
    </w:p>
    <w:p w14:paraId="1E540C96" w14:textId="77777777" w:rsidR="00113D26" w:rsidRPr="00A7082A" w:rsidRDefault="00113D26" w:rsidP="00113D26">
      <w:pPr>
        <w:pStyle w:val="Normalnumber"/>
      </w:pPr>
      <w:r w:rsidRPr="00A7082A">
        <w:t xml:space="preserve">Another representative said that he appreciated that in many countries state-of-the-art waste management practices were beyond reach and suggested that Minamata initial assessments could be an important tool to tackle waste management issues to reduce the exposure of large numbers of people to mercury and other pollutants. He stressed that cooperation with the Basel Convention was crucial to achieving the waste-related targets of the Minamata Convention. </w:t>
      </w:r>
    </w:p>
    <w:p w14:paraId="19739E0D" w14:textId="77777777" w:rsidR="00113D26" w:rsidRPr="00A7082A" w:rsidRDefault="00113D26" w:rsidP="00113D26">
      <w:pPr>
        <w:pStyle w:val="Normalnumber"/>
      </w:pPr>
      <w:r w:rsidRPr="00A7082A">
        <w:t>Two representatives highlighted the importance of moving beyond the collection of information to dealing with the issue of the open burning of waste. They commended collaborative efforts to tackle that issue, including those being undertaken by Japan.</w:t>
      </w:r>
    </w:p>
    <w:p w14:paraId="03831E1C" w14:textId="77777777" w:rsidR="00113D26" w:rsidRPr="00A7082A" w:rsidRDefault="00113D26" w:rsidP="00113D26">
      <w:pPr>
        <w:pStyle w:val="Normalnumber"/>
      </w:pPr>
      <w:r w:rsidRPr="00A7082A">
        <w:t>An observer said that the open burning of waste was taking place not only in city landfills but also in residential and other neighbourhoods in developing countries, and suggested that the measuring of emissions from open burning should include investigations into the origin of the waste, the main types of waste being burned, and the type of fuel being used to burn it. She called for political commitments to prohibit the open burning of waste, but urged careful consideration of plans to move away from open burning to other waste management methods, stressing that some methods would not be financially or economically feasible in low-income countries.</w:t>
      </w:r>
    </w:p>
    <w:p w14:paraId="5826D34A" w14:textId="4B98F2E8" w:rsidR="00113D26" w:rsidRPr="00A7082A" w:rsidRDefault="00113D26" w:rsidP="00113D26">
      <w:pPr>
        <w:pStyle w:val="Normalnumber"/>
      </w:pPr>
      <w:r w:rsidRPr="00A7082A">
        <w:t xml:space="preserve">The Conference of the Parties agreed to request the secretariat to continue to collect information on the open burning of waste and to make such information available on the Convention website, to cooperate on the issue with the </w:t>
      </w:r>
      <w:r w:rsidR="00851014" w:rsidRPr="00A7082A">
        <w:t>secretariat</w:t>
      </w:r>
      <w:r w:rsidRPr="00A7082A">
        <w:t xml:space="preserve"> of the Basel, Rotterdam and Stockholm Conventions and to report to the Conference of the Parties at its fourth meeting on the implementation of those activities.</w:t>
      </w:r>
    </w:p>
    <w:p w14:paraId="73DD52BC" w14:textId="2B880F84" w:rsidR="00077945" w:rsidRPr="00A7082A" w:rsidRDefault="00A7033C" w:rsidP="009557F8">
      <w:pPr>
        <w:pStyle w:val="CH1"/>
      </w:pPr>
      <w:r w:rsidRPr="00A7082A">
        <w:tab/>
      </w:r>
      <w:bookmarkStart w:id="29" w:name="_Toc27124733"/>
      <w:r w:rsidRPr="00A7082A">
        <w:t>VI.</w:t>
      </w:r>
      <w:r w:rsidRPr="00A7082A">
        <w:tab/>
      </w:r>
      <w:r w:rsidR="00077945" w:rsidRPr="00A7082A">
        <w:t>International cooperation and coordination</w:t>
      </w:r>
      <w:bookmarkEnd w:id="29"/>
    </w:p>
    <w:p w14:paraId="5D19F911" w14:textId="437199D3" w:rsidR="00113D26" w:rsidRPr="00A7082A" w:rsidRDefault="00113D26" w:rsidP="0053138D">
      <w:pPr>
        <w:pStyle w:val="Normalnumber"/>
      </w:pPr>
      <w:r w:rsidRPr="00A7082A">
        <w:t>Introducing the item, the representative of the secretariat noted that several provisions of the Convention called for cooperation with relevant intergovernmental organizations. In particular, article 16 specified that the Conference of the Parties, in considering health-related issues or activities, should consult and collaborate with WHO,</w:t>
      </w:r>
      <w:r w:rsidR="003C4AD3" w:rsidRPr="00A7082A">
        <w:t xml:space="preserve"> the International Labour Organization</w:t>
      </w:r>
      <w:r w:rsidRPr="00A7082A">
        <w:t xml:space="preserve"> </w:t>
      </w:r>
      <w:r w:rsidR="003C4AD3" w:rsidRPr="00A7082A">
        <w:t>(</w:t>
      </w:r>
      <w:r w:rsidRPr="00A7082A">
        <w:t>ILO</w:t>
      </w:r>
      <w:r w:rsidR="003C4AD3" w:rsidRPr="00A7082A">
        <w:t>)</w:t>
      </w:r>
      <w:r w:rsidRPr="00A7082A">
        <w:t xml:space="preserve"> and other relevant intergovernmental organizations, as appropriate, and should promote cooperation and the exchange of information with those organizations, as appropriate.</w:t>
      </w:r>
    </w:p>
    <w:p w14:paraId="0CBBEFD6" w14:textId="5B63124B" w:rsidR="00077945" w:rsidRPr="00A7082A" w:rsidRDefault="00A7033C" w:rsidP="00A7033C">
      <w:pPr>
        <w:pStyle w:val="CH2"/>
      </w:pPr>
      <w:r w:rsidRPr="00A7082A">
        <w:tab/>
      </w:r>
      <w:bookmarkStart w:id="30" w:name="_Toc27124734"/>
      <w:r w:rsidR="00711DD6" w:rsidRPr="00A7082A">
        <w:t>A</w:t>
      </w:r>
      <w:r w:rsidRPr="00A7082A">
        <w:t>.</w:t>
      </w:r>
      <w:r w:rsidRPr="00A7082A">
        <w:tab/>
      </w:r>
      <w:r w:rsidR="00077945" w:rsidRPr="00A7082A">
        <w:t>World Health Organization; International Labour Organization</w:t>
      </w:r>
      <w:bookmarkEnd w:id="30"/>
    </w:p>
    <w:p w14:paraId="190BA45D" w14:textId="31606BAA" w:rsidR="00113D26" w:rsidRPr="00A7082A" w:rsidRDefault="00113D26" w:rsidP="0053138D">
      <w:pPr>
        <w:pStyle w:val="Normalnumber"/>
      </w:pPr>
      <w:r w:rsidRPr="00A7082A">
        <w:t>Introducing the sub-item, the representative of the secretariat drew attention to the relevant information set out in the report on cooperative activities with WHO and ILO (UNEP/MC/COP.3/18, annex</w:t>
      </w:r>
      <w:r w:rsidR="00FF1231" w:rsidRPr="00A7082A">
        <w:t>es</w:t>
      </w:r>
      <w:r w:rsidR="003C4AD3" w:rsidRPr="00A7082A">
        <w:t xml:space="preserve"> I and II, respectively</w:t>
      </w:r>
      <w:r w:rsidRPr="00A7082A">
        <w:t xml:space="preserve">). </w:t>
      </w:r>
    </w:p>
    <w:p w14:paraId="6EAD329D" w14:textId="5100CA0E" w:rsidR="00113D26" w:rsidRPr="00A7082A" w:rsidRDefault="00113D26" w:rsidP="00113D26">
      <w:pPr>
        <w:pStyle w:val="Normalnumber"/>
      </w:pPr>
      <w:r w:rsidRPr="00A7082A">
        <w:t xml:space="preserve">The representative of WHO highlighted activities of relevance to the Convention undertaken by WHO since the second meeting of the Conference of the Parties. Those included, in particular, the preparation and publication in the six official languages of the United Nations of guidance on </w:t>
      </w:r>
      <w:r w:rsidR="00DC6661" w:rsidRPr="00A7082A">
        <w:t>strategic</w:t>
      </w:r>
      <w:r w:rsidRPr="00A7082A">
        <w:t xml:space="preserve"> planning for the implementation of the health-related articles of the Convention. It had also prepared guidance on </w:t>
      </w:r>
      <w:r w:rsidR="006B7260" w:rsidRPr="00A7082A">
        <w:t>addressing health when developing national action plans on artisanal and small-scale gold mining</w:t>
      </w:r>
      <w:r w:rsidRPr="00A7082A">
        <w:t xml:space="preserve">, which had already been employed in a number of countries. WHO was also preparing detailed technical specifications for blood pressure measuring devices, which would serve as a key reference for countries phasing out </w:t>
      </w:r>
      <w:r w:rsidR="00FE1452" w:rsidRPr="00A7082A">
        <w:t>mercury</w:t>
      </w:r>
      <w:r w:rsidR="00FE1452" w:rsidRPr="00A7082A">
        <w:noBreakHyphen/>
        <w:t>containing</w:t>
      </w:r>
      <w:r w:rsidRPr="00A7082A">
        <w:t xml:space="preserve"> devices. In addition, through a UNEP/GEF project, WHO had released a protocol and standard operating procedures for human biomonitoring and had also contributed to the work of the </w:t>
      </w:r>
      <w:r w:rsidR="0026572F" w:rsidRPr="00A7082A">
        <w:t>ad hoc</w:t>
      </w:r>
      <w:r w:rsidRPr="00A7082A">
        <w:t xml:space="preserve"> technical expert group on effectiveness evaluation.</w:t>
      </w:r>
      <w:r w:rsidR="00F55A86" w:rsidRPr="00A7082A">
        <w:t xml:space="preserve"> </w:t>
      </w:r>
    </w:p>
    <w:p w14:paraId="057B9F09" w14:textId="706E30C1" w:rsidR="00113D26" w:rsidRPr="00A7082A" w:rsidRDefault="00113D26" w:rsidP="00113D26">
      <w:pPr>
        <w:pStyle w:val="Normalnumber"/>
      </w:pPr>
      <w:r w:rsidRPr="00A7082A">
        <w:lastRenderedPageBreak/>
        <w:t>The representative of ILO said that her organization and its tripartite constituents were aligning their technical support with article 7</w:t>
      </w:r>
      <w:r w:rsidR="003C4AD3" w:rsidRPr="00A7082A">
        <w:t xml:space="preserve"> and </w:t>
      </w:r>
      <w:r w:rsidRPr="00A7082A">
        <w:t>annex C, covering artisanal and small-scale gold mining, and expanding initiatives to include exposure to mercury in the e</w:t>
      </w:r>
      <w:r w:rsidRPr="00A7082A">
        <w:noBreakHyphen/>
        <w:t>waste sector. In fulfilment of its commitment to protect workers from hazardous exposures, including to mercury, ILO had developed a number of relevant international instruments, which she enumerated. In addition, its official list of occupational diseases recognized diseases caused by occupational exposure to mercury and its compounds. She also reviewed country-level projects launched by ILO to remedy decent work deficits and improve working conditions for workers exposed to mercury, including the Caring Gold Project in Ghana and the Philippines, which actively promoted the use of mercury-free gold processing methods to safeguard the health of miners, their families and entire communities. ILO had also developed projects on mercury exposures in the automobile dismantling sector and was playing a growing role in the e-waste sector, where it was undertaking evidence-based research on decent work with a view to informing the possible development of guidelines or a code of practice in that area.</w:t>
      </w:r>
    </w:p>
    <w:p w14:paraId="7290C241" w14:textId="4E513E58" w:rsidR="00113D26" w:rsidRPr="00A7082A" w:rsidRDefault="00113D26" w:rsidP="009557F8">
      <w:pPr>
        <w:pStyle w:val="Normalnumber"/>
      </w:pPr>
      <w:r w:rsidRPr="00A7082A">
        <w:t>In the ensuing discussion, all the representatives who spoke, including some speaking on behalf of groups of countries, expressed support and appreciation for the cooperation with the two organizations. A number of representatives identified areas where cooperation with ILO and WHO was of particular importance, including institutional</w:t>
      </w:r>
      <w:r w:rsidR="00A07F01" w:rsidRPr="00A7082A">
        <w:t xml:space="preserve"> </w:t>
      </w:r>
      <w:r w:rsidRPr="00A7082A">
        <w:t xml:space="preserve">strengthening and technical capacity-building in the use of biomarkers on exposure to mercury; dental care; strengthening the capacity of health professionals working with vulnerable groups, including indigenous peoples exposed to mercury through such pathways as their diet; and the health-related implications of illegal trade in mercury and mercury compounds. One representative stressed the need for strengthened cooperation in the area of health control and monitoring for people exposed to mercury. </w:t>
      </w:r>
    </w:p>
    <w:p w14:paraId="36793B57" w14:textId="62FBEC78" w:rsidR="00113D26" w:rsidRPr="00A7082A" w:rsidRDefault="00113D26" w:rsidP="00113D26">
      <w:pPr>
        <w:pStyle w:val="Normalnumber"/>
      </w:pPr>
      <w:r w:rsidRPr="00A7082A">
        <w:t>A number of representatives, including some speaking on behalf of groups of countries, reviewed national activities involving cooperation with international organizations, including ILO and WHO, and several called for the harnessing of synergies between such organizations, with a view to avoiding duplication and enhancing attainment of the chemicals</w:t>
      </w:r>
      <w:r w:rsidR="001C3AD9" w:rsidRPr="00A7082A">
        <w:t>-</w:t>
      </w:r>
      <w:r w:rsidRPr="00A7082A">
        <w:t xml:space="preserve"> and wastes-related Sustainable Development Goals. One representative commended those organizations on their mercury-related activities in small island developing States, while another representative noted that WHO strategies were sometimes difficult to implement in the field, including in work on the pathological effects of mercury, and wondered whether those strategies could be further refined and more resources provided for such work. One representative made a specific request to WHO to convene technical training workshops in the different WHO regions on mercury management, with a view to building capacity in those regions and facilitating the transfer of technical knowledge among the members of the region.</w:t>
      </w:r>
    </w:p>
    <w:p w14:paraId="63E638AB" w14:textId="118EEDF1" w:rsidR="00113D26" w:rsidRPr="00A7082A" w:rsidRDefault="00113D26" w:rsidP="00113D26">
      <w:pPr>
        <w:pStyle w:val="Normalnumber"/>
      </w:pPr>
      <w:r w:rsidRPr="00A7082A">
        <w:t xml:space="preserve">The representatives of two non-governmental organizations took the floor to highlight the importance to their constituencies of international cooperation, including in dealing with high levels of mercury exposure suffered by indigenous peoples around the world; raising awareness of the health risks of mercury; providing technical assistance in such areas as hair analysis; organizing </w:t>
      </w:r>
      <w:r w:rsidR="003F5091" w:rsidRPr="00A7082A">
        <w:br/>
      </w:r>
      <w:r w:rsidRPr="00A7082A">
        <w:t xml:space="preserve">capacity-building and projects on contaminated sites; and implementing measures to combat smuggling and illegal trade in mercury. </w:t>
      </w:r>
    </w:p>
    <w:p w14:paraId="1218DD94" w14:textId="77777777" w:rsidR="00113D26" w:rsidRPr="00A7082A" w:rsidRDefault="00113D26" w:rsidP="00113D26">
      <w:pPr>
        <w:pStyle w:val="Normalnumber"/>
      </w:pPr>
      <w:r w:rsidRPr="00A7082A">
        <w:t>The representative of the European Union and its member States introduced a conference room paper, also on behalf of Ghana, Mali, Nigeria, Norway, Thailand and Uruguay, setting out draft decision text calling on parties and other stakeholders to intensify and prioritize efforts relating to the sound management of chemicals and waste towards the achievement, by 2020, of target 12.4 of the 2030 Agenda for Sustainable Development and aiming to expand and enhance international cooperation with the secretariat of the Strategic Approach to International Chemicals Management and with other international organizations, including UNEP, WHO and ILO.</w:t>
      </w:r>
    </w:p>
    <w:p w14:paraId="5EF927FE" w14:textId="77777777" w:rsidR="00113D26" w:rsidRPr="00A7082A" w:rsidRDefault="00113D26" w:rsidP="00113D26">
      <w:pPr>
        <w:pStyle w:val="Normalnumber"/>
      </w:pPr>
      <w:r w:rsidRPr="00A7082A">
        <w:t>Several representatives expressed their support for the proposal. A number made additional suggestions, which related to the provision not only of technical assistance and capacity-building but also of funding for projects so that parties had the resources needed to achieve effective implementation and measurable results; and the inclusion of knowledge transfer as well as technical assistance and capacity-building. One representative reiterated her request for the formalization of cooperation and coordination among WHO, ILO and the secretariat of the Minamata Convention by means of an action plan to that effect. Another representative questioned the need to formalize the cooperation, which appeared to be working well in its present configuration. She also stressed the need to ensure that the focus of the cooperation and coordination remained on the implementation of the Convention.</w:t>
      </w:r>
    </w:p>
    <w:p w14:paraId="17802214" w14:textId="77777777" w:rsidR="00113D26" w:rsidRPr="00A7082A" w:rsidRDefault="00113D26" w:rsidP="00113D26">
      <w:pPr>
        <w:pStyle w:val="Normalnumber"/>
      </w:pPr>
      <w:r w:rsidRPr="00A7082A">
        <w:t xml:space="preserve">The President invited interested parties to consult bilaterally with the proponents of the draft decision with a view to reaching agreement on the text of a draft decision. </w:t>
      </w:r>
    </w:p>
    <w:p w14:paraId="5789BD89" w14:textId="517D07EE" w:rsidR="00F572BB" w:rsidRPr="00A7082A" w:rsidRDefault="00F572BB" w:rsidP="0053138D">
      <w:pPr>
        <w:pStyle w:val="Normalnumber"/>
      </w:pPr>
      <w:r w:rsidRPr="00A7082A">
        <w:lastRenderedPageBreak/>
        <w:t xml:space="preserve">Subsequently, the representative of the European Union, </w:t>
      </w:r>
      <w:r w:rsidR="004D3A31" w:rsidRPr="00A7082A">
        <w:t xml:space="preserve">speaking also </w:t>
      </w:r>
      <w:r w:rsidRPr="00A7082A">
        <w:t xml:space="preserve">on behalf of the </w:t>
      </w:r>
      <w:r w:rsidR="004D3A31" w:rsidRPr="00A7082A">
        <w:t xml:space="preserve">other </w:t>
      </w:r>
      <w:r w:rsidRPr="00A7082A">
        <w:t>proponents of the draft decision</w:t>
      </w:r>
      <w:r w:rsidR="004D3A31" w:rsidRPr="00A7082A">
        <w:t xml:space="preserve">, namely </w:t>
      </w:r>
      <w:r w:rsidRPr="00A7082A">
        <w:t>Ghana, Mali, Nigeria, Norway, Thailand</w:t>
      </w:r>
      <w:r w:rsidR="004D3A31" w:rsidRPr="00A7082A">
        <w:t xml:space="preserve"> and </w:t>
      </w:r>
      <w:r w:rsidRPr="00A7082A">
        <w:t xml:space="preserve">Uruguay, introduced a revised version of the conference room paper, which incorporated a number of changes proposed by other representatives during informal consultations. </w:t>
      </w:r>
    </w:p>
    <w:p w14:paraId="5ABA646F" w14:textId="44E24E91" w:rsidR="00F572BB" w:rsidRPr="00A7082A" w:rsidRDefault="00F572BB" w:rsidP="0053138D">
      <w:pPr>
        <w:pStyle w:val="Normalnumber"/>
      </w:pPr>
      <w:r w:rsidRPr="00A7082A">
        <w:t>Many representatives, including one speaking on behalf of a group of countries, expressed support for the adoption of the draft decisio</w:t>
      </w:r>
      <w:r w:rsidR="004D3A31" w:rsidRPr="00A7082A">
        <w:t>n</w:t>
      </w:r>
      <w:r w:rsidRPr="00A7082A">
        <w:t xml:space="preserve"> and thanked the proponents for working with other </w:t>
      </w:r>
      <w:r w:rsidR="004D3A31" w:rsidRPr="00A7082A">
        <w:t xml:space="preserve">parties </w:t>
      </w:r>
      <w:r w:rsidRPr="00A7082A">
        <w:t xml:space="preserve">to review and improve the text, stressing that its implementation would contribute to strengthening the sound management of chemicals and waste and improve synergies in the chemicals and wastes cluster, in line with the calls </w:t>
      </w:r>
      <w:r w:rsidR="004D3A31" w:rsidRPr="00A7082A">
        <w:t xml:space="preserve">made </w:t>
      </w:r>
      <w:r w:rsidRPr="00A7082A">
        <w:t>by the United Nations Environment Assembly of UNEP for urgent and resolute action to implement the 2030 Agenda for Sustainable Development on matters related to the sound management of chemicals and waste.</w:t>
      </w:r>
    </w:p>
    <w:p w14:paraId="4DD2D996" w14:textId="3A74FEFC" w:rsidR="00F572BB" w:rsidRPr="00A7082A" w:rsidRDefault="0093456E" w:rsidP="009557F8">
      <w:pPr>
        <w:pStyle w:val="Normalnumber"/>
      </w:pPr>
      <w:r w:rsidRPr="00A7082A">
        <w:t xml:space="preserve">One representative </w:t>
      </w:r>
      <w:r w:rsidR="00F572BB" w:rsidRPr="00A7082A">
        <w:t xml:space="preserve">expressed support for international cooperation and coordination to implement the Minamata Convention, but said that she could not support the adoption of the draft decision, which represented a political statement that would politicize the Convention and </w:t>
      </w:r>
      <w:r w:rsidR="004D3A31" w:rsidRPr="00A7082A">
        <w:t xml:space="preserve">that </w:t>
      </w:r>
      <w:r w:rsidR="00F572BB" w:rsidRPr="00A7082A">
        <w:t>called for actions that were unnecessary and fell outside the scope of the Convention.</w:t>
      </w:r>
    </w:p>
    <w:p w14:paraId="631F7CEB" w14:textId="0850F205" w:rsidR="00F572BB" w:rsidRPr="00A7082A" w:rsidRDefault="00F572BB" w:rsidP="0053138D">
      <w:pPr>
        <w:pStyle w:val="Normalnumber"/>
      </w:pPr>
      <w:r w:rsidRPr="00A7082A">
        <w:t>The representative of the European Union, asking that his statement be reflected in the present report, expressed regret that the opposition of a single party had prevented the adoption of the draft decision</w:t>
      </w:r>
      <w:r w:rsidR="004D3A31" w:rsidRPr="00A7082A">
        <w:t>. He</w:t>
      </w:r>
      <w:r w:rsidRPr="00A7082A">
        <w:t xml:space="preserve"> stress</w:t>
      </w:r>
      <w:r w:rsidR="004D3A31" w:rsidRPr="00A7082A">
        <w:t>ed</w:t>
      </w:r>
      <w:r w:rsidRPr="00A7082A">
        <w:t xml:space="preserve"> that the overwhelming majority of parties at the current meeting had</w:t>
      </w:r>
      <w:r w:rsidR="004D3A31" w:rsidRPr="00A7082A">
        <w:t xml:space="preserve"> sought</w:t>
      </w:r>
      <w:r w:rsidRPr="00A7082A">
        <w:t xml:space="preserve"> to join the United Nations Environment Assembly in its expression of deep concern that the planet was increasingly polluted and in its encourag</w:t>
      </w:r>
      <w:r w:rsidR="004D3A31" w:rsidRPr="00A7082A">
        <w:t>e</w:t>
      </w:r>
      <w:r w:rsidRPr="00A7082A">
        <w:t xml:space="preserve">ment to Governments and all other stakeholders to </w:t>
      </w:r>
      <w:r w:rsidR="004D3A31" w:rsidRPr="00A7082A">
        <w:t>combat</w:t>
      </w:r>
      <w:r w:rsidRPr="00A7082A">
        <w:t xml:space="preserve"> pollution at all levels, notably with regard to mercury. Most parties had also thought it essential to emphasize the need for urgent and resolute action to implement the 2030 Agenda </w:t>
      </w:r>
      <w:r w:rsidR="00C87D9C" w:rsidRPr="00A7082A">
        <w:t>with regard to matters</w:t>
      </w:r>
      <w:r w:rsidRPr="00A7082A">
        <w:t xml:space="preserve"> related to the sound management of chemicals and waste, including through an improved international framework, and to call on all parties and stakeholders to intensify and prioritize efforts to achieve the 2020 target for the sound management of chemicals and waste set out in target 12.4 of the Sustainable Development Goals, in particular from the perspective of the Minamata Convention and with regard to mercury. </w:t>
      </w:r>
      <w:r w:rsidR="00C87D9C" w:rsidRPr="00A7082A">
        <w:t xml:space="preserve">The achievement </w:t>
      </w:r>
      <w:r w:rsidRPr="00A7082A">
        <w:t>of the target would require enhanced cooperation between all relevant organizations, Governments and other stakeholders.</w:t>
      </w:r>
    </w:p>
    <w:p w14:paraId="20EC89D5" w14:textId="266CB7DC" w:rsidR="00077945" w:rsidRPr="00A7082A" w:rsidRDefault="00A7033C" w:rsidP="00A7033C">
      <w:pPr>
        <w:pStyle w:val="CH2"/>
      </w:pPr>
      <w:r w:rsidRPr="00A7082A">
        <w:tab/>
      </w:r>
      <w:bookmarkStart w:id="31" w:name="_Toc27124735"/>
      <w:r w:rsidR="00E472C8" w:rsidRPr="00A7082A">
        <w:t>B</w:t>
      </w:r>
      <w:r w:rsidRPr="00A7082A">
        <w:t>.</w:t>
      </w:r>
      <w:r w:rsidRPr="00A7082A">
        <w:tab/>
      </w:r>
      <w:r w:rsidR="00077945" w:rsidRPr="00A7082A">
        <w:t>Other international organizations and bodies</w:t>
      </w:r>
      <w:bookmarkEnd w:id="31"/>
    </w:p>
    <w:p w14:paraId="795D74A5" w14:textId="1DD194E8" w:rsidR="00113D26" w:rsidRPr="00A7082A" w:rsidRDefault="00113D26" w:rsidP="0053138D">
      <w:pPr>
        <w:pStyle w:val="Normalnumber"/>
      </w:pPr>
      <w:r w:rsidRPr="00A7082A">
        <w:t>Introducing the sub-item, the representative of the secretariat drew attention to the relevant information set out in the report on the activities of relevant international bodies (UNEP/MC/COP.3/INF/17).</w:t>
      </w:r>
      <w:r w:rsidRPr="00A7082A">
        <w:rPr>
          <w:color w:val="000000" w:themeColor="text1"/>
        </w:rPr>
        <w:t xml:space="preserve"> </w:t>
      </w:r>
    </w:p>
    <w:p w14:paraId="1150DC93" w14:textId="79221582" w:rsidR="00113D26" w:rsidRPr="00A7082A" w:rsidRDefault="00113D26" w:rsidP="00113D26">
      <w:pPr>
        <w:pStyle w:val="CH3"/>
        <w:rPr>
          <w:highlight w:val="green"/>
        </w:rPr>
      </w:pPr>
      <w:r w:rsidRPr="00A7082A">
        <w:tab/>
        <w:t>1.</w:t>
      </w:r>
      <w:r w:rsidRPr="00A7082A">
        <w:tab/>
        <w:t>Global Mercury Partnership Advisory Group</w:t>
      </w:r>
    </w:p>
    <w:p w14:paraId="662AA5FA" w14:textId="0C4A4115" w:rsidR="00113D26" w:rsidRPr="00A7082A" w:rsidRDefault="00113D26" w:rsidP="00113D26">
      <w:pPr>
        <w:pStyle w:val="Normalnumber"/>
        <w:tabs>
          <w:tab w:val="clear" w:pos="624"/>
          <w:tab w:val="left" w:pos="1814"/>
          <w:tab w:val="left" w:pos="2381"/>
          <w:tab w:val="left" w:pos="2948"/>
          <w:tab w:val="left" w:pos="3515"/>
          <w:tab w:val="left" w:pos="4082"/>
        </w:tabs>
      </w:pPr>
      <w:bookmarkStart w:id="32" w:name="_Hlk25872207"/>
      <w:r w:rsidRPr="00A7082A">
        <w:t>The representative of the UNEP Global Mercury Partnership Advisory Group reported on the Group’s tenth meeting, held in Geneva on 23 November 2019. At the meeting, the Group had identified a number of topics as possible future priority areas of work for the Partnership, which currently numbered over 190 members, including the further refinement of emission factors from key sectors, the establishment of a framework for a centralized database on mercury assessments, the development of guidance on mercury-added products, the development of information tools on waste technologies, and the organization of information</w:t>
      </w:r>
      <w:r w:rsidR="00F03235" w:rsidRPr="00A7082A">
        <w:t>-</w:t>
      </w:r>
      <w:r w:rsidRPr="00A7082A">
        <w:t>sharing webinars. The Group had also discussed cross-cutting issues which might increase the availability of mercury on the market and its releases in the environment and had asked the Partnership secretariat to convene targeted discussions on those issues. He drew attention to the background document before the Conference at its current meeting detailing activities by the Partnership over the previous year (UNEP/MC/COP.3/INF/7/Rev.1).</w:t>
      </w:r>
    </w:p>
    <w:bookmarkEnd w:id="32"/>
    <w:p w14:paraId="0D2E58F7" w14:textId="77777777" w:rsidR="00113D26" w:rsidRPr="00A7082A" w:rsidRDefault="00113D26" w:rsidP="00113D26">
      <w:pPr>
        <w:pStyle w:val="CH3"/>
      </w:pPr>
      <w:r w:rsidRPr="00A7082A">
        <w:tab/>
        <w:t>2.</w:t>
      </w:r>
      <w:r w:rsidRPr="00A7082A">
        <w:tab/>
        <w:t>United Nations Environment Programme</w:t>
      </w:r>
    </w:p>
    <w:p w14:paraId="4617B9D9" w14:textId="556034C9" w:rsidR="00113D26" w:rsidRPr="00A7082A" w:rsidRDefault="0093456E" w:rsidP="0053138D">
      <w:pPr>
        <w:pStyle w:val="Normalnumber"/>
        <w:tabs>
          <w:tab w:val="clear" w:pos="624"/>
          <w:tab w:val="left" w:pos="1814"/>
          <w:tab w:val="left" w:pos="2381"/>
          <w:tab w:val="left" w:pos="2948"/>
          <w:tab w:val="left" w:pos="3515"/>
          <w:tab w:val="left" w:pos="4082"/>
        </w:tabs>
      </w:pPr>
      <w:r w:rsidRPr="00A7082A">
        <w:t xml:space="preserve">The representative of UNEP </w:t>
      </w:r>
      <w:r w:rsidR="00311CAC" w:rsidRPr="00A7082A">
        <w:t>drew attention to the report by the Executive Director of UNEP to the present meeting (UNEP</w:t>
      </w:r>
      <w:bookmarkStart w:id="33" w:name="OLE_LINK2"/>
      <w:bookmarkStart w:id="34" w:name="OLE_LINK1"/>
      <w:r w:rsidR="00311CAC" w:rsidRPr="00A7082A">
        <w:t>/MC/</w:t>
      </w:r>
      <w:bookmarkEnd w:id="33"/>
      <w:bookmarkEnd w:id="34"/>
      <w:r w:rsidR="00311CAC" w:rsidRPr="00A7082A">
        <w:t xml:space="preserve">COP.3/INF/4), noting that it comprised three parts. The first </w:t>
      </w:r>
      <w:r w:rsidR="00E77445" w:rsidRPr="00A7082A">
        <w:t xml:space="preserve">highlighted the programmatic collaboration between UNEP and the Minamata Convention, and </w:t>
      </w:r>
      <w:r w:rsidR="00311CAC" w:rsidRPr="00A7082A">
        <w:t>outlined the support given by UNEP to the Global Mercury Partnership; the contribution by UNEP to intersessional work; its support to countries for the ratification and implementation of the Minamata Convention; the development of the Global Mercury Assessment 2018; the 2019 update of the mercury inventory toolkit</w:t>
      </w:r>
      <w:r w:rsidR="00E77445" w:rsidRPr="00A7082A">
        <w:t>;</w:t>
      </w:r>
      <w:r w:rsidR="00311CAC" w:rsidRPr="00A7082A">
        <w:t xml:space="preserve"> and activities carried out by UNEP in relation to mercury monitoring and mercury waste. The second part of the report referred to the administrative and financial support provided by UNEP to the secretariat of the Minamata Convention, while the third part described the contribution by UNEP to the preparations for and holding of the present meeting and cooperation among the UNEP Chemicals and Health Branch, the </w:t>
      </w:r>
      <w:r w:rsidR="00851014" w:rsidRPr="00A7082A">
        <w:t>secretariat</w:t>
      </w:r>
      <w:r w:rsidR="00311CAC" w:rsidRPr="00A7082A">
        <w:t xml:space="preserve"> of the Basel, Rotterdam and </w:t>
      </w:r>
      <w:r w:rsidR="00311CAC" w:rsidRPr="00A7082A">
        <w:lastRenderedPageBreak/>
        <w:t>Stockholm Conventions, the secretariat of the Minamata Convention and the secretariat of the Strategic Approach to International Chemicals Management.</w:t>
      </w:r>
      <w:r w:rsidR="00311CAC" w:rsidRPr="00A7082A" w:rsidDel="00311CAC">
        <w:t xml:space="preserve"> </w:t>
      </w:r>
    </w:p>
    <w:p w14:paraId="17418390" w14:textId="77777777" w:rsidR="00113D26" w:rsidRPr="00A7082A" w:rsidRDefault="00113D26" w:rsidP="00113D26">
      <w:pPr>
        <w:pStyle w:val="CH3"/>
      </w:pPr>
      <w:r w:rsidRPr="00A7082A">
        <w:tab/>
        <w:t>3.</w:t>
      </w:r>
      <w:r w:rsidRPr="00A7082A">
        <w:tab/>
        <w:t>Strategic Approach to International Chemicals Management</w:t>
      </w:r>
    </w:p>
    <w:p w14:paraId="4760FAF6" w14:textId="24615B93" w:rsidR="00113D26" w:rsidRPr="00A7082A" w:rsidRDefault="00113D26" w:rsidP="00113D26">
      <w:pPr>
        <w:pStyle w:val="Normalnumber"/>
        <w:tabs>
          <w:tab w:val="clear" w:pos="624"/>
          <w:tab w:val="left" w:pos="1814"/>
          <w:tab w:val="left" w:pos="2381"/>
          <w:tab w:val="left" w:pos="2948"/>
          <w:tab w:val="left" w:pos="3515"/>
          <w:tab w:val="left" w:pos="4082"/>
        </w:tabs>
      </w:pPr>
      <w:r w:rsidRPr="00A7082A">
        <w:t xml:space="preserve">The representative of the Strategic Approach to International Chemicals Management said that the Strategic Approach secretariat cooperated actively with the parties to and the secretariat of the Minamata Convention. The Quick Start </w:t>
      </w:r>
      <w:r w:rsidR="00B14C4B" w:rsidRPr="00A7082A">
        <w:t>P</w:t>
      </w:r>
      <w:r w:rsidRPr="00A7082A">
        <w:t xml:space="preserve">rogramme had funded a number of projects with direct relevance to mercury, including activities related to artisanal and small-scale gold mining and products containing mercury, and where possible meetings were held back to back with common stakeholders to reduce costs. Recalling that the fifth session of the International Conference on Chemicals Management would be held in October 2020, she said that critical decisions were anticipated to be taken there, stemming from the intersessional process established in 2015, at the fourth session, to consider the future of the Strategic Approach and the sound management of chemicals and waste beyond 2020. </w:t>
      </w:r>
    </w:p>
    <w:p w14:paraId="6E888C6D" w14:textId="77777777" w:rsidR="00113D26" w:rsidRPr="00A7082A" w:rsidRDefault="00113D26" w:rsidP="00113D26">
      <w:pPr>
        <w:pStyle w:val="CH3"/>
      </w:pPr>
      <w:r w:rsidRPr="00A7082A">
        <w:tab/>
        <w:t>4.</w:t>
      </w:r>
      <w:r w:rsidRPr="00A7082A">
        <w:tab/>
        <w:t>Inter-Organization Programme for the Sound Management of Chemicals</w:t>
      </w:r>
    </w:p>
    <w:p w14:paraId="0780225E" w14:textId="6E906976" w:rsidR="00113D26" w:rsidRPr="00A7082A" w:rsidRDefault="00113D26" w:rsidP="00113D26">
      <w:pPr>
        <w:pStyle w:val="Normalnumber"/>
        <w:tabs>
          <w:tab w:val="clear" w:pos="624"/>
          <w:tab w:val="left" w:pos="1814"/>
          <w:tab w:val="left" w:pos="2381"/>
          <w:tab w:val="left" w:pos="2948"/>
          <w:tab w:val="left" w:pos="3515"/>
          <w:tab w:val="left" w:pos="4082"/>
        </w:tabs>
        <w:rPr>
          <w:color w:val="000000" w:themeColor="text1"/>
        </w:rPr>
      </w:pPr>
      <w:r w:rsidRPr="00A7082A">
        <w:t xml:space="preserve">The representative of ILO delivered a statement on behalf of the participating organizations of the Inter-Organization Programme for the Sound Management of Chemicals (IOMC) that participated in the IOMC Mercury Group, which included ILO, the Organization for Economic Cooperation and Development (OECD), the United Nations Development Programme, UNEP, UNIDO, UNITAR, WHO and the World Bank, and also involved the secretariats of the Minamata Convention and GEF, as observers. In addition to details of the activities of certain IOMC participating organizations, she highlighted the close cooperation and coordination among the members of the Mercury Group, representing a variety of sectors, in implementing key activities to support the Convention. IOMC participating organizations had supported over 100 countries in developing and implementing </w:t>
      </w:r>
      <w:r w:rsidR="009557F8" w:rsidRPr="00A7082A">
        <w:t>GEF</w:t>
      </w:r>
      <w:r w:rsidR="009557F8" w:rsidRPr="00A7082A">
        <w:noBreakHyphen/>
        <w:t>funded</w:t>
      </w:r>
      <w:r w:rsidRPr="00A7082A">
        <w:t xml:space="preserve"> Minamata initial assessments, including the development of mercury inventories and the review of legislative frameworks. Through IOMC, implementing agencies had agreed to adopt a common framework and template for the assessments, including use of the UNEP inventory toolkit and the UNDP guidance document on a common structure and content for Minamata initial assessment reports. IOMC was also jointly supporting over 30 countries in developing their national action plans on artisanal and small-scale gold mining. IOMC organizations were starting to review the lessons learned from the Minamata initial assessment and national action plan processes and to analyse the issues and priorities emerging from those documents with the aim of determining how best to support parties. As the Convention moved from initial ratification and assessment activities towards implementation, it was becoming increasingly important to support the parties in their obligations to reduce the health and environmental impacts of mercury and that required multisectoral collaboration at </w:t>
      </w:r>
      <w:r w:rsidR="005A3B3E" w:rsidRPr="00A7082A">
        <w:t xml:space="preserve">the </w:t>
      </w:r>
      <w:r w:rsidRPr="00A7082A">
        <w:t xml:space="preserve">country level. </w:t>
      </w:r>
    </w:p>
    <w:p w14:paraId="59B331DC" w14:textId="77777777" w:rsidR="00113D26" w:rsidRPr="00A7082A" w:rsidRDefault="00113D26" w:rsidP="00113D26">
      <w:pPr>
        <w:pStyle w:val="CH3"/>
      </w:pPr>
      <w:r w:rsidRPr="00A7082A">
        <w:tab/>
        <w:t>5.</w:t>
      </w:r>
      <w:r w:rsidRPr="00A7082A">
        <w:tab/>
        <w:t>United Nations Institute for Training and Research</w:t>
      </w:r>
    </w:p>
    <w:p w14:paraId="4A8CAA39" w14:textId="0750032B" w:rsidR="00113D26" w:rsidRPr="00A7082A" w:rsidRDefault="00113D26" w:rsidP="00113D26">
      <w:pPr>
        <w:pStyle w:val="Normalnumber"/>
        <w:rPr>
          <w:szCs w:val="22"/>
        </w:rPr>
      </w:pPr>
      <w:r w:rsidRPr="00A7082A">
        <w:t>The representative of the United Nations Institute for Training and Research (UNITAR) stressed that capacity-building and training were essential to the successful implementation of the Minamata Convention. UNITAR had provided support to 24 countries in their efforts to ratify the Convention, with 16 of them having successfully done so and another 2 getting ready to deposit their instruments. UNITAR had co-executed 20 Minamata initial assessments and assisted 15 other countries, in particular with mercury inventories. Furthermore, with UNEP, it was working to execute national action plans on artisanal and small-scale gold mining in three countries and had developed a handbook for the development of national strategies for the formalization of that sector within those plans. UNITAR also provided support through web-based awareness-raising and learning tools, working in particular with UNEP and the secretariats of the Basel, Rotterdam and Stockholm Conventions, the Minamata Convention and the Strategic Approach to International Chemicals Management.</w:t>
      </w:r>
    </w:p>
    <w:p w14:paraId="116B3CBA" w14:textId="38A67276" w:rsidR="00113D26" w:rsidRPr="00A7082A" w:rsidRDefault="00113D26" w:rsidP="00113D26">
      <w:pPr>
        <w:pStyle w:val="CH3"/>
        <w:tabs>
          <w:tab w:val="left" w:pos="4368"/>
          <w:tab w:val="right" w:pos="9206"/>
        </w:tabs>
      </w:pPr>
      <w:r w:rsidRPr="00A7082A">
        <w:tab/>
        <w:t>6.</w:t>
      </w:r>
      <w:r w:rsidRPr="00A7082A">
        <w:tab/>
        <w:t>Int</w:t>
      </w:r>
      <w:r w:rsidR="008F77F9" w:rsidRPr="00A7082A">
        <w:t>ernational Atomic Energy Agency</w:t>
      </w:r>
    </w:p>
    <w:p w14:paraId="5B22761A" w14:textId="762BC928" w:rsidR="00311CAC" w:rsidRPr="00A7082A" w:rsidRDefault="00311CAC" w:rsidP="0053138D">
      <w:pPr>
        <w:pStyle w:val="Normalnumber"/>
      </w:pPr>
      <w:r w:rsidRPr="00A7082A">
        <w:t>The representative of the International Atomic Energy Agency (IAEA) said that the agency could play an important role in the implementation of the Minamata Convention. Its Department of Nuclear Science</w:t>
      </w:r>
      <w:r w:rsidR="00FF1231" w:rsidRPr="00A7082A">
        <w:t>s</w:t>
      </w:r>
      <w:r w:rsidRPr="00A7082A">
        <w:t xml:space="preserve"> and </w:t>
      </w:r>
      <w:r w:rsidR="00FF1231" w:rsidRPr="00A7082A">
        <w:t xml:space="preserve">Applications </w:t>
      </w:r>
      <w:r w:rsidRPr="00A7082A">
        <w:t xml:space="preserve">had, with its environmental laboratories, infrastructure that could contribute to the effectiveness evaluation of the Convention in terms of quality assurance of the monitoring of data on mercury in fish and biota and possibly other indicators. Its marine laboratory, which was the only one in the United Nations system, had longstanding experience in the production of certified reference materials, including for mercury and methyl mercury mass fractions, and in the </w:t>
      </w:r>
      <w:r w:rsidRPr="00A7082A">
        <w:lastRenderedPageBreak/>
        <w:t>organization of proficiency tests for laboratories to assess and improve the quality of analytical data on mercury. Quality assessment was essential for producing comparable data on which to base policy decisions. Furthermore, through its technical collaboration programme, the IAEA was providing assistance to countries that needed to build their capacity to analyse mercury in the environment, including through the purchase of mercury analysers and the provision of training in their use to laboratory technicians. She encouraged parties to contact their national IAEA liaison officers for further information. Lastly, she announced that the Office of the Director General of IAEA had given its approval for the agency to join the Global Mercury Partnership.</w:t>
      </w:r>
    </w:p>
    <w:p w14:paraId="1E499C6F" w14:textId="77777777" w:rsidR="00113D26" w:rsidRPr="00A7082A" w:rsidRDefault="00113D26" w:rsidP="00113D26">
      <w:pPr>
        <w:pStyle w:val="CH3"/>
      </w:pPr>
      <w:r w:rsidRPr="00A7082A">
        <w:tab/>
        <w:t>7.</w:t>
      </w:r>
      <w:r w:rsidRPr="00A7082A">
        <w:tab/>
        <w:t>Group on Earth Observations</w:t>
      </w:r>
    </w:p>
    <w:p w14:paraId="0903185B" w14:textId="2E255EEE" w:rsidR="00113D26" w:rsidRPr="00A7082A" w:rsidRDefault="00113D26" w:rsidP="0053138D">
      <w:pPr>
        <w:pStyle w:val="Normalnumber"/>
      </w:pPr>
      <w:r w:rsidRPr="00A7082A">
        <w:t>The representative of the Group on Earth Observations secretariat – an international partnership of more than 100 States Members of the United Nations, the European Commission and over 100 international organizations – said that the Group’s secretariat was working to improve the availability</w:t>
      </w:r>
      <w:r w:rsidR="00C87D9C" w:rsidRPr="00A7082A">
        <w:t xml:space="preserve"> of</w:t>
      </w:r>
      <w:r w:rsidRPr="00A7082A">
        <w:t>, access to and use of Earth observation information for the benefit of society. The Group’s flagship global observation system for mercury promoted action to provide comparable and high-quality monitoring data on mercury, validated modelling frameworks and a dedicated platform as a part of its knowledge hub to support policy assessments and decisions. It aimed to support all interested parties in the implementation of the Minamata Convention, in particular in relation to capacity-building and technical assistance to developing country parties.</w:t>
      </w:r>
    </w:p>
    <w:p w14:paraId="56CA2037" w14:textId="77777777" w:rsidR="00113D26" w:rsidRPr="00A7082A" w:rsidRDefault="00113D26" w:rsidP="00113D26">
      <w:pPr>
        <w:pStyle w:val="CH3"/>
      </w:pPr>
      <w:r w:rsidRPr="00A7082A">
        <w:tab/>
        <w:t>8.</w:t>
      </w:r>
      <w:r w:rsidRPr="00A7082A">
        <w:tab/>
        <w:t>United Nations Industrial Development Organization</w:t>
      </w:r>
    </w:p>
    <w:p w14:paraId="2342D0EC" w14:textId="42C6BB91" w:rsidR="00113D26" w:rsidRPr="00A7082A" w:rsidRDefault="00113D26" w:rsidP="00113D26">
      <w:pPr>
        <w:pStyle w:val="Normalnumber"/>
        <w:tabs>
          <w:tab w:val="clear" w:pos="624"/>
          <w:tab w:val="left" w:pos="1814"/>
          <w:tab w:val="left" w:pos="2381"/>
          <w:tab w:val="left" w:pos="2948"/>
          <w:tab w:val="left" w:pos="3515"/>
          <w:tab w:val="left" w:pos="4082"/>
        </w:tabs>
      </w:pPr>
      <w:r w:rsidRPr="00A7082A">
        <w:t xml:space="preserve">The representative of the United Nations Industrial Development Organization (UNIDO) said that UNIDO had supported eight countries in the ratification and early implementation of the Minamata Convention in different regions. In 2019, additional financial support had enabled UNIDO to expand the project to technical assistance to countries in complying with the Minamata and other </w:t>
      </w:r>
      <w:r w:rsidR="00B14C4B" w:rsidRPr="00A7082A">
        <w:t xml:space="preserve">conventions related to </w:t>
      </w:r>
      <w:r w:rsidRPr="00A7082A">
        <w:t>chemicals and waste. Technical assistance had also been provided to 25</w:t>
      </w:r>
      <w:r w:rsidR="00073984" w:rsidRPr="00A7082A">
        <w:t> </w:t>
      </w:r>
      <w:r w:rsidRPr="00A7082A">
        <w:t xml:space="preserve">countries for the preparation of their Minamata initial assessments. With regard to artisanal and </w:t>
      </w:r>
      <w:r w:rsidR="00073984" w:rsidRPr="00A7082A">
        <w:t>small</w:t>
      </w:r>
      <w:r w:rsidR="00073984" w:rsidRPr="00A7082A">
        <w:noBreakHyphen/>
        <w:t>scale</w:t>
      </w:r>
      <w:r w:rsidRPr="00A7082A">
        <w:t xml:space="preserve"> gold mining, UNIDO had been working on mercury-free technologies for more than 20</w:t>
      </w:r>
      <w:r w:rsidR="00073984" w:rsidRPr="00A7082A">
        <w:t> </w:t>
      </w:r>
      <w:r w:rsidRPr="00A7082A">
        <w:t>years and was assisting nine countries in the preparation of their national action plans. In terms of industry, UNIDO was working to eliminate mercury use in the production of vinyl chloride monomer and chlor-alkali, including through a project in China. It also sought to reduce mercury emissions in sectors such as cement production, non-ferrous metal smelters and waste management and was working with the Government of Japan to promote the environmentally sound management of mercury wastes.</w:t>
      </w:r>
    </w:p>
    <w:p w14:paraId="5555B9A3" w14:textId="77777777" w:rsidR="00113D26" w:rsidRPr="00A7082A" w:rsidRDefault="00113D26" w:rsidP="00113D26">
      <w:pPr>
        <w:pStyle w:val="CH3"/>
      </w:pPr>
      <w:r w:rsidRPr="00A7082A">
        <w:tab/>
        <w:t>9.</w:t>
      </w:r>
      <w:r w:rsidRPr="00A7082A">
        <w:tab/>
        <w:t>Zero Mercury Working Group</w:t>
      </w:r>
    </w:p>
    <w:p w14:paraId="7B409284" w14:textId="40D7B21F" w:rsidR="00311CAC" w:rsidRPr="00A7082A" w:rsidRDefault="00311CAC" w:rsidP="0053138D">
      <w:pPr>
        <w:pStyle w:val="Normalnumber"/>
        <w:tabs>
          <w:tab w:val="clear" w:pos="624"/>
          <w:tab w:val="left" w:pos="1814"/>
          <w:tab w:val="left" w:pos="2381"/>
          <w:tab w:val="left" w:pos="2948"/>
          <w:tab w:val="left" w:pos="3515"/>
          <w:tab w:val="left" w:pos="4082"/>
        </w:tabs>
      </w:pPr>
      <w:r w:rsidRPr="00A7082A">
        <w:t xml:space="preserve">The representative of the Zero Mercury Working Group said that, to promote implementation of the Minamata Convention, the Working Group had participated in each of the intersessional expert groups and provided input and had supported the work of the Global Mercury Partnership’s Mercury in Products partnership area. The Working Group’s non-governmental-organization partners had been providing support to their respective </w:t>
      </w:r>
      <w:r w:rsidR="00F87352" w:rsidRPr="00A7082A">
        <w:t xml:space="preserve">Governments </w:t>
      </w:r>
      <w:r w:rsidRPr="00A7082A">
        <w:t xml:space="preserve">with the ratification of the Convention and with the implementation of provisions related to mercury-added products and artisanal and </w:t>
      </w:r>
      <w:r w:rsidR="00073984" w:rsidRPr="00A7082A">
        <w:t>small</w:t>
      </w:r>
      <w:r w:rsidR="00073984" w:rsidRPr="00A7082A">
        <w:noBreakHyphen/>
        <w:t>scale</w:t>
      </w:r>
      <w:r w:rsidRPr="00A7082A">
        <w:t xml:space="preserve"> gold mining. With a view to building those partners’ capacities, the Working Group had organized regional meetings in 2018 and 2019 that had been attended by more than 90 representatives from more than 50</w:t>
      </w:r>
      <w:r w:rsidR="00073984" w:rsidRPr="00A7082A">
        <w:t> </w:t>
      </w:r>
      <w:r w:rsidRPr="00A7082A">
        <w:t xml:space="preserve">countries. As part of a global campaign on lightening creams, it had conducted tests showing that 60 per cent of the creams selected, from 12 countries, had a high mercury content. After the release of a report on the issue, two major online shopping retailers had withdrawn the creams from their sites. A related report also aimed to support parties’ efforts to restrict such toxic products, including by providing examples of successes and best practices. Given the importance of enforcement of the Convention, the Working Group had developed a poster summarizing parties’ immediate obligations and shared enforcement tools and training modules. </w:t>
      </w:r>
    </w:p>
    <w:p w14:paraId="2D7086D9" w14:textId="4C3D9707" w:rsidR="00077945" w:rsidRPr="00A7082A" w:rsidRDefault="00A7033C" w:rsidP="00A7033C">
      <w:pPr>
        <w:pStyle w:val="CH2"/>
        <w:rPr>
          <w:sz w:val="28"/>
        </w:rPr>
      </w:pPr>
      <w:r w:rsidRPr="00A7082A">
        <w:rPr>
          <w:sz w:val="28"/>
        </w:rPr>
        <w:tab/>
      </w:r>
      <w:bookmarkStart w:id="35" w:name="_Toc27124736"/>
      <w:r w:rsidRPr="00A7082A">
        <w:rPr>
          <w:sz w:val="28"/>
        </w:rPr>
        <w:t>VII.</w:t>
      </w:r>
      <w:r w:rsidRPr="00A7082A">
        <w:rPr>
          <w:sz w:val="28"/>
        </w:rPr>
        <w:tab/>
      </w:r>
      <w:r w:rsidR="00077945" w:rsidRPr="00A7082A">
        <w:rPr>
          <w:sz w:val="28"/>
        </w:rPr>
        <w:t>Programme of work and budget</w:t>
      </w:r>
      <w:bookmarkEnd w:id="35"/>
    </w:p>
    <w:p w14:paraId="7632170A" w14:textId="6A3EBE54" w:rsidR="009F2E94" w:rsidRPr="00A7082A" w:rsidRDefault="009F2E94" w:rsidP="00C217A2">
      <w:pPr>
        <w:pStyle w:val="Normalnumber"/>
      </w:pPr>
      <w:r w:rsidRPr="00A7082A">
        <w:t xml:space="preserve">Introducing the item, the </w:t>
      </w:r>
      <w:r w:rsidR="00F317CD" w:rsidRPr="00A7082A">
        <w:t>Executive Secretary</w:t>
      </w:r>
      <w:r w:rsidR="003051A1" w:rsidRPr="00A7082A">
        <w:t xml:space="preserve"> </w:t>
      </w:r>
      <w:r w:rsidRPr="00A7082A">
        <w:t xml:space="preserve">drew attention to a note by the secretariat on the proposed programme of work and budget for the biennium 2020–2021, which had been prepared pursuant to decision MC-2/12 and presented two funding scenarios, namely, a zero nominal growth scenario and an Executive Secretary scenario, and explained the key principles, assumptions and programmatic strategy on which the budget was based (UNEP/MC/COP.3/20). Pursuant to decision MC-2/12, the secretariat had also prepared notes on budget activity fact sheets (UNEP/MC/COP.3/INF/9); information on financial matters, including on the status of contributions </w:t>
      </w:r>
      <w:r w:rsidRPr="00A7082A">
        <w:lastRenderedPageBreak/>
        <w:t>to the three Convention trust funds (UNEP/MC/COP.3/INF/10); and proposed operational budgets for the two funding scenarios (UNEP/MC/COP.3/INF/11</w:t>
      </w:r>
      <w:r w:rsidR="008D7ADA" w:rsidRPr="00A7082A">
        <w:t>, UNEP/MC/COP.3/INF/11/Add.1</w:t>
      </w:r>
      <w:r w:rsidRPr="00A7082A">
        <w:t>), including a table on the indicative scale of assessment for the general trust fund for the two operational budget scenarios based on the United Na</w:t>
      </w:r>
      <w:r w:rsidR="003D42CF" w:rsidRPr="00A7082A">
        <w:t>tions scale of assessments (</w:t>
      </w:r>
      <w:r w:rsidRPr="00A7082A">
        <w:t>UNEP/MC/COP.3/INF/11</w:t>
      </w:r>
      <w:r w:rsidR="003D42CF" w:rsidRPr="00A7082A">
        <w:t xml:space="preserve">, annex </w:t>
      </w:r>
      <w:r w:rsidR="00C217A2" w:rsidRPr="00A7082A">
        <w:t>I</w:t>
      </w:r>
      <w:r w:rsidR="003D42CF" w:rsidRPr="00A7082A">
        <w:t>I</w:t>
      </w:r>
      <w:r w:rsidRPr="00A7082A">
        <w:t>).</w:t>
      </w:r>
    </w:p>
    <w:p w14:paraId="7AAAE360" w14:textId="6932745C" w:rsidR="009F2E94" w:rsidRPr="00A7082A" w:rsidRDefault="009F2E94" w:rsidP="009F2E94">
      <w:pPr>
        <w:pStyle w:val="Normalnumber"/>
      </w:pPr>
      <w:r w:rsidRPr="00A7082A">
        <w:t>Responding to a request from the floor, the representative of the secretariat</w:t>
      </w:r>
      <w:r w:rsidR="003051A1" w:rsidRPr="00A7082A">
        <w:t xml:space="preserve"> </w:t>
      </w:r>
      <w:r w:rsidRPr="00A7082A">
        <w:t>provided an overview of the status of contributions to the Convention trust funds as at 18 November 2019. With regard to the general trust fund, as at 18 November 2019, $3.</w:t>
      </w:r>
      <w:r w:rsidR="0078183C" w:rsidRPr="00A7082A">
        <w:t xml:space="preserve">4 </w:t>
      </w:r>
      <w:r w:rsidRPr="00A7082A">
        <w:t xml:space="preserve">million had been received out of the $3.5 million approved for 2018, and $2.9 million had been </w:t>
      </w:r>
      <w:r w:rsidR="008D7ADA" w:rsidRPr="00A7082A">
        <w:t xml:space="preserve">received </w:t>
      </w:r>
      <w:r w:rsidRPr="00A7082A">
        <w:t xml:space="preserve">out of the $3.3 million approved for 2019. As for the special trust fund, as at 18 November 2019, out of the $3.2 million approved for 2018, $1.3 million had been received, and $1.8 million had been </w:t>
      </w:r>
      <w:r w:rsidR="0078183C" w:rsidRPr="00A7082A">
        <w:t xml:space="preserve">pledged or </w:t>
      </w:r>
      <w:r w:rsidRPr="00A7082A">
        <w:t>received out of the $4</w:t>
      </w:r>
      <w:r w:rsidR="000C690C" w:rsidRPr="00A7082A">
        <w:t> </w:t>
      </w:r>
      <w:r w:rsidRPr="00A7082A">
        <w:t>million approved for 2019.</w:t>
      </w:r>
    </w:p>
    <w:p w14:paraId="58926461" w14:textId="515BC527" w:rsidR="009F2E94" w:rsidRPr="00A7082A" w:rsidRDefault="009F2E94" w:rsidP="009F2E94">
      <w:pPr>
        <w:pStyle w:val="Normalnumber"/>
      </w:pPr>
      <w:r w:rsidRPr="00A7082A">
        <w:t xml:space="preserve">In the ensuing discussion, many representatives thanked the secretariat for preparing the documents presented under agenda item 7, including the two funding scenarios and the budget activity fact sheets, and expressed support for a programme of work and budget that enabled the secretariat to fulfil its tasks, while emphasizing the need to make best use of limited resources through sound and transparent management. One representative, speaking on behalf of a group of countries, expressed support for an increased budget for the Convention which did not involve an increase in contributions by the Parties. Another representative, also speaking on behalf of a group of countries, called on the private sector to contribute meaningfully to the implementation of the Minamata Convention, stressing that current levels of funding were clearly inadequate and that </w:t>
      </w:r>
      <w:r w:rsidR="00C217A2" w:rsidRPr="00A7082A">
        <w:t xml:space="preserve">Governments </w:t>
      </w:r>
      <w:r w:rsidRPr="00A7082A">
        <w:t xml:space="preserve">alone could not effectively </w:t>
      </w:r>
      <w:r w:rsidR="00B739CC" w:rsidRPr="00A7082A">
        <w:t xml:space="preserve">finance </w:t>
      </w:r>
      <w:r w:rsidRPr="00A7082A">
        <w:t>the Convention.</w:t>
      </w:r>
    </w:p>
    <w:p w14:paraId="3ECFB391" w14:textId="2882BBBA" w:rsidR="009F2E94" w:rsidRPr="00A7082A" w:rsidRDefault="009F2E94" w:rsidP="009F2E94">
      <w:pPr>
        <w:pStyle w:val="Normalnumber"/>
      </w:pPr>
      <w:r w:rsidRPr="00A7082A">
        <w:t xml:space="preserve">One representative said that the proposed Executive Secretary funding scenario entailed a significant increase in the contributions by individual parties to the general trust fund, but stressed that the budget would also </w:t>
      </w:r>
      <w:r w:rsidR="0078183C" w:rsidRPr="00A7082A">
        <w:t>be shared among</w:t>
      </w:r>
      <w:r w:rsidRPr="00A7082A">
        <w:t xml:space="preserve"> a larger number of contribut</w:t>
      </w:r>
      <w:r w:rsidR="0078183C" w:rsidRPr="00A7082A">
        <w:t>or</w:t>
      </w:r>
      <w:r w:rsidRPr="00A7082A">
        <w:t xml:space="preserve">s, given that the total number of parties to the Convention continued to increase. Another representative suggested that the </w:t>
      </w:r>
      <w:r w:rsidR="007C3941" w:rsidRPr="00A7082A">
        <w:t>starting point for discussions in a contact group should be the</w:t>
      </w:r>
      <w:r w:rsidRPr="00A7082A">
        <w:t xml:space="preserve"> zero nominal growth scenario. </w:t>
      </w:r>
    </w:p>
    <w:p w14:paraId="4FC30A08" w14:textId="26B1F31F" w:rsidR="009F2E94" w:rsidRPr="00A7082A" w:rsidRDefault="009F2E94" w:rsidP="009F2E94">
      <w:pPr>
        <w:pStyle w:val="Normalnumber"/>
      </w:pPr>
      <w:r w:rsidRPr="00A7082A">
        <w:t>One representative, speaking on behalf of a group of countries, said that the programme of work should clearly specify which activities would be financed through the general trust fund and which would be financed by voluntary contributions through the special trust fund. She further suggested that a clear distinction should be drawn between the three Convention trust funds and that staff-related matters should be addressed in the decision on the programme of work and budget, rather than in a separate decision. She then asked the secretariat to provide up-to-date and more detailed information on secretariat income, expenditures and available surpluses, and secretariat staff tasks</w:t>
      </w:r>
      <w:r w:rsidR="00B739CC" w:rsidRPr="00A7082A">
        <w:t xml:space="preserve"> for the</w:t>
      </w:r>
      <w:r w:rsidRPr="00A7082A">
        <w:t xml:space="preserve"> proposed new staff posts, for consideration by the parties in a contact group. </w:t>
      </w:r>
    </w:p>
    <w:p w14:paraId="187CB37A" w14:textId="77777777" w:rsidR="009F2E94" w:rsidRPr="00A7082A" w:rsidRDefault="009F2E94" w:rsidP="009F2E94">
      <w:pPr>
        <w:pStyle w:val="Normalnumber"/>
      </w:pPr>
      <w:r w:rsidRPr="00A7082A">
        <w:t>Another representative said that the work on effectiveness evaluation should be included in the programme of work and budget and be funded through the general trust fund.</w:t>
      </w:r>
    </w:p>
    <w:p w14:paraId="6778C9DD" w14:textId="77777777" w:rsidR="009F2E94" w:rsidRPr="00A7082A" w:rsidRDefault="009F2E94" w:rsidP="009F2E94">
      <w:pPr>
        <w:pStyle w:val="Normalnumber"/>
      </w:pPr>
      <w:r w:rsidRPr="00A7082A">
        <w:t>The representative of an observer voiced his concern that the activities under the proposed programme of work and budget would not meet the education and training needs of developing country parties for fulfilling their obligations under the Convention in 2020 and 2021, stressing that the secretariat’s leadership was crucial to meeting such needs.</w:t>
      </w:r>
    </w:p>
    <w:p w14:paraId="315EFFD1" w14:textId="54830CBC" w:rsidR="009F2E94" w:rsidRPr="00A7082A" w:rsidRDefault="009F2E94" w:rsidP="00476ADD">
      <w:pPr>
        <w:pStyle w:val="Normalnumber"/>
      </w:pPr>
      <w:r w:rsidRPr="00A7082A">
        <w:t xml:space="preserve">Following the discussion, the Conference of the Parties agreed to establish a contact group on </w:t>
      </w:r>
      <w:r w:rsidR="00C217A2" w:rsidRPr="00A7082A">
        <w:t xml:space="preserve">the </w:t>
      </w:r>
      <w:r w:rsidRPr="00A7082A">
        <w:t xml:space="preserve">programme of work and budget, co-chaired by </w:t>
      </w:r>
      <w:r w:rsidR="00476ADD" w:rsidRPr="00A7082A">
        <w:t xml:space="preserve">Yun </w:t>
      </w:r>
      <w:r w:rsidR="00AD37EC" w:rsidRPr="00A7082A">
        <w:t xml:space="preserve">Insiani </w:t>
      </w:r>
      <w:r w:rsidR="00A9792E" w:rsidRPr="00A7082A">
        <w:t xml:space="preserve">(Indonesia) and </w:t>
      </w:r>
      <w:r w:rsidR="00476ADD" w:rsidRPr="00A7082A">
        <w:t xml:space="preserve">Reginald Hernaus </w:t>
      </w:r>
      <w:r w:rsidR="00A9792E" w:rsidRPr="00A7082A">
        <w:t>(Netherlands)</w:t>
      </w:r>
      <w:r w:rsidRPr="00A7082A">
        <w:t xml:space="preserve">, </w:t>
      </w:r>
      <w:r w:rsidR="003D42CF" w:rsidRPr="00A7082A">
        <w:t xml:space="preserve">requesting the contact group </w:t>
      </w:r>
      <w:r w:rsidRPr="00A7082A">
        <w:t xml:space="preserve">to review the </w:t>
      </w:r>
      <w:r w:rsidR="0077732E" w:rsidRPr="00A7082A">
        <w:t xml:space="preserve">two scenarios for </w:t>
      </w:r>
      <w:r w:rsidRPr="00A7082A">
        <w:t xml:space="preserve">the programme of work and budget </w:t>
      </w:r>
      <w:r w:rsidR="00693481" w:rsidRPr="00A7082A">
        <w:t xml:space="preserve">and the draft decision set out in </w:t>
      </w:r>
      <w:r w:rsidR="007C3941" w:rsidRPr="00A7082A">
        <w:t>a</w:t>
      </w:r>
      <w:r w:rsidR="00693481" w:rsidRPr="00A7082A">
        <w:t>nnex</w:t>
      </w:r>
      <w:r w:rsidR="001B62F1" w:rsidRPr="00A7082A">
        <w:t xml:space="preserve"> I</w:t>
      </w:r>
      <w:r w:rsidR="00693481" w:rsidRPr="00A7082A">
        <w:t xml:space="preserve"> </w:t>
      </w:r>
      <w:r w:rsidR="007C3941" w:rsidRPr="00A7082A">
        <w:t>to</w:t>
      </w:r>
      <w:r w:rsidR="00693481" w:rsidRPr="00A7082A">
        <w:t xml:space="preserve"> document UNEP/MC/COP.3/20 </w:t>
      </w:r>
      <w:r w:rsidRPr="00A7082A">
        <w:t xml:space="preserve">and to prepare a </w:t>
      </w:r>
      <w:r w:rsidR="00693481" w:rsidRPr="00A7082A">
        <w:t xml:space="preserve">revised </w:t>
      </w:r>
      <w:r w:rsidRPr="00A7082A">
        <w:t>draft decision.</w:t>
      </w:r>
    </w:p>
    <w:p w14:paraId="1AE25401" w14:textId="5FC854B7" w:rsidR="00623D70" w:rsidRPr="00A7082A" w:rsidRDefault="003037C3" w:rsidP="00623D70">
      <w:pPr>
        <w:pStyle w:val="Normalnumber"/>
        <w:tabs>
          <w:tab w:val="clear" w:pos="624"/>
          <w:tab w:val="left" w:pos="1814"/>
          <w:tab w:val="left" w:pos="2381"/>
          <w:tab w:val="left" w:pos="2948"/>
          <w:tab w:val="left" w:pos="3515"/>
          <w:tab w:val="left" w:pos="4082"/>
        </w:tabs>
      </w:pPr>
      <w:r w:rsidRPr="00A7082A">
        <w:t xml:space="preserve">Following the work of the contact group on </w:t>
      </w:r>
      <w:r w:rsidR="001B62F1" w:rsidRPr="00A7082A">
        <w:t xml:space="preserve">the </w:t>
      </w:r>
      <w:r w:rsidRPr="00A7082A">
        <w:t xml:space="preserve">programme of work and budget, </w:t>
      </w:r>
      <w:r w:rsidR="000D07BE" w:rsidRPr="00A7082A">
        <w:t xml:space="preserve">the Conference </w:t>
      </w:r>
      <w:r w:rsidR="00B56FE3" w:rsidRPr="00A7082A">
        <w:t xml:space="preserve">of the Parties </w:t>
      </w:r>
      <w:r w:rsidR="000D07BE" w:rsidRPr="00A7082A">
        <w:t xml:space="preserve">requested the </w:t>
      </w:r>
      <w:r w:rsidR="00851014" w:rsidRPr="00A7082A">
        <w:t>secretariat</w:t>
      </w:r>
      <w:r w:rsidR="000D07BE" w:rsidRPr="00A7082A">
        <w:t xml:space="preserve"> to adjust the allocation for effectiveness evaluation activities </w:t>
      </w:r>
      <w:r w:rsidR="00B56FE3" w:rsidRPr="00A7082A">
        <w:t>in accordance with</w:t>
      </w:r>
      <w:r w:rsidR="000D07BE" w:rsidRPr="00A7082A">
        <w:t xml:space="preserve"> decision MC-3/10</w:t>
      </w:r>
      <w:r w:rsidR="00B56FE3" w:rsidRPr="00A7082A">
        <w:t>, which</w:t>
      </w:r>
      <w:r w:rsidR="000D07BE" w:rsidRPr="00A7082A">
        <w:t xml:space="preserve"> had</w:t>
      </w:r>
      <w:r w:rsidR="00B56FE3" w:rsidRPr="00A7082A">
        <w:t xml:space="preserve"> already</w:t>
      </w:r>
      <w:r w:rsidR="000D07BE" w:rsidRPr="00A7082A">
        <w:t xml:space="preserve"> been adopted, and to reflect the adjustment in the contributions to the General Trust Fund</w:t>
      </w:r>
      <w:r w:rsidR="00B56FE3" w:rsidRPr="00A7082A">
        <w:t>.</w:t>
      </w:r>
      <w:r w:rsidR="000D07BE" w:rsidRPr="00A7082A">
        <w:t xml:space="preserve"> </w:t>
      </w:r>
      <w:r w:rsidR="00623D70" w:rsidRPr="00A7082A">
        <w:t>Subsequently, the Conference of the Parties adopted decision MC-3/</w:t>
      </w:r>
      <w:r w:rsidR="00617FDE" w:rsidRPr="00A7082A">
        <w:t>1</w:t>
      </w:r>
      <w:r w:rsidR="00EE6A6E" w:rsidRPr="00A7082A">
        <w:t>2</w:t>
      </w:r>
      <w:r w:rsidR="003A2652" w:rsidRPr="00A7082A">
        <w:t>,</w:t>
      </w:r>
      <w:r w:rsidR="00623D70" w:rsidRPr="00A7082A">
        <w:t xml:space="preserve"> on the programme of work and budget for the </w:t>
      </w:r>
      <w:r w:rsidR="00617FDE" w:rsidRPr="00A7082A">
        <w:t>biennium 2020–2021</w:t>
      </w:r>
      <w:r w:rsidR="00623D70" w:rsidRPr="00A7082A">
        <w:t xml:space="preserve">, as set out in </w:t>
      </w:r>
      <w:r w:rsidR="00A32D85" w:rsidRPr="00A7082A">
        <w:t xml:space="preserve">the </w:t>
      </w:r>
      <w:r w:rsidR="00623D70" w:rsidRPr="00A7082A">
        <w:t xml:space="preserve">annex to the present report. </w:t>
      </w:r>
    </w:p>
    <w:p w14:paraId="50F1FDD6" w14:textId="446B8C8B" w:rsidR="00077945" w:rsidRPr="00A7082A" w:rsidRDefault="00A7033C" w:rsidP="00A7033C">
      <w:pPr>
        <w:pStyle w:val="CH2"/>
        <w:rPr>
          <w:sz w:val="28"/>
        </w:rPr>
      </w:pPr>
      <w:r w:rsidRPr="00A7082A">
        <w:rPr>
          <w:sz w:val="28"/>
        </w:rPr>
        <w:tab/>
      </w:r>
      <w:bookmarkStart w:id="36" w:name="_Toc27124737"/>
      <w:r w:rsidRPr="00A7082A">
        <w:rPr>
          <w:sz w:val="28"/>
        </w:rPr>
        <w:t>VIII.</w:t>
      </w:r>
      <w:r w:rsidRPr="00A7082A">
        <w:rPr>
          <w:sz w:val="28"/>
        </w:rPr>
        <w:tab/>
      </w:r>
      <w:r w:rsidR="00077945" w:rsidRPr="00A7082A">
        <w:rPr>
          <w:sz w:val="28"/>
        </w:rPr>
        <w:t>Venue and date of the fourth meeting of the Conference of the Parties</w:t>
      </w:r>
      <w:bookmarkEnd w:id="36"/>
    </w:p>
    <w:p w14:paraId="2EC9F58A" w14:textId="5F5B1980" w:rsidR="00174D64" w:rsidRPr="00A7082A" w:rsidRDefault="00174D64" w:rsidP="00957120">
      <w:pPr>
        <w:pStyle w:val="Normalnumber"/>
      </w:pPr>
      <w:r w:rsidRPr="00A7082A">
        <w:t xml:space="preserve">Introducing the item, the </w:t>
      </w:r>
      <w:r w:rsidR="00890358" w:rsidRPr="00A7082A">
        <w:t>Executive Secretary</w:t>
      </w:r>
      <w:r w:rsidR="003051A1" w:rsidRPr="00A7082A">
        <w:t xml:space="preserve"> </w:t>
      </w:r>
      <w:r w:rsidRPr="00A7082A">
        <w:t xml:space="preserve">drew attention to the note by the secretariat on the venue and date of the fourth meeting of the Conference of the Parties (UNEP/MC/COP.3/22 and its addendum). She said that, pursuant to decision MC-2/5, the secretariat had written to parties </w:t>
      </w:r>
      <w:r w:rsidRPr="00A7082A">
        <w:lastRenderedPageBreak/>
        <w:t xml:space="preserve">requesting offers to host the fourth meeting of the Conference of the Parties in 2021. Offers had subsequently been received from Colombia and Indonesia. The secretariat </w:t>
      </w:r>
      <w:r w:rsidR="00BE5BE5" w:rsidRPr="00A7082A">
        <w:t xml:space="preserve">had </w:t>
      </w:r>
      <w:r w:rsidRPr="00A7082A">
        <w:t>accordingly prepared documents UNEP/MC/COP.3/INF/20</w:t>
      </w:r>
      <w:r w:rsidR="002E0944" w:rsidRPr="00A7082A">
        <w:t>/Rev.1</w:t>
      </w:r>
      <w:r w:rsidRPr="00A7082A">
        <w:t xml:space="preserve"> and UNEP/MC/COP.3/INF/22, detailing those offers, </w:t>
      </w:r>
      <w:r w:rsidR="00BE5BE5" w:rsidRPr="00A7082A">
        <w:t>together with</w:t>
      </w:r>
      <w:r w:rsidRPr="00A7082A">
        <w:t xml:space="preserve"> document UNEP/MC/COP.3/INF/23</w:t>
      </w:r>
      <w:r w:rsidR="002E0944" w:rsidRPr="00A7082A">
        <w:t>/Rev.1</w:t>
      </w:r>
      <w:r w:rsidRPr="00A7082A">
        <w:t xml:space="preserve">, providing further information on cost considerations. She recalled that rules 3 and 4 of the rules of procedure set out the provisions related to the venue, dates and duration of meetings of the Conference of the Parties. </w:t>
      </w:r>
    </w:p>
    <w:p w14:paraId="129D2178" w14:textId="0EC772DE" w:rsidR="00174D64" w:rsidRPr="00A7082A" w:rsidRDefault="00174D64" w:rsidP="00957120">
      <w:pPr>
        <w:pStyle w:val="Normalnumber"/>
      </w:pPr>
      <w:r w:rsidRPr="00A7082A">
        <w:t>The representative of Indonesia</w:t>
      </w:r>
      <w:r w:rsidR="003051A1" w:rsidRPr="00A7082A">
        <w:t xml:space="preserve"> </w:t>
      </w:r>
      <w:r w:rsidRPr="00A7082A">
        <w:t xml:space="preserve">presented a proposal by the Government of Indonesia to host the fourth meeting of the Conference of the Parties at the Nusa Dua Convention Centre, Bali, </w:t>
      </w:r>
      <w:bookmarkStart w:id="37" w:name="_Hlk38282570"/>
      <w:r w:rsidRPr="00A7082A">
        <w:t xml:space="preserve">from 1 to 6 November 2021. </w:t>
      </w:r>
      <w:bookmarkEnd w:id="37"/>
      <w:r w:rsidRPr="00A7082A">
        <w:t>The representative of Colombia</w:t>
      </w:r>
      <w:r w:rsidR="003051A1" w:rsidRPr="00A7082A">
        <w:t xml:space="preserve"> </w:t>
      </w:r>
      <w:r w:rsidRPr="00A7082A">
        <w:t>said that, following extensive discussions with Indonesia, the Government of Colombia had agreed to withdraw its offer to host the meeting in order to allow the meeting to be held in Indonesia</w:t>
      </w:r>
      <w:r w:rsidR="006C1088" w:rsidRPr="00A7082A">
        <w:t xml:space="preserve"> as</w:t>
      </w:r>
      <w:r w:rsidR="00BE5BE5" w:rsidRPr="00A7082A">
        <w:t>,</w:t>
      </w:r>
      <w:r w:rsidR="006C1088" w:rsidRPr="00A7082A">
        <w:t xml:space="preserve"> following the rotation of the </w:t>
      </w:r>
      <w:r w:rsidR="0048379A" w:rsidRPr="00A7082A">
        <w:t>p</w:t>
      </w:r>
      <w:r w:rsidR="006C1088" w:rsidRPr="00A7082A">
        <w:t>residency agreed to at the second meeting of the Conference of the Parties, the Asia</w:t>
      </w:r>
      <w:r w:rsidR="0048379A" w:rsidRPr="00A7082A">
        <w:t>-</w:t>
      </w:r>
      <w:r w:rsidR="006C1088" w:rsidRPr="00A7082A">
        <w:t>Pacific region would be nominating the President of the fourth meeting of the Conference of the Parties</w:t>
      </w:r>
      <w:r w:rsidRPr="00A7082A">
        <w:t>. The Government of Colombia offered its assistance and support to the Government of Indonesia in the preparations for the meeting</w:t>
      </w:r>
      <w:r w:rsidR="00890358" w:rsidRPr="00A7082A">
        <w:t xml:space="preserve">, </w:t>
      </w:r>
      <w:r w:rsidR="00BE5BE5" w:rsidRPr="00A7082A">
        <w:t>and also offered</w:t>
      </w:r>
      <w:r w:rsidR="00890358" w:rsidRPr="00A7082A">
        <w:t xml:space="preserve"> to host the regional preparatory meeting for the fourth meeting of the Conference of the Parties for the Latin American and the Caribbean region</w:t>
      </w:r>
      <w:r w:rsidRPr="00A7082A">
        <w:t xml:space="preserve">. The representative of Indonesia thanked the Government of Colombia for allowing Indonesia the opportunity to host the meeting, and said that the Government of Indonesia was looking forward to extending its history of collaboration with the Colombian Government in making arrangements for the meeting. </w:t>
      </w:r>
    </w:p>
    <w:p w14:paraId="3FB76E0D" w14:textId="1D6A183A" w:rsidR="00174D64" w:rsidRPr="00A7082A" w:rsidRDefault="00174D64" w:rsidP="003C09F2">
      <w:pPr>
        <w:pStyle w:val="Normalnumber"/>
      </w:pPr>
      <w:r w:rsidRPr="00A7082A">
        <w:t>The Conference of the Parties agreed that the fourth meeting of the Conference of the Parties would be held in Bali, Indonesia</w:t>
      </w:r>
      <w:r w:rsidR="003C09F2" w:rsidRPr="00A7082A">
        <w:t xml:space="preserve">, </w:t>
      </w:r>
      <w:bookmarkStart w:id="38" w:name="_Hlk38282531"/>
      <w:r w:rsidR="003C09F2" w:rsidRPr="00A7082A">
        <w:t>from 1 to 5 November 2021</w:t>
      </w:r>
      <w:bookmarkEnd w:id="38"/>
      <w:r w:rsidRPr="00A7082A">
        <w:t xml:space="preserve">. </w:t>
      </w:r>
    </w:p>
    <w:p w14:paraId="6EA3CDC3" w14:textId="15DBBE6B" w:rsidR="00077945" w:rsidRPr="00A7082A" w:rsidRDefault="00A7033C" w:rsidP="00A7033C">
      <w:pPr>
        <w:pStyle w:val="CH2"/>
        <w:rPr>
          <w:sz w:val="28"/>
        </w:rPr>
      </w:pPr>
      <w:r w:rsidRPr="00A7082A">
        <w:rPr>
          <w:sz w:val="28"/>
        </w:rPr>
        <w:tab/>
      </w:r>
      <w:bookmarkStart w:id="39" w:name="_Toc27124738"/>
      <w:r w:rsidRPr="00A7082A">
        <w:rPr>
          <w:sz w:val="28"/>
        </w:rPr>
        <w:t>IX.</w:t>
      </w:r>
      <w:r w:rsidRPr="00A7082A">
        <w:rPr>
          <w:sz w:val="28"/>
        </w:rPr>
        <w:tab/>
      </w:r>
      <w:r w:rsidR="00077945" w:rsidRPr="00A7082A">
        <w:rPr>
          <w:sz w:val="28"/>
        </w:rPr>
        <w:t>Other matters</w:t>
      </w:r>
      <w:bookmarkEnd w:id="39"/>
    </w:p>
    <w:p w14:paraId="2A24C139" w14:textId="4E5BA693" w:rsidR="003655AC" w:rsidRPr="00A7082A" w:rsidRDefault="003655AC" w:rsidP="0012067A">
      <w:pPr>
        <w:pStyle w:val="Normalnumber"/>
        <w:numPr>
          <w:ilvl w:val="0"/>
          <w:numId w:val="0"/>
        </w:numPr>
        <w:ind w:left="1247"/>
      </w:pPr>
      <w:r w:rsidRPr="00A7082A">
        <w:rPr>
          <w:b/>
        </w:rPr>
        <w:t>Guidance for completing the national reporting</w:t>
      </w:r>
      <w:r w:rsidR="003A2652" w:rsidRPr="00A7082A">
        <w:rPr>
          <w:b/>
        </w:rPr>
        <w:t xml:space="preserve"> format</w:t>
      </w:r>
    </w:p>
    <w:p w14:paraId="4CF9E5A2" w14:textId="1F1A7BE1" w:rsidR="000E74B4" w:rsidRPr="00A7082A" w:rsidRDefault="000E74B4" w:rsidP="00D57009">
      <w:pPr>
        <w:pStyle w:val="Normalnumber"/>
      </w:pPr>
      <w:r w:rsidRPr="00A7082A">
        <w:rPr>
          <w:color w:val="000000" w:themeColor="text1"/>
        </w:rPr>
        <w:t>The representative of the secretariat recalled that, i</w:t>
      </w:r>
      <w:r w:rsidRPr="00A7082A">
        <w:t xml:space="preserve">n its decision MC-1/8, on the timing and format of reporting by the parties, the Conference of the Parties had adopted a format for reporting and had decided that each party was to report every four years using the full format and every two years with </w:t>
      </w:r>
      <w:r w:rsidR="00D57009" w:rsidRPr="00A7082A">
        <w:t xml:space="preserve">regard </w:t>
      </w:r>
      <w:r w:rsidRPr="00A7082A">
        <w:t xml:space="preserve">to the four questions marked by an asterisk in that format. In order to assist parties in the preparation of information for the first biennial short report and in its submission, the secretariat had prepared an electronic reporting tool, together with a document </w:t>
      </w:r>
      <w:r w:rsidR="00D57009" w:rsidRPr="00A7082A">
        <w:t>setting out</w:t>
      </w:r>
      <w:r w:rsidRPr="00A7082A">
        <w:t xml:space="preserve"> answers to frequently asked questions (UNEP/MC/COP.3/INF/26). Reporting clinics, held in the margins of meeting</w:t>
      </w:r>
      <w:r w:rsidR="00C87D9C" w:rsidRPr="00A7082A">
        <w:t>s</w:t>
      </w:r>
      <w:r w:rsidRPr="00A7082A">
        <w:t xml:space="preserve">, were another source of support for parties. As the reports would be submitted by national focal points, who would receive a dedicated link to the electronic tool enabling them to do so, the representative of the secretariat stressed the need for parties to verify that the secretariat held the correct contact details for each national focal point. </w:t>
      </w:r>
    </w:p>
    <w:p w14:paraId="29EB65A0" w14:textId="77777777" w:rsidR="000E74B4" w:rsidRPr="00A7082A" w:rsidRDefault="000E74B4" w:rsidP="000E74B4">
      <w:pPr>
        <w:pStyle w:val="Normalnumber"/>
        <w:tabs>
          <w:tab w:val="clear" w:pos="624"/>
          <w:tab w:val="left" w:pos="1814"/>
          <w:tab w:val="left" w:pos="2381"/>
          <w:tab w:val="left" w:pos="2948"/>
          <w:tab w:val="left" w:pos="3515"/>
          <w:tab w:val="left" w:pos="4082"/>
        </w:tabs>
      </w:pPr>
      <w:r w:rsidRPr="00A7082A">
        <w:t>Two representatives highlighted difficulties in relation to tracking trade in mercury and the use of the forms conceived for that purpose. One of them proposed that the issue of trade in mercury be included in the agenda of the fourth meeting of the Conference of the Parties. The representative of the secretariat recalled that, at its first meeting, the Conference had adopted guidance on completing the forms required under article 3 related to trade in mercury.</w:t>
      </w:r>
    </w:p>
    <w:p w14:paraId="46A66292" w14:textId="560F260D" w:rsidR="000E74B4" w:rsidRPr="00A7082A" w:rsidRDefault="000E74B4" w:rsidP="000E74B4">
      <w:pPr>
        <w:pStyle w:val="Normalnumber"/>
        <w:tabs>
          <w:tab w:val="clear" w:pos="624"/>
          <w:tab w:val="left" w:pos="1814"/>
          <w:tab w:val="left" w:pos="2381"/>
          <w:tab w:val="left" w:pos="2948"/>
          <w:tab w:val="left" w:pos="3515"/>
          <w:tab w:val="left" w:pos="4082"/>
        </w:tabs>
      </w:pPr>
      <w:r w:rsidRPr="00A7082A">
        <w:t xml:space="preserve">The representative of Canada introduced a conference room paper, submitted jointly with the European Union and its member States, Norway and Switzerland, </w:t>
      </w:r>
      <w:r w:rsidR="00C87D9C" w:rsidRPr="00A7082A">
        <w:t>setting</w:t>
      </w:r>
      <w:r w:rsidRPr="00A7082A">
        <w:t xml:space="preserve"> out draft decision text requesting the secretariat to prepare draft guidance for </w:t>
      </w:r>
      <w:r w:rsidR="00C87D9C" w:rsidRPr="00A7082A">
        <w:t xml:space="preserve">the </w:t>
      </w:r>
      <w:r w:rsidRPr="00A7082A">
        <w:t>completion of the first full report, due on 31 December 2021. It proposed that that guidance be prepared during the intersessional period, that parties and other stakeholders contribute to the process with their comments to enable the secretariat to revise the guidance, that the draft guidance be used on a provisional basis by parties and that it be considered for possible adoption by the Conference of the Parties at its fourth meeting.</w:t>
      </w:r>
    </w:p>
    <w:p w14:paraId="62ECB18B" w14:textId="41F8B7B3" w:rsidR="003655AC" w:rsidRPr="00A7082A" w:rsidRDefault="003655AC" w:rsidP="003655AC">
      <w:pPr>
        <w:pStyle w:val="Normalnumber"/>
      </w:pPr>
      <w:r w:rsidRPr="00A7082A">
        <w:t>Subsequently, following further consultations with fellow sponsors of the draft and other interested parties, the repre</w:t>
      </w:r>
      <w:r w:rsidR="0093456E" w:rsidRPr="00A7082A">
        <w:t>sentative of Canada</w:t>
      </w:r>
      <w:r w:rsidRPr="00A7082A">
        <w:t xml:space="preserve"> reported that there had been wide support for the draft decision, which had been motivated by the complexity of the process of preparing national reports. In the ensuing discussion, all the representatives who took the floor expressed support for the initiative, which, they said, was very helpful, would diminish the burden on national focal points of identifying what needed to be included in the reports and would be beneficial to the efficiency evaluation process. One representative noted, in particular, its importance to parties that were small island deve</w:t>
      </w:r>
      <w:r w:rsidR="0093456E" w:rsidRPr="00A7082A">
        <w:t>loping States; while another</w:t>
      </w:r>
      <w:r w:rsidRPr="00A7082A">
        <w:t xml:space="preserve"> declared her country’s willingness to assist with the preparation of the guidance; and a third made a suggestion for a small improvement to the text, which was accepted by the Conference of the Parties. </w:t>
      </w:r>
    </w:p>
    <w:p w14:paraId="7062FBC4" w14:textId="7DAC31AE" w:rsidR="003655AC" w:rsidRPr="00A7082A" w:rsidRDefault="0093456E" w:rsidP="00AA5D77">
      <w:pPr>
        <w:pStyle w:val="Normalnumber"/>
        <w:keepNext/>
        <w:keepLines/>
      </w:pPr>
      <w:r w:rsidRPr="00A7082A">
        <w:lastRenderedPageBreak/>
        <w:t>One representative</w:t>
      </w:r>
      <w:r w:rsidR="003655AC" w:rsidRPr="00A7082A">
        <w:t xml:space="preserve">, while commending the draft decision and noting the momentum behind its preparation, observed that a delicate balance had been struck in agreeing on the elements of the decision and stressed that, in the work on the preparation of the guidance itself, that same balance should be maintained and the compromises made to that end should be preserved. </w:t>
      </w:r>
    </w:p>
    <w:p w14:paraId="28B9E1F4" w14:textId="37CE00D2" w:rsidR="00CC6D5F" w:rsidRPr="00A7082A" w:rsidRDefault="00CC6D5F" w:rsidP="00D57009">
      <w:pPr>
        <w:pStyle w:val="Normalnumber"/>
        <w:tabs>
          <w:tab w:val="clear" w:pos="624"/>
          <w:tab w:val="left" w:pos="1814"/>
          <w:tab w:val="left" w:pos="2381"/>
          <w:tab w:val="left" w:pos="2948"/>
          <w:tab w:val="left" w:pos="3515"/>
          <w:tab w:val="left" w:pos="4082"/>
        </w:tabs>
      </w:pPr>
      <w:r w:rsidRPr="00A7082A">
        <w:t>Subsequently, the Conference of the Parties adopted decision MC-3/</w:t>
      </w:r>
      <w:r w:rsidR="00617FDE" w:rsidRPr="00A7082A">
        <w:t>1</w:t>
      </w:r>
      <w:r w:rsidR="008D01BD" w:rsidRPr="00A7082A">
        <w:t>3</w:t>
      </w:r>
      <w:r w:rsidR="003A2652" w:rsidRPr="00A7082A">
        <w:t>,</w:t>
      </w:r>
      <w:r w:rsidRPr="00A7082A">
        <w:t xml:space="preserve"> on guidance for completing the national reporting format, as set out in </w:t>
      </w:r>
      <w:r w:rsidR="00550A9F" w:rsidRPr="00A7082A">
        <w:t xml:space="preserve">the </w:t>
      </w:r>
      <w:r w:rsidRPr="00A7082A">
        <w:t xml:space="preserve">annex to the present report. </w:t>
      </w:r>
    </w:p>
    <w:p w14:paraId="1D199592" w14:textId="3B9DB2EC" w:rsidR="00077945" w:rsidRPr="00A7082A" w:rsidRDefault="00A7033C" w:rsidP="00A7033C">
      <w:pPr>
        <w:pStyle w:val="CH2"/>
        <w:rPr>
          <w:sz w:val="28"/>
        </w:rPr>
      </w:pPr>
      <w:r w:rsidRPr="00A7082A">
        <w:rPr>
          <w:sz w:val="28"/>
        </w:rPr>
        <w:tab/>
      </w:r>
      <w:bookmarkStart w:id="40" w:name="_Toc27124739"/>
      <w:r w:rsidRPr="00A7082A">
        <w:rPr>
          <w:sz w:val="28"/>
        </w:rPr>
        <w:t>X.</w:t>
      </w:r>
      <w:r w:rsidRPr="00A7082A">
        <w:rPr>
          <w:sz w:val="28"/>
        </w:rPr>
        <w:tab/>
      </w:r>
      <w:r w:rsidR="00077945" w:rsidRPr="00A7082A">
        <w:rPr>
          <w:sz w:val="28"/>
        </w:rPr>
        <w:t>Adoption of the report</w:t>
      </w:r>
      <w:bookmarkEnd w:id="40"/>
    </w:p>
    <w:p w14:paraId="2BE5EB3E" w14:textId="75023727" w:rsidR="00A7033C" w:rsidRPr="00A7082A" w:rsidRDefault="00CC6D5F" w:rsidP="00D57009">
      <w:pPr>
        <w:pStyle w:val="Normalnumber"/>
        <w:tabs>
          <w:tab w:val="clear" w:pos="624"/>
          <w:tab w:val="left" w:pos="1814"/>
          <w:tab w:val="left" w:pos="2381"/>
          <w:tab w:val="left" w:pos="2948"/>
          <w:tab w:val="left" w:pos="3515"/>
          <w:tab w:val="left" w:pos="4082"/>
        </w:tabs>
      </w:pPr>
      <w:r w:rsidRPr="00A7082A">
        <w:t xml:space="preserve">The Conference of the Parties adopted the </w:t>
      </w:r>
      <w:r w:rsidR="00C87D9C" w:rsidRPr="00A7082A">
        <w:t xml:space="preserve">present </w:t>
      </w:r>
      <w:r w:rsidRPr="00A7082A">
        <w:t xml:space="preserve">report </w:t>
      </w:r>
      <w:r w:rsidR="00C87D9C" w:rsidRPr="00A7082A">
        <w:t xml:space="preserve">on the basis of the draft report that had been circulated, </w:t>
      </w:r>
      <w:r w:rsidRPr="00A7082A">
        <w:t>on the understanding that the Rapporteur would be entrusted with its finalization</w:t>
      </w:r>
      <w:r w:rsidR="00C87D9C" w:rsidRPr="00A7082A">
        <w:t>,</w:t>
      </w:r>
      <w:r w:rsidRPr="00A7082A">
        <w:t xml:space="preserve"> in consultation with the secretariat.</w:t>
      </w:r>
    </w:p>
    <w:p w14:paraId="798BD2E2" w14:textId="1B35062E" w:rsidR="00077945" w:rsidRPr="00A7082A" w:rsidRDefault="00A7033C" w:rsidP="00A7033C">
      <w:pPr>
        <w:pStyle w:val="CH2"/>
        <w:rPr>
          <w:sz w:val="28"/>
        </w:rPr>
      </w:pPr>
      <w:r w:rsidRPr="00A7082A">
        <w:rPr>
          <w:sz w:val="28"/>
        </w:rPr>
        <w:tab/>
      </w:r>
      <w:bookmarkStart w:id="41" w:name="_Toc27124740"/>
      <w:r w:rsidRPr="00A7082A">
        <w:rPr>
          <w:sz w:val="28"/>
        </w:rPr>
        <w:t>XI.</w:t>
      </w:r>
      <w:r w:rsidRPr="00A7082A">
        <w:rPr>
          <w:sz w:val="28"/>
        </w:rPr>
        <w:tab/>
      </w:r>
      <w:r w:rsidR="00077945" w:rsidRPr="00A7082A">
        <w:rPr>
          <w:sz w:val="28"/>
        </w:rPr>
        <w:t>Closure of the meeting</w:t>
      </w:r>
      <w:bookmarkEnd w:id="41"/>
    </w:p>
    <w:p w14:paraId="5C3ACF07" w14:textId="71F7AD28" w:rsidR="00A7033C" w:rsidRPr="00A7082A" w:rsidRDefault="00CC6D5F" w:rsidP="00957120">
      <w:pPr>
        <w:pStyle w:val="Normalnumber"/>
      </w:pPr>
      <w:r w:rsidRPr="00A7082A">
        <w:rPr>
          <w:color w:val="000000" w:themeColor="text1"/>
        </w:rPr>
        <w:t>Following the customary exchange of courtesies, the meeting was declared closed at 2.30 a.m. on Saturday, 30 November 2019.</w:t>
      </w:r>
    </w:p>
    <w:p w14:paraId="6B7F1F36" w14:textId="48806483" w:rsidR="009E64B0" w:rsidRPr="00A7082A" w:rsidRDefault="009E64B0" w:rsidP="003F4DA7">
      <w:pPr>
        <w:pStyle w:val="Normal-pool"/>
      </w:pPr>
    </w:p>
    <w:p w14:paraId="24E2CD0C" w14:textId="77777777" w:rsidR="003F4DA7" w:rsidRPr="00A7082A" w:rsidRDefault="003F4DA7" w:rsidP="003F4DA7">
      <w:pPr>
        <w:pStyle w:val="Normal-pool"/>
        <w:sectPr w:rsidR="003F4DA7" w:rsidRPr="00A7082A" w:rsidSect="00C95B7D">
          <w:headerReference w:type="even" r:id="rId13"/>
          <w:headerReference w:type="default" r:id="rId14"/>
          <w:footerReference w:type="even" r:id="rId15"/>
          <w:footerReference w:type="default" r:id="rId16"/>
          <w:headerReference w:type="first" r:id="rId17"/>
          <w:footerReference w:type="first" r:id="rId18"/>
          <w:footnotePr>
            <w:numRestart w:val="eachSect"/>
          </w:footnotePr>
          <w:type w:val="continuous"/>
          <w:pgSz w:w="11900" w:h="16840" w:code="9"/>
          <w:pgMar w:top="907" w:right="992" w:bottom="1418" w:left="1418" w:header="539" w:footer="975" w:gutter="0"/>
          <w:cols w:space="708"/>
          <w:titlePg/>
          <w:docGrid w:linePitch="360"/>
        </w:sectPr>
      </w:pPr>
    </w:p>
    <w:p w14:paraId="009CDAF9" w14:textId="68763F66" w:rsidR="003F4DA7" w:rsidRPr="00A7082A" w:rsidRDefault="003F4DA7" w:rsidP="003F4DA7">
      <w:pPr>
        <w:pStyle w:val="ZZAnxheader"/>
      </w:pPr>
      <w:r w:rsidRPr="00A7082A">
        <w:lastRenderedPageBreak/>
        <w:t>Annex</w:t>
      </w:r>
    </w:p>
    <w:p w14:paraId="1EC093C8" w14:textId="6778F811" w:rsidR="00CB2628" w:rsidRPr="00A7082A" w:rsidRDefault="00CB2628" w:rsidP="00417FE2">
      <w:pPr>
        <w:pStyle w:val="ZZAnxtitle"/>
      </w:pPr>
      <w:r w:rsidRPr="00A7082A">
        <w:t xml:space="preserve">Decisions adopted by the Conference of the Parties to the Minamata Convention on Mercury at its </w:t>
      </w:r>
      <w:r w:rsidR="00C870D3" w:rsidRPr="00A7082A">
        <w:t xml:space="preserve">third </w:t>
      </w:r>
      <w:r w:rsidRPr="00A7082A">
        <w:t>meeting</w:t>
      </w:r>
    </w:p>
    <w:p w14:paraId="57825D83" w14:textId="64F466D8" w:rsidR="00C54FDE" w:rsidRPr="00A7082A" w:rsidRDefault="00C54FDE" w:rsidP="00C54FDE">
      <w:pPr>
        <w:pStyle w:val="TOC1"/>
        <w:tabs>
          <w:tab w:val="clear" w:pos="1814"/>
          <w:tab w:val="left" w:pos="2268"/>
        </w:tabs>
        <w:ind w:left="2268" w:hanging="1021"/>
        <w:rPr>
          <w:rFonts w:eastAsiaTheme="minorEastAsia"/>
          <w:bCs w:val="0"/>
          <w:noProof/>
          <w:lang w:val="en-GB" w:eastAsia="en-GB"/>
        </w:rPr>
      </w:pPr>
      <w:r w:rsidRPr="00A7082A">
        <w:rPr>
          <w:lang w:val="en-GB"/>
        </w:rPr>
        <w:fldChar w:fldCharType="begin"/>
      </w:r>
      <w:r w:rsidRPr="00A7082A">
        <w:rPr>
          <w:lang w:val="en-GB"/>
        </w:rPr>
        <w:instrText xml:space="preserve"> TOC \h \z \t "CH2,1" </w:instrText>
      </w:r>
      <w:r w:rsidRPr="00A7082A">
        <w:rPr>
          <w:lang w:val="en-GB"/>
        </w:rPr>
        <w:fldChar w:fldCharType="separate"/>
      </w:r>
      <w:hyperlink w:anchor="_Toc27124741" w:history="1">
        <w:r w:rsidRPr="00A7082A">
          <w:rPr>
            <w:rStyle w:val="Hyperlink"/>
            <w:noProof/>
            <w:lang w:val="en-GB"/>
          </w:rPr>
          <w:t>MC-3/1:</w:t>
        </w:r>
        <w:r w:rsidRPr="00A7082A">
          <w:rPr>
            <w:rStyle w:val="Hyperlink"/>
            <w:noProof/>
            <w:lang w:val="en-GB"/>
          </w:rPr>
          <w:tab/>
          <w:t>Review of annexes A and B</w:t>
        </w:r>
        <w:r w:rsidRPr="00A7082A">
          <w:rPr>
            <w:noProof/>
            <w:webHidden/>
            <w:lang w:val="en-GB"/>
          </w:rPr>
          <w:tab/>
        </w:r>
        <w:r w:rsidRPr="00A7082A">
          <w:rPr>
            <w:noProof/>
            <w:webHidden/>
            <w:lang w:val="en-GB"/>
          </w:rPr>
          <w:fldChar w:fldCharType="begin"/>
        </w:r>
        <w:r w:rsidRPr="00A7082A">
          <w:rPr>
            <w:noProof/>
            <w:webHidden/>
            <w:lang w:val="en-GB"/>
          </w:rPr>
          <w:instrText xml:space="preserve"> PAGEREF _Toc27124741 \h </w:instrText>
        </w:r>
        <w:r w:rsidRPr="00A7082A">
          <w:rPr>
            <w:noProof/>
            <w:webHidden/>
            <w:lang w:val="en-GB"/>
          </w:rPr>
        </w:r>
        <w:r w:rsidRPr="00A7082A">
          <w:rPr>
            <w:noProof/>
            <w:webHidden/>
            <w:lang w:val="en-GB"/>
          </w:rPr>
          <w:fldChar w:fldCharType="separate"/>
        </w:r>
        <w:r w:rsidR="006258C9">
          <w:rPr>
            <w:noProof/>
            <w:webHidden/>
            <w:lang w:val="en-GB"/>
          </w:rPr>
          <w:t>32</w:t>
        </w:r>
        <w:r w:rsidRPr="00A7082A">
          <w:rPr>
            <w:noProof/>
            <w:webHidden/>
            <w:lang w:val="en-GB"/>
          </w:rPr>
          <w:fldChar w:fldCharType="end"/>
        </w:r>
      </w:hyperlink>
    </w:p>
    <w:p w14:paraId="3F4A4BFF" w14:textId="4768E196" w:rsidR="00C54FDE" w:rsidRPr="00A7082A" w:rsidRDefault="00A138A1" w:rsidP="00C54FDE">
      <w:pPr>
        <w:pStyle w:val="TOC1"/>
        <w:tabs>
          <w:tab w:val="clear" w:pos="1814"/>
          <w:tab w:val="left" w:pos="2268"/>
          <w:tab w:val="left" w:pos="2381"/>
        </w:tabs>
        <w:ind w:left="2268" w:hanging="1021"/>
        <w:rPr>
          <w:rFonts w:eastAsiaTheme="minorEastAsia"/>
          <w:bCs w:val="0"/>
          <w:noProof/>
          <w:lang w:val="en-GB" w:eastAsia="en-GB"/>
        </w:rPr>
      </w:pPr>
      <w:hyperlink w:anchor="_Toc27124742" w:history="1">
        <w:r w:rsidR="00C54FDE" w:rsidRPr="00A7082A">
          <w:rPr>
            <w:rStyle w:val="Hyperlink"/>
            <w:noProof/>
            <w:lang w:val="en-GB"/>
          </w:rPr>
          <w:t xml:space="preserve">MC-3/2: </w:t>
        </w:r>
        <w:r w:rsidR="00C54FDE" w:rsidRPr="00A7082A">
          <w:rPr>
            <w:rFonts w:asciiTheme="minorHAnsi" w:eastAsiaTheme="minorEastAsia" w:hAnsiTheme="minorHAnsi" w:cstheme="minorBidi"/>
            <w:bCs w:val="0"/>
            <w:noProof/>
            <w:sz w:val="22"/>
            <w:szCs w:val="22"/>
            <w:lang w:val="en-GB" w:eastAsia="en-GB"/>
          </w:rPr>
          <w:tab/>
        </w:r>
        <w:r w:rsidR="00C54FDE" w:rsidRPr="00A7082A">
          <w:rPr>
            <w:rStyle w:val="Hyperlink"/>
            <w:noProof/>
            <w:lang w:val="en-GB"/>
          </w:rPr>
          <w:t>Dental amalgam</w:t>
        </w:r>
        <w:r w:rsidR="00C54FDE" w:rsidRPr="00A7082A">
          <w:rPr>
            <w:noProof/>
            <w:webHidden/>
            <w:lang w:val="en-GB"/>
          </w:rPr>
          <w:tab/>
        </w:r>
        <w:r w:rsidR="00C54FDE" w:rsidRPr="00A7082A">
          <w:rPr>
            <w:noProof/>
            <w:webHidden/>
            <w:lang w:val="en-GB"/>
          </w:rPr>
          <w:fldChar w:fldCharType="begin"/>
        </w:r>
        <w:r w:rsidR="00C54FDE" w:rsidRPr="00A7082A">
          <w:rPr>
            <w:noProof/>
            <w:webHidden/>
            <w:lang w:val="en-GB"/>
          </w:rPr>
          <w:instrText xml:space="preserve"> PAGEREF _Toc27124742 \h </w:instrText>
        </w:r>
        <w:r w:rsidR="00C54FDE" w:rsidRPr="00A7082A">
          <w:rPr>
            <w:noProof/>
            <w:webHidden/>
            <w:lang w:val="en-GB"/>
          </w:rPr>
        </w:r>
        <w:r w:rsidR="00C54FDE" w:rsidRPr="00A7082A">
          <w:rPr>
            <w:noProof/>
            <w:webHidden/>
            <w:lang w:val="en-GB"/>
          </w:rPr>
          <w:fldChar w:fldCharType="separate"/>
        </w:r>
        <w:r w:rsidR="006258C9">
          <w:rPr>
            <w:noProof/>
            <w:webHidden/>
            <w:lang w:val="en-GB"/>
          </w:rPr>
          <w:t>34</w:t>
        </w:r>
        <w:r w:rsidR="00C54FDE" w:rsidRPr="00A7082A">
          <w:rPr>
            <w:noProof/>
            <w:webHidden/>
            <w:lang w:val="en-GB"/>
          </w:rPr>
          <w:fldChar w:fldCharType="end"/>
        </w:r>
      </w:hyperlink>
    </w:p>
    <w:p w14:paraId="20525493" w14:textId="117E36D7" w:rsidR="00C54FDE" w:rsidRPr="00A7082A" w:rsidRDefault="00A138A1" w:rsidP="00C54FDE">
      <w:pPr>
        <w:pStyle w:val="TOC1"/>
        <w:tabs>
          <w:tab w:val="clear" w:pos="1814"/>
          <w:tab w:val="left" w:pos="2268"/>
        </w:tabs>
        <w:ind w:left="2268" w:hanging="1021"/>
        <w:rPr>
          <w:rFonts w:eastAsiaTheme="minorEastAsia"/>
          <w:bCs w:val="0"/>
          <w:noProof/>
          <w:lang w:val="en-GB" w:eastAsia="en-GB"/>
        </w:rPr>
      </w:pPr>
      <w:hyperlink w:anchor="_Toc27124743" w:history="1">
        <w:r w:rsidR="00C54FDE" w:rsidRPr="00A7082A">
          <w:rPr>
            <w:rStyle w:val="Hyperlink"/>
            <w:noProof/>
            <w:lang w:val="en-GB"/>
          </w:rPr>
          <w:t>MC-3/3:</w:t>
        </w:r>
        <w:r w:rsidR="00C54FDE" w:rsidRPr="00A7082A">
          <w:rPr>
            <w:rStyle w:val="Hyperlink"/>
            <w:noProof/>
            <w:lang w:val="en-GB"/>
          </w:rPr>
          <w:tab/>
          <w:t>Customs codes</w:t>
        </w:r>
        <w:r w:rsidR="00C54FDE" w:rsidRPr="00A7082A">
          <w:rPr>
            <w:noProof/>
            <w:webHidden/>
            <w:lang w:val="en-GB"/>
          </w:rPr>
          <w:tab/>
        </w:r>
        <w:r w:rsidR="00C54FDE" w:rsidRPr="00A7082A">
          <w:rPr>
            <w:noProof/>
            <w:webHidden/>
            <w:lang w:val="en-GB"/>
          </w:rPr>
          <w:fldChar w:fldCharType="begin"/>
        </w:r>
        <w:r w:rsidR="00C54FDE" w:rsidRPr="00A7082A">
          <w:rPr>
            <w:noProof/>
            <w:webHidden/>
            <w:lang w:val="en-GB"/>
          </w:rPr>
          <w:instrText xml:space="preserve"> PAGEREF _Toc27124743 \h </w:instrText>
        </w:r>
        <w:r w:rsidR="00C54FDE" w:rsidRPr="00A7082A">
          <w:rPr>
            <w:noProof/>
            <w:webHidden/>
            <w:lang w:val="en-GB"/>
          </w:rPr>
        </w:r>
        <w:r w:rsidR="00C54FDE" w:rsidRPr="00A7082A">
          <w:rPr>
            <w:noProof/>
            <w:webHidden/>
            <w:lang w:val="en-GB"/>
          </w:rPr>
          <w:fldChar w:fldCharType="separate"/>
        </w:r>
        <w:r w:rsidR="006258C9">
          <w:rPr>
            <w:noProof/>
            <w:webHidden/>
            <w:lang w:val="en-GB"/>
          </w:rPr>
          <w:t>35</w:t>
        </w:r>
        <w:r w:rsidR="00C54FDE" w:rsidRPr="00A7082A">
          <w:rPr>
            <w:noProof/>
            <w:webHidden/>
            <w:lang w:val="en-GB"/>
          </w:rPr>
          <w:fldChar w:fldCharType="end"/>
        </w:r>
      </w:hyperlink>
    </w:p>
    <w:p w14:paraId="11834433" w14:textId="5D0FDF7A" w:rsidR="00C54FDE" w:rsidRPr="00A7082A" w:rsidRDefault="00A138A1" w:rsidP="00C54FDE">
      <w:pPr>
        <w:pStyle w:val="TOC1"/>
        <w:tabs>
          <w:tab w:val="clear" w:pos="1814"/>
          <w:tab w:val="left" w:pos="2268"/>
          <w:tab w:val="left" w:pos="2381"/>
        </w:tabs>
        <w:ind w:left="2268" w:hanging="1021"/>
        <w:rPr>
          <w:rFonts w:eastAsiaTheme="minorEastAsia"/>
          <w:bCs w:val="0"/>
          <w:noProof/>
          <w:lang w:val="en-GB" w:eastAsia="en-GB"/>
        </w:rPr>
      </w:pPr>
      <w:hyperlink w:anchor="_Toc27124744" w:history="1">
        <w:r w:rsidR="00C54FDE" w:rsidRPr="00A7082A">
          <w:rPr>
            <w:rStyle w:val="Hyperlink"/>
            <w:noProof/>
            <w:lang w:val="en-GB"/>
          </w:rPr>
          <w:t xml:space="preserve">MC-3/4: </w:t>
        </w:r>
        <w:r w:rsidR="00C54FDE" w:rsidRPr="00A7082A">
          <w:rPr>
            <w:rFonts w:asciiTheme="minorHAnsi" w:eastAsiaTheme="minorEastAsia" w:hAnsiTheme="minorHAnsi" w:cstheme="minorBidi"/>
            <w:bCs w:val="0"/>
            <w:noProof/>
            <w:sz w:val="22"/>
            <w:szCs w:val="22"/>
            <w:lang w:val="en-GB" w:eastAsia="en-GB"/>
          </w:rPr>
          <w:tab/>
        </w:r>
        <w:r w:rsidR="00C54FDE" w:rsidRPr="00A7082A">
          <w:rPr>
            <w:rStyle w:val="Hyperlink"/>
            <w:noProof/>
            <w:lang w:val="en-GB"/>
          </w:rPr>
          <w:t>Releases of mercury</w:t>
        </w:r>
        <w:r w:rsidR="00C54FDE" w:rsidRPr="00A7082A">
          <w:rPr>
            <w:noProof/>
            <w:webHidden/>
            <w:lang w:val="en-GB"/>
          </w:rPr>
          <w:tab/>
        </w:r>
        <w:r w:rsidR="00C54FDE" w:rsidRPr="00A7082A">
          <w:rPr>
            <w:noProof/>
            <w:webHidden/>
            <w:lang w:val="en-GB"/>
          </w:rPr>
          <w:fldChar w:fldCharType="begin"/>
        </w:r>
        <w:r w:rsidR="00C54FDE" w:rsidRPr="00A7082A">
          <w:rPr>
            <w:noProof/>
            <w:webHidden/>
            <w:lang w:val="en-GB"/>
          </w:rPr>
          <w:instrText xml:space="preserve"> PAGEREF _Toc27124744 \h </w:instrText>
        </w:r>
        <w:r w:rsidR="00C54FDE" w:rsidRPr="00A7082A">
          <w:rPr>
            <w:noProof/>
            <w:webHidden/>
            <w:lang w:val="en-GB"/>
          </w:rPr>
        </w:r>
        <w:r w:rsidR="00C54FDE" w:rsidRPr="00A7082A">
          <w:rPr>
            <w:noProof/>
            <w:webHidden/>
            <w:lang w:val="en-GB"/>
          </w:rPr>
          <w:fldChar w:fldCharType="separate"/>
        </w:r>
        <w:r w:rsidR="006258C9">
          <w:rPr>
            <w:noProof/>
            <w:webHidden/>
            <w:lang w:val="en-GB"/>
          </w:rPr>
          <w:t>36</w:t>
        </w:r>
        <w:r w:rsidR="00C54FDE" w:rsidRPr="00A7082A">
          <w:rPr>
            <w:noProof/>
            <w:webHidden/>
            <w:lang w:val="en-GB"/>
          </w:rPr>
          <w:fldChar w:fldCharType="end"/>
        </w:r>
      </w:hyperlink>
    </w:p>
    <w:p w14:paraId="5FB366C5" w14:textId="3E8A4770" w:rsidR="00C54FDE" w:rsidRPr="00A7082A" w:rsidRDefault="00A138A1" w:rsidP="00C54FDE">
      <w:pPr>
        <w:pStyle w:val="TOC1"/>
        <w:tabs>
          <w:tab w:val="clear" w:pos="1814"/>
          <w:tab w:val="left" w:pos="2268"/>
          <w:tab w:val="left" w:pos="2381"/>
        </w:tabs>
        <w:ind w:left="2268" w:hanging="1021"/>
        <w:rPr>
          <w:rFonts w:eastAsiaTheme="minorEastAsia"/>
          <w:bCs w:val="0"/>
          <w:noProof/>
          <w:lang w:val="en-GB" w:eastAsia="en-GB"/>
        </w:rPr>
      </w:pPr>
      <w:hyperlink w:anchor="_Toc27124746" w:history="1">
        <w:r w:rsidR="00C54FDE" w:rsidRPr="00A7082A">
          <w:rPr>
            <w:rStyle w:val="Hyperlink"/>
            <w:noProof/>
            <w:lang w:val="en-GB"/>
          </w:rPr>
          <w:t xml:space="preserve">MC-3/5: </w:t>
        </w:r>
        <w:r w:rsidR="00C54FDE" w:rsidRPr="00A7082A">
          <w:rPr>
            <w:rFonts w:asciiTheme="minorHAnsi" w:eastAsiaTheme="minorEastAsia" w:hAnsiTheme="minorHAnsi" w:cstheme="minorBidi"/>
            <w:bCs w:val="0"/>
            <w:noProof/>
            <w:sz w:val="22"/>
            <w:szCs w:val="22"/>
            <w:lang w:val="en-GB" w:eastAsia="en-GB"/>
          </w:rPr>
          <w:tab/>
        </w:r>
        <w:r w:rsidR="00C54FDE" w:rsidRPr="00A7082A">
          <w:rPr>
            <w:rStyle w:val="Hyperlink"/>
            <w:noProof/>
            <w:lang w:val="en-GB"/>
          </w:rPr>
          <w:t>Mercury waste thresholds</w:t>
        </w:r>
        <w:r w:rsidR="00C54FDE" w:rsidRPr="00A7082A">
          <w:rPr>
            <w:noProof/>
            <w:webHidden/>
            <w:lang w:val="en-GB"/>
          </w:rPr>
          <w:tab/>
        </w:r>
        <w:r w:rsidR="00C54FDE" w:rsidRPr="00A7082A">
          <w:rPr>
            <w:noProof/>
            <w:webHidden/>
            <w:lang w:val="en-GB"/>
          </w:rPr>
          <w:fldChar w:fldCharType="begin"/>
        </w:r>
        <w:r w:rsidR="00C54FDE" w:rsidRPr="00A7082A">
          <w:rPr>
            <w:noProof/>
            <w:webHidden/>
            <w:lang w:val="en-GB"/>
          </w:rPr>
          <w:instrText xml:space="preserve"> PAGEREF _Toc27124746 \h </w:instrText>
        </w:r>
        <w:r w:rsidR="00C54FDE" w:rsidRPr="00A7082A">
          <w:rPr>
            <w:noProof/>
            <w:webHidden/>
            <w:lang w:val="en-GB"/>
          </w:rPr>
        </w:r>
        <w:r w:rsidR="00C54FDE" w:rsidRPr="00A7082A">
          <w:rPr>
            <w:noProof/>
            <w:webHidden/>
            <w:lang w:val="en-GB"/>
          </w:rPr>
          <w:fldChar w:fldCharType="separate"/>
        </w:r>
        <w:r w:rsidR="006258C9">
          <w:rPr>
            <w:noProof/>
            <w:webHidden/>
            <w:lang w:val="en-GB"/>
          </w:rPr>
          <w:t>37</w:t>
        </w:r>
        <w:r w:rsidR="00C54FDE" w:rsidRPr="00A7082A">
          <w:rPr>
            <w:noProof/>
            <w:webHidden/>
            <w:lang w:val="en-GB"/>
          </w:rPr>
          <w:fldChar w:fldCharType="end"/>
        </w:r>
      </w:hyperlink>
    </w:p>
    <w:p w14:paraId="007A7C65" w14:textId="043E4D9C" w:rsidR="00C54FDE" w:rsidRPr="00A7082A" w:rsidRDefault="00A138A1" w:rsidP="00C54FDE">
      <w:pPr>
        <w:pStyle w:val="TOC1"/>
        <w:tabs>
          <w:tab w:val="clear" w:pos="1814"/>
          <w:tab w:val="left" w:pos="2268"/>
        </w:tabs>
        <w:ind w:left="2268" w:hanging="1021"/>
        <w:rPr>
          <w:rFonts w:eastAsiaTheme="minorEastAsia"/>
          <w:bCs w:val="0"/>
          <w:noProof/>
          <w:lang w:val="en-GB" w:eastAsia="en-GB"/>
        </w:rPr>
      </w:pPr>
      <w:hyperlink w:anchor="_Toc27124747" w:history="1">
        <w:r w:rsidR="00C54FDE" w:rsidRPr="00A7082A">
          <w:rPr>
            <w:rStyle w:val="Hyperlink"/>
            <w:noProof/>
            <w:lang w:val="en-GB"/>
          </w:rPr>
          <w:t>MC-3/6:</w:t>
        </w:r>
        <w:r w:rsidR="00C54FDE" w:rsidRPr="00A7082A">
          <w:rPr>
            <w:rStyle w:val="Hyperlink"/>
            <w:noProof/>
            <w:lang w:val="en-GB"/>
          </w:rPr>
          <w:tab/>
          <w:t>Guidance on the management of contaminated sites</w:t>
        </w:r>
        <w:r w:rsidR="00C54FDE" w:rsidRPr="00A7082A">
          <w:rPr>
            <w:noProof/>
            <w:webHidden/>
            <w:lang w:val="en-GB"/>
          </w:rPr>
          <w:tab/>
        </w:r>
        <w:r w:rsidR="00C54FDE" w:rsidRPr="00A7082A">
          <w:rPr>
            <w:noProof/>
            <w:webHidden/>
            <w:lang w:val="en-GB"/>
          </w:rPr>
          <w:fldChar w:fldCharType="begin"/>
        </w:r>
        <w:r w:rsidR="00C54FDE" w:rsidRPr="00A7082A">
          <w:rPr>
            <w:noProof/>
            <w:webHidden/>
            <w:lang w:val="en-GB"/>
          </w:rPr>
          <w:instrText xml:space="preserve"> PAGEREF _Toc27124747 \h </w:instrText>
        </w:r>
        <w:r w:rsidR="00C54FDE" w:rsidRPr="00A7082A">
          <w:rPr>
            <w:noProof/>
            <w:webHidden/>
            <w:lang w:val="en-GB"/>
          </w:rPr>
        </w:r>
        <w:r w:rsidR="00C54FDE" w:rsidRPr="00A7082A">
          <w:rPr>
            <w:noProof/>
            <w:webHidden/>
            <w:lang w:val="en-GB"/>
          </w:rPr>
          <w:fldChar w:fldCharType="separate"/>
        </w:r>
        <w:r w:rsidR="006258C9">
          <w:rPr>
            <w:noProof/>
            <w:webHidden/>
            <w:lang w:val="en-GB"/>
          </w:rPr>
          <w:t>38</w:t>
        </w:r>
        <w:r w:rsidR="00C54FDE" w:rsidRPr="00A7082A">
          <w:rPr>
            <w:noProof/>
            <w:webHidden/>
            <w:lang w:val="en-GB"/>
          </w:rPr>
          <w:fldChar w:fldCharType="end"/>
        </w:r>
      </w:hyperlink>
    </w:p>
    <w:p w14:paraId="7602E696" w14:textId="1645BADF" w:rsidR="00C54FDE" w:rsidRPr="00A7082A" w:rsidRDefault="00A138A1" w:rsidP="00C54FDE">
      <w:pPr>
        <w:pStyle w:val="TOC1"/>
        <w:tabs>
          <w:tab w:val="clear" w:pos="1814"/>
          <w:tab w:val="left" w:pos="2268"/>
        </w:tabs>
        <w:ind w:left="2268" w:hanging="1021"/>
        <w:rPr>
          <w:rFonts w:eastAsiaTheme="minorEastAsia"/>
          <w:bCs w:val="0"/>
          <w:noProof/>
          <w:lang w:val="en-GB" w:eastAsia="en-GB"/>
        </w:rPr>
      </w:pPr>
      <w:hyperlink w:anchor="_Toc27124748" w:history="1">
        <w:r w:rsidR="00C54FDE" w:rsidRPr="00A7082A">
          <w:rPr>
            <w:rStyle w:val="Hyperlink"/>
            <w:noProof/>
            <w:lang w:val="en-GB"/>
          </w:rPr>
          <w:t>MC-3/7:</w:t>
        </w:r>
        <w:r w:rsidR="00C54FDE" w:rsidRPr="00A7082A">
          <w:rPr>
            <w:rStyle w:val="Hyperlink"/>
            <w:noProof/>
            <w:lang w:val="en-GB"/>
          </w:rPr>
          <w:tab/>
          <w:t>First review of the financial mechanism</w:t>
        </w:r>
        <w:r w:rsidR="00C54FDE" w:rsidRPr="00A7082A">
          <w:rPr>
            <w:noProof/>
            <w:webHidden/>
            <w:lang w:val="en-GB"/>
          </w:rPr>
          <w:tab/>
        </w:r>
        <w:r w:rsidR="00C54FDE" w:rsidRPr="00A7082A">
          <w:rPr>
            <w:noProof/>
            <w:webHidden/>
            <w:lang w:val="en-GB"/>
          </w:rPr>
          <w:fldChar w:fldCharType="begin"/>
        </w:r>
        <w:r w:rsidR="00C54FDE" w:rsidRPr="00A7082A">
          <w:rPr>
            <w:noProof/>
            <w:webHidden/>
            <w:lang w:val="en-GB"/>
          </w:rPr>
          <w:instrText xml:space="preserve"> PAGEREF _Toc27124748 \h </w:instrText>
        </w:r>
        <w:r w:rsidR="00C54FDE" w:rsidRPr="00A7082A">
          <w:rPr>
            <w:noProof/>
            <w:webHidden/>
            <w:lang w:val="en-GB"/>
          </w:rPr>
        </w:r>
        <w:r w:rsidR="00C54FDE" w:rsidRPr="00A7082A">
          <w:rPr>
            <w:noProof/>
            <w:webHidden/>
            <w:lang w:val="en-GB"/>
          </w:rPr>
          <w:fldChar w:fldCharType="separate"/>
        </w:r>
        <w:r w:rsidR="006258C9">
          <w:rPr>
            <w:noProof/>
            <w:webHidden/>
            <w:lang w:val="en-GB"/>
          </w:rPr>
          <w:t>43</w:t>
        </w:r>
        <w:r w:rsidR="00C54FDE" w:rsidRPr="00A7082A">
          <w:rPr>
            <w:noProof/>
            <w:webHidden/>
            <w:lang w:val="en-GB"/>
          </w:rPr>
          <w:fldChar w:fldCharType="end"/>
        </w:r>
      </w:hyperlink>
    </w:p>
    <w:p w14:paraId="6854F5A9" w14:textId="11BB8DB2" w:rsidR="00C54FDE" w:rsidRPr="00A7082A" w:rsidRDefault="00A138A1" w:rsidP="00C54FDE">
      <w:pPr>
        <w:pStyle w:val="TOC1"/>
        <w:tabs>
          <w:tab w:val="clear" w:pos="1814"/>
          <w:tab w:val="left" w:pos="2268"/>
        </w:tabs>
        <w:ind w:left="2268" w:hanging="1021"/>
        <w:rPr>
          <w:rFonts w:eastAsiaTheme="minorEastAsia"/>
          <w:bCs w:val="0"/>
          <w:noProof/>
          <w:lang w:val="en-GB" w:eastAsia="en-GB"/>
        </w:rPr>
      </w:pPr>
      <w:hyperlink w:anchor="_Toc27124749" w:history="1">
        <w:r w:rsidR="00C54FDE" w:rsidRPr="00A7082A">
          <w:rPr>
            <w:rStyle w:val="Hyperlink"/>
            <w:noProof/>
            <w:lang w:val="en-GB"/>
          </w:rPr>
          <w:t>MC-3/8:</w:t>
        </w:r>
        <w:r w:rsidR="00C54FDE" w:rsidRPr="00A7082A">
          <w:rPr>
            <w:rStyle w:val="Hyperlink"/>
            <w:noProof/>
            <w:lang w:val="en-GB"/>
          </w:rPr>
          <w:tab/>
          <w:t>Article 14: Capacity-building, technical assistance and technology transfer</w:t>
        </w:r>
        <w:r w:rsidR="00C54FDE" w:rsidRPr="00A7082A">
          <w:rPr>
            <w:noProof/>
            <w:webHidden/>
            <w:lang w:val="en-GB"/>
          </w:rPr>
          <w:tab/>
        </w:r>
        <w:r w:rsidR="00C54FDE" w:rsidRPr="00A7082A">
          <w:rPr>
            <w:noProof/>
            <w:webHidden/>
            <w:lang w:val="en-GB"/>
          </w:rPr>
          <w:fldChar w:fldCharType="begin"/>
        </w:r>
        <w:r w:rsidR="00C54FDE" w:rsidRPr="00A7082A">
          <w:rPr>
            <w:noProof/>
            <w:webHidden/>
            <w:lang w:val="en-GB"/>
          </w:rPr>
          <w:instrText xml:space="preserve"> PAGEREF _Toc27124749 \h </w:instrText>
        </w:r>
        <w:r w:rsidR="00C54FDE" w:rsidRPr="00A7082A">
          <w:rPr>
            <w:noProof/>
            <w:webHidden/>
            <w:lang w:val="en-GB"/>
          </w:rPr>
        </w:r>
        <w:r w:rsidR="00C54FDE" w:rsidRPr="00A7082A">
          <w:rPr>
            <w:noProof/>
            <w:webHidden/>
            <w:lang w:val="en-GB"/>
          </w:rPr>
          <w:fldChar w:fldCharType="separate"/>
        </w:r>
        <w:r w:rsidR="006258C9">
          <w:rPr>
            <w:noProof/>
            <w:webHidden/>
            <w:lang w:val="en-GB"/>
          </w:rPr>
          <w:t>44</w:t>
        </w:r>
        <w:r w:rsidR="00C54FDE" w:rsidRPr="00A7082A">
          <w:rPr>
            <w:noProof/>
            <w:webHidden/>
            <w:lang w:val="en-GB"/>
          </w:rPr>
          <w:fldChar w:fldCharType="end"/>
        </w:r>
      </w:hyperlink>
    </w:p>
    <w:p w14:paraId="1E6152CD" w14:textId="68289E2B" w:rsidR="00C54FDE" w:rsidRPr="00A7082A" w:rsidRDefault="00A138A1" w:rsidP="00C54FDE">
      <w:pPr>
        <w:pStyle w:val="TOC1"/>
        <w:tabs>
          <w:tab w:val="clear" w:pos="1814"/>
          <w:tab w:val="left" w:pos="2268"/>
        </w:tabs>
        <w:ind w:left="2268" w:hanging="1021"/>
        <w:rPr>
          <w:rFonts w:eastAsiaTheme="minorEastAsia"/>
          <w:bCs w:val="0"/>
          <w:noProof/>
          <w:lang w:val="en-GB" w:eastAsia="en-GB"/>
        </w:rPr>
      </w:pPr>
      <w:hyperlink w:anchor="_Toc27124750" w:history="1">
        <w:r w:rsidR="00C54FDE" w:rsidRPr="00A7082A">
          <w:rPr>
            <w:rStyle w:val="Hyperlink"/>
            <w:noProof/>
            <w:lang w:val="en-GB"/>
          </w:rPr>
          <w:t>MC-3/9:</w:t>
        </w:r>
        <w:r w:rsidR="00C54FDE" w:rsidRPr="00A7082A">
          <w:rPr>
            <w:rStyle w:val="Hyperlink"/>
            <w:noProof/>
            <w:lang w:val="en-GB"/>
          </w:rPr>
          <w:tab/>
          <w:t>Implementation and Compliance Committee</w:t>
        </w:r>
        <w:r w:rsidR="0012067A" w:rsidRPr="00A7082A">
          <w:rPr>
            <w:rStyle w:val="Hyperlink"/>
            <w:noProof/>
            <w:lang w:val="en-GB"/>
          </w:rPr>
          <w:t>: t</w:t>
        </w:r>
        <w:r w:rsidR="00C54FDE" w:rsidRPr="00A7082A">
          <w:rPr>
            <w:rStyle w:val="Hyperlink"/>
            <w:noProof/>
            <w:lang w:val="en-GB"/>
          </w:rPr>
          <w:t xml:space="preserve">erms of reference and </w:t>
        </w:r>
        <w:r w:rsidR="0012067A" w:rsidRPr="00A7082A">
          <w:rPr>
            <w:rStyle w:val="Hyperlink"/>
            <w:noProof/>
            <w:lang w:val="en-GB"/>
          </w:rPr>
          <w:t>t</w:t>
        </w:r>
        <w:r w:rsidR="00C54FDE" w:rsidRPr="00A7082A">
          <w:rPr>
            <w:rStyle w:val="Hyperlink"/>
            <w:noProof/>
            <w:lang w:val="en-GB"/>
          </w:rPr>
          <w:t xml:space="preserve">emplate </w:t>
        </w:r>
        <w:r w:rsidR="007A3B6F" w:rsidRPr="00A7082A">
          <w:rPr>
            <w:rStyle w:val="Hyperlink"/>
            <w:noProof/>
            <w:lang w:val="en-GB"/>
          </w:rPr>
          <w:br/>
        </w:r>
        <w:r w:rsidR="00C54FDE" w:rsidRPr="00A7082A">
          <w:rPr>
            <w:rStyle w:val="Hyperlink"/>
            <w:noProof/>
            <w:lang w:val="en-GB"/>
          </w:rPr>
          <w:t>for written submissions from parties with respect to their own compliance</w:t>
        </w:r>
        <w:r w:rsidR="00C54FDE" w:rsidRPr="00A7082A">
          <w:rPr>
            <w:noProof/>
            <w:webHidden/>
            <w:lang w:val="en-GB"/>
          </w:rPr>
          <w:tab/>
        </w:r>
        <w:r w:rsidR="00C54FDE" w:rsidRPr="00A7082A">
          <w:rPr>
            <w:noProof/>
            <w:webHidden/>
            <w:lang w:val="en-GB"/>
          </w:rPr>
          <w:fldChar w:fldCharType="begin"/>
        </w:r>
        <w:r w:rsidR="00C54FDE" w:rsidRPr="00A7082A">
          <w:rPr>
            <w:noProof/>
            <w:webHidden/>
            <w:lang w:val="en-GB"/>
          </w:rPr>
          <w:instrText xml:space="preserve"> PAGEREF _Toc27124750 \h </w:instrText>
        </w:r>
        <w:r w:rsidR="00C54FDE" w:rsidRPr="00A7082A">
          <w:rPr>
            <w:noProof/>
            <w:webHidden/>
            <w:lang w:val="en-GB"/>
          </w:rPr>
        </w:r>
        <w:r w:rsidR="00C54FDE" w:rsidRPr="00A7082A">
          <w:rPr>
            <w:noProof/>
            <w:webHidden/>
            <w:lang w:val="en-GB"/>
          </w:rPr>
          <w:fldChar w:fldCharType="separate"/>
        </w:r>
        <w:r w:rsidR="006258C9">
          <w:rPr>
            <w:noProof/>
            <w:webHidden/>
            <w:lang w:val="en-GB"/>
          </w:rPr>
          <w:t>45</w:t>
        </w:r>
        <w:r w:rsidR="00C54FDE" w:rsidRPr="00A7082A">
          <w:rPr>
            <w:noProof/>
            <w:webHidden/>
            <w:lang w:val="en-GB"/>
          </w:rPr>
          <w:fldChar w:fldCharType="end"/>
        </w:r>
      </w:hyperlink>
    </w:p>
    <w:p w14:paraId="16B2465C" w14:textId="78E03E97" w:rsidR="00C54FDE" w:rsidRPr="00A7082A" w:rsidRDefault="00A138A1" w:rsidP="00C54FDE">
      <w:pPr>
        <w:pStyle w:val="TOC1"/>
        <w:tabs>
          <w:tab w:val="clear" w:pos="1814"/>
          <w:tab w:val="left" w:pos="2268"/>
        </w:tabs>
        <w:ind w:left="2268" w:hanging="1021"/>
        <w:rPr>
          <w:rFonts w:eastAsiaTheme="minorEastAsia"/>
          <w:bCs w:val="0"/>
          <w:noProof/>
          <w:lang w:val="en-GB" w:eastAsia="en-GB"/>
        </w:rPr>
      </w:pPr>
      <w:hyperlink w:anchor="_Toc27124751" w:history="1">
        <w:r w:rsidR="00C54FDE" w:rsidRPr="00A7082A">
          <w:rPr>
            <w:rStyle w:val="Hyperlink"/>
            <w:noProof/>
            <w:lang w:val="en-GB"/>
          </w:rPr>
          <w:t>MC-3/10:</w:t>
        </w:r>
        <w:r w:rsidR="00C54FDE" w:rsidRPr="00A7082A">
          <w:rPr>
            <w:rStyle w:val="Hyperlink"/>
            <w:noProof/>
            <w:lang w:val="en-GB"/>
          </w:rPr>
          <w:tab/>
          <w:t>Arrangements for the first effectiveness evaluation of the Minamata Convention on Mercury</w:t>
        </w:r>
        <w:r w:rsidR="00C54FDE" w:rsidRPr="00A7082A">
          <w:rPr>
            <w:noProof/>
            <w:webHidden/>
            <w:lang w:val="en-GB"/>
          </w:rPr>
          <w:tab/>
        </w:r>
        <w:r w:rsidR="00C54FDE" w:rsidRPr="00A7082A">
          <w:rPr>
            <w:noProof/>
            <w:webHidden/>
            <w:lang w:val="en-GB"/>
          </w:rPr>
          <w:fldChar w:fldCharType="begin"/>
        </w:r>
        <w:r w:rsidR="00C54FDE" w:rsidRPr="00A7082A">
          <w:rPr>
            <w:noProof/>
            <w:webHidden/>
            <w:lang w:val="en-GB"/>
          </w:rPr>
          <w:instrText xml:space="preserve"> PAGEREF _Toc27124751 \h </w:instrText>
        </w:r>
        <w:r w:rsidR="00C54FDE" w:rsidRPr="00A7082A">
          <w:rPr>
            <w:noProof/>
            <w:webHidden/>
            <w:lang w:val="en-GB"/>
          </w:rPr>
        </w:r>
        <w:r w:rsidR="00C54FDE" w:rsidRPr="00A7082A">
          <w:rPr>
            <w:noProof/>
            <w:webHidden/>
            <w:lang w:val="en-GB"/>
          </w:rPr>
          <w:fldChar w:fldCharType="separate"/>
        </w:r>
        <w:r w:rsidR="006258C9">
          <w:rPr>
            <w:noProof/>
            <w:webHidden/>
            <w:lang w:val="en-GB"/>
          </w:rPr>
          <w:t>51</w:t>
        </w:r>
        <w:r w:rsidR="00C54FDE" w:rsidRPr="00A7082A">
          <w:rPr>
            <w:noProof/>
            <w:webHidden/>
            <w:lang w:val="en-GB"/>
          </w:rPr>
          <w:fldChar w:fldCharType="end"/>
        </w:r>
      </w:hyperlink>
    </w:p>
    <w:p w14:paraId="504200A0" w14:textId="78B77C74" w:rsidR="00C54FDE" w:rsidRPr="00A7082A" w:rsidRDefault="00A138A1" w:rsidP="00C54FDE">
      <w:pPr>
        <w:pStyle w:val="TOC1"/>
        <w:tabs>
          <w:tab w:val="clear" w:pos="1814"/>
          <w:tab w:val="left" w:pos="2268"/>
        </w:tabs>
        <w:ind w:left="2268" w:hanging="1021"/>
        <w:rPr>
          <w:rFonts w:eastAsiaTheme="minorEastAsia"/>
          <w:bCs w:val="0"/>
          <w:noProof/>
          <w:lang w:val="en-GB" w:eastAsia="en-GB"/>
        </w:rPr>
      </w:pPr>
      <w:hyperlink w:anchor="_Toc27124752" w:history="1">
        <w:r w:rsidR="00C54FDE" w:rsidRPr="00A7082A">
          <w:rPr>
            <w:rStyle w:val="Hyperlink"/>
            <w:noProof/>
            <w:lang w:val="en-GB"/>
          </w:rPr>
          <w:t>MC-3/11:</w:t>
        </w:r>
        <w:r w:rsidR="00C54FDE" w:rsidRPr="00A7082A">
          <w:rPr>
            <w:rStyle w:val="Hyperlink"/>
            <w:noProof/>
            <w:lang w:val="en-GB"/>
          </w:rPr>
          <w:tab/>
          <w:t xml:space="preserve">Enhanced cooperation between the secretariat of the Minamata Convention and the </w:t>
        </w:r>
        <w:r w:rsidR="00851014" w:rsidRPr="00A7082A">
          <w:rPr>
            <w:rStyle w:val="Hyperlink"/>
            <w:noProof/>
            <w:lang w:val="en-GB"/>
          </w:rPr>
          <w:t>secretariat</w:t>
        </w:r>
        <w:r w:rsidR="00C54FDE" w:rsidRPr="00A7082A">
          <w:rPr>
            <w:rStyle w:val="Hyperlink"/>
            <w:noProof/>
            <w:lang w:val="en-GB"/>
          </w:rPr>
          <w:t xml:space="preserve"> of the Basel, Rotterdam and Stockholm </w:t>
        </w:r>
        <w:r w:rsidR="0012067A" w:rsidRPr="00A7082A">
          <w:rPr>
            <w:rStyle w:val="Hyperlink"/>
            <w:noProof/>
            <w:lang w:val="en-GB"/>
          </w:rPr>
          <w:t>C</w:t>
        </w:r>
        <w:r w:rsidR="00C54FDE" w:rsidRPr="00A7082A">
          <w:rPr>
            <w:rStyle w:val="Hyperlink"/>
            <w:noProof/>
            <w:lang w:val="en-GB"/>
          </w:rPr>
          <w:t>onventions</w:t>
        </w:r>
        <w:r w:rsidR="00C54FDE" w:rsidRPr="00A7082A">
          <w:rPr>
            <w:noProof/>
            <w:webHidden/>
            <w:lang w:val="en-GB"/>
          </w:rPr>
          <w:tab/>
        </w:r>
        <w:r w:rsidR="00C54FDE" w:rsidRPr="00A7082A">
          <w:rPr>
            <w:noProof/>
            <w:webHidden/>
            <w:lang w:val="en-GB"/>
          </w:rPr>
          <w:fldChar w:fldCharType="begin"/>
        </w:r>
        <w:r w:rsidR="00C54FDE" w:rsidRPr="00A7082A">
          <w:rPr>
            <w:noProof/>
            <w:webHidden/>
            <w:lang w:val="en-GB"/>
          </w:rPr>
          <w:instrText xml:space="preserve"> PAGEREF _Toc27124752 \h </w:instrText>
        </w:r>
        <w:r w:rsidR="00C54FDE" w:rsidRPr="00A7082A">
          <w:rPr>
            <w:noProof/>
            <w:webHidden/>
            <w:lang w:val="en-GB"/>
          </w:rPr>
        </w:r>
        <w:r w:rsidR="00C54FDE" w:rsidRPr="00A7082A">
          <w:rPr>
            <w:noProof/>
            <w:webHidden/>
            <w:lang w:val="en-GB"/>
          </w:rPr>
          <w:fldChar w:fldCharType="separate"/>
        </w:r>
        <w:r w:rsidR="006258C9">
          <w:rPr>
            <w:noProof/>
            <w:webHidden/>
            <w:lang w:val="en-GB"/>
          </w:rPr>
          <w:t>58</w:t>
        </w:r>
        <w:r w:rsidR="00C54FDE" w:rsidRPr="00A7082A">
          <w:rPr>
            <w:noProof/>
            <w:webHidden/>
            <w:lang w:val="en-GB"/>
          </w:rPr>
          <w:fldChar w:fldCharType="end"/>
        </w:r>
      </w:hyperlink>
    </w:p>
    <w:p w14:paraId="0F1EE5BA" w14:textId="36C28061" w:rsidR="00C54FDE" w:rsidRPr="00A7082A" w:rsidRDefault="00A138A1" w:rsidP="00C54FDE">
      <w:pPr>
        <w:pStyle w:val="TOC1"/>
        <w:tabs>
          <w:tab w:val="clear" w:pos="1814"/>
          <w:tab w:val="left" w:pos="2268"/>
        </w:tabs>
        <w:ind w:left="2268" w:hanging="1021"/>
        <w:rPr>
          <w:rFonts w:eastAsiaTheme="minorEastAsia"/>
          <w:bCs w:val="0"/>
          <w:noProof/>
          <w:lang w:val="en-GB" w:eastAsia="en-GB"/>
        </w:rPr>
      </w:pPr>
      <w:hyperlink w:anchor="_Toc27124753" w:history="1">
        <w:r w:rsidR="00C54FDE" w:rsidRPr="00A7082A">
          <w:rPr>
            <w:rStyle w:val="Hyperlink"/>
            <w:noProof/>
            <w:lang w:val="en-GB"/>
          </w:rPr>
          <w:t>MC-3/12:</w:t>
        </w:r>
        <w:r w:rsidR="00C54FDE" w:rsidRPr="00A7082A">
          <w:rPr>
            <w:rStyle w:val="Hyperlink"/>
            <w:noProof/>
            <w:lang w:val="en-GB"/>
          </w:rPr>
          <w:tab/>
          <w:t>Programme of work and budget for the biennium 2020–2021</w:t>
        </w:r>
        <w:r w:rsidR="00C54FDE" w:rsidRPr="00A7082A">
          <w:rPr>
            <w:noProof/>
            <w:webHidden/>
            <w:lang w:val="en-GB"/>
          </w:rPr>
          <w:tab/>
        </w:r>
        <w:r w:rsidR="00C54FDE" w:rsidRPr="00A7082A">
          <w:rPr>
            <w:noProof/>
            <w:webHidden/>
            <w:lang w:val="en-GB"/>
          </w:rPr>
          <w:fldChar w:fldCharType="begin"/>
        </w:r>
        <w:r w:rsidR="00C54FDE" w:rsidRPr="00A7082A">
          <w:rPr>
            <w:noProof/>
            <w:webHidden/>
            <w:lang w:val="en-GB"/>
          </w:rPr>
          <w:instrText xml:space="preserve"> PAGEREF _Toc27124753 \h </w:instrText>
        </w:r>
        <w:r w:rsidR="00C54FDE" w:rsidRPr="00A7082A">
          <w:rPr>
            <w:noProof/>
            <w:webHidden/>
            <w:lang w:val="en-GB"/>
          </w:rPr>
        </w:r>
        <w:r w:rsidR="00C54FDE" w:rsidRPr="00A7082A">
          <w:rPr>
            <w:noProof/>
            <w:webHidden/>
            <w:lang w:val="en-GB"/>
          </w:rPr>
          <w:fldChar w:fldCharType="separate"/>
        </w:r>
        <w:r w:rsidR="006258C9">
          <w:rPr>
            <w:noProof/>
            <w:webHidden/>
            <w:lang w:val="en-GB"/>
          </w:rPr>
          <w:t>60</w:t>
        </w:r>
        <w:r w:rsidR="00C54FDE" w:rsidRPr="00A7082A">
          <w:rPr>
            <w:noProof/>
            <w:webHidden/>
            <w:lang w:val="en-GB"/>
          </w:rPr>
          <w:fldChar w:fldCharType="end"/>
        </w:r>
      </w:hyperlink>
    </w:p>
    <w:p w14:paraId="2F5FBDC1" w14:textId="1AEB7373" w:rsidR="00C54FDE" w:rsidRPr="00A7082A" w:rsidRDefault="00A138A1" w:rsidP="00C54FDE">
      <w:pPr>
        <w:pStyle w:val="TOC1"/>
        <w:tabs>
          <w:tab w:val="clear" w:pos="1814"/>
          <w:tab w:val="left" w:pos="2268"/>
          <w:tab w:val="left" w:pos="2381"/>
        </w:tabs>
        <w:ind w:left="2268" w:hanging="1021"/>
        <w:rPr>
          <w:rFonts w:eastAsiaTheme="minorEastAsia"/>
          <w:bCs w:val="0"/>
          <w:noProof/>
          <w:lang w:val="en-GB" w:eastAsia="en-GB"/>
        </w:rPr>
      </w:pPr>
      <w:hyperlink w:anchor="_Toc27124754" w:history="1">
        <w:r w:rsidR="00C54FDE" w:rsidRPr="00A7082A">
          <w:rPr>
            <w:rStyle w:val="Hyperlink"/>
            <w:noProof/>
            <w:lang w:val="en-GB"/>
          </w:rPr>
          <w:t xml:space="preserve">MC-3/13: </w:t>
        </w:r>
        <w:r w:rsidR="00C54FDE" w:rsidRPr="00A7082A">
          <w:rPr>
            <w:rFonts w:asciiTheme="minorHAnsi" w:eastAsiaTheme="minorEastAsia" w:hAnsiTheme="minorHAnsi" w:cstheme="minorBidi"/>
            <w:bCs w:val="0"/>
            <w:noProof/>
            <w:sz w:val="22"/>
            <w:szCs w:val="22"/>
            <w:lang w:val="en-GB" w:eastAsia="en-GB"/>
          </w:rPr>
          <w:tab/>
        </w:r>
        <w:r w:rsidR="00C54FDE" w:rsidRPr="00A7082A">
          <w:rPr>
            <w:rStyle w:val="Hyperlink"/>
            <w:noProof/>
            <w:lang w:val="en-GB"/>
          </w:rPr>
          <w:t xml:space="preserve">Guidance for </w:t>
        </w:r>
        <w:r w:rsidR="0012067A" w:rsidRPr="00A7082A">
          <w:rPr>
            <w:rStyle w:val="Hyperlink"/>
            <w:noProof/>
            <w:lang w:val="en-GB"/>
          </w:rPr>
          <w:t>c</w:t>
        </w:r>
        <w:r w:rsidR="00C54FDE" w:rsidRPr="00A7082A">
          <w:rPr>
            <w:rStyle w:val="Hyperlink"/>
            <w:noProof/>
            <w:lang w:val="en-GB"/>
          </w:rPr>
          <w:t xml:space="preserve">ompleting the </w:t>
        </w:r>
        <w:r w:rsidR="0012067A" w:rsidRPr="00A7082A">
          <w:rPr>
            <w:rStyle w:val="Hyperlink"/>
            <w:noProof/>
            <w:lang w:val="en-GB"/>
          </w:rPr>
          <w:t>n</w:t>
        </w:r>
        <w:r w:rsidR="00C54FDE" w:rsidRPr="00A7082A">
          <w:rPr>
            <w:rStyle w:val="Hyperlink"/>
            <w:noProof/>
            <w:lang w:val="en-GB"/>
          </w:rPr>
          <w:t xml:space="preserve">ational </w:t>
        </w:r>
        <w:r w:rsidR="0012067A" w:rsidRPr="00A7082A">
          <w:rPr>
            <w:rStyle w:val="Hyperlink"/>
            <w:noProof/>
            <w:lang w:val="en-GB"/>
          </w:rPr>
          <w:t>r</w:t>
        </w:r>
        <w:r w:rsidR="00C54FDE" w:rsidRPr="00A7082A">
          <w:rPr>
            <w:rStyle w:val="Hyperlink"/>
            <w:noProof/>
            <w:lang w:val="en-GB"/>
          </w:rPr>
          <w:t xml:space="preserve">eporting </w:t>
        </w:r>
        <w:r w:rsidR="0012067A" w:rsidRPr="00A7082A">
          <w:rPr>
            <w:rStyle w:val="Hyperlink"/>
            <w:noProof/>
            <w:lang w:val="en-GB"/>
          </w:rPr>
          <w:t>f</w:t>
        </w:r>
        <w:r w:rsidR="00C54FDE" w:rsidRPr="00A7082A">
          <w:rPr>
            <w:rStyle w:val="Hyperlink"/>
            <w:noProof/>
            <w:lang w:val="en-GB"/>
          </w:rPr>
          <w:t>ormat</w:t>
        </w:r>
        <w:r w:rsidR="00C54FDE" w:rsidRPr="00A7082A">
          <w:rPr>
            <w:noProof/>
            <w:webHidden/>
            <w:lang w:val="en-GB"/>
          </w:rPr>
          <w:tab/>
        </w:r>
        <w:r w:rsidR="00C54FDE" w:rsidRPr="00A7082A">
          <w:rPr>
            <w:noProof/>
            <w:webHidden/>
            <w:lang w:val="en-GB"/>
          </w:rPr>
          <w:fldChar w:fldCharType="begin"/>
        </w:r>
        <w:r w:rsidR="00C54FDE" w:rsidRPr="00A7082A">
          <w:rPr>
            <w:noProof/>
            <w:webHidden/>
            <w:lang w:val="en-GB"/>
          </w:rPr>
          <w:instrText xml:space="preserve"> PAGEREF _Toc27124754 \h </w:instrText>
        </w:r>
        <w:r w:rsidR="00C54FDE" w:rsidRPr="00A7082A">
          <w:rPr>
            <w:noProof/>
            <w:webHidden/>
            <w:lang w:val="en-GB"/>
          </w:rPr>
        </w:r>
        <w:r w:rsidR="00C54FDE" w:rsidRPr="00A7082A">
          <w:rPr>
            <w:noProof/>
            <w:webHidden/>
            <w:lang w:val="en-GB"/>
          </w:rPr>
          <w:fldChar w:fldCharType="separate"/>
        </w:r>
        <w:r w:rsidR="006258C9">
          <w:rPr>
            <w:noProof/>
            <w:webHidden/>
            <w:lang w:val="en-GB"/>
          </w:rPr>
          <w:t>68</w:t>
        </w:r>
        <w:r w:rsidR="00C54FDE" w:rsidRPr="00A7082A">
          <w:rPr>
            <w:noProof/>
            <w:webHidden/>
            <w:lang w:val="en-GB"/>
          </w:rPr>
          <w:fldChar w:fldCharType="end"/>
        </w:r>
      </w:hyperlink>
    </w:p>
    <w:p w14:paraId="047F3FB8" w14:textId="3CD2D98C" w:rsidR="00C54FDE" w:rsidRPr="00A7082A" w:rsidRDefault="00C54FDE" w:rsidP="00C54FDE">
      <w:pPr>
        <w:pStyle w:val="Normal-pool"/>
      </w:pPr>
      <w:r w:rsidRPr="00A7082A">
        <w:fldChar w:fldCharType="end"/>
      </w:r>
    </w:p>
    <w:p w14:paraId="55AA1BF3" w14:textId="1565FBF2" w:rsidR="00CB2628" w:rsidRPr="00A7082A" w:rsidRDefault="00CB2628" w:rsidP="00C54FDE">
      <w:pPr>
        <w:pStyle w:val="Normal-pool"/>
      </w:pPr>
      <w:r w:rsidRPr="00A7082A">
        <w:br w:type="page"/>
      </w:r>
    </w:p>
    <w:p w14:paraId="4843C3FC" w14:textId="4CC91253" w:rsidR="003F4DA7" w:rsidRPr="00A7082A" w:rsidRDefault="00CB2628" w:rsidP="009557F8">
      <w:pPr>
        <w:pStyle w:val="CH1"/>
      </w:pPr>
      <w:r w:rsidRPr="00A7082A">
        <w:rPr>
          <w:bCs/>
        </w:rPr>
        <w:lastRenderedPageBreak/>
        <w:tab/>
      </w:r>
      <w:r w:rsidRPr="00A7082A">
        <w:rPr>
          <w:bCs/>
        </w:rPr>
        <w:tab/>
      </w:r>
      <w:bookmarkStart w:id="42" w:name="_Hlk38282710"/>
      <w:bookmarkStart w:id="43" w:name="_Toc27124741"/>
      <w:r w:rsidR="003F4DA7" w:rsidRPr="00A7082A">
        <w:rPr>
          <w:bCs/>
        </w:rPr>
        <w:t>MC-3/1</w:t>
      </w:r>
      <w:r w:rsidR="003F4DA7" w:rsidRPr="00A7082A">
        <w:t xml:space="preserve">: </w:t>
      </w:r>
      <w:bookmarkEnd w:id="42"/>
      <w:r w:rsidR="003F4DA7" w:rsidRPr="00A7082A">
        <w:t>Review of annexes A and B</w:t>
      </w:r>
      <w:bookmarkEnd w:id="43"/>
    </w:p>
    <w:p w14:paraId="6AC274D5" w14:textId="77777777" w:rsidR="003F4DA7" w:rsidRPr="00A7082A" w:rsidRDefault="003F4DA7" w:rsidP="003F4DA7">
      <w:pPr>
        <w:tabs>
          <w:tab w:val="clear" w:pos="1247"/>
          <w:tab w:val="clear" w:pos="1814"/>
          <w:tab w:val="clear" w:pos="2381"/>
          <w:tab w:val="clear" w:pos="2948"/>
          <w:tab w:val="clear" w:pos="3515"/>
          <w:tab w:val="left" w:pos="624"/>
          <w:tab w:val="left" w:pos="4082"/>
        </w:tabs>
        <w:spacing w:after="120"/>
        <w:ind w:left="1247" w:firstLine="624"/>
        <w:rPr>
          <w:i/>
          <w:iCs/>
        </w:rPr>
      </w:pPr>
      <w:r w:rsidRPr="00A7082A">
        <w:rPr>
          <w:i/>
          <w:iCs/>
        </w:rPr>
        <w:t>The Conference of the Parties</w:t>
      </w:r>
    </w:p>
    <w:p w14:paraId="41090ADC" w14:textId="5811E4A6" w:rsidR="003F4DA7" w:rsidRPr="00A7082A" w:rsidRDefault="003F4DA7" w:rsidP="003F4DA7">
      <w:pPr>
        <w:numPr>
          <w:ilvl w:val="0"/>
          <w:numId w:val="26"/>
        </w:numPr>
        <w:tabs>
          <w:tab w:val="clear" w:pos="1247"/>
          <w:tab w:val="clear" w:pos="1814"/>
          <w:tab w:val="clear" w:pos="2381"/>
          <w:tab w:val="clear" w:pos="2948"/>
          <w:tab w:val="clear" w:pos="3515"/>
          <w:tab w:val="left" w:pos="624"/>
        </w:tabs>
        <w:spacing w:after="120"/>
        <w:ind w:left="1247" w:firstLine="624"/>
      </w:pPr>
      <w:r w:rsidRPr="00A7082A">
        <w:rPr>
          <w:i/>
          <w:iCs/>
        </w:rPr>
        <w:t>Decides</w:t>
      </w:r>
      <w:r w:rsidRPr="00A7082A">
        <w:t xml:space="preserve"> to establish an </w:t>
      </w:r>
      <w:r w:rsidR="0026572F" w:rsidRPr="00A7082A">
        <w:t>ad hoc</w:t>
      </w:r>
      <w:r w:rsidRPr="00A7082A">
        <w:t xml:space="preserve"> group of experts with terms of reference as set out in the annex to the present decision;</w:t>
      </w:r>
    </w:p>
    <w:p w14:paraId="12F280F4" w14:textId="494BDFC2" w:rsidR="003F4DA7" w:rsidRPr="00A7082A" w:rsidRDefault="003F4DA7" w:rsidP="003F4DA7">
      <w:pPr>
        <w:numPr>
          <w:ilvl w:val="0"/>
          <w:numId w:val="26"/>
        </w:numPr>
        <w:tabs>
          <w:tab w:val="clear" w:pos="1247"/>
          <w:tab w:val="clear" w:pos="1814"/>
          <w:tab w:val="clear" w:pos="2381"/>
          <w:tab w:val="clear" w:pos="2948"/>
          <w:tab w:val="clear" w:pos="3515"/>
          <w:tab w:val="left" w:pos="624"/>
        </w:tabs>
        <w:spacing w:after="120"/>
        <w:ind w:left="1247" w:firstLine="624"/>
      </w:pPr>
      <w:r w:rsidRPr="00A7082A">
        <w:rPr>
          <w:i/>
          <w:iCs/>
        </w:rPr>
        <w:t xml:space="preserve">Requests </w:t>
      </w:r>
      <w:r w:rsidRPr="00A7082A">
        <w:t>the secretariat to call for submissions from parties by 31 March 2020, including:</w:t>
      </w:r>
    </w:p>
    <w:p w14:paraId="7C49BABF" w14:textId="77777777" w:rsidR="003F4DA7" w:rsidRPr="00A7082A" w:rsidRDefault="003F4DA7" w:rsidP="003F4DA7">
      <w:pPr>
        <w:numPr>
          <w:ilvl w:val="1"/>
          <w:numId w:val="27"/>
        </w:numPr>
        <w:tabs>
          <w:tab w:val="clear" w:pos="1247"/>
          <w:tab w:val="clear" w:pos="1814"/>
          <w:tab w:val="clear" w:pos="2381"/>
          <w:tab w:val="clear" w:pos="2948"/>
          <w:tab w:val="clear" w:pos="3515"/>
          <w:tab w:val="left" w:pos="624"/>
        </w:tabs>
        <w:spacing w:after="120"/>
        <w:ind w:left="1247" w:firstLine="624"/>
      </w:pPr>
      <w:r w:rsidRPr="00A7082A">
        <w:t>Information on mercury-added products and on the availability, technical and economic feasibility, and environmental and health risks and benefits of non-mercury alternatives to mercury-added products, pursuant to paragraph 4 of article 4 of the Convention;</w:t>
      </w:r>
    </w:p>
    <w:p w14:paraId="338E34BD" w14:textId="77777777" w:rsidR="003F4DA7" w:rsidRPr="00A7082A" w:rsidRDefault="003F4DA7" w:rsidP="003F4DA7">
      <w:pPr>
        <w:numPr>
          <w:ilvl w:val="1"/>
          <w:numId w:val="27"/>
        </w:numPr>
        <w:tabs>
          <w:tab w:val="clear" w:pos="1247"/>
          <w:tab w:val="clear" w:pos="1814"/>
          <w:tab w:val="clear" w:pos="2381"/>
          <w:tab w:val="clear" w:pos="2948"/>
          <w:tab w:val="clear" w:pos="3515"/>
          <w:tab w:val="left" w:pos="624"/>
        </w:tabs>
        <w:spacing w:after="120"/>
        <w:ind w:left="1247" w:firstLine="624"/>
        <w:rPr>
          <w:i/>
          <w:iCs/>
        </w:rPr>
      </w:pPr>
      <w:r w:rsidRPr="00A7082A">
        <w:t>Information on processes that use mercury or mercury compounds and on the availability, technical and economic feasibility and environmental and health risks and benefits of mercury-free alternatives to manufacturing processes in which mercury or mercury compounds are used, pursuant to paragraph 4 of article 5;</w:t>
      </w:r>
    </w:p>
    <w:p w14:paraId="7189FA2B" w14:textId="4C3A3BD1" w:rsidR="003F4DA7" w:rsidRPr="00A7082A" w:rsidRDefault="00AD29EE" w:rsidP="003F4DA7">
      <w:pPr>
        <w:numPr>
          <w:ilvl w:val="0"/>
          <w:numId w:val="26"/>
        </w:numPr>
        <w:tabs>
          <w:tab w:val="clear" w:pos="1247"/>
          <w:tab w:val="clear" w:pos="1814"/>
          <w:tab w:val="clear" w:pos="2381"/>
          <w:tab w:val="clear" w:pos="2948"/>
          <w:tab w:val="clear" w:pos="3515"/>
          <w:tab w:val="left" w:pos="624"/>
        </w:tabs>
        <w:spacing w:after="120"/>
        <w:ind w:left="1247" w:firstLine="624"/>
      </w:pPr>
      <w:r w:rsidRPr="00A7082A">
        <w:rPr>
          <w:i/>
          <w:iCs/>
        </w:rPr>
        <w:t>Also r</w:t>
      </w:r>
      <w:r w:rsidR="003F4DA7" w:rsidRPr="00A7082A">
        <w:rPr>
          <w:i/>
          <w:iCs/>
        </w:rPr>
        <w:t>equests</w:t>
      </w:r>
      <w:r w:rsidR="003F4DA7" w:rsidRPr="00A7082A">
        <w:t xml:space="preserve"> the secretariat to make the submissions received publicly available and to invite non-parties and others to provide, by 30 April 2020, further information on the uses of mercury and on non-mercury alternatives referred to in the submissions;</w:t>
      </w:r>
    </w:p>
    <w:p w14:paraId="554F36B6" w14:textId="43B68BA2" w:rsidR="003F4DA7" w:rsidRPr="00A7082A" w:rsidRDefault="00AD29EE" w:rsidP="003F4DA7">
      <w:pPr>
        <w:numPr>
          <w:ilvl w:val="0"/>
          <w:numId w:val="26"/>
        </w:numPr>
        <w:tabs>
          <w:tab w:val="clear" w:pos="1247"/>
          <w:tab w:val="clear" w:pos="1814"/>
          <w:tab w:val="clear" w:pos="2381"/>
          <w:tab w:val="clear" w:pos="2948"/>
          <w:tab w:val="clear" w:pos="3515"/>
          <w:tab w:val="left" w:pos="624"/>
        </w:tabs>
        <w:spacing w:after="120"/>
        <w:ind w:left="1247" w:firstLine="624"/>
      </w:pPr>
      <w:r w:rsidRPr="00A7082A">
        <w:rPr>
          <w:i/>
          <w:iCs/>
        </w:rPr>
        <w:t>Further r</w:t>
      </w:r>
      <w:r w:rsidR="003F4DA7" w:rsidRPr="00A7082A">
        <w:rPr>
          <w:i/>
          <w:iCs/>
        </w:rPr>
        <w:t xml:space="preserve">equests </w:t>
      </w:r>
      <w:r w:rsidR="003F4DA7" w:rsidRPr="00A7082A">
        <w:t>the secretariat</w:t>
      </w:r>
      <w:r w:rsidR="003F4DA7" w:rsidRPr="00A7082A">
        <w:rPr>
          <w:i/>
          <w:iCs/>
        </w:rPr>
        <w:t xml:space="preserve"> </w:t>
      </w:r>
      <w:r w:rsidR="003F4DA7" w:rsidRPr="00A7082A">
        <w:t xml:space="preserve">to provide </w:t>
      </w:r>
      <w:r w:rsidR="00AA2E51" w:rsidRPr="00A7082A">
        <w:t xml:space="preserve">to the </w:t>
      </w:r>
      <w:r w:rsidR="0026572F" w:rsidRPr="00A7082A">
        <w:t>ad hoc</w:t>
      </w:r>
      <w:r w:rsidR="00AA2E51" w:rsidRPr="00A7082A">
        <w:t xml:space="preserve"> group of experts </w:t>
      </w:r>
      <w:r w:rsidR="003F4DA7" w:rsidRPr="00A7082A">
        <w:t xml:space="preserve">a compilation of the submissions and information received pursuant to paragraphs 2 and 3 of the present decision and to convene </w:t>
      </w:r>
      <w:r w:rsidR="00870215" w:rsidRPr="00A7082A">
        <w:t xml:space="preserve">a meeting of </w:t>
      </w:r>
      <w:r w:rsidR="003F4DA7" w:rsidRPr="00A7082A">
        <w:t>the group</w:t>
      </w:r>
      <w:r w:rsidR="00AA2E51" w:rsidRPr="00A7082A">
        <w:t>,</w:t>
      </w:r>
      <w:r w:rsidR="003F4DA7" w:rsidRPr="00A7082A">
        <w:t xml:space="preserve"> </w:t>
      </w:r>
      <w:r w:rsidR="00870215" w:rsidRPr="00A7082A">
        <w:t xml:space="preserve">by </w:t>
      </w:r>
      <w:r w:rsidR="003F4DA7" w:rsidRPr="00A7082A">
        <w:t xml:space="preserve">no later than </w:t>
      </w:r>
      <w:r w:rsidR="00AD1D7F" w:rsidRPr="00A7082A">
        <w:t>30</w:t>
      </w:r>
      <w:r w:rsidR="003F4DA7" w:rsidRPr="00A7082A">
        <w:t xml:space="preserve"> June 2020. The </w:t>
      </w:r>
      <w:r w:rsidR="0026572F" w:rsidRPr="00A7082A">
        <w:t>ad hoc</w:t>
      </w:r>
      <w:r w:rsidR="003F4DA7" w:rsidRPr="00A7082A">
        <w:t xml:space="preserve"> group of experts </w:t>
      </w:r>
      <w:r w:rsidR="00870215" w:rsidRPr="00A7082A">
        <w:t xml:space="preserve">is to </w:t>
      </w:r>
      <w:r w:rsidR="003F4DA7" w:rsidRPr="00A7082A">
        <w:t>prepare a document in which it will enrich and organize the information received for each use covered by the submissions from parties, taking into account further information available to the experts</w:t>
      </w:r>
      <w:r w:rsidR="00870215" w:rsidRPr="00A7082A">
        <w:t>, and in which it</w:t>
      </w:r>
      <w:r w:rsidR="003F4DA7" w:rsidRPr="00A7082A">
        <w:t xml:space="preserve"> will clearly identify the sources of </w:t>
      </w:r>
      <w:r w:rsidR="00AA2E51" w:rsidRPr="00A7082A">
        <w:t>its</w:t>
      </w:r>
      <w:r w:rsidR="003F4DA7" w:rsidRPr="00A7082A">
        <w:t xml:space="preserve"> information; </w:t>
      </w:r>
    </w:p>
    <w:p w14:paraId="5AF2BDF4" w14:textId="4047C597" w:rsidR="003F4DA7" w:rsidRPr="00A7082A" w:rsidRDefault="003F4DA7" w:rsidP="003F4DA7">
      <w:pPr>
        <w:numPr>
          <w:ilvl w:val="0"/>
          <w:numId w:val="26"/>
        </w:numPr>
        <w:tabs>
          <w:tab w:val="clear" w:pos="1247"/>
          <w:tab w:val="clear" w:pos="1814"/>
          <w:tab w:val="clear" w:pos="2381"/>
          <w:tab w:val="clear" w:pos="2948"/>
          <w:tab w:val="clear" w:pos="3515"/>
          <w:tab w:val="left" w:pos="624"/>
        </w:tabs>
        <w:spacing w:after="120"/>
        <w:ind w:left="1247" w:firstLine="624"/>
        <w:rPr>
          <w:bCs/>
        </w:rPr>
      </w:pPr>
      <w:r w:rsidRPr="00A7082A">
        <w:rPr>
          <w:i/>
          <w:iCs/>
        </w:rPr>
        <w:t>Requests</w:t>
      </w:r>
      <w:r w:rsidRPr="00A7082A">
        <w:t xml:space="preserve"> the secretariat to make available, by </w:t>
      </w:r>
      <w:r w:rsidR="00AD1D7F" w:rsidRPr="00A7082A">
        <w:t>3</w:t>
      </w:r>
      <w:r w:rsidRPr="00A7082A">
        <w:t>1 August 2020, to the parties that submitted information pursuant to paragraph 2 of the present decision</w:t>
      </w:r>
      <w:r w:rsidR="00AA2E51" w:rsidRPr="00A7082A">
        <w:t>,</w:t>
      </w:r>
      <w:r w:rsidRPr="00A7082A">
        <w:t xml:space="preserve"> the information received pursuant to paragraph 4 of the present decision;</w:t>
      </w:r>
    </w:p>
    <w:p w14:paraId="2D6E31AD" w14:textId="7D2CBD8E" w:rsidR="003F4DA7" w:rsidRPr="00A7082A" w:rsidRDefault="00AD29EE" w:rsidP="003F4DA7">
      <w:pPr>
        <w:numPr>
          <w:ilvl w:val="0"/>
          <w:numId w:val="26"/>
        </w:numPr>
        <w:tabs>
          <w:tab w:val="clear" w:pos="1247"/>
          <w:tab w:val="clear" w:pos="1814"/>
          <w:tab w:val="clear" w:pos="2381"/>
          <w:tab w:val="clear" w:pos="2948"/>
          <w:tab w:val="clear" w:pos="3515"/>
          <w:tab w:val="left" w:pos="624"/>
        </w:tabs>
        <w:spacing w:after="120"/>
        <w:ind w:left="1247" w:firstLine="624"/>
        <w:rPr>
          <w:bCs/>
        </w:rPr>
      </w:pPr>
      <w:r w:rsidRPr="00A7082A">
        <w:rPr>
          <w:i/>
          <w:iCs/>
        </w:rPr>
        <w:t>Also r</w:t>
      </w:r>
      <w:r w:rsidR="003F4DA7" w:rsidRPr="00A7082A">
        <w:rPr>
          <w:i/>
          <w:iCs/>
        </w:rPr>
        <w:t>equests</w:t>
      </w:r>
      <w:r w:rsidR="003F4DA7" w:rsidRPr="00A7082A">
        <w:t xml:space="preserve"> the secretariat to invite </w:t>
      </w:r>
      <w:r w:rsidR="00160397" w:rsidRPr="00A7082A">
        <w:t xml:space="preserve">those </w:t>
      </w:r>
      <w:r w:rsidR="00AA2E51" w:rsidRPr="00A7082A">
        <w:t xml:space="preserve">parties to submit </w:t>
      </w:r>
      <w:r w:rsidR="003F4DA7" w:rsidRPr="00A7082A">
        <w:t xml:space="preserve">any revised </w:t>
      </w:r>
      <w:r w:rsidR="00AA2E51" w:rsidRPr="00A7082A">
        <w:t>information</w:t>
      </w:r>
      <w:r w:rsidR="003F4DA7" w:rsidRPr="00A7082A">
        <w:t xml:space="preserve"> by </w:t>
      </w:r>
      <w:r w:rsidR="00AD1D7F" w:rsidRPr="00A7082A">
        <w:t>30</w:t>
      </w:r>
      <w:r w:rsidR="003F4DA7" w:rsidRPr="00A7082A">
        <w:t> November 2020;</w:t>
      </w:r>
    </w:p>
    <w:p w14:paraId="7774933C" w14:textId="279EA39E" w:rsidR="003F4DA7" w:rsidRPr="00A7082A" w:rsidRDefault="00AD29EE" w:rsidP="003F4DA7">
      <w:pPr>
        <w:numPr>
          <w:ilvl w:val="0"/>
          <w:numId w:val="26"/>
        </w:numPr>
        <w:tabs>
          <w:tab w:val="clear" w:pos="1247"/>
          <w:tab w:val="clear" w:pos="1814"/>
          <w:tab w:val="clear" w:pos="2381"/>
          <w:tab w:val="clear" w:pos="2948"/>
          <w:tab w:val="clear" w:pos="3515"/>
          <w:tab w:val="left" w:pos="624"/>
        </w:tabs>
        <w:spacing w:after="120"/>
        <w:ind w:left="1247" w:firstLine="624"/>
      </w:pPr>
      <w:r w:rsidRPr="00A7082A">
        <w:rPr>
          <w:i/>
          <w:iCs/>
        </w:rPr>
        <w:t>Further r</w:t>
      </w:r>
      <w:r w:rsidR="003F4DA7" w:rsidRPr="00A7082A">
        <w:rPr>
          <w:i/>
          <w:iCs/>
        </w:rPr>
        <w:t xml:space="preserve">equests </w:t>
      </w:r>
      <w:r w:rsidR="003F4DA7" w:rsidRPr="00A7082A">
        <w:t xml:space="preserve">the secretariat to make publicly available the submissions </w:t>
      </w:r>
      <w:r w:rsidR="00275DD0" w:rsidRPr="00A7082A">
        <w:t xml:space="preserve">made by </w:t>
      </w:r>
      <w:r w:rsidR="003F4DA7" w:rsidRPr="00A7082A">
        <w:t xml:space="preserve">parties pursuant to paragraph 6 of the present decision, by </w:t>
      </w:r>
      <w:r w:rsidR="00AD1D7F" w:rsidRPr="00A7082A">
        <w:t>3</w:t>
      </w:r>
      <w:r w:rsidR="003F4DA7" w:rsidRPr="00A7082A">
        <w:t>1 December 2020, in accordance with paragraph 4 of article 4 and paragraph 4 of article 5 of the Convention;</w:t>
      </w:r>
    </w:p>
    <w:p w14:paraId="4E415962" w14:textId="5794BEE0" w:rsidR="003F4DA7" w:rsidRPr="00A7082A" w:rsidRDefault="003F4DA7" w:rsidP="003F4DA7">
      <w:pPr>
        <w:numPr>
          <w:ilvl w:val="0"/>
          <w:numId w:val="26"/>
        </w:numPr>
        <w:tabs>
          <w:tab w:val="clear" w:pos="1247"/>
          <w:tab w:val="clear" w:pos="1814"/>
          <w:tab w:val="clear" w:pos="2381"/>
          <w:tab w:val="clear" w:pos="2948"/>
          <w:tab w:val="clear" w:pos="3515"/>
          <w:tab w:val="left" w:pos="624"/>
        </w:tabs>
        <w:spacing w:after="120"/>
        <w:ind w:left="1247" w:firstLine="624"/>
      </w:pPr>
      <w:r w:rsidRPr="00A7082A">
        <w:rPr>
          <w:i/>
        </w:rPr>
        <w:t>Requests</w:t>
      </w:r>
      <w:r w:rsidRPr="00A7082A">
        <w:t xml:space="preserve"> the secretariat to prepare, by 30 April 2021, a report on the work of the </w:t>
      </w:r>
      <w:r w:rsidR="0026572F" w:rsidRPr="00A7082A">
        <w:t>ad hoc</w:t>
      </w:r>
      <w:r w:rsidRPr="00A7082A">
        <w:t xml:space="preserve"> group of experts </w:t>
      </w:r>
      <w:r w:rsidRPr="00A7082A">
        <w:rPr>
          <w:iCs/>
        </w:rPr>
        <w:t>reflecting</w:t>
      </w:r>
      <w:r w:rsidRPr="00A7082A">
        <w:t xml:space="preserve"> its activities, including all </w:t>
      </w:r>
      <w:r w:rsidR="00275DD0" w:rsidRPr="00A7082A">
        <w:t xml:space="preserve">the </w:t>
      </w:r>
      <w:r w:rsidRPr="00A7082A">
        <w:t xml:space="preserve">information gathered from the group, parties and others, for presentation at the fourth meeting of the Conference of the Parties; </w:t>
      </w:r>
    </w:p>
    <w:p w14:paraId="3C0EF6B8" w14:textId="77777777" w:rsidR="003F4DA7" w:rsidRPr="00A7082A" w:rsidRDefault="003F4DA7" w:rsidP="003F4DA7">
      <w:pPr>
        <w:numPr>
          <w:ilvl w:val="0"/>
          <w:numId w:val="26"/>
        </w:numPr>
        <w:tabs>
          <w:tab w:val="clear" w:pos="1247"/>
          <w:tab w:val="clear" w:pos="1814"/>
          <w:tab w:val="clear" w:pos="2381"/>
          <w:tab w:val="clear" w:pos="2948"/>
          <w:tab w:val="clear" w:pos="3515"/>
          <w:tab w:val="left" w:pos="624"/>
        </w:tabs>
        <w:spacing w:after="120"/>
        <w:ind w:left="1247" w:firstLine="624"/>
      </w:pPr>
      <w:r w:rsidRPr="00A7082A">
        <w:rPr>
          <w:i/>
          <w:iCs/>
        </w:rPr>
        <w:t>Requests</w:t>
      </w:r>
      <w:r w:rsidRPr="00A7082A">
        <w:t xml:space="preserve"> parties that notified the secretariat at the time of their becoming a party to the Convention that they would implement various measures or strategies to address products listed in part I of annex A to the Convention to report, by 30 June 2020, on the measures or strategies they have implemented, including a quantification of the reductions achieved;</w:t>
      </w:r>
    </w:p>
    <w:p w14:paraId="251BBCD3" w14:textId="7EED3D1E" w:rsidR="003F4DA7" w:rsidRPr="00A7082A" w:rsidRDefault="003F4DA7" w:rsidP="003F4DA7">
      <w:pPr>
        <w:numPr>
          <w:ilvl w:val="0"/>
          <w:numId w:val="26"/>
        </w:numPr>
        <w:tabs>
          <w:tab w:val="clear" w:pos="1247"/>
          <w:tab w:val="clear" w:pos="1814"/>
          <w:tab w:val="clear" w:pos="2381"/>
          <w:tab w:val="clear" w:pos="2948"/>
          <w:tab w:val="clear" w:pos="3515"/>
          <w:tab w:val="left" w:pos="624"/>
        </w:tabs>
        <w:spacing w:after="120"/>
        <w:ind w:left="1247" w:firstLine="624"/>
      </w:pPr>
      <w:r w:rsidRPr="00A7082A">
        <w:rPr>
          <w:i/>
          <w:iCs/>
        </w:rPr>
        <w:t xml:space="preserve">Requests </w:t>
      </w:r>
      <w:r w:rsidRPr="00A7082A">
        <w:t xml:space="preserve">the secretariat to compile the submissions </w:t>
      </w:r>
      <w:r w:rsidR="00275DD0" w:rsidRPr="00A7082A">
        <w:t xml:space="preserve">made by </w:t>
      </w:r>
      <w:r w:rsidRPr="00A7082A">
        <w:t>parties pursuant to paragraph 9 of the present decision for consideration during the effectiveness evaluation with respect to article 4 of the Convention;</w:t>
      </w:r>
    </w:p>
    <w:p w14:paraId="3427A52C" w14:textId="04AEF3A7" w:rsidR="003F4DA7" w:rsidRPr="00A7082A" w:rsidRDefault="00AD29EE" w:rsidP="000E2A2E">
      <w:pPr>
        <w:numPr>
          <w:ilvl w:val="0"/>
          <w:numId w:val="26"/>
        </w:numPr>
        <w:tabs>
          <w:tab w:val="clear" w:pos="1247"/>
          <w:tab w:val="clear" w:pos="1814"/>
          <w:tab w:val="clear" w:pos="2381"/>
          <w:tab w:val="clear" w:pos="2948"/>
          <w:tab w:val="clear" w:pos="3515"/>
          <w:tab w:val="left" w:pos="624"/>
        </w:tabs>
        <w:spacing w:after="120"/>
        <w:ind w:left="1247" w:firstLine="624"/>
      </w:pPr>
      <w:bookmarkStart w:id="44" w:name="_Hlk15061071"/>
      <w:r w:rsidRPr="00A7082A">
        <w:rPr>
          <w:i/>
        </w:rPr>
        <w:t>Also r</w:t>
      </w:r>
      <w:r w:rsidR="003F4DA7" w:rsidRPr="00A7082A">
        <w:rPr>
          <w:i/>
        </w:rPr>
        <w:t>equests</w:t>
      </w:r>
      <w:r w:rsidR="003F4DA7" w:rsidRPr="00A7082A">
        <w:t xml:space="preserve"> the secretariat to present the compilation of final submissions pursuant to paragraphs 7 and 9 of the present decision </w:t>
      </w:r>
      <w:r w:rsidR="00F22967" w:rsidRPr="00A7082A">
        <w:t>for consideration by the</w:t>
      </w:r>
      <w:r w:rsidR="003F4DA7" w:rsidRPr="00A7082A">
        <w:t xml:space="preserve"> Conference of the Parties at its fourth meeting.</w:t>
      </w:r>
      <w:bookmarkEnd w:id="44"/>
    </w:p>
    <w:p w14:paraId="52EAED45" w14:textId="68196406" w:rsidR="00042EFC" w:rsidRPr="00A7082A" w:rsidRDefault="00042EFC" w:rsidP="00FF73EB">
      <w:pPr>
        <w:pStyle w:val="CH1"/>
      </w:pPr>
      <w:r w:rsidRPr="00A7082A">
        <w:tab/>
      </w:r>
      <w:r w:rsidR="00FF73EB" w:rsidRPr="00A7082A">
        <w:tab/>
      </w:r>
      <w:r w:rsidR="00102557" w:rsidRPr="00A7082A">
        <w:t>Annex to decision MC-3/1</w:t>
      </w:r>
      <w:r w:rsidR="00F55A86" w:rsidRPr="00A7082A">
        <w:t xml:space="preserve"> </w:t>
      </w:r>
    </w:p>
    <w:p w14:paraId="4F34E268" w14:textId="38279705" w:rsidR="009E63BD" w:rsidRPr="00A7082A" w:rsidRDefault="009E63BD" w:rsidP="009E63BD">
      <w:pPr>
        <w:pStyle w:val="CH1"/>
        <w:spacing w:before="200"/>
      </w:pPr>
      <w:r w:rsidRPr="00A7082A">
        <w:tab/>
      </w:r>
      <w:r w:rsidRPr="00A7082A">
        <w:tab/>
        <w:t xml:space="preserve">Terms of reference of the </w:t>
      </w:r>
      <w:r w:rsidR="0026572F" w:rsidRPr="00A7082A">
        <w:t>ad hoc</w:t>
      </w:r>
      <w:r w:rsidRPr="00A7082A">
        <w:t xml:space="preserve"> group of experts</w:t>
      </w:r>
    </w:p>
    <w:p w14:paraId="3ADE8E1E" w14:textId="77777777" w:rsidR="009E63BD" w:rsidRPr="00A7082A" w:rsidRDefault="009E63BD" w:rsidP="009E63BD">
      <w:pPr>
        <w:pStyle w:val="CH1"/>
        <w:spacing w:before="200"/>
      </w:pPr>
      <w:r w:rsidRPr="00A7082A">
        <w:tab/>
        <w:t>I.</w:t>
      </w:r>
      <w:r w:rsidRPr="00A7082A">
        <w:tab/>
        <w:t>Mandate</w:t>
      </w:r>
    </w:p>
    <w:p w14:paraId="06FEE2AE" w14:textId="6CCDA024" w:rsidR="009E63BD" w:rsidRPr="00A7082A" w:rsidRDefault="009E63BD" w:rsidP="009E63BD">
      <w:pPr>
        <w:pStyle w:val="Normal-pool"/>
        <w:numPr>
          <w:ilvl w:val="2"/>
          <w:numId w:val="93"/>
        </w:numPr>
        <w:tabs>
          <w:tab w:val="clear" w:pos="1247"/>
          <w:tab w:val="clear" w:pos="1814"/>
          <w:tab w:val="clear" w:pos="2381"/>
          <w:tab w:val="clear" w:pos="2948"/>
          <w:tab w:val="clear" w:pos="3515"/>
          <w:tab w:val="clear" w:pos="4082"/>
          <w:tab w:val="left" w:pos="624"/>
        </w:tabs>
        <w:spacing w:after="120"/>
        <w:ind w:left="1247" w:firstLine="0"/>
      </w:pPr>
      <w:r w:rsidRPr="00A7082A">
        <w:t xml:space="preserve">The Conference of the Parties to the Minamata Convention on Mercury, at its third meeting, by decision MC-3/1, established an </w:t>
      </w:r>
      <w:r w:rsidR="0026572F" w:rsidRPr="00A7082A">
        <w:t>ad hoc</w:t>
      </w:r>
      <w:r w:rsidRPr="00A7082A">
        <w:t xml:space="preserve"> group of experts to prepare a document in which it will enhance and organize the information for each use submitted by parties in accordance with decision </w:t>
      </w:r>
      <w:r w:rsidRPr="00A7082A">
        <w:lastRenderedPageBreak/>
        <w:t>MC-3/1, taking into account further information available to the experts. The document will clearly identify the sources of the information it contains.</w:t>
      </w:r>
    </w:p>
    <w:p w14:paraId="7B4ACF26" w14:textId="77777777" w:rsidR="009E63BD" w:rsidRPr="00A7082A" w:rsidRDefault="009E63BD" w:rsidP="009E63BD">
      <w:pPr>
        <w:pStyle w:val="CH1"/>
        <w:spacing w:before="200"/>
      </w:pPr>
      <w:r w:rsidRPr="00A7082A">
        <w:tab/>
        <w:t>II.</w:t>
      </w:r>
      <w:r w:rsidRPr="00A7082A">
        <w:tab/>
        <w:t>Membership</w:t>
      </w:r>
    </w:p>
    <w:p w14:paraId="7FF9EFDE" w14:textId="2C6921E4" w:rsidR="009E63BD" w:rsidRPr="00A7082A" w:rsidRDefault="009E63BD" w:rsidP="009E63BD">
      <w:pPr>
        <w:pStyle w:val="Normal-pool"/>
        <w:numPr>
          <w:ilvl w:val="2"/>
          <w:numId w:val="93"/>
        </w:numPr>
        <w:tabs>
          <w:tab w:val="clear" w:pos="1247"/>
          <w:tab w:val="clear" w:pos="1814"/>
          <w:tab w:val="clear" w:pos="2381"/>
          <w:tab w:val="clear" w:pos="2948"/>
          <w:tab w:val="clear" w:pos="3515"/>
          <w:tab w:val="clear" w:pos="4082"/>
          <w:tab w:val="left" w:pos="624"/>
        </w:tabs>
        <w:spacing w:after="120"/>
        <w:ind w:left="1247" w:firstLine="0"/>
      </w:pPr>
      <w:r w:rsidRPr="00A7082A">
        <w:t xml:space="preserve">The </w:t>
      </w:r>
      <w:r w:rsidR="0026572F" w:rsidRPr="00A7082A">
        <w:t>ad hoc</w:t>
      </w:r>
      <w:r w:rsidRPr="00A7082A">
        <w:t xml:space="preserve"> group of experts, which at its first meeting will elect two co-chairs, will comprise experts nominated by parties from the five United Nations regions as follows: four from the African States, four from the Asia-Pacific States, four from the Eastern European States, four from the Latin</w:t>
      </w:r>
      <w:r w:rsidR="009557F8" w:rsidRPr="00A7082A">
        <w:t> </w:t>
      </w:r>
      <w:r w:rsidRPr="00A7082A">
        <w:t xml:space="preserve">American and Caribbean States and four from the Western European and other States. Before its first meeting, the group will invite 10 experts from non-parties and other stakeholders, including relevant organizations, possessing specialized technical knowledge relating to the recommended qualifications described in section III of the present terms of reference, to participate as observers. The </w:t>
      </w:r>
      <w:r w:rsidR="0026572F" w:rsidRPr="00A7082A">
        <w:t>ad hoc</w:t>
      </w:r>
      <w:r w:rsidRPr="00A7082A">
        <w:t xml:space="preserve"> group of experts may also invite input from Governments, intergovernmental organizations, industry and civil society organizations to assist it in its work, as appropriate.</w:t>
      </w:r>
    </w:p>
    <w:p w14:paraId="32741CA6" w14:textId="77777777" w:rsidR="009E63BD" w:rsidRPr="00A7082A" w:rsidRDefault="009E63BD" w:rsidP="009E63BD">
      <w:pPr>
        <w:pStyle w:val="CH1"/>
        <w:spacing w:before="200"/>
      </w:pPr>
      <w:r w:rsidRPr="00A7082A">
        <w:tab/>
        <w:t>III.</w:t>
      </w:r>
      <w:r w:rsidRPr="00A7082A">
        <w:tab/>
        <w:t>Recommended qualifications of members and observers</w:t>
      </w:r>
    </w:p>
    <w:p w14:paraId="2B7BCFAB" w14:textId="0C4B61E1" w:rsidR="009E63BD" w:rsidRPr="00A7082A" w:rsidRDefault="009E63BD" w:rsidP="009E63BD">
      <w:pPr>
        <w:pStyle w:val="Normal-pool"/>
        <w:numPr>
          <w:ilvl w:val="2"/>
          <w:numId w:val="93"/>
        </w:numPr>
        <w:tabs>
          <w:tab w:val="clear" w:pos="1247"/>
          <w:tab w:val="clear" w:pos="1814"/>
          <w:tab w:val="clear" w:pos="2381"/>
          <w:tab w:val="clear" w:pos="2948"/>
          <w:tab w:val="clear" w:pos="3515"/>
          <w:tab w:val="clear" w:pos="4082"/>
          <w:tab w:val="left" w:pos="624"/>
        </w:tabs>
        <w:spacing w:after="120"/>
        <w:ind w:left="1247" w:firstLine="0"/>
      </w:pPr>
      <w:r w:rsidRPr="00A7082A">
        <w:t xml:space="preserve">Members and observers of the </w:t>
      </w:r>
      <w:r w:rsidR="0026572F" w:rsidRPr="00A7082A">
        <w:t>ad hoc</w:t>
      </w:r>
      <w:r w:rsidRPr="00A7082A">
        <w:t xml:space="preserve"> group of experts should have expertise in at least one of the following areas:</w:t>
      </w:r>
    </w:p>
    <w:p w14:paraId="47DA91E9" w14:textId="77777777" w:rsidR="009E63BD" w:rsidRPr="00A7082A" w:rsidRDefault="009E63BD" w:rsidP="0077441D">
      <w:pPr>
        <w:pStyle w:val="Normal-pool"/>
        <w:numPr>
          <w:ilvl w:val="0"/>
          <w:numId w:val="94"/>
        </w:numPr>
        <w:tabs>
          <w:tab w:val="clear" w:pos="1247"/>
          <w:tab w:val="clear" w:pos="1814"/>
          <w:tab w:val="clear" w:pos="2381"/>
          <w:tab w:val="clear" w:pos="2948"/>
          <w:tab w:val="clear" w:pos="3515"/>
          <w:tab w:val="clear" w:pos="4082"/>
          <w:tab w:val="left" w:pos="624"/>
        </w:tabs>
        <w:spacing w:after="120"/>
        <w:ind w:left="1247" w:firstLine="624"/>
      </w:pPr>
      <w:r w:rsidRPr="00A7082A">
        <w:t xml:space="preserve">Mercury-added products; </w:t>
      </w:r>
    </w:p>
    <w:p w14:paraId="271C79BA" w14:textId="77777777" w:rsidR="009E63BD" w:rsidRPr="00A7082A" w:rsidRDefault="009E63BD" w:rsidP="003C6916">
      <w:pPr>
        <w:pStyle w:val="Normal-pool"/>
        <w:numPr>
          <w:ilvl w:val="0"/>
          <w:numId w:val="94"/>
        </w:numPr>
        <w:tabs>
          <w:tab w:val="clear" w:pos="1247"/>
          <w:tab w:val="clear" w:pos="1814"/>
          <w:tab w:val="clear" w:pos="2381"/>
          <w:tab w:val="clear" w:pos="2948"/>
          <w:tab w:val="clear" w:pos="3515"/>
          <w:tab w:val="clear" w:pos="4082"/>
          <w:tab w:val="left" w:pos="624"/>
        </w:tabs>
        <w:spacing w:after="120"/>
        <w:ind w:left="1247" w:firstLine="624"/>
      </w:pPr>
      <w:r w:rsidRPr="00A7082A">
        <w:t xml:space="preserve">Manufacturing processes in which mercury or mercury compounds are used; </w:t>
      </w:r>
    </w:p>
    <w:p w14:paraId="0A76A57F" w14:textId="77777777" w:rsidR="009E63BD" w:rsidRPr="00A7082A" w:rsidRDefault="009E63BD" w:rsidP="003C6916">
      <w:pPr>
        <w:pStyle w:val="Normal-pool"/>
        <w:numPr>
          <w:ilvl w:val="0"/>
          <w:numId w:val="94"/>
        </w:numPr>
        <w:tabs>
          <w:tab w:val="clear" w:pos="1247"/>
          <w:tab w:val="clear" w:pos="1814"/>
          <w:tab w:val="clear" w:pos="2381"/>
          <w:tab w:val="clear" w:pos="2948"/>
          <w:tab w:val="clear" w:pos="3515"/>
          <w:tab w:val="clear" w:pos="4082"/>
          <w:tab w:val="left" w:pos="624"/>
        </w:tabs>
        <w:spacing w:after="120"/>
        <w:ind w:left="1247" w:firstLine="624"/>
      </w:pPr>
      <w:r w:rsidRPr="00A7082A">
        <w:t>Availability and technical and economic feasibility of alternatives to mercury-added products or manufacturing processes in which mercury or mercury compounds are used;</w:t>
      </w:r>
    </w:p>
    <w:p w14:paraId="04B7B336" w14:textId="77777777" w:rsidR="009E63BD" w:rsidRPr="00A7082A" w:rsidRDefault="009E63BD" w:rsidP="003C6916">
      <w:pPr>
        <w:pStyle w:val="Normal-pool"/>
        <w:numPr>
          <w:ilvl w:val="0"/>
          <w:numId w:val="94"/>
        </w:numPr>
        <w:tabs>
          <w:tab w:val="clear" w:pos="1247"/>
          <w:tab w:val="clear" w:pos="1814"/>
          <w:tab w:val="clear" w:pos="2381"/>
          <w:tab w:val="clear" w:pos="2948"/>
          <w:tab w:val="clear" w:pos="3515"/>
          <w:tab w:val="clear" w:pos="4082"/>
          <w:tab w:val="left" w:pos="624"/>
        </w:tabs>
        <w:spacing w:after="120"/>
        <w:ind w:left="1247" w:firstLine="624"/>
      </w:pPr>
      <w:r w:rsidRPr="00A7082A">
        <w:t>Environmental and health risks and benefits of alternatives to mercury-added products or manufacturing processes in which mercury or mercury compounds are used;</w:t>
      </w:r>
    </w:p>
    <w:p w14:paraId="1662C954" w14:textId="77777777" w:rsidR="009E63BD" w:rsidRPr="00A7082A" w:rsidRDefault="009E63BD" w:rsidP="008D4674">
      <w:pPr>
        <w:pStyle w:val="Normal-pool"/>
        <w:numPr>
          <w:ilvl w:val="0"/>
          <w:numId w:val="94"/>
        </w:numPr>
        <w:tabs>
          <w:tab w:val="clear" w:pos="1247"/>
          <w:tab w:val="clear" w:pos="1814"/>
          <w:tab w:val="clear" w:pos="2381"/>
          <w:tab w:val="clear" w:pos="2948"/>
          <w:tab w:val="clear" w:pos="3515"/>
          <w:tab w:val="clear" w:pos="4082"/>
          <w:tab w:val="left" w:pos="624"/>
        </w:tabs>
        <w:spacing w:after="120"/>
        <w:ind w:left="1247" w:firstLine="624"/>
      </w:pPr>
      <w:r w:rsidRPr="00A7082A">
        <w:t>Regulatory policy to address the human health and environmental risks of mercury.</w:t>
      </w:r>
    </w:p>
    <w:p w14:paraId="66D26385" w14:textId="77777777" w:rsidR="009E63BD" w:rsidRPr="00A7082A" w:rsidRDefault="009E63BD" w:rsidP="009E63BD">
      <w:pPr>
        <w:pStyle w:val="CH1"/>
        <w:spacing w:before="200"/>
      </w:pPr>
      <w:r w:rsidRPr="00A7082A">
        <w:tab/>
        <w:t>IV.</w:t>
      </w:r>
      <w:r w:rsidRPr="00A7082A">
        <w:tab/>
        <w:t>Officers</w:t>
      </w:r>
    </w:p>
    <w:p w14:paraId="3040D483" w14:textId="0E0A1BDA" w:rsidR="009E63BD" w:rsidRPr="00A7082A" w:rsidRDefault="009E63BD" w:rsidP="009E63BD">
      <w:pPr>
        <w:pStyle w:val="Normal-pool"/>
        <w:numPr>
          <w:ilvl w:val="2"/>
          <w:numId w:val="93"/>
        </w:numPr>
        <w:tabs>
          <w:tab w:val="clear" w:pos="1247"/>
          <w:tab w:val="clear" w:pos="1814"/>
          <w:tab w:val="clear" w:pos="2381"/>
          <w:tab w:val="clear" w:pos="2948"/>
          <w:tab w:val="clear" w:pos="3515"/>
          <w:tab w:val="clear" w:pos="4082"/>
          <w:tab w:val="left" w:pos="624"/>
        </w:tabs>
        <w:spacing w:after="120"/>
        <w:ind w:left="1247" w:firstLine="0"/>
      </w:pPr>
      <w:r w:rsidRPr="00A7082A">
        <w:t xml:space="preserve">The </w:t>
      </w:r>
      <w:r w:rsidR="0026572F" w:rsidRPr="00A7082A">
        <w:t>ad hoc</w:t>
      </w:r>
      <w:r w:rsidRPr="00A7082A">
        <w:t xml:space="preserve"> group of experts will elect two co-chairs to facilitate its meetings.</w:t>
      </w:r>
    </w:p>
    <w:p w14:paraId="42256E58" w14:textId="77777777" w:rsidR="009E63BD" w:rsidRPr="00A7082A" w:rsidRDefault="009E63BD" w:rsidP="009E63BD">
      <w:pPr>
        <w:pStyle w:val="CH1"/>
        <w:spacing w:before="200"/>
      </w:pPr>
      <w:r w:rsidRPr="00A7082A">
        <w:tab/>
        <w:t>V.</w:t>
      </w:r>
      <w:r w:rsidRPr="00A7082A">
        <w:tab/>
        <w:t>Secretariat</w:t>
      </w:r>
    </w:p>
    <w:p w14:paraId="31070E1F" w14:textId="56D5D845" w:rsidR="009E63BD" w:rsidRPr="00A7082A" w:rsidRDefault="009E63BD" w:rsidP="009E63BD">
      <w:pPr>
        <w:pStyle w:val="Normal-pool"/>
        <w:numPr>
          <w:ilvl w:val="2"/>
          <w:numId w:val="93"/>
        </w:numPr>
        <w:tabs>
          <w:tab w:val="clear" w:pos="1247"/>
          <w:tab w:val="clear" w:pos="1814"/>
          <w:tab w:val="clear" w:pos="2381"/>
          <w:tab w:val="clear" w:pos="2948"/>
          <w:tab w:val="clear" w:pos="3515"/>
          <w:tab w:val="clear" w:pos="4082"/>
          <w:tab w:val="left" w:pos="624"/>
        </w:tabs>
        <w:spacing w:after="120"/>
        <w:ind w:left="1247" w:firstLine="0"/>
      </w:pPr>
      <w:r w:rsidRPr="00A7082A">
        <w:t xml:space="preserve">The secretariat of the Minamata Convention on Mercury will provide support to the </w:t>
      </w:r>
      <w:r w:rsidR="0026572F" w:rsidRPr="00A7082A">
        <w:t>ad hoc</w:t>
      </w:r>
      <w:r w:rsidRPr="00A7082A">
        <w:t xml:space="preserve"> group of experts.</w:t>
      </w:r>
    </w:p>
    <w:p w14:paraId="76B5812B" w14:textId="77777777" w:rsidR="009E63BD" w:rsidRPr="00A7082A" w:rsidRDefault="009E63BD" w:rsidP="009E63BD">
      <w:pPr>
        <w:pStyle w:val="CH1"/>
        <w:spacing w:before="200"/>
      </w:pPr>
      <w:r w:rsidRPr="00A7082A">
        <w:tab/>
        <w:t>VI.</w:t>
      </w:r>
      <w:r w:rsidRPr="00A7082A">
        <w:tab/>
        <w:t>Administrative and procedural matters</w:t>
      </w:r>
    </w:p>
    <w:p w14:paraId="2C293A85" w14:textId="77777777" w:rsidR="009E63BD" w:rsidRPr="00A7082A" w:rsidRDefault="009E63BD" w:rsidP="009E63BD">
      <w:pPr>
        <w:pStyle w:val="Normal-pool"/>
        <w:numPr>
          <w:ilvl w:val="2"/>
          <w:numId w:val="93"/>
        </w:numPr>
        <w:tabs>
          <w:tab w:val="clear" w:pos="1247"/>
          <w:tab w:val="clear" w:pos="1814"/>
          <w:tab w:val="clear" w:pos="2381"/>
          <w:tab w:val="clear" w:pos="2948"/>
          <w:tab w:val="clear" w:pos="3515"/>
          <w:tab w:val="clear" w:pos="4082"/>
          <w:tab w:val="left" w:pos="624"/>
        </w:tabs>
        <w:spacing w:after="100"/>
        <w:ind w:left="1247" w:firstLine="0"/>
      </w:pPr>
      <w:r w:rsidRPr="00A7082A">
        <w:t>The rules of procedure of the Conference of the Parties will apply, mutatis mutandis, to the group.</w:t>
      </w:r>
    </w:p>
    <w:p w14:paraId="44B6C95F" w14:textId="198244CF" w:rsidR="009E63BD" w:rsidRPr="00A7082A" w:rsidRDefault="009E63BD" w:rsidP="009E63BD">
      <w:pPr>
        <w:pStyle w:val="Normal-pool"/>
        <w:numPr>
          <w:ilvl w:val="2"/>
          <w:numId w:val="93"/>
        </w:numPr>
        <w:tabs>
          <w:tab w:val="clear" w:pos="1247"/>
          <w:tab w:val="clear" w:pos="1814"/>
          <w:tab w:val="clear" w:pos="2381"/>
          <w:tab w:val="clear" w:pos="2948"/>
          <w:tab w:val="clear" w:pos="3515"/>
          <w:tab w:val="clear" w:pos="4082"/>
          <w:tab w:val="left" w:pos="624"/>
        </w:tabs>
        <w:spacing w:after="100"/>
        <w:ind w:left="1247" w:firstLine="0"/>
      </w:pPr>
      <w:r w:rsidRPr="00A7082A">
        <w:t xml:space="preserve">The work of the </w:t>
      </w:r>
      <w:r w:rsidR="0026572F" w:rsidRPr="00A7082A">
        <w:t>ad hoc</w:t>
      </w:r>
      <w:r w:rsidRPr="00A7082A">
        <w:t xml:space="preserve"> group of experts will be organized in such a way as to allow each expert to participate in all the activities of the group.</w:t>
      </w:r>
    </w:p>
    <w:p w14:paraId="33581F2C" w14:textId="77777777" w:rsidR="009E63BD" w:rsidRPr="00A7082A" w:rsidRDefault="009E63BD" w:rsidP="009E63BD">
      <w:pPr>
        <w:pStyle w:val="CH1"/>
        <w:keepNext w:val="0"/>
        <w:keepLines w:val="0"/>
        <w:spacing w:before="200"/>
      </w:pPr>
      <w:r w:rsidRPr="00A7082A">
        <w:tab/>
        <w:t>VII.</w:t>
      </w:r>
      <w:r w:rsidRPr="00A7082A">
        <w:tab/>
        <w:t>Meetings</w:t>
      </w:r>
    </w:p>
    <w:p w14:paraId="56B0B6C5" w14:textId="6ABF2D62" w:rsidR="009E63BD" w:rsidRPr="00A7082A" w:rsidRDefault="009E63BD" w:rsidP="009E63BD">
      <w:pPr>
        <w:pStyle w:val="Normal-pool"/>
        <w:numPr>
          <w:ilvl w:val="2"/>
          <w:numId w:val="93"/>
        </w:numPr>
        <w:tabs>
          <w:tab w:val="clear" w:pos="1247"/>
          <w:tab w:val="clear" w:pos="1814"/>
          <w:tab w:val="clear" w:pos="2381"/>
          <w:tab w:val="clear" w:pos="2948"/>
          <w:tab w:val="clear" w:pos="3515"/>
          <w:tab w:val="clear" w:pos="4082"/>
          <w:tab w:val="left" w:pos="624"/>
        </w:tabs>
        <w:spacing w:after="100"/>
        <w:ind w:left="1247" w:firstLine="0"/>
      </w:pPr>
      <w:r w:rsidRPr="00A7082A">
        <w:t xml:space="preserve">The </w:t>
      </w:r>
      <w:r w:rsidR="0026572F" w:rsidRPr="00A7082A">
        <w:t>ad hoc</w:t>
      </w:r>
      <w:r w:rsidRPr="00A7082A">
        <w:t xml:space="preserve"> group of experts will meet face to face once during the intersessional period preceding the fourth meeting of the Conference of the Parties to the Minamata Convention, subject to the availability of resources, and will also work by electronic means.</w:t>
      </w:r>
    </w:p>
    <w:p w14:paraId="546090F6" w14:textId="77777777" w:rsidR="009E63BD" w:rsidRPr="00A7082A" w:rsidRDefault="009E63BD" w:rsidP="009E63BD">
      <w:pPr>
        <w:pStyle w:val="CH1"/>
        <w:keepNext w:val="0"/>
        <w:keepLines w:val="0"/>
        <w:spacing w:before="200"/>
      </w:pPr>
      <w:r w:rsidRPr="00A7082A">
        <w:tab/>
        <w:t>VIII.</w:t>
      </w:r>
      <w:r w:rsidRPr="00A7082A">
        <w:tab/>
        <w:t>Language</w:t>
      </w:r>
    </w:p>
    <w:p w14:paraId="17A60EB4" w14:textId="77777777" w:rsidR="009E63BD" w:rsidRPr="00A7082A" w:rsidRDefault="009E63BD" w:rsidP="009E63BD">
      <w:pPr>
        <w:pStyle w:val="Normal-pool"/>
        <w:numPr>
          <w:ilvl w:val="2"/>
          <w:numId w:val="93"/>
        </w:numPr>
        <w:tabs>
          <w:tab w:val="clear" w:pos="1247"/>
          <w:tab w:val="clear" w:pos="1814"/>
          <w:tab w:val="clear" w:pos="2381"/>
          <w:tab w:val="clear" w:pos="2948"/>
          <w:tab w:val="clear" w:pos="3515"/>
          <w:tab w:val="clear" w:pos="4082"/>
          <w:tab w:val="left" w:pos="624"/>
        </w:tabs>
        <w:spacing w:after="100"/>
        <w:ind w:left="1247" w:firstLine="0"/>
        <w:rPr>
          <w:sz w:val="24"/>
        </w:rPr>
      </w:pPr>
      <w:r w:rsidRPr="00A7082A">
        <w:t xml:space="preserve">The working language of the group will be English. </w:t>
      </w:r>
      <w:r w:rsidRPr="00A7082A">
        <w:br w:type="page"/>
      </w:r>
    </w:p>
    <w:p w14:paraId="6FF85D80" w14:textId="5C218353" w:rsidR="003F4DA7" w:rsidRPr="00A7082A" w:rsidRDefault="00F65CA1" w:rsidP="009557F8">
      <w:pPr>
        <w:pStyle w:val="CH1"/>
      </w:pPr>
      <w:bookmarkStart w:id="45" w:name="_Toc27124742"/>
      <w:r w:rsidRPr="00A7082A">
        <w:lastRenderedPageBreak/>
        <w:tab/>
      </w:r>
      <w:r w:rsidRPr="00A7082A">
        <w:tab/>
      </w:r>
      <w:r w:rsidR="003F4DA7" w:rsidRPr="00A7082A">
        <w:t>MC-3/2: Dental amalgam</w:t>
      </w:r>
      <w:bookmarkEnd w:id="45"/>
    </w:p>
    <w:p w14:paraId="2627F382" w14:textId="54FAA06A" w:rsidR="003F4DA7" w:rsidRPr="00A7082A" w:rsidRDefault="003F4DA7" w:rsidP="003F4DA7">
      <w:pPr>
        <w:keepNext/>
        <w:keepLines/>
        <w:tabs>
          <w:tab w:val="clear" w:pos="1247"/>
          <w:tab w:val="clear" w:pos="1814"/>
          <w:tab w:val="clear" w:pos="2381"/>
          <w:tab w:val="clear" w:pos="2948"/>
          <w:tab w:val="clear" w:pos="3515"/>
          <w:tab w:val="left" w:pos="624"/>
          <w:tab w:val="left" w:pos="4082"/>
        </w:tabs>
        <w:spacing w:before="120" w:after="120"/>
        <w:ind w:left="1247" w:firstLine="624"/>
        <w:rPr>
          <w:i/>
        </w:rPr>
      </w:pPr>
      <w:r w:rsidRPr="00A7082A">
        <w:rPr>
          <w:i/>
        </w:rPr>
        <w:t>The Conference of the Parties</w:t>
      </w:r>
    </w:p>
    <w:p w14:paraId="65B58D61" w14:textId="5D5C45D5" w:rsidR="003F4DA7" w:rsidRPr="00A7082A" w:rsidRDefault="003F4DA7" w:rsidP="00C54FDE">
      <w:pPr>
        <w:keepNext/>
        <w:keepLines/>
        <w:numPr>
          <w:ilvl w:val="0"/>
          <w:numId w:val="32"/>
        </w:numPr>
        <w:tabs>
          <w:tab w:val="clear" w:pos="1247"/>
          <w:tab w:val="clear" w:pos="1814"/>
          <w:tab w:val="clear" w:pos="2381"/>
          <w:tab w:val="clear" w:pos="2948"/>
          <w:tab w:val="clear" w:pos="3515"/>
          <w:tab w:val="left" w:pos="624"/>
        </w:tabs>
        <w:spacing w:after="120"/>
        <w:ind w:left="1247" w:firstLine="624"/>
        <w:rPr>
          <w:iCs/>
        </w:rPr>
      </w:pPr>
      <w:r w:rsidRPr="00A7082A">
        <w:rPr>
          <w:i/>
        </w:rPr>
        <w:t>Encourages</w:t>
      </w:r>
      <w:r w:rsidRPr="00A7082A">
        <w:rPr>
          <w:iCs/>
        </w:rPr>
        <w:t xml:space="preserve"> Parties to take more than the two required measures in accordance with </w:t>
      </w:r>
      <w:r w:rsidR="00275DD0" w:rsidRPr="00A7082A">
        <w:rPr>
          <w:iCs/>
        </w:rPr>
        <w:t>a</w:t>
      </w:r>
      <w:r w:rsidRPr="00A7082A">
        <w:rPr>
          <w:iCs/>
        </w:rPr>
        <w:t xml:space="preserve">nnex A, </w:t>
      </w:r>
      <w:r w:rsidR="00275DD0" w:rsidRPr="00A7082A">
        <w:rPr>
          <w:iCs/>
        </w:rPr>
        <w:t>p</w:t>
      </w:r>
      <w:r w:rsidRPr="00A7082A">
        <w:rPr>
          <w:iCs/>
        </w:rPr>
        <w:t>art II, of the Convention to phase down the use of dental amalgam;</w:t>
      </w:r>
    </w:p>
    <w:p w14:paraId="00FDA333" w14:textId="1A045918" w:rsidR="003F4DA7" w:rsidRPr="00A7082A" w:rsidRDefault="003F4DA7" w:rsidP="00C54FDE">
      <w:pPr>
        <w:numPr>
          <w:ilvl w:val="0"/>
          <w:numId w:val="32"/>
        </w:numPr>
        <w:tabs>
          <w:tab w:val="clear" w:pos="1247"/>
          <w:tab w:val="clear" w:pos="1814"/>
          <w:tab w:val="clear" w:pos="2381"/>
          <w:tab w:val="clear" w:pos="2948"/>
          <w:tab w:val="clear" w:pos="3515"/>
          <w:tab w:val="left" w:pos="624"/>
        </w:tabs>
        <w:spacing w:after="120"/>
        <w:ind w:left="1247" w:firstLine="624"/>
        <w:rPr>
          <w:iCs/>
        </w:rPr>
      </w:pPr>
      <w:r w:rsidRPr="00A7082A">
        <w:rPr>
          <w:i/>
        </w:rPr>
        <w:t>Requests</w:t>
      </w:r>
      <w:r w:rsidRPr="00A7082A">
        <w:rPr>
          <w:iCs/>
        </w:rPr>
        <w:t xml:space="preserve"> the </w:t>
      </w:r>
      <w:r w:rsidR="00851014" w:rsidRPr="00A7082A">
        <w:rPr>
          <w:iCs/>
        </w:rPr>
        <w:t>secretariat</w:t>
      </w:r>
      <w:r w:rsidRPr="00A7082A">
        <w:rPr>
          <w:iCs/>
        </w:rPr>
        <w:t xml:space="preserve"> to request information from parties on the implementation of any such additional measures taken by </w:t>
      </w:r>
      <w:r w:rsidR="00275DD0" w:rsidRPr="00A7082A">
        <w:rPr>
          <w:iCs/>
        </w:rPr>
        <w:t>p</w:t>
      </w:r>
      <w:r w:rsidRPr="00A7082A">
        <w:rPr>
          <w:iCs/>
        </w:rPr>
        <w:t xml:space="preserve">arties related to </w:t>
      </w:r>
      <w:r w:rsidR="00275DD0" w:rsidRPr="00A7082A">
        <w:rPr>
          <w:iCs/>
        </w:rPr>
        <w:t>a</w:t>
      </w:r>
      <w:r w:rsidRPr="00A7082A">
        <w:rPr>
          <w:iCs/>
        </w:rPr>
        <w:t xml:space="preserve">nnex A, part II, of the Convention; </w:t>
      </w:r>
    </w:p>
    <w:p w14:paraId="1D6A90A7" w14:textId="68BDE9DA" w:rsidR="003F4DA7" w:rsidRPr="00A7082A" w:rsidRDefault="00AD29EE" w:rsidP="00C54FDE">
      <w:pPr>
        <w:numPr>
          <w:ilvl w:val="0"/>
          <w:numId w:val="32"/>
        </w:numPr>
        <w:tabs>
          <w:tab w:val="clear" w:pos="1247"/>
          <w:tab w:val="clear" w:pos="1814"/>
          <w:tab w:val="clear" w:pos="2381"/>
          <w:tab w:val="clear" w:pos="2948"/>
          <w:tab w:val="clear" w:pos="3515"/>
          <w:tab w:val="left" w:pos="624"/>
        </w:tabs>
        <w:spacing w:after="120"/>
        <w:ind w:left="1247" w:firstLine="624"/>
        <w:rPr>
          <w:iCs/>
        </w:rPr>
      </w:pPr>
      <w:r w:rsidRPr="00A7082A">
        <w:rPr>
          <w:i/>
        </w:rPr>
        <w:t>Also r</w:t>
      </w:r>
      <w:r w:rsidR="003F4DA7" w:rsidRPr="00A7082A">
        <w:rPr>
          <w:i/>
        </w:rPr>
        <w:t>equests</w:t>
      </w:r>
      <w:r w:rsidR="003F4DA7" w:rsidRPr="00A7082A">
        <w:rPr>
          <w:iCs/>
        </w:rPr>
        <w:t xml:space="preserve"> the </w:t>
      </w:r>
      <w:r w:rsidR="00275DD0" w:rsidRPr="00A7082A">
        <w:rPr>
          <w:iCs/>
        </w:rPr>
        <w:t>s</w:t>
      </w:r>
      <w:r w:rsidR="003F4DA7" w:rsidRPr="00A7082A">
        <w:rPr>
          <w:iCs/>
        </w:rPr>
        <w:t xml:space="preserve">ecretariat to request information from </w:t>
      </w:r>
      <w:r w:rsidR="00275DD0" w:rsidRPr="00A7082A">
        <w:rPr>
          <w:iCs/>
        </w:rPr>
        <w:t>p</w:t>
      </w:r>
      <w:r w:rsidR="003F4DA7" w:rsidRPr="00A7082A">
        <w:rPr>
          <w:iCs/>
        </w:rPr>
        <w:t xml:space="preserve">arties and others pursuant to paragraph 7 of </w:t>
      </w:r>
      <w:r w:rsidR="00275DD0" w:rsidRPr="00A7082A">
        <w:rPr>
          <w:iCs/>
        </w:rPr>
        <w:t>a</w:t>
      </w:r>
      <w:r w:rsidR="003F4DA7" w:rsidRPr="00A7082A">
        <w:rPr>
          <w:iCs/>
        </w:rPr>
        <w:t>rticle 4</w:t>
      </w:r>
      <w:r w:rsidR="00275DD0" w:rsidRPr="00A7082A">
        <w:rPr>
          <w:iCs/>
        </w:rPr>
        <w:t xml:space="preserve"> of the Convention</w:t>
      </w:r>
      <w:r w:rsidR="003F4DA7" w:rsidRPr="00A7082A">
        <w:rPr>
          <w:iCs/>
        </w:rPr>
        <w:t xml:space="preserve"> by 1 July 2020;</w:t>
      </w:r>
    </w:p>
    <w:p w14:paraId="1C3C2832" w14:textId="0CB7E950" w:rsidR="003F4DA7" w:rsidRPr="00A7082A" w:rsidRDefault="00AD29EE" w:rsidP="00C54FDE">
      <w:pPr>
        <w:numPr>
          <w:ilvl w:val="0"/>
          <w:numId w:val="32"/>
        </w:numPr>
        <w:tabs>
          <w:tab w:val="clear" w:pos="1247"/>
          <w:tab w:val="clear" w:pos="1814"/>
          <w:tab w:val="clear" w:pos="2381"/>
          <w:tab w:val="clear" w:pos="2948"/>
          <w:tab w:val="clear" w:pos="3515"/>
          <w:tab w:val="left" w:pos="624"/>
        </w:tabs>
        <w:spacing w:after="120"/>
        <w:ind w:left="1247" w:firstLine="624"/>
        <w:rPr>
          <w:iCs/>
        </w:rPr>
      </w:pPr>
      <w:r w:rsidRPr="00A7082A">
        <w:rPr>
          <w:i/>
        </w:rPr>
        <w:t>Further r</w:t>
      </w:r>
      <w:r w:rsidR="003F4DA7" w:rsidRPr="00A7082A">
        <w:rPr>
          <w:i/>
        </w:rPr>
        <w:t xml:space="preserve">equests </w:t>
      </w:r>
      <w:r w:rsidR="003F4DA7" w:rsidRPr="00A7082A">
        <w:rPr>
          <w:iCs/>
        </w:rPr>
        <w:t xml:space="preserve">the </w:t>
      </w:r>
      <w:r w:rsidR="00851014" w:rsidRPr="00A7082A">
        <w:rPr>
          <w:iCs/>
        </w:rPr>
        <w:t>secretariat</w:t>
      </w:r>
      <w:r w:rsidR="003F4DA7" w:rsidRPr="00A7082A">
        <w:rPr>
          <w:iCs/>
        </w:rPr>
        <w:t xml:space="preserve"> to compile the information received pursuant to paragraph 3, clearly identifying the sources of the information it contains, and provide that information to </w:t>
      </w:r>
      <w:r w:rsidR="00325CBF" w:rsidRPr="00A7082A">
        <w:rPr>
          <w:iCs/>
        </w:rPr>
        <w:t xml:space="preserve">parties </w:t>
      </w:r>
      <w:r w:rsidR="003F4DA7" w:rsidRPr="00A7082A">
        <w:rPr>
          <w:iCs/>
        </w:rPr>
        <w:t xml:space="preserve">no later than 1 December 2020; </w:t>
      </w:r>
    </w:p>
    <w:p w14:paraId="4ADEB6C1" w14:textId="29E9C474" w:rsidR="003F4DA7" w:rsidRPr="00A7082A" w:rsidRDefault="003F4DA7" w:rsidP="00C54FDE">
      <w:pPr>
        <w:numPr>
          <w:ilvl w:val="0"/>
          <w:numId w:val="32"/>
        </w:numPr>
        <w:tabs>
          <w:tab w:val="clear" w:pos="1247"/>
          <w:tab w:val="clear" w:pos="1814"/>
          <w:tab w:val="clear" w:pos="2381"/>
          <w:tab w:val="clear" w:pos="2948"/>
          <w:tab w:val="clear" w:pos="3515"/>
          <w:tab w:val="left" w:pos="624"/>
        </w:tabs>
        <w:spacing w:after="120"/>
        <w:ind w:left="1247" w:firstLine="624"/>
        <w:rPr>
          <w:iCs/>
        </w:rPr>
      </w:pPr>
      <w:r w:rsidRPr="00A7082A">
        <w:rPr>
          <w:i/>
        </w:rPr>
        <w:t>Requests</w:t>
      </w:r>
      <w:r w:rsidRPr="00A7082A">
        <w:rPr>
          <w:iCs/>
        </w:rPr>
        <w:t xml:space="preserve"> the </w:t>
      </w:r>
      <w:r w:rsidR="00851014" w:rsidRPr="00A7082A">
        <w:rPr>
          <w:iCs/>
        </w:rPr>
        <w:t>secretariat</w:t>
      </w:r>
      <w:r w:rsidRPr="00A7082A">
        <w:rPr>
          <w:iCs/>
        </w:rPr>
        <w:t xml:space="preserve"> to prepare</w:t>
      </w:r>
      <w:r w:rsidR="00275DD0" w:rsidRPr="00A7082A">
        <w:rPr>
          <w:iCs/>
        </w:rPr>
        <w:t>,</w:t>
      </w:r>
      <w:r w:rsidRPr="00A7082A">
        <w:rPr>
          <w:iCs/>
        </w:rPr>
        <w:t xml:space="preserve"> by 30 April 2021</w:t>
      </w:r>
      <w:r w:rsidR="00275DD0" w:rsidRPr="00A7082A">
        <w:rPr>
          <w:iCs/>
        </w:rPr>
        <w:t>,</w:t>
      </w:r>
      <w:r w:rsidRPr="00A7082A">
        <w:rPr>
          <w:iCs/>
        </w:rPr>
        <w:t xml:space="preserve"> a document contain</w:t>
      </w:r>
      <w:r w:rsidR="00F22967" w:rsidRPr="00A7082A">
        <w:rPr>
          <w:iCs/>
        </w:rPr>
        <w:t>ing</w:t>
      </w:r>
      <w:r w:rsidRPr="00A7082A">
        <w:rPr>
          <w:iCs/>
        </w:rPr>
        <w:t xml:space="preserve"> the information received from </w:t>
      </w:r>
      <w:r w:rsidR="00F22967" w:rsidRPr="00A7082A">
        <w:rPr>
          <w:iCs/>
        </w:rPr>
        <w:t>p</w:t>
      </w:r>
      <w:r w:rsidRPr="00A7082A">
        <w:rPr>
          <w:iCs/>
        </w:rPr>
        <w:t>arties pursuant to paragraph 2</w:t>
      </w:r>
      <w:r w:rsidR="00F22967" w:rsidRPr="00A7082A">
        <w:rPr>
          <w:iCs/>
        </w:rPr>
        <w:t xml:space="preserve"> of the present decision</w:t>
      </w:r>
      <w:r w:rsidRPr="00A7082A">
        <w:rPr>
          <w:iCs/>
        </w:rPr>
        <w:t xml:space="preserve"> and the compilation of information </w:t>
      </w:r>
      <w:r w:rsidR="00F22967" w:rsidRPr="00A7082A">
        <w:rPr>
          <w:iCs/>
        </w:rPr>
        <w:t xml:space="preserve">pursuant to </w:t>
      </w:r>
      <w:r w:rsidRPr="00A7082A">
        <w:rPr>
          <w:iCs/>
        </w:rPr>
        <w:t>paragraph 4</w:t>
      </w:r>
      <w:r w:rsidR="00F22967" w:rsidRPr="00A7082A">
        <w:rPr>
          <w:iCs/>
        </w:rPr>
        <w:t xml:space="preserve"> of the present decision</w:t>
      </w:r>
      <w:r w:rsidRPr="00A7082A">
        <w:rPr>
          <w:iCs/>
        </w:rPr>
        <w:t>, respectively</w:t>
      </w:r>
      <w:r w:rsidR="00F22967" w:rsidRPr="00A7082A">
        <w:rPr>
          <w:iCs/>
        </w:rPr>
        <w:t>, for consideration by the Conference of the Parties at its fourth meeting</w:t>
      </w:r>
      <w:r w:rsidRPr="00A7082A">
        <w:rPr>
          <w:iCs/>
        </w:rPr>
        <w:t xml:space="preserve">. </w:t>
      </w:r>
    </w:p>
    <w:p w14:paraId="62B48C83" w14:textId="77777777" w:rsidR="00A35F55" w:rsidRPr="00A7082A" w:rsidRDefault="00A35F55" w:rsidP="00417FE2">
      <w:pPr>
        <w:pStyle w:val="Normal-pool"/>
      </w:pPr>
      <w:bookmarkStart w:id="46" w:name="_Toc27124743"/>
      <w:r w:rsidRPr="00A7082A">
        <w:br w:type="page"/>
      </w:r>
    </w:p>
    <w:p w14:paraId="5D15EF3A" w14:textId="20F13A89" w:rsidR="003F4DA7" w:rsidRPr="00A7082A" w:rsidRDefault="00B56FE3" w:rsidP="009557F8">
      <w:pPr>
        <w:pStyle w:val="CH1"/>
      </w:pPr>
      <w:r w:rsidRPr="00A7082A">
        <w:lastRenderedPageBreak/>
        <w:tab/>
      </w:r>
      <w:r w:rsidRPr="00A7082A">
        <w:tab/>
      </w:r>
      <w:r w:rsidR="003F4DA7" w:rsidRPr="00A7082A">
        <w:t>MC-3/3: Customs codes</w:t>
      </w:r>
      <w:bookmarkEnd w:id="46"/>
    </w:p>
    <w:p w14:paraId="2D8775D0" w14:textId="77777777" w:rsidR="003F4DA7" w:rsidRPr="00A7082A" w:rsidRDefault="003F4DA7" w:rsidP="003F4DA7">
      <w:pPr>
        <w:tabs>
          <w:tab w:val="clear" w:pos="1247"/>
          <w:tab w:val="clear" w:pos="1814"/>
          <w:tab w:val="clear" w:pos="2381"/>
          <w:tab w:val="clear" w:pos="2948"/>
          <w:tab w:val="clear" w:pos="3515"/>
          <w:tab w:val="left" w:pos="624"/>
          <w:tab w:val="left" w:pos="4082"/>
        </w:tabs>
        <w:spacing w:after="120"/>
        <w:ind w:left="1247" w:firstLine="624"/>
        <w:rPr>
          <w:i/>
        </w:rPr>
      </w:pPr>
      <w:r w:rsidRPr="00A7082A">
        <w:rPr>
          <w:i/>
        </w:rPr>
        <w:t>The Conference of the Parties</w:t>
      </w:r>
    </w:p>
    <w:p w14:paraId="40BF7C10" w14:textId="736C7E1C" w:rsidR="003F4DA7" w:rsidRPr="00A7082A" w:rsidRDefault="003F4DA7" w:rsidP="003F4DA7">
      <w:pPr>
        <w:numPr>
          <w:ilvl w:val="0"/>
          <w:numId w:val="22"/>
        </w:numPr>
        <w:tabs>
          <w:tab w:val="clear" w:pos="1247"/>
          <w:tab w:val="clear" w:pos="1814"/>
          <w:tab w:val="clear" w:pos="2381"/>
          <w:tab w:val="clear" w:pos="2948"/>
          <w:tab w:val="clear" w:pos="3515"/>
          <w:tab w:val="left" w:pos="624"/>
        </w:tabs>
        <w:spacing w:after="120"/>
        <w:ind w:left="1247" w:firstLine="624"/>
      </w:pPr>
      <w:r w:rsidRPr="00A7082A">
        <w:rPr>
          <w:i/>
        </w:rPr>
        <w:t>Request</w:t>
      </w:r>
      <w:r w:rsidRPr="00A7082A">
        <w:t xml:space="preserve">s the secretariat, in collaboration with the United Nations Environment Programme Global Mercury Partnership–Mercury in Products partnership area (hereafter “Products Partnership”) and involving relevant experts, to: </w:t>
      </w:r>
    </w:p>
    <w:p w14:paraId="0D0740F1" w14:textId="77777777" w:rsidR="003F4DA7" w:rsidRPr="00A7082A" w:rsidRDefault="003F4DA7" w:rsidP="003F4DA7">
      <w:pPr>
        <w:numPr>
          <w:ilvl w:val="0"/>
          <w:numId w:val="23"/>
        </w:numPr>
        <w:tabs>
          <w:tab w:val="clear" w:pos="1247"/>
          <w:tab w:val="clear" w:pos="1814"/>
          <w:tab w:val="clear" w:pos="2381"/>
          <w:tab w:val="clear" w:pos="2948"/>
          <w:tab w:val="clear" w:pos="3515"/>
        </w:tabs>
        <w:spacing w:after="120"/>
        <w:ind w:left="1247" w:firstLine="624"/>
      </w:pPr>
      <w:r w:rsidRPr="00A7082A">
        <w:t>Draft a guidance document that includes:</w:t>
      </w:r>
    </w:p>
    <w:p w14:paraId="6A5309D5" w14:textId="77777777" w:rsidR="003F4DA7" w:rsidRPr="00A7082A" w:rsidRDefault="003F4DA7" w:rsidP="003F4DA7">
      <w:pPr>
        <w:numPr>
          <w:ilvl w:val="0"/>
          <w:numId w:val="24"/>
        </w:numPr>
        <w:tabs>
          <w:tab w:val="clear" w:pos="1247"/>
          <w:tab w:val="clear" w:pos="1814"/>
          <w:tab w:val="clear" w:pos="2381"/>
          <w:tab w:val="clear" w:pos="2948"/>
          <w:tab w:val="clear" w:pos="3515"/>
          <w:tab w:val="left" w:pos="624"/>
        </w:tabs>
        <w:spacing w:after="120"/>
        <w:ind w:left="3119" w:hanging="624"/>
        <w:rPr>
          <w:rFonts w:eastAsia="Calibri"/>
        </w:rPr>
      </w:pPr>
      <w:r w:rsidRPr="00A7082A">
        <w:rPr>
          <w:rFonts w:eastAsia="Calibri"/>
        </w:rPr>
        <w:t>For the mercury-added products listed in annex A to the Convention, a list of possible customs nomenclature codes of more than six digits that could be used by parties;</w:t>
      </w:r>
    </w:p>
    <w:p w14:paraId="0EAD17A2" w14:textId="067E5F0F" w:rsidR="003F4DA7" w:rsidRPr="00A7082A" w:rsidRDefault="003F4DA7" w:rsidP="003F4DA7">
      <w:pPr>
        <w:numPr>
          <w:ilvl w:val="0"/>
          <w:numId w:val="24"/>
        </w:numPr>
        <w:tabs>
          <w:tab w:val="clear" w:pos="1247"/>
          <w:tab w:val="clear" w:pos="1814"/>
          <w:tab w:val="clear" w:pos="2381"/>
          <w:tab w:val="clear" w:pos="2948"/>
          <w:tab w:val="clear" w:pos="3515"/>
          <w:tab w:val="left" w:pos="624"/>
        </w:tabs>
        <w:spacing w:after="120"/>
        <w:ind w:left="3119" w:hanging="624"/>
        <w:rPr>
          <w:rFonts w:eastAsia="Calibri"/>
        </w:rPr>
      </w:pPr>
      <w:bookmarkStart w:id="47" w:name="_Hlk25816095"/>
      <w:r w:rsidRPr="00A7082A">
        <w:rPr>
          <w:rFonts w:eastAsia="Calibri"/>
          <w:color w:val="222222"/>
          <w:shd w:val="clear" w:color="auto" w:fill="FFFFFF"/>
        </w:rPr>
        <w:t xml:space="preserve">For </w:t>
      </w:r>
      <w:r w:rsidRPr="00A7082A">
        <w:rPr>
          <w:rFonts w:eastAsia="Calibri"/>
        </w:rPr>
        <w:t>mercury</w:t>
      </w:r>
      <w:r w:rsidRPr="00A7082A">
        <w:rPr>
          <w:rFonts w:eastAsia="Calibri"/>
          <w:color w:val="222222"/>
          <w:shd w:val="clear" w:color="auto" w:fill="FFFFFF"/>
        </w:rPr>
        <w:t>-added products not listed in annex A</w:t>
      </w:r>
      <w:bookmarkEnd w:id="47"/>
      <w:r w:rsidRPr="00A7082A">
        <w:rPr>
          <w:rFonts w:eastAsia="Calibri"/>
          <w:color w:val="222222"/>
          <w:shd w:val="clear" w:color="auto" w:fill="FFFFFF"/>
        </w:rPr>
        <w:t xml:space="preserve"> to the Convention, a compilation of examples provided by </w:t>
      </w:r>
      <w:r w:rsidRPr="00A7082A">
        <w:rPr>
          <w:rFonts w:eastAsia="Calibri"/>
        </w:rPr>
        <w:t>national</w:t>
      </w:r>
      <w:r w:rsidRPr="00A7082A">
        <w:rPr>
          <w:rFonts w:eastAsia="Calibri"/>
          <w:color w:val="222222"/>
          <w:shd w:val="clear" w:color="auto" w:fill="FFFFFF"/>
        </w:rPr>
        <w:t xml:space="preserve"> experts of customs nomenclature codes of more than six digits currently in use by parties; </w:t>
      </w:r>
    </w:p>
    <w:p w14:paraId="217060DE" w14:textId="77777777" w:rsidR="003F4DA7" w:rsidRPr="00A7082A" w:rsidRDefault="003F4DA7" w:rsidP="003F4DA7">
      <w:pPr>
        <w:numPr>
          <w:ilvl w:val="0"/>
          <w:numId w:val="24"/>
        </w:numPr>
        <w:tabs>
          <w:tab w:val="clear" w:pos="1247"/>
          <w:tab w:val="clear" w:pos="1814"/>
          <w:tab w:val="clear" w:pos="2381"/>
          <w:tab w:val="clear" w:pos="2948"/>
          <w:tab w:val="clear" w:pos="3515"/>
          <w:tab w:val="left" w:pos="624"/>
        </w:tabs>
        <w:spacing w:after="120"/>
        <w:ind w:left="3119" w:hanging="624"/>
        <w:rPr>
          <w:rFonts w:eastAsia="Calibri"/>
        </w:rPr>
      </w:pPr>
      <w:r w:rsidRPr="00A7082A">
        <w:rPr>
          <w:rFonts w:eastAsia="Calibri"/>
        </w:rPr>
        <w:t>Examples of good practice where the use of customs nomenclature codes at the national level has been supplemented by the use of other control tools for the purpose of implementing trade provisions, such as those found in article 4 to the Convention;</w:t>
      </w:r>
    </w:p>
    <w:p w14:paraId="6F40F545" w14:textId="1E1813A1" w:rsidR="003F4DA7" w:rsidRPr="00A7082A" w:rsidRDefault="003F4DA7" w:rsidP="003F4DA7">
      <w:pPr>
        <w:numPr>
          <w:ilvl w:val="0"/>
          <w:numId w:val="23"/>
        </w:numPr>
        <w:spacing w:after="120"/>
        <w:ind w:left="1247" w:firstLine="624"/>
      </w:pPr>
      <w:r w:rsidRPr="00A7082A">
        <w:t>Provide an assessment of whether the subsequent development of six-digit harmonized codes would be a useful complement to the outcome of the work undertaken under subparagraph 1</w:t>
      </w:r>
      <w:r w:rsidR="009557F8" w:rsidRPr="00A7082A">
        <w:t> </w:t>
      </w:r>
      <w:r w:rsidRPr="00A7082A">
        <w:t>(a)</w:t>
      </w:r>
      <w:r w:rsidR="009557F8" w:rsidRPr="00A7082A">
        <w:t> </w:t>
      </w:r>
      <w:r w:rsidRPr="00A7082A">
        <w:t xml:space="preserve">(i) of the present decision for the mercury-added products listed in annex A or under subparagraph </w:t>
      </w:r>
      <w:r w:rsidR="00A07B09" w:rsidRPr="00A7082A">
        <w:t xml:space="preserve">1 </w:t>
      </w:r>
      <w:r w:rsidRPr="00A7082A">
        <w:t>(a) (ii) for mercury-added products not listed in annex A. The assessment shall, where possible, include several examples of the use of such codes for both listed and unlisted mercury-added products, taking into account experience concerning such codes under other international environmental conventions;</w:t>
      </w:r>
    </w:p>
    <w:p w14:paraId="2A0E42FE" w14:textId="77777777" w:rsidR="003F4DA7" w:rsidRPr="00A7082A" w:rsidRDefault="003F4DA7" w:rsidP="003F4DA7">
      <w:pPr>
        <w:numPr>
          <w:ilvl w:val="0"/>
          <w:numId w:val="22"/>
        </w:numPr>
        <w:tabs>
          <w:tab w:val="clear" w:pos="1247"/>
          <w:tab w:val="clear" w:pos="1814"/>
          <w:tab w:val="clear" w:pos="2381"/>
          <w:tab w:val="clear" w:pos="2948"/>
          <w:tab w:val="clear" w:pos="3515"/>
          <w:tab w:val="left" w:pos="624"/>
        </w:tabs>
        <w:spacing w:after="120"/>
        <w:ind w:left="1247" w:firstLine="624"/>
      </w:pPr>
      <w:r w:rsidRPr="00A7082A">
        <w:rPr>
          <w:i/>
        </w:rPr>
        <w:t>Also requests</w:t>
      </w:r>
      <w:r w:rsidRPr="00A7082A">
        <w:t xml:space="preserve"> the secretariat to: </w:t>
      </w:r>
    </w:p>
    <w:p w14:paraId="002CC58C" w14:textId="77777777" w:rsidR="003F4DA7" w:rsidRPr="00A7082A" w:rsidRDefault="003F4DA7" w:rsidP="007A1BFB">
      <w:pPr>
        <w:numPr>
          <w:ilvl w:val="0"/>
          <w:numId w:val="25"/>
        </w:numPr>
        <w:tabs>
          <w:tab w:val="clear" w:pos="1247"/>
          <w:tab w:val="clear" w:pos="1814"/>
          <w:tab w:val="clear" w:pos="2381"/>
          <w:tab w:val="clear" w:pos="2948"/>
          <w:tab w:val="clear" w:pos="3515"/>
          <w:tab w:val="left" w:pos="624"/>
        </w:tabs>
        <w:spacing w:after="120"/>
        <w:ind w:left="1247" w:firstLine="624"/>
      </w:pPr>
      <w:r w:rsidRPr="00A7082A">
        <w:t>Circulate an open call to all parties, non-parties and other stakeholders, including relevant organizations, to identify experts familiar with the use of national customs codes to participate in the open</w:t>
      </w:r>
      <w:r w:rsidRPr="00A7082A">
        <w:noBreakHyphen/>
        <w:t>ended process;</w:t>
      </w:r>
    </w:p>
    <w:p w14:paraId="50A332F9" w14:textId="77777777" w:rsidR="003F4DA7" w:rsidRPr="00A7082A" w:rsidRDefault="003F4DA7" w:rsidP="003F4DA7">
      <w:pPr>
        <w:numPr>
          <w:ilvl w:val="0"/>
          <w:numId w:val="25"/>
        </w:numPr>
        <w:tabs>
          <w:tab w:val="left" w:pos="624"/>
        </w:tabs>
        <w:spacing w:after="120"/>
        <w:ind w:left="1247" w:firstLine="624"/>
      </w:pPr>
      <w:r w:rsidRPr="00A7082A">
        <w:t>Call for submissions by such experts by 31 March 2020; such submissions should include information relevant for the work related to subparagraphs 1 (a) (i)–(iii) of the present decision;</w:t>
      </w:r>
    </w:p>
    <w:p w14:paraId="1FE74D42" w14:textId="77777777" w:rsidR="003F4DA7" w:rsidRPr="00A7082A" w:rsidRDefault="003F4DA7" w:rsidP="003F4DA7">
      <w:pPr>
        <w:numPr>
          <w:ilvl w:val="0"/>
          <w:numId w:val="25"/>
        </w:numPr>
        <w:tabs>
          <w:tab w:val="left" w:pos="624"/>
        </w:tabs>
        <w:spacing w:after="120"/>
        <w:ind w:left="1247" w:firstLine="624"/>
      </w:pPr>
      <w:r w:rsidRPr="00A7082A">
        <w:t xml:space="preserve">Prepare, in collaboration with the Products Partnership, a draft report covering the three elements referred to in subparagraph 1 (a) of the present decision; </w:t>
      </w:r>
    </w:p>
    <w:p w14:paraId="078B93D4" w14:textId="77777777" w:rsidR="003F4DA7" w:rsidRPr="00A7082A" w:rsidRDefault="003F4DA7" w:rsidP="003F4DA7">
      <w:pPr>
        <w:numPr>
          <w:ilvl w:val="0"/>
          <w:numId w:val="25"/>
        </w:numPr>
        <w:tabs>
          <w:tab w:val="left" w:pos="624"/>
        </w:tabs>
        <w:spacing w:after="120"/>
        <w:ind w:left="1247" w:firstLine="624"/>
      </w:pPr>
      <w:r w:rsidRPr="00A7082A">
        <w:t>Make the draft report available on the Convention website and invite parties and others to provide comments by 30 January 2021;</w:t>
      </w:r>
    </w:p>
    <w:p w14:paraId="10B2DDFF" w14:textId="77777777" w:rsidR="003F4DA7" w:rsidRPr="00A7082A" w:rsidRDefault="003F4DA7" w:rsidP="003F4DA7">
      <w:pPr>
        <w:numPr>
          <w:ilvl w:val="0"/>
          <w:numId w:val="25"/>
        </w:numPr>
        <w:tabs>
          <w:tab w:val="left" w:pos="624"/>
        </w:tabs>
        <w:spacing w:after="120"/>
        <w:ind w:left="1247" w:firstLine="624"/>
      </w:pPr>
      <w:r w:rsidRPr="00A7082A">
        <w:t>Revise, in collaboration with the Partnership, the draft report, taking due account of the further input received from parties and others;</w:t>
      </w:r>
    </w:p>
    <w:p w14:paraId="38FB3908" w14:textId="77777777" w:rsidR="003F4DA7" w:rsidRPr="00A7082A" w:rsidRDefault="003F4DA7" w:rsidP="003F4DA7">
      <w:pPr>
        <w:numPr>
          <w:ilvl w:val="0"/>
          <w:numId w:val="25"/>
        </w:numPr>
        <w:tabs>
          <w:tab w:val="left" w:pos="624"/>
        </w:tabs>
        <w:spacing w:after="120"/>
        <w:ind w:left="1247" w:firstLine="624"/>
      </w:pPr>
      <w:r w:rsidRPr="00A7082A">
        <w:t>Submit the final report to the Conference of the Parties at its fourth meeting for its consideration.</w:t>
      </w:r>
    </w:p>
    <w:p w14:paraId="3AA6BEB9" w14:textId="77777777" w:rsidR="00A35F55" w:rsidRPr="00A7082A" w:rsidRDefault="00A35F55" w:rsidP="00BE13CD">
      <w:pPr>
        <w:pStyle w:val="Normal-pool"/>
        <w:rPr>
          <w:sz w:val="24"/>
          <w:szCs w:val="24"/>
        </w:rPr>
      </w:pPr>
      <w:bookmarkStart w:id="48" w:name="_Toc27124744"/>
      <w:r w:rsidRPr="00A7082A">
        <w:br w:type="page"/>
      </w:r>
    </w:p>
    <w:p w14:paraId="4329C502" w14:textId="39117062" w:rsidR="003F4DA7" w:rsidRPr="00A7082A" w:rsidRDefault="00B56FE3" w:rsidP="009557F8">
      <w:pPr>
        <w:pStyle w:val="CH1"/>
      </w:pPr>
      <w:r w:rsidRPr="00A7082A">
        <w:lastRenderedPageBreak/>
        <w:tab/>
      </w:r>
      <w:r w:rsidRPr="00A7082A">
        <w:tab/>
      </w:r>
      <w:r w:rsidR="003F4DA7" w:rsidRPr="00A7082A">
        <w:t>MC-3/4: Releases of mercury</w:t>
      </w:r>
      <w:bookmarkEnd w:id="48"/>
    </w:p>
    <w:p w14:paraId="3477A330" w14:textId="70F0BB54" w:rsidR="003F4DA7" w:rsidRPr="00A7082A" w:rsidRDefault="003F4DA7" w:rsidP="00BE13CD">
      <w:pPr>
        <w:tabs>
          <w:tab w:val="clear" w:pos="1247"/>
          <w:tab w:val="clear" w:pos="1814"/>
          <w:tab w:val="clear" w:pos="2381"/>
          <w:tab w:val="clear" w:pos="2948"/>
          <w:tab w:val="clear" w:pos="3515"/>
          <w:tab w:val="left" w:pos="624"/>
        </w:tabs>
        <w:spacing w:after="120"/>
        <w:ind w:left="1247" w:firstLine="624"/>
        <w:rPr>
          <w:i/>
        </w:rPr>
      </w:pPr>
      <w:r w:rsidRPr="00A7082A">
        <w:rPr>
          <w:i/>
        </w:rPr>
        <w:tab/>
        <w:t>The Conference of the Parties</w:t>
      </w:r>
      <w:r w:rsidR="003D5434" w:rsidRPr="00A7082A">
        <w:rPr>
          <w:i/>
        </w:rPr>
        <w:t>,</w:t>
      </w:r>
    </w:p>
    <w:p w14:paraId="6CBC2A86" w14:textId="77777777" w:rsidR="003F4DA7" w:rsidRPr="00A7082A" w:rsidRDefault="003F4DA7" w:rsidP="00BE13CD">
      <w:pPr>
        <w:tabs>
          <w:tab w:val="clear" w:pos="1247"/>
          <w:tab w:val="clear" w:pos="1814"/>
          <w:tab w:val="clear" w:pos="2381"/>
          <w:tab w:val="clear" w:pos="2948"/>
          <w:tab w:val="clear" w:pos="3515"/>
          <w:tab w:val="left" w:pos="624"/>
        </w:tabs>
        <w:spacing w:after="120"/>
        <w:ind w:left="1247" w:firstLine="624"/>
        <w:rPr>
          <w:bCs/>
        </w:rPr>
      </w:pPr>
      <w:r w:rsidRPr="00A7082A">
        <w:rPr>
          <w:bCs/>
          <w:i/>
          <w:iCs/>
        </w:rPr>
        <w:t>Welcoming</w:t>
      </w:r>
      <w:r w:rsidRPr="00A7082A">
        <w:rPr>
          <w:bCs/>
        </w:rPr>
        <w:t xml:space="preserve"> the report of the group of technical experts on guidance in relation to mercury releases established pursuant to decision MC-2/3,</w:t>
      </w:r>
    </w:p>
    <w:p w14:paraId="09B83877" w14:textId="77777777" w:rsidR="003F4DA7" w:rsidRPr="00A7082A" w:rsidRDefault="003F4DA7" w:rsidP="00BE13CD">
      <w:pPr>
        <w:tabs>
          <w:tab w:val="clear" w:pos="1247"/>
          <w:tab w:val="clear" w:pos="1814"/>
          <w:tab w:val="clear" w:pos="2381"/>
          <w:tab w:val="clear" w:pos="2948"/>
          <w:tab w:val="clear" w:pos="3515"/>
          <w:tab w:val="left" w:pos="624"/>
        </w:tabs>
        <w:spacing w:after="120"/>
        <w:ind w:left="1247" w:firstLine="624"/>
        <w:rPr>
          <w:bCs/>
        </w:rPr>
      </w:pPr>
      <w:r w:rsidRPr="00A7082A">
        <w:rPr>
          <w:bCs/>
          <w:i/>
          <w:iCs/>
        </w:rPr>
        <w:t xml:space="preserve">Recognizing </w:t>
      </w:r>
      <w:r w:rsidRPr="00A7082A">
        <w:rPr>
          <w:bCs/>
        </w:rPr>
        <w:t>that the group was requested in decision MC-2/3 to develop draft guidance on standardized and known methodologies for preparing inventories for identified relevant point sources for possible adoption by the Conference of the Parties at its fourth meeting,</w:t>
      </w:r>
    </w:p>
    <w:p w14:paraId="7B5AE25A" w14:textId="77777777" w:rsidR="003F4DA7" w:rsidRPr="00A7082A" w:rsidRDefault="003F4DA7" w:rsidP="00BE13CD">
      <w:pPr>
        <w:tabs>
          <w:tab w:val="clear" w:pos="1247"/>
          <w:tab w:val="clear" w:pos="1814"/>
          <w:tab w:val="clear" w:pos="2381"/>
          <w:tab w:val="clear" w:pos="2948"/>
          <w:tab w:val="clear" w:pos="3515"/>
          <w:tab w:val="left" w:pos="624"/>
        </w:tabs>
        <w:spacing w:after="120"/>
        <w:ind w:left="1247" w:firstLine="624"/>
        <w:rPr>
          <w:bCs/>
        </w:rPr>
      </w:pPr>
      <w:r w:rsidRPr="00A7082A">
        <w:rPr>
          <w:bCs/>
          <w:i/>
          <w:iCs/>
        </w:rPr>
        <w:t>Recognizing also</w:t>
      </w:r>
      <w:r w:rsidRPr="00A7082A">
        <w:rPr>
          <w:bCs/>
        </w:rPr>
        <w:t xml:space="preserve"> that the Conference of the Parties decided in decision MC-2/3 to consider again, at its third meeting, the composition of the expert group and the need for the group to meet face to face,</w:t>
      </w:r>
    </w:p>
    <w:p w14:paraId="68AA8E94" w14:textId="075DBE2C" w:rsidR="003F4DA7" w:rsidRPr="00A7082A" w:rsidRDefault="003F4DA7" w:rsidP="003F4DA7">
      <w:pPr>
        <w:numPr>
          <w:ilvl w:val="0"/>
          <w:numId w:val="34"/>
        </w:numPr>
        <w:tabs>
          <w:tab w:val="clear" w:pos="1247"/>
          <w:tab w:val="clear" w:pos="1814"/>
          <w:tab w:val="clear" w:pos="2381"/>
          <w:tab w:val="clear" w:pos="2948"/>
          <w:tab w:val="clear" w:pos="3515"/>
          <w:tab w:val="left" w:pos="624"/>
        </w:tabs>
        <w:spacing w:after="120"/>
        <w:ind w:left="1247" w:firstLine="624"/>
        <w:rPr>
          <w:bCs/>
        </w:rPr>
      </w:pPr>
      <w:r w:rsidRPr="00A7082A">
        <w:rPr>
          <w:bCs/>
          <w:i/>
          <w:iCs/>
        </w:rPr>
        <w:t>Invites</w:t>
      </w:r>
      <w:r w:rsidRPr="00A7082A">
        <w:rPr>
          <w:bCs/>
        </w:rPr>
        <w:t xml:space="preserve"> parties to confirm the current members of the group, nominate new members or replace members, as appropriate, through the Bureau </w:t>
      </w:r>
      <w:r w:rsidR="003D5434" w:rsidRPr="00A7082A">
        <w:rPr>
          <w:bCs/>
        </w:rPr>
        <w:t>members</w:t>
      </w:r>
      <w:r w:rsidRPr="00A7082A">
        <w:rPr>
          <w:bCs/>
        </w:rPr>
        <w:t>;</w:t>
      </w:r>
    </w:p>
    <w:p w14:paraId="722CB594" w14:textId="6D112056" w:rsidR="003F4DA7" w:rsidRPr="00A7082A" w:rsidRDefault="003F4DA7" w:rsidP="003F4DA7">
      <w:pPr>
        <w:numPr>
          <w:ilvl w:val="0"/>
          <w:numId w:val="34"/>
        </w:numPr>
        <w:tabs>
          <w:tab w:val="clear" w:pos="1247"/>
          <w:tab w:val="clear" w:pos="1814"/>
          <w:tab w:val="clear" w:pos="2381"/>
          <w:tab w:val="clear" w:pos="2948"/>
          <w:tab w:val="clear" w:pos="3515"/>
          <w:tab w:val="left" w:pos="624"/>
        </w:tabs>
        <w:spacing w:after="120"/>
        <w:ind w:left="1247" w:firstLine="624"/>
        <w:rPr>
          <w:bCs/>
        </w:rPr>
      </w:pPr>
      <w:r w:rsidRPr="00A7082A">
        <w:rPr>
          <w:bCs/>
          <w:i/>
          <w:iCs/>
        </w:rPr>
        <w:t>Requests</w:t>
      </w:r>
      <w:r w:rsidRPr="00A7082A">
        <w:rPr>
          <w:bCs/>
        </w:rPr>
        <w:t xml:space="preserve"> the group to continue to work by electronic means, with the possibility of one face-to-face meeting</w:t>
      </w:r>
      <w:r w:rsidR="003D5434" w:rsidRPr="00A7082A">
        <w:rPr>
          <w:bCs/>
        </w:rPr>
        <w:t>,</w:t>
      </w:r>
      <w:r w:rsidRPr="00A7082A">
        <w:rPr>
          <w:bCs/>
        </w:rPr>
        <w:t xml:space="preserve"> if necessary and subject to the availability of resources, in line with the road map set out in </w:t>
      </w:r>
      <w:r w:rsidR="003D5434" w:rsidRPr="00A7082A">
        <w:rPr>
          <w:bCs/>
        </w:rPr>
        <w:t xml:space="preserve">the report on the development of guidance on methodologies for inventories of mercury releases to land and water under article 9 of the </w:t>
      </w:r>
      <w:r w:rsidR="00311769" w:rsidRPr="00A7082A">
        <w:rPr>
          <w:bCs/>
        </w:rPr>
        <w:t>Convention</w:t>
      </w:r>
      <w:r w:rsidRPr="00A7082A">
        <w:rPr>
          <w:bCs/>
        </w:rPr>
        <w:t>,</w:t>
      </w:r>
      <w:r w:rsidR="003D5434" w:rsidRPr="00A7082A">
        <w:rPr>
          <w:rStyle w:val="FootnoteReference"/>
          <w:bCs/>
        </w:rPr>
        <w:footnoteReference w:id="2"/>
      </w:r>
      <w:r w:rsidRPr="00A7082A">
        <w:rPr>
          <w:bCs/>
        </w:rPr>
        <w:t xml:space="preserve"> to produce a</w:t>
      </w:r>
      <w:r w:rsidRPr="00A7082A">
        <w:t xml:space="preserve"> report including draft guidance on the methodology for preparing inventories of releases, the proposed categories of point sources of releases and a road map for the development of guidance on best available techniques and best environmental practices</w:t>
      </w:r>
      <w:r w:rsidRPr="00A7082A">
        <w:rPr>
          <w:bCs/>
        </w:rPr>
        <w:t>;</w:t>
      </w:r>
    </w:p>
    <w:p w14:paraId="383EEB99" w14:textId="7E9645BD" w:rsidR="003F4DA7" w:rsidRPr="00A7082A" w:rsidRDefault="003F4DA7" w:rsidP="003F4DA7">
      <w:pPr>
        <w:numPr>
          <w:ilvl w:val="0"/>
          <w:numId w:val="34"/>
        </w:numPr>
        <w:tabs>
          <w:tab w:val="clear" w:pos="1247"/>
          <w:tab w:val="clear" w:pos="1814"/>
          <w:tab w:val="clear" w:pos="2381"/>
          <w:tab w:val="clear" w:pos="2948"/>
          <w:tab w:val="clear" w:pos="3515"/>
          <w:tab w:val="left" w:pos="624"/>
        </w:tabs>
        <w:spacing w:after="120"/>
        <w:ind w:left="1247" w:firstLine="624"/>
        <w:rPr>
          <w:bCs/>
          <w:i/>
          <w:iCs/>
        </w:rPr>
      </w:pPr>
      <w:r w:rsidRPr="00A7082A">
        <w:rPr>
          <w:bCs/>
          <w:i/>
          <w:iCs/>
        </w:rPr>
        <w:t xml:space="preserve">Also requests </w:t>
      </w:r>
      <w:r w:rsidRPr="00A7082A">
        <w:rPr>
          <w:bCs/>
        </w:rPr>
        <w:t>the group to base its work on the following considerations:</w:t>
      </w:r>
    </w:p>
    <w:p w14:paraId="60E117BC" w14:textId="77777777" w:rsidR="003F4DA7" w:rsidRPr="00A7082A" w:rsidRDefault="003F4DA7" w:rsidP="006D4DE3">
      <w:pPr>
        <w:pStyle w:val="Normalnumber"/>
        <w:numPr>
          <w:ilvl w:val="0"/>
          <w:numId w:val="98"/>
        </w:numPr>
        <w:tabs>
          <w:tab w:val="clear" w:pos="1134"/>
          <w:tab w:val="clear" w:pos="1247"/>
        </w:tabs>
        <w:ind w:firstLine="624"/>
      </w:pPr>
      <w:r w:rsidRPr="00A7082A">
        <w:t>The proposed categories should not include potentially significant relevant point sources for which releases are addressed in other provisions of the Minamata Convention on Mercury, irrespective of whether those other provisions include an inventory obligation;</w:t>
      </w:r>
    </w:p>
    <w:p w14:paraId="36586841" w14:textId="77777777" w:rsidR="003F4DA7" w:rsidRPr="00A7082A" w:rsidRDefault="003F4DA7" w:rsidP="006D4DE3">
      <w:pPr>
        <w:pStyle w:val="Normalnumber"/>
        <w:numPr>
          <w:ilvl w:val="0"/>
          <w:numId w:val="98"/>
        </w:numPr>
        <w:tabs>
          <w:tab w:val="clear" w:pos="1134"/>
          <w:tab w:val="clear" w:pos="1247"/>
        </w:tabs>
        <w:ind w:firstLine="624"/>
      </w:pPr>
      <w:r w:rsidRPr="00A7082A">
        <w:t>Given that article 9 of the Convention concerns relevant point sources, diffuse sources should not be included in the proposed categories. The categories identified in the guidance should also be limited to those source categories for which mercury releases have been documented;</w:t>
      </w:r>
    </w:p>
    <w:p w14:paraId="78A46119" w14:textId="77777777" w:rsidR="003F4DA7" w:rsidRPr="00A7082A" w:rsidRDefault="003F4DA7" w:rsidP="006D4DE3">
      <w:pPr>
        <w:pStyle w:val="Normalnumber"/>
        <w:numPr>
          <w:ilvl w:val="0"/>
          <w:numId w:val="98"/>
        </w:numPr>
        <w:tabs>
          <w:tab w:val="clear" w:pos="1134"/>
          <w:tab w:val="clear" w:pos="1247"/>
        </w:tabs>
        <w:ind w:firstLine="624"/>
      </w:pPr>
      <w:r w:rsidRPr="00A7082A">
        <w:t xml:space="preserve">The obligation to ensure the environmentally sound management of waste set out under the Convention addresses significant releases to land and water; </w:t>
      </w:r>
    </w:p>
    <w:p w14:paraId="552DF3F7" w14:textId="77777777" w:rsidR="003F4DA7" w:rsidRPr="00A7082A" w:rsidRDefault="003F4DA7" w:rsidP="006D4DE3">
      <w:pPr>
        <w:pStyle w:val="Normalnumber"/>
        <w:numPr>
          <w:ilvl w:val="0"/>
          <w:numId w:val="98"/>
        </w:numPr>
        <w:tabs>
          <w:tab w:val="clear" w:pos="1134"/>
          <w:tab w:val="clear" w:pos="1247"/>
        </w:tabs>
        <w:ind w:firstLine="624"/>
      </w:pPr>
      <w:r w:rsidRPr="00A7082A">
        <w:t>While wastewater is addressed under article 9, parties may additionally control wastewater under article 11 of the Convention;</w:t>
      </w:r>
    </w:p>
    <w:p w14:paraId="5EF53C8C" w14:textId="46DB2BAD" w:rsidR="003F4DA7" w:rsidRPr="00A7082A" w:rsidRDefault="003F4DA7" w:rsidP="006D4DE3">
      <w:pPr>
        <w:pStyle w:val="Normalnumber"/>
        <w:numPr>
          <w:ilvl w:val="0"/>
          <w:numId w:val="98"/>
        </w:numPr>
        <w:tabs>
          <w:tab w:val="clear" w:pos="1134"/>
          <w:tab w:val="clear" w:pos="1247"/>
        </w:tabs>
        <w:ind w:firstLine="624"/>
      </w:pPr>
      <w:r w:rsidRPr="00A7082A">
        <w:t>Subject to the completion of the work outlined above, and with a view to help</w:t>
      </w:r>
      <w:r w:rsidR="003D5434" w:rsidRPr="00A7082A">
        <w:t>ing</w:t>
      </w:r>
      <w:r w:rsidRPr="00A7082A">
        <w:t xml:space="preserve"> parties that wish to widen the scope of the inventory referred to in paragraph 6 of article 9 to additional point sources other than those covered by article 9, the guidance on the methodology for preparing inventories of releases should also provide information on significant point sources of releases covered by other provisions of the Convention</w:t>
      </w:r>
      <w:r w:rsidR="00FB142F" w:rsidRPr="00A7082A">
        <w:t>;</w:t>
      </w:r>
    </w:p>
    <w:p w14:paraId="01209D55" w14:textId="77777777" w:rsidR="003F4DA7" w:rsidRPr="00A7082A" w:rsidRDefault="003F4DA7" w:rsidP="003F4DA7">
      <w:pPr>
        <w:numPr>
          <w:ilvl w:val="0"/>
          <w:numId w:val="34"/>
        </w:numPr>
        <w:tabs>
          <w:tab w:val="clear" w:pos="1247"/>
          <w:tab w:val="clear" w:pos="1814"/>
          <w:tab w:val="clear" w:pos="2381"/>
          <w:tab w:val="clear" w:pos="2948"/>
          <w:tab w:val="clear" w:pos="3515"/>
          <w:tab w:val="left" w:pos="624"/>
        </w:tabs>
        <w:spacing w:after="120"/>
        <w:ind w:left="1247" w:firstLine="624"/>
        <w:rPr>
          <w:bCs/>
        </w:rPr>
      </w:pPr>
      <w:r w:rsidRPr="00A7082A">
        <w:rPr>
          <w:bCs/>
          <w:i/>
          <w:iCs/>
        </w:rPr>
        <w:t>Requests</w:t>
      </w:r>
      <w:r w:rsidRPr="00A7082A">
        <w:rPr>
          <w:bCs/>
        </w:rPr>
        <w:t xml:space="preserve"> the secretariat to continue to support the work of the group.</w:t>
      </w:r>
    </w:p>
    <w:p w14:paraId="15C08A33" w14:textId="77777777" w:rsidR="00A35F55" w:rsidRPr="00A7082A" w:rsidRDefault="00A35F55" w:rsidP="00F65CA1">
      <w:pPr>
        <w:pStyle w:val="Normal-pool"/>
      </w:pPr>
      <w:bookmarkStart w:id="49" w:name="_Toc27124746"/>
      <w:r w:rsidRPr="00A7082A">
        <w:br w:type="page"/>
      </w:r>
    </w:p>
    <w:p w14:paraId="5B406A84" w14:textId="61276430" w:rsidR="003F4DA7" w:rsidRPr="00A7082A" w:rsidRDefault="00F65CA1" w:rsidP="009557F8">
      <w:pPr>
        <w:pStyle w:val="CH1"/>
      </w:pPr>
      <w:r w:rsidRPr="00A7082A">
        <w:lastRenderedPageBreak/>
        <w:tab/>
      </w:r>
      <w:r w:rsidRPr="00A7082A">
        <w:tab/>
      </w:r>
      <w:r w:rsidR="003F4DA7" w:rsidRPr="00A7082A">
        <w:t>MC-3/5: Mercury waste thresholds</w:t>
      </w:r>
      <w:bookmarkEnd w:id="49"/>
    </w:p>
    <w:p w14:paraId="51434356" w14:textId="77777777" w:rsidR="003F4DA7" w:rsidRPr="00A7082A" w:rsidRDefault="003F4DA7" w:rsidP="003F4DA7">
      <w:pPr>
        <w:tabs>
          <w:tab w:val="clear" w:pos="1247"/>
          <w:tab w:val="clear" w:pos="1814"/>
          <w:tab w:val="clear" w:pos="2381"/>
          <w:tab w:val="clear" w:pos="2948"/>
          <w:tab w:val="clear" w:pos="3515"/>
          <w:tab w:val="left" w:pos="624"/>
          <w:tab w:val="left" w:pos="4082"/>
        </w:tabs>
        <w:spacing w:after="120"/>
        <w:ind w:left="1247" w:firstLine="624"/>
        <w:rPr>
          <w:i/>
        </w:rPr>
      </w:pPr>
      <w:r w:rsidRPr="00A7082A">
        <w:rPr>
          <w:i/>
        </w:rPr>
        <w:t>The Conference of the Parties,</w:t>
      </w:r>
    </w:p>
    <w:p w14:paraId="1C7B2970" w14:textId="77777777" w:rsidR="003F4DA7" w:rsidRPr="00A7082A" w:rsidRDefault="003F4DA7" w:rsidP="003F4DA7">
      <w:pPr>
        <w:tabs>
          <w:tab w:val="clear" w:pos="1247"/>
          <w:tab w:val="clear" w:pos="1814"/>
          <w:tab w:val="clear" w:pos="2381"/>
          <w:tab w:val="clear" w:pos="2948"/>
          <w:tab w:val="clear" w:pos="3515"/>
          <w:tab w:val="left" w:pos="624"/>
          <w:tab w:val="left" w:pos="4082"/>
        </w:tabs>
        <w:spacing w:after="120"/>
        <w:ind w:left="1247" w:firstLine="624"/>
      </w:pPr>
      <w:r w:rsidRPr="00A7082A">
        <w:rPr>
          <w:i/>
        </w:rPr>
        <w:t xml:space="preserve">Welcoming </w:t>
      </w:r>
      <w:r w:rsidRPr="00A7082A">
        <w:t>the outcome of the work of the group of technical experts on mercury waste thresholds,</w:t>
      </w:r>
    </w:p>
    <w:p w14:paraId="3BF17672" w14:textId="12CEAFA6" w:rsidR="003F4DA7" w:rsidRPr="00A7082A" w:rsidRDefault="003F4DA7" w:rsidP="003F4DA7">
      <w:pPr>
        <w:tabs>
          <w:tab w:val="clear" w:pos="1247"/>
          <w:tab w:val="clear" w:pos="1814"/>
          <w:tab w:val="clear" w:pos="2381"/>
          <w:tab w:val="clear" w:pos="2948"/>
          <w:tab w:val="clear" w:pos="3515"/>
          <w:tab w:val="left" w:pos="624"/>
          <w:tab w:val="left" w:pos="4082"/>
        </w:tabs>
        <w:spacing w:after="120"/>
        <w:ind w:left="1247" w:firstLine="624"/>
      </w:pPr>
      <w:r w:rsidRPr="00A7082A">
        <w:rPr>
          <w:i/>
        </w:rPr>
        <w:t xml:space="preserve">Taking note of </w:t>
      </w:r>
      <w:r w:rsidRPr="00A7082A">
        <w:t>decision BC-14/8</w:t>
      </w:r>
      <w:r w:rsidR="00482B20" w:rsidRPr="00A7082A">
        <w:t>, on technical guidelines on the environmentally sound management of wastes consisting of, containing or contaminated with mercury or mercury compounds,</w:t>
      </w:r>
      <w:r w:rsidRPr="00A7082A">
        <w:t xml:space="preserve"> adopted by the Conference of the Parties to the Basel Convention on the Control of Transboundary Movements of Hazardous Wastes and Their Disposal at its fourteenth meeting,</w:t>
      </w:r>
    </w:p>
    <w:p w14:paraId="3959B534" w14:textId="77777777" w:rsidR="003F4DA7" w:rsidRPr="00A7082A" w:rsidRDefault="003F4DA7" w:rsidP="003F4DA7">
      <w:pPr>
        <w:numPr>
          <w:ilvl w:val="0"/>
          <w:numId w:val="29"/>
        </w:numPr>
        <w:tabs>
          <w:tab w:val="clear" w:pos="1247"/>
          <w:tab w:val="clear" w:pos="1814"/>
          <w:tab w:val="clear" w:pos="2381"/>
          <w:tab w:val="clear" w:pos="2948"/>
          <w:tab w:val="clear" w:pos="3515"/>
          <w:tab w:val="left" w:pos="624"/>
        </w:tabs>
        <w:spacing w:after="120"/>
        <w:ind w:left="1247" w:firstLine="624"/>
        <w:rPr>
          <w:rFonts w:eastAsia="MS PGothic"/>
        </w:rPr>
      </w:pPr>
      <w:r w:rsidRPr="00A7082A">
        <w:rPr>
          <w:i/>
        </w:rPr>
        <w:t>Decides</w:t>
      </w:r>
      <w:r w:rsidRPr="00A7082A">
        <w:rPr>
          <w:rFonts w:eastAsia="MS PGothic"/>
        </w:rPr>
        <w:t xml:space="preserve"> that no threshold needs to be established for mercury waste falling under subparagraph 2 (a) of article 11, and that waste listed in table 1 of the annex to the present decision shall be regarded as such mercury waste;</w:t>
      </w:r>
    </w:p>
    <w:p w14:paraId="418951CD" w14:textId="77777777" w:rsidR="003F4DA7" w:rsidRPr="00A7082A" w:rsidRDefault="003F4DA7" w:rsidP="003F4DA7">
      <w:pPr>
        <w:numPr>
          <w:ilvl w:val="0"/>
          <w:numId w:val="29"/>
        </w:numPr>
        <w:tabs>
          <w:tab w:val="clear" w:pos="1247"/>
          <w:tab w:val="clear" w:pos="1814"/>
          <w:tab w:val="clear" w:pos="2381"/>
          <w:tab w:val="clear" w:pos="2948"/>
          <w:tab w:val="clear" w:pos="3515"/>
          <w:tab w:val="left" w:pos="624"/>
        </w:tabs>
        <w:spacing w:after="120"/>
        <w:ind w:left="1247" w:firstLine="624"/>
        <w:rPr>
          <w:rFonts w:eastAsia="MS PGothic"/>
        </w:rPr>
      </w:pPr>
      <w:r w:rsidRPr="00A7082A">
        <w:rPr>
          <w:rFonts w:eastAsia="MS PGothic"/>
          <w:i/>
          <w:iCs/>
        </w:rPr>
        <w:t>Also decides</w:t>
      </w:r>
      <w:r w:rsidRPr="00A7082A">
        <w:rPr>
          <w:rFonts w:eastAsia="MS PGothic"/>
        </w:rPr>
        <w:t xml:space="preserve"> that no threshold needs to be established for mercury waste falling under subparagraph 2 (b) of article 11, and that </w:t>
      </w:r>
      <w:r w:rsidRPr="00A7082A">
        <w:t>mercury-added products</w:t>
      </w:r>
      <w:r w:rsidRPr="00A7082A" w:rsidDel="00831E59">
        <w:rPr>
          <w:rFonts w:eastAsia="MS PGothic"/>
        </w:rPr>
        <w:t xml:space="preserve"> </w:t>
      </w:r>
      <w:r w:rsidRPr="00A7082A">
        <w:rPr>
          <w:rFonts w:eastAsia="MS PGothic"/>
        </w:rPr>
        <w:t>that are disposed of, are intended to be disposed of or are required to be disposed of, including those listed in table 2 of the annex to the present decision, will be regarded as such mercury waste;</w:t>
      </w:r>
    </w:p>
    <w:p w14:paraId="4C13EB01" w14:textId="3F3B6532" w:rsidR="003F4DA7" w:rsidRPr="00A7082A" w:rsidRDefault="003F4DA7" w:rsidP="003F4DA7">
      <w:pPr>
        <w:numPr>
          <w:ilvl w:val="0"/>
          <w:numId w:val="29"/>
        </w:numPr>
        <w:tabs>
          <w:tab w:val="clear" w:pos="1247"/>
          <w:tab w:val="clear" w:pos="1814"/>
          <w:tab w:val="clear" w:pos="2381"/>
          <w:tab w:val="clear" w:pos="2948"/>
          <w:tab w:val="clear" w:pos="3515"/>
          <w:tab w:val="left" w:pos="624"/>
        </w:tabs>
        <w:spacing w:after="120"/>
        <w:ind w:left="1247" w:firstLine="624"/>
        <w:rPr>
          <w:rFonts w:eastAsia="MS PGothic"/>
        </w:rPr>
      </w:pPr>
      <w:r w:rsidRPr="00A7082A">
        <w:rPr>
          <w:rFonts w:eastAsia="MS PGothic"/>
          <w:i/>
        </w:rPr>
        <w:t xml:space="preserve">Requests </w:t>
      </w:r>
      <w:r w:rsidRPr="00A7082A">
        <w:rPr>
          <w:rFonts w:eastAsia="MS PGothic"/>
        </w:rPr>
        <w:t xml:space="preserve">the group of technical experts to further substantiate its present recommendation </w:t>
      </w:r>
      <w:bookmarkStart w:id="50" w:name="_Hlk38282890"/>
      <w:r w:rsidRPr="00A7082A">
        <w:rPr>
          <w:rFonts w:eastAsia="MS PGothic"/>
        </w:rPr>
        <w:t>that a total concentration threshold</w:t>
      </w:r>
      <w:bookmarkEnd w:id="50"/>
      <w:r w:rsidRPr="00A7082A">
        <w:rPr>
          <w:rFonts w:eastAsia="MS PGothic"/>
        </w:rPr>
        <w:t xml:space="preserve"> may be appropriate for mercury wastes falling under subparagraph 2 (c) of article 11, including a technical analysis of options and the consideration of possible impacts;</w:t>
      </w:r>
    </w:p>
    <w:p w14:paraId="332B74C8" w14:textId="36F17D5C" w:rsidR="003F4DA7" w:rsidRPr="00A7082A" w:rsidRDefault="003F4DA7" w:rsidP="003F4DA7">
      <w:pPr>
        <w:numPr>
          <w:ilvl w:val="0"/>
          <w:numId w:val="29"/>
        </w:numPr>
        <w:tabs>
          <w:tab w:val="clear" w:pos="1247"/>
          <w:tab w:val="clear" w:pos="1814"/>
          <w:tab w:val="clear" w:pos="2381"/>
          <w:tab w:val="clear" w:pos="2948"/>
          <w:tab w:val="clear" w:pos="3515"/>
          <w:tab w:val="left" w:pos="624"/>
        </w:tabs>
        <w:spacing w:after="120"/>
        <w:ind w:left="1247" w:firstLine="624"/>
        <w:rPr>
          <w:rFonts w:eastAsia="MS PGothic"/>
        </w:rPr>
      </w:pPr>
      <w:r w:rsidRPr="00A7082A">
        <w:rPr>
          <w:rFonts w:eastAsia="MS PGothic"/>
          <w:i/>
        </w:rPr>
        <w:t>Requests</w:t>
      </w:r>
      <w:r w:rsidRPr="00A7082A">
        <w:rPr>
          <w:rFonts w:eastAsia="MS PGothic"/>
        </w:rPr>
        <w:t xml:space="preserve"> the secretariat, in cooperation with the artisanal and </w:t>
      </w:r>
      <w:r w:rsidR="00073984" w:rsidRPr="00A7082A">
        <w:rPr>
          <w:rFonts w:eastAsia="MS PGothic"/>
        </w:rPr>
        <w:t>small</w:t>
      </w:r>
      <w:r w:rsidR="00073984" w:rsidRPr="00A7082A">
        <w:rPr>
          <w:rFonts w:eastAsia="MS PGothic"/>
        </w:rPr>
        <w:noBreakHyphen/>
        <w:t>scale</w:t>
      </w:r>
      <w:r w:rsidRPr="00A7082A">
        <w:rPr>
          <w:rFonts w:eastAsia="MS PGothic"/>
        </w:rPr>
        <w:t xml:space="preserve"> gold mining partnership area, to seek comments from parties and other stakeholders to improve the guidance on the preparation of national action plans for artisanal and </w:t>
      </w:r>
      <w:r w:rsidR="00073984" w:rsidRPr="00A7082A">
        <w:rPr>
          <w:rFonts w:eastAsia="MS PGothic"/>
        </w:rPr>
        <w:t>small</w:t>
      </w:r>
      <w:r w:rsidR="00073984" w:rsidRPr="00A7082A">
        <w:rPr>
          <w:rFonts w:eastAsia="MS PGothic"/>
        </w:rPr>
        <w:noBreakHyphen/>
        <w:t>scale</w:t>
      </w:r>
      <w:r w:rsidRPr="00A7082A">
        <w:rPr>
          <w:rFonts w:eastAsia="MS PGothic"/>
        </w:rPr>
        <w:t xml:space="preserve"> gold mining regarding management of tailings from such mining, with a view to presenting a revised version of the guidance for consideration and possible adoption by the Conference of the Parties at its fourth meeting;</w:t>
      </w:r>
    </w:p>
    <w:p w14:paraId="252BFA52" w14:textId="77777777" w:rsidR="003F4DA7" w:rsidRPr="00A7082A" w:rsidRDefault="003F4DA7" w:rsidP="003F4DA7">
      <w:pPr>
        <w:numPr>
          <w:ilvl w:val="0"/>
          <w:numId w:val="29"/>
        </w:numPr>
        <w:tabs>
          <w:tab w:val="clear" w:pos="1247"/>
          <w:tab w:val="clear" w:pos="1814"/>
          <w:tab w:val="clear" w:pos="2381"/>
          <w:tab w:val="clear" w:pos="2948"/>
          <w:tab w:val="clear" w:pos="3515"/>
          <w:tab w:val="left" w:pos="624"/>
        </w:tabs>
        <w:spacing w:after="120"/>
        <w:ind w:left="1247" w:firstLine="624"/>
        <w:rPr>
          <w:rFonts w:eastAsia="MS PGothic"/>
          <w:iCs/>
        </w:rPr>
      </w:pPr>
      <w:r w:rsidRPr="00A7082A">
        <w:rPr>
          <w:rFonts w:eastAsia="MS PGothic"/>
          <w:i/>
        </w:rPr>
        <w:t xml:space="preserve">Decides </w:t>
      </w:r>
      <w:r w:rsidRPr="00A7082A">
        <w:rPr>
          <w:rFonts w:eastAsia="MS PGothic"/>
          <w:iCs/>
        </w:rPr>
        <w:t xml:space="preserve">that, at present, there is no need to develop thresholds for overburden and waste rock from mining other than primary mercury mining, and that thresholds for tailings from mining other than primary mercury mining should be established in a two-tiered approach using a totals concentration threshold as an initial screen and a leaching threshold as the second tier, and requests </w:t>
      </w:r>
      <w:r w:rsidRPr="00A7082A">
        <w:rPr>
          <w:rFonts w:eastAsia="MS PGothic"/>
        </w:rPr>
        <w:t>the group of technical experts to do further work to establish the thresholds;</w:t>
      </w:r>
    </w:p>
    <w:p w14:paraId="232ED137" w14:textId="78136EFB" w:rsidR="003F4DA7" w:rsidRPr="00A7082A" w:rsidRDefault="003F4DA7" w:rsidP="003F4DA7">
      <w:pPr>
        <w:numPr>
          <w:ilvl w:val="0"/>
          <w:numId w:val="29"/>
        </w:numPr>
        <w:tabs>
          <w:tab w:val="clear" w:pos="1247"/>
          <w:tab w:val="clear" w:pos="1814"/>
          <w:tab w:val="clear" w:pos="2381"/>
          <w:tab w:val="clear" w:pos="2948"/>
          <w:tab w:val="clear" w:pos="3515"/>
          <w:tab w:val="left" w:pos="624"/>
        </w:tabs>
        <w:spacing w:after="120"/>
        <w:ind w:left="1247" w:firstLine="624"/>
        <w:rPr>
          <w:rFonts w:eastAsia="MS PGothic"/>
        </w:rPr>
      </w:pPr>
      <w:r w:rsidRPr="00A7082A">
        <w:rPr>
          <w:rFonts w:eastAsia="MS PGothic"/>
          <w:i/>
        </w:rPr>
        <w:t>Also decides</w:t>
      </w:r>
      <w:r w:rsidRPr="00A7082A">
        <w:rPr>
          <w:rFonts w:eastAsia="MS PGothic"/>
        </w:rPr>
        <w:t xml:space="preserve"> </w:t>
      </w:r>
      <w:r w:rsidRPr="00A7082A">
        <w:rPr>
          <w:rFonts w:eastAsia="MS PGothic"/>
          <w:iCs/>
        </w:rPr>
        <w:t xml:space="preserve">to </w:t>
      </w:r>
      <w:r w:rsidRPr="00A7082A">
        <w:rPr>
          <w:rFonts w:eastAsia="MS PGothic"/>
        </w:rPr>
        <w:t xml:space="preserve">extend the mandate of the group of technical experts until the fourth meeting of the Conference of the Parties, and calls upon the secretariat to cooperate with the </w:t>
      </w:r>
      <w:r w:rsidR="00851014" w:rsidRPr="00A7082A">
        <w:rPr>
          <w:rFonts w:eastAsia="MS PGothic"/>
        </w:rPr>
        <w:t>s</w:t>
      </w:r>
      <w:r w:rsidRPr="00A7082A">
        <w:rPr>
          <w:rFonts w:eastAsia="MS PGothic"/>
        </w:rPr>
        <w:t>ecretariat of the Basel, Stockholm and Rotterdam Conventions to facilitate cooperation between the members of the technical expert group</w:t>
      </w:r>
      <w:r w:rsidR="00F55A86" w:rsidRPr="00A7082A">
        <w:rPr>
          <w:rFonts w:eastAsia="MS PGothic"/>
        </w:rPr>
        <w:t xml:space="preserve"> </w:t>
      </w:r>
      <w:r w:rsidRPr="00A7082A">
        <w:rPr>
          <w:rFonts w:eastAsia="MS PGothic"/>
        </w:rPr>
        <w:t xml:space="preserve">and </w:t>
      </w:r>
      <w:r w:rsidR="00B67989" w:rsidRPr="00A7082A">
        <w:rPr>
          <w:rFonts w:eastAsia="MS PGothic"/>
        </w:rPr>
        <w:t xml:space="preserve">of </w:t>
      </w:r>
      <w:r w:rsidRPr="00A7082A">
        <w:rPr>
          <w:rFonts w:eastAsia="MS PGothic"/>
        </w:rPr>
        <w:t>the small intersessional working group established under the Basel Convention to update the technical guidelines on the environmentally sound management of wastes consisting of, containing or contaminated with mercury or mercury compounds;</w:t>
      </w:r>
      <w:r w:rsidRPr="00A7082A">
        <w:rPr>
          <w:rFonts w:eastAsia="MS PGothic"/>
          <w:szCs w:val="18"/>
          <w:vertAlign w:val="superscript"/>
        </w:rPr>
        <w:footnoteReference w:id="3"/>
      </w:r>
    </w:p>
    <w:p w14:paraId="561CF203" w14:textId="77777777" w:rsidR="003F4DA7" w:rsidRPr="00A7082A" w:rsidRDefault="003F4DA7" w:rsidP="003F4DA7">
      <w:pPr>
        <w:numPr>
          <w:ilvl w:val="0"/>
          <w:numId w:val="29"/>
        </w:numPr>
        <w:tabs>
          <w:tab w:val="clear" w:pos="1247"/>
          <w:tab w:val="clear" w:pos="1814"/>
          <w:tab w:val="clear" w:pos="2381"/>
          <w:tab w:val="clear" w:pos="2948"/>
          <w:tab w:val="clear" w:pos="3515"/>
          <w:tab w:val="left" w:pos="624"/>
        </w:tabs>
        <w:spacing w:after="120"/>
        <w:ind w:left="1247" w:firstLine="624"/>
        <w:rPr>
          <w:rFonts w:eastAsia="MS PGothic"/>
          <w:i/>
        </w:rPr>
      </w:pPr>
      <w:r w:rsidRPr="00A7082A">
        <w:rPr>
          <w:rFonts w:eastAsia="MS PGothic"/>
          <w:i/>
        </w:rPr>
        <w:t xml:space="preserve">Further decides </w:t>
      </w:r>
      <w:r w:rsidRPr="00A7082A">
        <w:rPr>
          <w:rFonts w:eastAsia="MS PGothic"/>
          <w:iCs/>
        </w:rPr>
        <w:t xml:space="preserve">to extend the mandate of the group of technical experts to: </w:t>
      </w:r>
    </w:p>
    <w:p w14:paraId="2F7D3E6C" w14:textId="77777777" w:rsidR="003F4DA7" w:rsidRPr="00A7082A" w:rsidRDefault="003F4DA7" w:rsidP="0053069F">
      <w:pPr>
        <w:numPr>
          <w:ilvl w:val="0"/>
          <w:numId w:val="30"/>
        </w:numPr>
        <w:tabs>
          <w:tab w:val="clear" w:pos="1247"/>
          <w:tab w:val="clear" w:pos="1814"/>
          <w:tab w:val="clear" w:pos="2381"/>
          <w:tab w:val="clear" w:pos="2948"/>
          <w:tab w:val="clear" w:pos="3515"/>
          <w:tab w:val="left" w:pos="624"/>
        </w:tabs>
        <w:spacing w:after="120"/>
        <w:ind w:left="1247" w:firstLine="624"/>
        <w:rPr>
          <w:rFonts w:eastAsia="MS PGothic"/>
        </w:rPr>
      </w:pPr>
      <w:r w:rsidRPr="00A7082A">
        <w:rPr>
          <w:rFonts w:eastAsia="MS PGothic"/>
        </w:rPr>
        <w:t>Conduct a technical analysis of threshold options, considering the impacts of applying the proposed options, and make recommendations;</w:t>
      </w:r>
    </w:p>
    <w:p w14:paraId="72D08D33" w14:textId="1E3B2370" w:rsidR="003F4DA7" w:rsidRPr="00A7082A" w:rsidRDefault="003F4DA7" w:rsidP="003F4DA7">
      <w:pPr>
        <w:numPr>
          <w:ilvl w:val="0"/>
          <w:numId w:val="30"/>
        </w:numPr>
        <w:tabs>
          <w:tab w:val="clear" w:pos="1247"/>
          <w:tab w:val="clear" w:pos="1814"/>
          <w:tab w:val="clear" w:pos="2381"/>
          <w:tab w:val="clear" w:pos="2948"/>
          <w:tab w:val="clear" w:pos="3515"/>
          <w:tab w:val="left" w:pos="624"/>
        </w:tabs>
        <w:spacing w:after="120"/>
        <w:ind w:left="1247" w:firstLine="624"/>
        <w:rPr>
          <w:rFonts w:eastAsia="MS PGothic"/>
        </w:rPr>
      </w:pPr>
      <w:r w:rsidRPr="00A7082A">
        <w:rPr>
          <w:rFonts w:eastAsia="MS PGothic"/>
        </w:rPr>
        <w:t>Develop thresholds for mercury waste falling under</w:t>
      </w:r>
      <w:r w:rsidR="00B67989" w:rsidRPr="00A7082A">
        <w:rPr>
          <w:rFonts w:eastAsia="MS PGothic"/>
        </w:rPr>
        <w:t xml:space="preserve"> subparagraph</w:t>
      </w:r>
      <w:r w:rsidRPr="00A7082A">
        <w:rPr>
          <w:rFonts w:eastAsia="MS PGothic"/>
        </w:rPr>
        <w:t xml:space="preserve"> 2 (c) of article 11;</w:t>
      </w:r>
    </w:p>
    <w:p w14:paraId="45C5C0CF" w14:textId="17393F42" w:rsidR="003F4DA7" w:rsidRPr="00A7082A" w:rsidRDefault="003F4DA7" w:rsidP="003F4DA7">
      <w:pPr>
        <w:numPr>
          <w:ilvl w:val="0"/>
          <w:numId w:val="30"/>
        </w:numPr>
        <w:tabs>
          <w:tab w:val="clear" w:pos="1247"/>
          <w:tab w:val="clear" w:pos="1814"/>
          <w:tab w:val="clear" w:pos="2381"/>
          <w:tab w:val="clear" w:pos="2948"/>
          <w:tab w:val="clear" w:pos="3515"/>
          <w:tab w:val="left" w:pos="624"/>
        </w:tabs>
        <w:spacing w:after="120"/>
        <w:ind w:left="1247" w:firstLine="624"/>
        <w:rPr>
          <w:rFonts w:eastAsia="MS PGothic"/>
        </w:rPr>
      </w:pPr>
      <w:r w:rsidRPr="00A7082A">
        <w:rPr>
          <w:rFonts w:eastAsia="MS PGothic"/>
        </w:rPr>
        <w:t xml:space="preserve">Conduct analysis of whether tailings from artisanal and </w:t>
      </w:r>
      <w:r w:rsidR="00073984" w:rsidRPr="00A7082A">
        <w:rPr>
          <w:rFonts w:eastAsia="MS PGothic"/>
        </w:rPr>
        <w:t>small</w:t>
      </w:r>
      <w:r w:rsidR="00073984" w:rsidRPr="00A7082A">
        <w:rPr>
          <w:rFonts w:eastAsia="MS PGothic"/>
        </w:rPr>
        <w:noBreakHyphen/>
        <w:t>scale</w:t>
      </w:r>
      <w:r w:rsidRPr="00A7082A">
        <w:rPr>
          <w:rFonts w:eastAsia="MS PGothic"/>
        </w:rPr>
        <w:t xml:space="preserve"> gold mining should be subject to a threshold, taking into account the relationship between articles 11 and 7;</w:t>
      </w:r>
      <w:r w:rsidR="00F55A86" w:rsidRPr="00A7082A">
        <w:rPr>
          <w:rFonts w:eastAsia="MS PGothic"/>
        </w:rPr>
        <w:t xml:space="preserve"> </w:t>
      </w:r>
    </w:p>
    <w:p w14:paraId="4E829299" w14:textId="77777777" w:rsidR="003F4DA7" w:rsidRPr="00A7082A" w:rsidRDefault="003F4DA7" w:rsidP="003F4DA7">
      <w:pPr>
        <w:numPr>
          <w:ilvl w:val="0"/>
          <w:numId w:val="30"/>
        </w:numPr>
        <w:tabs>
          <w:tab w:val="clear" w:pos="1247"/>
          <w:tab w:val="clear" w:pos="1814"/>
          <w:tab w:val="clear" w:pos="2381"/>
          <w:tab w:val="clear" w:pos="2948"/>
          <w:tab w:val="clear" w:pos="3515"/>
          <w:tab w:val="left" w:pos="624"/>
        </w:tabs>
        <w:spacing w:after="120"/>
        <w:ind w:left="1247" w:firstLine="624"/>
        <w:rPr>
          <w:rFonts w:eastAsia="MS PGothic"/>
        </w:rPr>
      </w:pPr>
      <w:r w:rsidRPr="00A7082A">
        <w:rPr>
          <w:rFonts w:eastAsia="MS PGothic"/>
        </w:rPr>
        <w:t>Recommend thresholds for tailings from industrial-scale non-ferrous metal mining other than primary mercury mining;</w:t>
      </w:r>
    </w:p>
    <w:p w14:paraId="023EE9C7" w14:textId="557BE181" w:rsidR="003F4DA7" w:rsidRPr="00A7082A" w:rsidRDefault="003F4DA7" w:rsidP="003F4DA7">
      <w:pPr>
        <w:numPr>
          <w:ilvl w:val="0"/>
          <w:numId w:val="30"/>
        </w:numPr>
        <w:tabs>
          <w:tab w:val="clear" w:pos="1247"/>
          <w:tab w:val="clear" w:pos="1814"/>
          <w:tab w:val="clear" w:pos="2381"/>
          <w:tab w:val="clear" w:pos="2948"/>
          <w:tab w:val="clear" w:pos="3515"/>
          <w:tab w:val="left" w:pos="624"/>
        </w:tabs>
        <w:spacing w:after="120"/>
        <w:ind w:left="1247" w:firstLine="624"/>
        <w:rPr>
          <w:rFonts w:eastAsia="MS PGothic"/>
        </w:rPr>
      </w:pPr>
      <w:r w:rsidRPr="00A7082A">
        <w:rPr>
          <w:rFonts w:eastAsia="MS PGothic"/>
        </w:rPr>
        <w:t>Subject to completion of items (a) to (d) above, review, and possibly recommend a revision of, the list</w:t>
      </w:r>
      <w:r w:rsidR="008C1FBD" w:rsidRPr="00A7082A">
        <w:rPr>
          <w:rFonts w:eastAsia="MS PGothic"/>
        </w:rPr>
        <w:t>s</w:t>
      </w:r>
      <w:r w:rsidRPr="00A7082A">
        <w:rPr>
          <w:rFonts w:eastAsia="MS PGothic"/>
        </w:rPr>
        <w:t xml:space="preserve"> of mercury waste falling under subparagraphs 2 (a) to (c) of article 11, </w:t>
      </w:r>
      <w:r w:rsidR="00CE25B9" w:rsidRPr="00A7082A">
        <w:rPr>
          <w:rFonts w:eastAsia="MS PGothic"/>
        </w:rPr>
        <w:t xml:space="preserve">set out </w:t>
      </w:r>
      <w:r w:rsidR="008C1FBD" w:rsidRPr="00A7082A">
        <w:rPr>
          <w:rFonts w:eastAsia="MS PGothic"/>
        </w:rPr>
        <w:t>in tables 1,</w:t>
      </w:r>
      <w:r w:rsidR="00CE25B9" w:rsidRPr="00A7082A">
        <w:rPr>
          <w:rFonts w:eastAsia="MS PGothic"/>
        </w:rPr>
        <w:t xml:space="preserve"> </w:t>
      </w:r>
      <w:r w:rsidR="008C1FBD" w:rsidRPr="00A7082A">
        <w:rPr>
          <w:rFonts w:eastAsia="MS PGothic"/>
        </w:rPr>
        <w:t xml:space="preserve">2 and 3 of the annex to the present decision, </w:t>
      </w:r>
      <w:r w:rsidRPr="00A7082A">
        <w:rPr>
          <w:rFonts w:eastAsia="MS PGothic"/>
        </w:rPr>
        <w:t>as appropriate;</w:t>
      </w:r>
    </w:p>
    <w:p w14:paraId="429B23E0" w14:textId="0C86FA04" w:rsidR="003F4DA7" w:rsidRPr="00A7082A" w:rsidRDefault="003F4DA7" w:rsidP="003F4DA7">
      <w:pPr>
        <w:numPr>
          <w:ilvl w:val="0"/>
          <w:numId w:val="29"/>
        </w:numPr>
        <w:tabs>
          <w:tab w:val="clear" w:pos="1247"/>
          <w:tab w:val="clear" w:pos="1814"/>
          <w:tab w:val="clear" w:pos="2381"/>
          <w:tab w:val="clear" w:pos="2948"/>
          <w:tab w:val="clear" w:pos="3515"/>
          <w:tab w:val="left" w:pos="624"/>
        </w:tabs>
        <w:spacing w:after="120"/>
        <w:ind w:left="1247" w:firstLine="624"/>
        <w:rPr>
          <w:rFonts w:eastAsia="MS PGothic"/>
        </w:rPr>
      </w:pPr>
      <w:r w:rsidRPr="00A7082A">
        <w:rPr>
          <w:rFonts w:eastAsia="MS PGothic"/>
          <w:i/>
        </w:rPr>
        <w:t>Invites</w:t>
      </w:r>
      <w:r w:rsidRPr="00A7082A">
        <w:rPr>
          <w:rFonts w:eastAsia="MS PGothic"/>
        </w:rPr>
        <w:t xml:space="preserve"> parties to confirm the current members of the group of technical experts, nominate new members</w:t>
      </w:r>
      <w:r w:rsidR="008C1FBD" w:rsidRPr="00A7082A">
        <w:rPr>
          <w:rFonts w:eastAsia="MS PGothic"/>
        </w:rPr>
        <w:t>,</w:t>
      </w:r>
      <w:r w:rsidRPr="00A7082A">
        <w:rPr>
          <w:rFonts w:eastAsia="MS PGothic"/>
        </w:rPr>
        <w:t xml:space="preserve"> or replace members as appropriate </w:t>
      </w:r>
      <w:r w:rsidRPr="00A7082A">
        <w:rPr>
          <w:rFonts w:eastAsia="MS PGothic"/>
          <w:iCs/>
        </w:rPr>
        <w:t>through</w:t>
      </w:r>
      <w:r w:rsidRPr="00A7082A">
        <w:rPr>
          <w:rFonts w:eastAsia="MS PGothic"/>
        </w:rPr>
        <w:t xml:space="preserve"> the bureau members representing regions, taking into account the need for expertise in areas covered by the mandate of the group;</w:t>
      </w:r>
    </w:p>
    <w:p w14:paraId="54BC2523" w14:textId="28404CD9" w:rsidR="003F4DA7" w:rsidRPr="00A7082A" w:rsidRDefault="003F4DA7" w:rsidP="003F4DA7">
      <w:pPr>
        <w:numPr>
          <w:ilvl w:val="0"/>
          <w:numId w:val="29"/>
        </w:numPr>
        <w:tabs>
          <w:tab w:val="clear" w:pos="1247"/>
          <w:tab w:val="clear" w:pos="1814"/>
          <w:tab w:val="clear" w:pos="2381"/>
          <w:tab w:val="clear" w:pos="2948"/>
          <w:tab w:val="clear" w:pos="3515"/>
          <w:tab w:val="left" w:pos="624"/>
        </w:tabs>
        <w:spacing w:after="120"/>
        <w:ind w:left="1247" w:firstLine="624"/>
        <w:rPr>
          <w:rFonts w:eastAsia="MS PGothic"/>
        </w:rPr>
      </w:pPr>
      <w:r w:rsidRPr="00A7082A">
        <w:rPr>
          <w:rFonts w:eastAsia="MS PGothic"/>
          <w:i/>
        </w:rPr>
        <w:t>Decides</w:t>
      </w:r>
      <w:r w:rsidRPr="00A7082A">
        <w:rPr>
          <w:rFonts w:eastAsia="MS PGothic"/>
        </w:rPr>
        <w:t xml:space="preserve"> that</w:t>
      </w:r>
      <w:r w:rsidRPr="00A7082A">
        <w:rPr>
          <w:rFonts w:eastAsia="MS PGothic"/>
          <w:i/>
        </w:rPr>
        <w:t xml:space="preserve"> </w:t>
      </w:r>
      <w:r w:rsidRPr="00A7082A">
        <w:rPr>
          <w:rFonts w:eastAsia="MS PGothic"/>
          <w:iCs/>
        </w:rPr>
        <w:t>the group of technical experts will work by electronic means and will meet face</w:t>
      </w:r>
      <w:r w:rsidR="00D417B1" w:rsidRPr="00A7082A">
        <w:rPr>
          <w:rFonts w:eastAsia="MS PGothic"/>
          <w:iCs/>
        </w:rPr>
        <w:t xml:space="preserve"> </w:t>
      </w:r>
      <w:r w:rsidRPr="00A7082A">
        <w:rPr>
          <w:rFonts w:eastAsia="MS PGothic"/>
          <w:iCs/>
        </w:rPr>
        <w:t>to</w:t>
      </w:r>
      <w:r w:rsidR="00D417B1" w:rsidRPr="00A7082A">
        <w:rPr>
          <w:rFonts w:eastAsia="MS PGothic"/>
          <w:iCs/>
        </w:rPr>
        <w:t xml:space="preserve"> </w:t>
      </w:r>
      <w:r w:rsidRPr="00A7082A">
        <w:rPr>
          <w:rFonts w:eastAsia="MS PGothic"/>
          <w:iCs/>
        </w:rPr>
        <w:t xml:space="preserve">face once </w:t>
      </w:r>
      <w:r w:rsidRPr="00A7082A">
        <w:rPr>
          <w:rFonts w:eastAsia="MS PGothic"/>
        </w:rPr>
        <w:t xml:space="preserve">to address the matters mentioned in the previous paragraphs of the present </w:t>
      </w:r>
      <w:r w:rsidRPr="00A7082A">
        <w:rPr>
          <w:rFonts w:eastAsia="MS PGothic"/>
        </w:rPr>
        <w:lastRenderedPageBreak/>
        <w:t xml:space="preserve">decision, will make any necessary updates to the lists in </w:t>
      </w:r>
      <w:r w:rsidR="008C1FBD" w:rsidRPr="00A7082A">
        <w:rPr>
          <w:rFonts w:eastAsia="MS PGothic"/>
        </w:rPr>
        <w:t>tables 1,</w:t>
      </w:r>
      <w:r w:rsidR="00CE25B9" w:rsidRPr="00A7082A">
        <w:rPr>
          <w:rFonts w:eastAsia="MS PGothic"/>
        </w:rPr>
        <w:t xml:space="preserve"> </w:t>
      </w:r>
      <w:r w:rsidR="008C1FBD" w:rsidRPr="00A7082A">
        <w:rPr>
          <w:rFonts w:eastAsia="MS PGothic"/>
        </w:rPr>
        <w:t xml:space="preserve">2 and 3 of </w:t>
      </w:r>
      <w:r w:rsidRPr="00A7082A">
        <w:rPr>
          <w:rFonts w:eastAsia="MS PGothic"/>
        </w:rPr>
        <w:t>the annex to the present decision, and will report on its work to the Conference of the Parties at its fourth meeting</w:t>
      </w:r>
      <w:r w:rsidRPr="00A7082A">
        <w:rPr>
          <w:rFonts w:eastAsia="MS PGothic"/>
          <w:iCs/>
        </w:rPr>
        <w:t>;</w:t>
      </w:r>
    </w:p>
    <w:p w14:paraId="50E99B9C" w14:textId="77777777" w:rsidR="003F4DA7" w:rsidRPr="00A7082A" w:rsidRDefault="003F4DA7" w:rsidP="003F4DA7">
      <w:pPr>
        <w:numPr>
          <w:ilvl w:val="0"/>
          <w:numId w:val="29"/>
        </w:numPr>
        <w:tabs>
          <w:tab w:val="clear" w:pos="1247"/>
          <w:tab w:val="clear" w:pos="1814"/>
          <w:tab w:val="clear" w:pos="2381"/>
          <w:tab w:val="clear" w:pos="2948"/>
          <w:tab w:val="clear" w:pos="3515"/>
          <w:tab w:val="left" w:pos="624"/>
        </w:tabs>
        <w:spacing w:after="120"/>
        <w:ind w:left="1247" w:firstLine="624"/>
        <w:rPr>
          <w:rFonts w:eastAsia="MS PGothic"/>
          <w:i/>
        </w:rPr>
      </w:pPr>
      <w:r w:rsidRPr="00A7082A">
        <w:rPr>
          <w:rFonts w:eastAsia="MS PGothic"/>
          <w:i/>
        </w:rPr>
        <w:t xml:space="preserve">Requests </w:t>
      </w:r>
      <w:r w:rsidRPr="00A7082A">
        <w:rPr>
          <w:rFonts w:eastAsia="MS PGothic"/>
          <w:iCs/>
        </w:rPr>
        <w:t xml:space="preserve">the </w:t>
      </w:r>
      <w:r w:rsidRPr="00A7082A">
        <w:rPr>
          <w:rFonts w:eastAsia="MS PGothic"/>
        </w:rPr>
        <w:t>following</w:t>
      </w:r>
      <w:r w:rsidRPr="00A7082A">
        <w:rPr>
          <w:rFonts w:eastAsia="MS PGothic"/>
          <w:iCs/>
        </w:rPr>
        <w:t xml:space="preserve"> additional procedural provisions to guide the group’s work:</w:t>
      </w:r>
    </w:p>
    <w:p w14:paraId="2D039F17" w14:textId="77777777" w:rsidR="003F4DA7" w:rsidRPr="00A7082A" w:rsidRDefault="003F4DA7" w:rsidP="006D4DE3">
      <w:pPr>
        <w:pStyle w:val="Normalnumber"/>
        <w:numPr>
          <w:ilvl w:val="1"/>
          <w:numId w:val="4"/>
        </w:numPr>
        <w:tabs>
          <w:tab w:val="clear" w:pos="1134"/>
          <w:tab w:val="clear" w:pos="1247"/>
        </w:tabs>
        <w:ind w:firstLine="624"/>
        <w:rPr>
          <w:rFonts w:eastAsia="MS PGothic"/>
        </w:rPr>
      </w:pPr>
      <w:r w:rsidRPr="00A7082A">
        <w:rPr>
          <w:rFonts w:eastAsia="MS PGothic"/>
        </w:rPr>
        <w:t xml:space="preserve">All the experts nominated by the parties and present will work on the issues subject to the mandate of the group, avoiding separate treatment of the technical issues; </w:t>
      </w:r>
    </w:p>
    <w:p w14:paraId="7EFB1303" w14:textId="45D0D834" w:rsidR="003F4DA7" w:rsidRPr="00A7082A" w:rsidRDefault="003F4DA7" w:rsidP="006D4DE3">
      <w:pPr>
        <w:pStyle w:val="Normalnumber"/>
        <w:numPr>
          <w:ilvl w:val="1"/>
          <w:numId w:val="4"/>
        </w:numPr>
        <w:tabs>
          <w:tab w:val="clear" w:pos="1134"/>
          <w:tab w:val="clear" w:pos="1247"/>
        </w:tabs>
        <w:ind w:firstLine="624"/>
        <w:rPr>
          <w:rFonts w:eastAsia="MS PGothic"/>
        </w:rPr>
      </w:pPr>
      <w:r w:rsidRPr="00A7082A">
        <w:rPr>
          <w:rFonts w:eastAsia="MS PGothic"/>
        </w:rPr>
        <w:t xml:space="preserve">All decisions </w:t>
      </w:r>
      <w:r w:rsidR="00D417B1" w:rsidRPr="00A7082A">
        <w:rPr>
          <w:rFonts w:eastAsia="MS PGothic"/>
        </w:rPr>
        <w:t xml:space="preserve">of </w:t>
      </w:r>
      <w:r w:rsidRPr="00A7082A">
        <w:rPr>
          <w:rFonts w:eastAsia="MS PGothic"/>
        </w:rPr>
        <w:t>the group of technical experts should be agreed on the basis of consensus. In case no consensus is reached, the secretariat should take note of this lack of consensus, register the discussion and the different positions, and note the level of support for each alternative;</w:t>
      </w:r>
    </w:p>
    <w:p w14:paraId="01155C3F" w14:textId="780325A5" w:rsidR="003F4DA7" w:rsidRPr="00A7082A" w:rsidRDefault="003F4DA7" w:rsidP="006D4DE3">
      <w:pPr>
        <w:pStyle w:val="Normalnumber"/>
        <w:numPr>
          <w:ilvl w:val="1"/>
          <w:numId w:val="4"/>
        </w:numPr>
        <w:tabs>
          <w:tab w:val="clear" w:pos="1134"/>
          <w:tab w:val="clear" w:pos="1247"/>
        </w:tabs>
        <w:ind w:firstLine="624"/>
        <w:rPr>
          <w:rFonts w:eastAsia="MS PGothic"/>
        </w:rPr>
      </w:pPr>
      <w:r w:rsidRPr="00A7082A">
        <w:rPr>
          <w:rFonts w:eastAsia="MS PGothic"/>
        </w:rPr>
        <w:t xml:space="preserve">Prior to the meeting, the secretariat and the chair of the group of technical experts will provide to the parties a provisional agenda and a scenario note </w:t>
      </w:r>
      <w:r w:rsidR="00D417B1" w:rsidRPr="00A7082A">
        <w:rPr>
          <w:rFonts w:eastAsia="MS PGothic"/>
        </w:rPr>
        <w:t>in preparation for</w:t>
      </w:r>
      <w:r w:rsidRPr="00A7082A">
        <w:rPr>
          <w:rFonts w:eastAsia="MS PGothic"/>
        </w:rPr>
        <w:t xml:space="preserve"> the meeting;</w:t>
      </w:r>
    </w:p>
    <w:p w14:paraId="2B807DA2" w14:textId="1AD032A7" w:rsidR="003F4DA7" w:rsidRPr="00A7082A" w:rsidRDefault="003F4DA7" w:rsidP="00BE13CD">
      <w:pPr>
        <w:numPr>
          <w:ilvl w:val="0"/>
          <w:numId w:val="29"/>
        </w:numPr>
        <w:tabs>
          <w:tab w:val="clear" w:pos="1247"/>
          <w:tab w:val="clear" w:pos="1814"/>
          <w:tab w:val="clear" w:pos="2381"/>
          <w:tab w:val="clear" w:pos="2948"/>
          <w:tab w:val="clear" w:pos="3515"/>
          <w:tab w:val="left" w:pos="624"/>
        </w:tabs>
        <w:spacing w:after="120"/>
        <w:ind w:left="1247" w:firstLine="624"/>
        <w:rPr>
          <w:rFonts w:eastAsia="MS PGothic"/>
        </w:rPr>
      </w:pPr>
      <w:r w:rsidRPr="00A7082A">
        <w:rPr>
          <w:rFonts w:eastAsia="MS PGothic"/>
          <w:i/>
        </w:rPr>
        <w:t xml:space="preserve">Encourages </w:t>
      </w:r>
      <w:r w:rsidRPr="00A7082A">
        <w:rPr>
          <w:rFonts w:eastAsia="MS PGothic"/>
        </w:rPr>
        <w:t xml:space="preserve">the </w:t>
      </w:r>
      <w:r w:rsidRPr="00A7082A">
        <w:rPr>
          <w:rFonts w:eastAsia="MS PGothic"/>
          <w:iCs/>
        </w:rPr>
        <w:t>parties</w:t>
      </w:r>
      <w:r w:rsidRPr="00A7082A">
        <w:rPr>
          <w:rFonts w:eastAsia="MS PGothic"/>
        </w:rPr>
        <w:t xml:space="preserve"> and other stakeholders to contribute to the process of updating the technical guidelines on the environmentally sound management of wastes consisting of, containing or contaminated with mercury or mercury compounds by providing comments on the draft updated guidelines when invited to do so;</w:t>
      </w:r>
    </w:p>
    <w:p w14:paraId="7B6071C9" w14:textId="77777777" w:rsidR="003F4DA7" w:rsidRPr="00A7082A" w:rsidRDefault="003F4DA7" w:rsidP="003F4DA7">
      <w:pPr>
        <w:numPr>
          <w:ilvl w:val="0"/>
          <w:numId w:val="29"/>
        </w:numPr>
        <w:tabs>
          <w:tab w:val="clear" w:pos="1247"/>
          <w:tab w:val="clear" w:pos="1814"/>
          <w:tab w:val="clear" w:pos="2381"/>
          <w:tab w:val="clear" w:pos="2948"/>
          <w:tab w:val="clear" w:pos="3515"/>
          <w:tab w:val="left" w:pos="624"/>
        </w:tabs>
        <w:spacing w:after="120"/>
        <w:ind w:left="1247" w:firstLine="624"/>
        <w:rPr>
          <w:rFonts w:eastAsia="MS PGothic"/>
        </w:rPr>
      </w:pPr>
      <w:r w:rsidRPr="00A7082A">
        <w:rPr>
          <w:rFonts w:eastAsia="MS PGothic"/>
          <w:i/>
        </w:rPr>
        <w:t xml:space="preserve">Invites </w:t>
      </w:r>
      <w:r w:rsidRPr="00A7082A">
        <w:rPr>
          <w:rFonts w:eastAsia="MS PGothic"/>
        </w:rPr>
        <w:t xml:space="preserve">the appropriate bodies of the Basel Convention to take into account the present decision in updating the technical guidelines on the environmentally sound management of wastes consisting of, containing or contaminated with mercury or mercury compounds; </w:t>
      </w:r>
    </w:p>
    <w:p w14:paraId="3DFA31BB" w14:textId="77777777" w:rsidR="003F4DA7" w:rsidRPr="00A7082A" w:rsidRDefault="003F4DA7" w:rsidP="003F4DA7">
      <w:pPr>
        <w:numPr>
          <w:ilvl w:val="0"/>
          <w:numId w:val="29"/>
        </w:numPr>
        <w:tabs>
          <w:tab w:val="clear" w:pos="1247"/>
          <w:tab w:val="clear" w:pos="1814"/>
          <w:tab w:val="clear" w:pos="2381"/>
          <w:tab w:val="clear" w:pos="2948"/>
          <w:tab w:val="clear" w:pos="3515"/>
          <w:tab w:val="left" w:pos="624"/>
        </w:tabs>
        <w:spacing w:after="120"/>
        <w:ind w:left="1247" w:firstLine="624"/>
        <w:rPr>
          <w:rFonts w:eastAsia="MS PGothic"/>
        </w:rPr>
      </w:pPr>
      <w:r w:rsidRPr="00A7082A">
        <w:rPr>
          <w:rFonts w:eastAsia="MS PGothic"/>
          <w:i/>
        </w:rPr>
        <w:t xml:space="preserve">Requests </w:t>
      </w:r>
      <w:r w:rsidRPr="00A7082A">
        <w:rPr>
          <w:rFonts w:eastAsia="MS PGothic"/>
          <w:iCs/>
        </w:rPr>
        <w:t xml:space="preserve">the </w:t>
      </w:r>
      <w:r w:rsidRPr="00A7082A">
        <w:rPr>
          <w:rFonts w:eastAsia="MS PGothic"/>
        </w:rPr>
        <w:t>secretariat to continue to support the work of the group of technical experts.</w:t>
      </w:r>
    </w:p>
    <w:p w14:paraId="6534EB9B" w14:textId="37CAB11D" w:rsidR="008B1DF7" w:rsidRPr="00A7082A" w:rsidRDefault="001B02D6" w:rsidP="001B02D6">
      <w:pPr>
        <w:pStyle w:val="CH1"/>
      </w:pPr>
      <w:bookmarkStart w:id="51" w:name="_Toc27124747"/>
      <w:r w:rsidRPr="00A7082A">
        <w:tab/>
      </w:r>
      <w:r w:rsidRPr="00A7082A">
        <w:tab/>
      </w:r>
      <w:r w:rsidR="008B1DF7" w:rsidRPr="00A7082A">
        <w:t>Annex</w:t>
      </w:r>
      <w:r w:rsidR="00CE25B9" w:rsidRPr="00A7082A">
        <w:t xml:space="preserve"> to decision MC-3/5</w:t>
      </w:r>
    </w:p>
    <w:p w14:paraId="3A3F90F8" w14:textId="690B16E4" w:rsidR="008B1DF7" w:rsidRPr="00A7082A" w:rsidRDefault="00F65CA1" w:rsidP="00F65CA1">
      <w:pPr>
        <w:pStyle w:val="CH2"/>
      </w:pPr>
      <w:r w:rsidRPr="00A7082A">
        <w:tab/>
      </w:r>
      <w:r w:rsidRPr="00A7082A">
        <w:tab/>
      </w:r>
      <w:r w:rsidR="008B1DF7" w:rsidRPr="00A7082A">
        <w:t>Lists of mercury waste falling under paragraph 2 of article 11</w:t>
      </w:r>
    </w:p>
    <w:p w14:paraId="33A95702" w14:textId="77777777" w:rsidR="008B1DF7" w:rsidRPr="00A7082A" w:rsidRDefault="008B1DF7" w:rsidP="008B1DF7">
      <w:pPr>
        <w:pStyle w:val="Titletable"/>
      </w:pPr>
      <w:bookmarkStart w:id="52" w:name="_gjdgxs"/>
      <w:bookmarkEnd w:id="52"/>
      <w:r w:rsidRPr="00A7082A">
        <w:rPr>
          <w:b w:val="0"/>
        </w:rPr>
        <w:t xml:space="preserve">Table 1 </w:t>
      </w:r>
      <w:r w:rsidRPr="00A7082A">
        <w:rPr>
          <w:b w:val="0"/>
        </w:rPr>
        <w:br/>
      </w:r>
      <w:r w:rsidRPr="00A7082A">
        <w:t>List of mercury waste consisting of mercury or mercury compounds</w:t>
      </w:r>
      <w:r w:rsidRPr="00A7082A">
        <w:rPr>
          <w:vertAlign w:val="superscript"/>
        </w:rPr>
        <w:t>a</w:t>
      </w:r>
      <w:r w:rsidRPr="00A7082A">
        <w:t xml:space="preserve"> (subparagraph 2 (a) of article 11)</w:t>
      </w:r>
    </w:p>
    <w:tbl>
      <w:tblPr>
        <w:tblW w:w="8307" w:type="dxa"/>
        <w:jc w:val="right"/>
        <w:tblLayout w:type="fixed"/>
        <w:tblCellMar>
          <w:top w:w="28" w:type="dxa"/>
          <w:left w:w="57" w:type="dxa"/>
          <w:bottom w:w="28" w:type="dxa"/>
          <w:right w:w="57" w:type="dxa"/>
        </w:tblCellMar>
        <w:tblLook w:val="0400" w:firstRow="0" w:lastRow="0" w:firstColumn="0" w:lastColumn="0" w:noHBand="0" w:noVBand="1"/>
      </w:tblPr>
      <w:tblGrid>
        <w:gridCol w:w="2687"/>
        <w:gridCol w:w="5620"/>
      </w:tblGrid>
      <w:tr w:rsidR="008B1DF7" w:rsidRPr="00A7082A" w14:paraId="0B446F96" w14:textId="77777777" w:rsidTr="00F65CA1">
        <w:trPr>
          <w:trHeight w:val="57"/>
          <w:tblHeader/>
          <w:jc w:val="right"/>
        </w:trPr>
        <w:tc>
          <w:tcPr>
            <w:tcW w:w="2779" w:type="dxa"/>
            <w:tcBorders>
              <w:top w:val="single" w:sz="4" w:space="0" w:color="auto"/>
              <w:bottom w:val="single" w:sz="12" w:space="0" w:color="auto"/>
            </w:tcBorders>
          </w:tcPr>
          <w:p w14:paraId="027BA433" w14:textId="77777777" w:rsidR="008B1DF7" w:rsidRPr="00A7082A" w:rsidRDefault="008B1DF7" w:rsidP="00F65CA1">
            <w:pPr>
              <w:pStyle w:val="Normal-pool"/>
              <w:spacing w:before="40" w:after="40"/>
              <w:rPr>
                <w:i/>
                <w:sz w:val="18"/>
                <w:szCs w:val="18"/>
              </w:rPr>
            </w:pPr>
            <w:r w:rsidRPr="00A7082A">
              <w:rPr>
                <w:i/>
                <w:sz w:val="18"/>
                <w:szCs w:val="18"/>
              </w:rPr>
              <w:t>Type of waste</w:t>
            </w:r>
          </w:p>
        </w:tc>
        <w:tc>
          <w:tcPr>
            <w:tcW w:w="5817" w:type="dxa"/>
            <w:tcBorders>
              <w:top w:val="single" w:sz="4" w:space="0" w:color="auto"/>
              <w:bottom w:val="single" w:sz="12" w:space="0" w:color="auto"/>
            </w:tcBorders>
          </w:tcPr>
          <w:p w14:paraId="5C56DC0B" w14:textId="77777777" w:rsidR="008B1DF7" w:rsidRPr="00A7082A" w:rsidRDefault="008B1DF7" w:rsidP="00F65CA1">
            <w:pPr>
              <w:pStyle w:val="Normal-pool"/>
              <w:spacing w:before="40" w:after="40"/>
              <w:rPr>
                <w:i/>
                <w:sz w:val="18"/>
                <w:szCs w:val="18"/>
              </w:rPr>
            </w:pPr>
            <w:r w:rsidRPr="00A7082A">
              <w:rPr>
                <w:i/>
                <w:sz w:val="18"/>
                <w:szCs w:val="18"/>
              </w:rPr>
              <w:t>Waste source</w:t>
            </w:r>
            <w:r w:rsidRPr="00A7082A">
              <w:rPr>
                <w:i/>
                <w:sz w:val="18"/>
                <w:szCs w:val="18"/>
                <w:vertAlign w:val="superscript"/>
              </w:rPr>
              <w:t>b</w:t>
            </w:r>
          </w:p>
        </w:tc>
      </w:tr>
      <w:tr w:rsidR="008B1DF7" w:rsidRPr="00A7082A" w14:paraId="47627987" w14:textId="77777777" w:rsidTr="00F65CA1">
        <w:trPr>
          <w:trHeight w:val="57"/>
          <w:jc w:val="right"/>
        </w:trPr>
        <w:tc>
          <w:tcPr>
            <w:tcW w:w="2779" w:type="dxa"/>
            <w:tcBorders>
              <w:top w:val="single" w:sz="12" w:space="0" w:color="auto"/>
            </w:tcBorders>
          </w:tcPr>
          <w:p w14:paraId="5B7992F3" w14:textId="77777777" w:rsidR="008B1DF7" w:rsidRPr="00A7082A" w:rsidRDefault="008B1DF7" w:rsidP="00F65CA1">
            <w:pPr>
              <w:pStyle w:val="Normal-pool"/>
              <w:spacing w:before="40" w:after="40"/>
              <w:rPr>
                <w:sz w:val="18"/>
                <w:szCs w:val="18"/>
              </w:rPr>
            </w:pPr>
            <w:r w:rsidRPr="00A7082A">
              <w:rPr>
                <w:sz w:val="18"/>
                <w:szCs w:val="18"/>
              </w:rPr>
              <w:t>Recovered elemental mercury</w:t>
            </w:r>
            <w:r w:rsidRPr="00A7082A">
              <w:rPr>
                <w:sz w:val="18"/>
                <w:szCs w:val="18"/>
                <w:vertAlign w:val="superscript"/>
              </w:rPr>
              <w:t>c</w:t>
            </w:r>
          </w:p>
        </w:tc>
        <w:tc>
          <w:tcPr>
            <w:tcW w:w="5817" w:type="dxa"/>
            <w:tcBorders>
              <w:top w:val="single" w:sz="12" w:space="0" w:color="auto"/>
            </w:tcBorders>
          </w:tcPr>
          <w:p w14:paraId="62075CBA" w14:textId="77777777" w:rsidR="008B1DF7" w:rsidRPr="00A7082A" w:rsidRDefault="008B1DF7" w:rsidP="00F65CA1">
            <w:pPr>
              <w:pStyle w:val="Normal-pool"/>
              <w:spacing w:before="40" w:after="40"/>
              <w:rPr>
                <w:sz w:val="18"/>
                <w:szCs w:val="18"/>
              </w:rPr>
            </w:pPr>
            <w:r w:rsidRPr="00A7082A">
              <w:rPr>
                <w:sz w:val="18"/>
                <w:szCs w:val="18"/>
              </w:rPr>
              <w:t>Mining activity:</w:t>
            </w:r>
          </w:p>
          <w:p w14:paraId="4F7D2D5A" w14:textId="4D38458E" w:rsidR="008B1DF7" w:rsidRPr="00A7082A" w:rsidRDefault="008B1DF7" w:rsidP="00F65CA1">
            <w:pPr>
              <w:pStyle w:val="Normal-pool"/>
              <w:numPr>
                <w:ilvl w:val="0"/>
                <w:numId w:val="64"/>
              </w:numPr>
              <w:tabs>
                <w:tab w:val="left" w:pos="675"/>
              </w:tabs>
              <w:spacing w:before="40" w:after="40"/>
              <w:ind w:right="284" w:hanging="689"/>
              <w:rPr>
                <w:sz w:val="18"/>
                <w:szCs w:val="18"/>
              </w:rPr>
            </w:pPr>
            <w:r w:rsidRPr="00A7082A">
              <w:rPr>
                <w:sz w:val="18"/>
                <w:szCs w:val="18"/>
              </w:rPr>
              <w:t xml:space="preserve">Tailings from artisanal and </w:t>
            </w:r>
            <w:r w:rsidR="00073984" w:rsidRPr="00A7082A">
              <w:rPr>
                <w:sz w:val="18"/>
                <w:szCs w:val="18"/>
              </w:rPr>
              <w:t>small</w:t>
            </w:r>
            <w:r w:rsidR="00073984" w:rsidRPr="00A7082A">
              <w:rPr>
                <w:sz w:val="18"/>
                <w:szCs w:val="18"/>
              </w:rPr>
              <w:noBreakHyphen/>
              <w:t>scale</w:t>
            </w:r>
            <w:r w:rsidRPr="00A7082A">
              <w:rPr>
                <w:sz w:val="18"/>
                <w:szCs w:val="18"/>
              </w:rPr>
              <w:t xml:space="preserve"> gold mining</w:t>
            </w:r>
          </w:p>
          <w:p w14:paraId="1041B11C" w14:textId="77777777" w:rsidR="008B1DF7" w:rsidRPr="00A7082A" w:rsidRDefault="008B1DF7" w:rsidP="00F65CA1">
            <w:pPr>
              <w:pStyle w:val="Normal-pool"/>
              <w:spacing w:before="40" w:after="40"/>
              <w:rPr>
                <w:sz w:val="18"/>
                <w:szCs w:val="18"/>
              </w:rPr>
            </w:pPr>
            <w:r w:rsidRPr="00A7082A">
              <w:rPr>
                <w:sz w:val="18"/>
                <w:szCs w:val="18"/>
              </w:rPr>
              <w:t>Mercury captured from:</w:t>
            </w:r>
          </w:p>
          <w:p w14:paraId="433449BA" w14:textId="77777777" w:rsidR="008B1DF7" w:rsidRPr="00A7082A" w:rsidRDefault="008B1DF7" w:rsidP="00F65CA1">
            <w:pPr>
              <w:pStyle w:val="Normal-pool"/>
              <w:numPr>
                <w:ilvl w:val="0"/>
                <w:numId w:val="64"/>
              </w:numPr>
              <w:tabs>
                <w:tab w:val="left" w:pos="675"/>
              </w:tabs>
              <w:spacing w:before="40" w:after="40"/>
              <w:ind w:right="284" w:hanging="689"/>
              <w:rPr>
                <w:sz w:val="18"/>
                <w:szCs w:val="18"/>
              </w:rPr>
            </w:pPr>
            <w:r w:rsidRPr="00A7082A">
              <w:rPr>
                <w:sz w:val="18"/>
                <w:szCs w:val="18"/>
              </w:rPr>
              <w:t>Non-ferrous metals roasting and smelting processes</w:t>
            </w:r>
          </w:p>
          <w:p w14:paraId="47FD3425" w14:textId="77777777" w:rsidR="008B1DF7" w:rsidRPr="00A7082A" w:rsidRDefault="008B1DF7" w:rsidP="00F65CA1">
            <w:pPr>
              <w:pStyle w:val="Normal-pool"/>
              <w:numPr>
                <w:ilvl w:val="0"/>
                <w:numId w:val="64"/>
              </w:numPr>
              <w:tabs>
                <w:tab w:val="left" w:pos="675"/>
              </w:tabs>
              <w:spacing w:before="40" w:after="40"/>
              <w:ind w:right="284" w:hanging="689"/>
              <w:rPr>
                <w:sz w:val="18"/>
                <w:szCs w:val="18"/>
              </w:rPr>
            </w:pPr>
            <w:r w:rsidRPr="00A7082A">
              <w:rPr>
                <w:sz w:val="18"/>
                <w:szCs w:val="18"/>
              </w:rPr>
              <w:t>Crude oil and natural gas processing</w:t>
            </w:r>
          </w:p>
          <w:p w14:paraId="57C64588" w14:textId="77777777" w:rsidR="008B1DF7" w:rsidRPr="00A7082A" w:rsidRDefault="008B1DF7" w:rsidP="00F65CA1">
            <w:pPr>
              <w:pStyle w:val="Normal-pool"/>
              <w:spacing w:before="40" w:after="40"/>
              <w:rPr>
                <w:sz w:val="18"/>
                <w:szCs w:val="18"/>
              </w:rPr>
            </w:pPr>
            <w:r w:rsidRPr="00A7082A">
              <w:rPr>
                <w:sz w:val="18"/>
                <w:szCs w:val="18"/>
              </w:rPr>
              <w:t>Treatment of:</w:t>
            </w:r>
          </w:p>
          <w:p w14:paraId="6C66674B" w14:textId="77777777" w:rsidR="008B1DF7" w:rsidRPr="00A7082A" w:rsidRDefault="008B1DF7" w:rsidP="00F65CA1">
            <w:pPr>
              <w:pStyle w:val="Normal-pool"/>
              <w:numPr>
                <w:ilvl w:val="0"/>
                <w:numId w:val="64"/>
              </w:numPr>
              <w:tabs>
                <w:tab w:val="left" w:pos="675"/>
              </w:tabs>
              <w:spacing w:before="40" w:after="40"/>
              <w:ind w:right="284" w:hanging="689"/>
              <w:rPr>
                <w:sz w:val="18"/>
                <w:szCs w:val="18"/>
              </w:rPr>
            </w:pPr>
            <w:r w:rsidRPr="00A7082A">
              <w:rPr>
                <w:sz w:val="18"/>
                <w:szCs w:val="18"/>
              </w:rPr>
              <w:t xml:space="preserve">Mercury-added products upon becoming waste </w:t>
            </w:r>
          </w:p>
          <w:p w14:paraId="2F958FE0" w14:textId="77777777" w:rsidR="008B1DF7" w:rsidRPr="00A7082A" w:rsidRDefault="008B1DF7" w:rsidP="00F65CA1">
            <w:pPr>
              <w:pStyle w:val="Normal-pool"/>
              <w:numPr>
                <w:ilvl w:val="0"/>
                <w:numId w:val="64"/>
              </w:numPr>
              <w:tabs>
                <w:tab w:val="left" w:pos="675"/>
              </w:tabs>
              <w:spacing w:before="40" w:after="40"/>
              <w:ind w:right="284" w:hanging="689"/>
              <w:rPr>
                <w:sz w:val="18"/>
                <w:szCs w:val="18"/>
              </w:rPr>
            </w:pPr>
            <w:r w:rsidRPr="00A7082A">
              <w:rPr>
                <w:sz w:val="18"/>
                <w:szCs w:val="18"/>
              </w:rPr>
              <w:t>Waste contaminated with mercury or mercury compounds</w:t>
            </w:r>
          </w:p>
          <w:p w14:paraId="17BD3FF2" w14:textId="77777777" w:rsidR="008B1DF7" w:rsidRPr="00A7082A" w:rsidRDefault="008B1DF7" w:rsidP="00F65CA1">
            <w:pPr>
              <w:pStyle w:val="Normal-pool"/>
              <w:numPr>
                <w:ilvl w:val="0"/>
                <w:numId w:val="64"/>
              </w:numPr>
              <w:tabs>
                <w:tab w:val="left" w:pos="675"/>
              </w:tabs>
              <w:spacing w:before="40" w:after="40"/>
              <w:ind w:right="284" w:hanging="689"/>
              <w:rPr>
                <w:sz w:val="18"/>
                <w:szCs w:val="18"/>
              </w:rPr>
            </w:pPr>
            <w:r w:rsidRPr="00A7082A">
              <w:rPr>
                <w:sz w:val="18"/>
                <w:szCs w:val="18"/>
              </w:rPr>
              <w:t>Contaminated environmental media</w:t>
            </w:r>
          </w:p>
          <w:p w14:paraId="524AE9E6" w14:textId="77777777" w:rsidR="008B1DF7" w:rsidRPr="00A7082A" w:rsidRDefault="008B1DF7" w:rsidP="00F65CA1">
            <w:pPr>
              <w:pStyle w:val="Normal-pool"/>
              <w:spacing w:before="40" w:after="40"/>
              <w:rPr>
                <w:sz w:val="18"/>
                <w:szCs w:val="18"/>
              </w:rPr>
            </w:pPr>
            <w:r w:rsidRPr="00A7082A">
              <w:rPr>
                <w:sz w:val="18"/>
                <w:szCs w:val="18"/>
              </w:rPr>
              <w:t>Treatment of waste from:</w:t>
            </w:r>
          </w:p>
          <w:p w14:paraId="1EFC053B" w14:textId="77777777" w:rsidR="008B1DF7" w:rsidRPr="00A7082A" w:rsidRDefault="008B1DF7" w:rsidP="00F65CA1">
            <w:pPr>
              <w:pStyle w:val="Normal-pool"/>
              <w:numPr>
                <w:ilvl w:val="0"/>
                <w:numId w:val="64"/>
              </w:numPr>
              <w:tabs>
                <w:tab w:val="left" w:pos="675"/>
              </w:tabs>
              <w:spacing w:before="40" w:after="40"/>
              <w:ind w:left="710" w:right="284" w:hanging="395"/>
              <w:rPr>
                <w:sz w:val="18"/>
                <w:szCs w:val="18"/>
              </w:rPr>
            </w:pPr>
            <w:r w:rsidRPr="00A7082A">
              <w:rPr>
                <w:sz w:val="18"/>
                <w:szCs w:val="18"/>
              </w:rPr>
              <w:t>Chlor-alkali,</w:t>
            </w:r>
            <w:r w:rsidRPr="00A7082A">
              <w:rPr>
                <w:sz w:val="18"/>
                <w:szCs w:val="18"/>
                <w:vertAlign w:val="superscript"/>
              </w:rPr>
              <w:t>d</w:t>
            </w:r>
            <w:r w:rsidRPr="00A7082A">
              <w:rPr>
                <w:sz w:val="18"/>
                <w:szCs w:val="18"/>
              </w:rPr>
              <w:t xml:space="preserve"> alcoholates (e.g., sodium or potassium methylate or ethylate), dithionite and ultrapure potassium hydroxide solution production with mercury technology, including decommissioning facilities</w:t>
            </w:r>
          </w:p>
          <w:p w14:paraId="456178C2" w14:textId="01255AE6" w:rsidR="008B1DF7" w:rsidRPr="00A7082A" w:rsidRDefault="008B1DF7" w:rsidP="00F65CA1">
            <w:pPr>
              <w:pStyle w:val="Normal-pool"/>
              <w:numPr>
                <w:ilvl w:val="0"/>
                <w:numId w:val="64"/>
              </w:numPr>
              <w:tabs>
                <w:tab w:val="left" w:pos="675"/>
              </w:tabs>
              <w:spacing w:before="40" w:after="40"/>
              <w:ind w:left="710" w:right="284" w:hanging="395"/>
              <w:rPr>
                <w:sz w:val="18"/>
                <w:szCs w:val="18"/>
              </w:rPr>
            </w:pPr>
            <w:r w:rsidRPr="00A7082A">
              <w:rPr>
                <w:sz w:val="18"/>
                <w:szCs w:val="18"/>
              </w:rPr>
              <w:t xml:space="preserve">Polyurethane, vinyl chloride monomer, acetaldehyde production using a </w:t>
            </w:r>
            <w:r w:rsidR="00FE1452" w:rsidRPr="00A7082A">
              <w:rPr>
                <w:sz w:val="18"/>
                <w:szCs w:val="18"/>
              </w:rPr>
              <w:t>mercury</w:t>
            </w:r>
            <w:r w:rsidR="00FE1452" w:rsidRPr="00A7082A">
              <w:rPr>
                <w:sz w:val="18"/>
                <w:szCs w:val="18"/>
              </w:rPr>
              <w:noBreakHyphen/>
              <w:t>containing</w:t>
            </w:r>
            <w:r w:rsidRPr="00A7082A">
              <w:rPr>
                <w:sz w:val="18"/>
                <w:szCs w:val="18"/>
              </w:rPr>
              <w:t xml:space="preserve"> catalyst</w:t>
            </w:r>
          </w:p>
        </w:tc>
      </w:tr>
      <w:tr w:rsidR="008B1DF7" w:rsidRPr="00A7082A" w14:paraId="324EFBFC" w14:textId="77777777" w:rsidTr="00F65CA1">
        <w:trPr>
          <w:trHeight w:val="57"/>
          <w:jc w:val="right"/>
        </w:trPr>
        <w:tc>
          <w:tcPr>
            <w:tcW w:w="2779" w:type="dxa"/>
          </w:tcPr>
          <w:p w14:paraId="27DCFBB9" w14:textId="77777777" w:rsidR="008B1DF7" w:rsidRPr="00A7082A" w:rsidRDefault="008B1DF7" w:rsidP="00F65CA1">
            <w:pPr>
              <w:pStyle w:val="Normal-pool"/>
              <w:spacing w:before="40" w:after="40"/>
              <w:rPr>
                <w:sz w:val="18"/>
                <w:szCs w:val="18"/>
              </w:rPr>
            </w:pPr>
            <w:r w:rsidRPr="00A7082A">
              <w:rPr>
                <w:sz w:val="18"/>
                <w:szCs w:val="18"/>
              </w:rPr>
              <w:t>Elemental mercury</w:t>
            </w:r>
          </w:p>
        </w:tc>
        <w:tc>
          <w:tcPr>
            <w:tcW w:w="5817" w:type="dxa"/>
          </w:tcPr>
          <w:p w14:paraId="63B1AD37" w14:textId="67118644" w:rsidR="008B1DF7" w:rsidRPr="00A7082A" w:rsidRDefault="008B1DF7" w:rsidP="00F65CA1">
            <w:pPr>
              <w:pStyle w:val="Normal-pool"/>
              <w:spacing w:before="40" w:after="40"/>
              <w:rPr>
                <w:sz w:val="18"/>
                <w:szCs w:val="18"/>
              </w:rPr>
            </w:pPr>
            <w:r w:rsidRPr="00A7082A">
              <w:rPr>
                <w:sz w:val="18"/>
                <w:szCs w:val="18"/>
              </w:rPr>
              <w:t>Mercury stockpile (e.g.</w:t>
            </w:r>
            <w:r w:rsidR="00CE25B9" w:rsidRPr="00A7082A">
              <w:rPr>
                <w:sz w:val="18"/>
                <w:szCs w:val="18"/>
              </w:rPr>
              <w:t>,</w:t>
            </w:r>
            <w:r w:rsidRPr="00A7082A">
              <w:rPr>
                <w:sz w:val="18"/>
                <w:szCs w:val="18"/>
              </w:rPr>
              <w:t xml:space="preserve"> industries, laboratories, dental offices, educational and research institutions, government institutions, landfills, dumpsites, lighthouses)</w:t>
            </w:r>
          </w:p>
        </w:tc>
      </w:tr>
      <w:tr w:rsidR="008B1DF7" w:rsidRPr="00A7082A" w14:paraId="01F52860" w14:textId="77777777" w:rsidTr="00F65CA1">
        <w:trPr>
          <w:trHeight w:val="57"/>
          <w:jc w:val="right"/>
        </w:trPr>
        <w:tc>
          <w:tcPr>
            <w:tcW w:w="2779" w:type="dxa"/>
          </w:tcPr>
          <w:p w14:paraId="1B25C6B2" w14:textId="77777777" w:rsidR="008B1DF7" w:rsidRPr="00A7082A" w:rsidRDefault="008B1DF7" w:rsidP="00F65CA1">
            <w:pPr>
              <w:pStyle w:val="Normal-pool"/>
              <w:spacing w:before="40" w:after="40"/>
              <w:rPr>
                <w:sz w:val="18"/>
                <w:szCs w:val="18"/>
              </w:rPr>
            </w:pPr>
            <w:r w:rsidRPr="00A7082A">
              <w:rPr>
                <w:sz w:val="18"/>
                <w:szCs w:val="18"/>
              </w:rPr>
              <w:t xml:space="preserve">Mercury (I) chloride and mercury (II) chloride </w:t>
            </w:r>
          </w:p>
        </w:tc>
        <w:tc>
          <w:tcPr>
            <w:tcW w:w="5817" w:type="dxa"/>
          </w:tcPr>
          <w:p w14:paraId="13444D78" w14:textId="77777777" w:rsidR="008B1DF7" w:rsidRPr="00A7082A" w:rsidRDefault="008B1DF7" w:rsidP="00F65CA1">
            <w:pPr>
              <w:pStyle w:val="Normal-pool"/>
              <w:spacing w:before="40" w:after="40"/>
              <w:rPr>
                <w:sz w:val="18"/>
                <w:szCs w:val="18"/>
              </w:rPr>
            </w:pPr>
            <w:r w:rsidRPr="00A7082A">
              <w:rPr>
                <w:sz w:val="18"/>
                <w:szCs w:val="18"/>
              </w:rPr>
              <w:t xml:space="preserve">Primary zinc, lead, copper and gold roasting and smelting processes </w:t>
            </w:r>
          </w:p>
          <w:p w14:paraId="3E5CADEA" w14:textId="24CC4E32" w:rsidR="008B1DF7" w:rsidRPr="00A7082A" w:rsidRDefault="008B1DF7" w:rsidP="00F65CA1">
            <w:pPr>
              <w:pStyle w:val="Normal-pool"/>
              <w:spacing w:before="40" w:after="40"/>
              <w:rPr>
                <w:sz w:val="18"/>
                <w:szCs w:val="18"/>
              </w:rPr>
            </w:pPr>
            <w:r w:rsidRPr="00A7082A">
              <w:rPr>
                <w:sz w:val="18"/>
                <w:szCs w:val="18"/>
              </w:rPr>
              <w:t>Reagent</w:t>
            </w:r>
          </w:p>
          <w:p w14:paraId="0488C221" w14:textId="77777777" w:rsidR="008B1DF7" w:rsidRPr="00A7082A" w:rsidRDefault="008B1DF7" w:rsidP="00F65CA1">
            <w:pPr>
              <w:pStyle w:val="Normal-pool"/>
              <w:spacing w:before="40" w:after="40"/>
              <w:rPr>
                <w:sz w:val="18"/>
                <w:szCs w:val="18"/>
              </w:rPr>
            </w:pPr>
            <w:r w:rsidRPr="00A7082A">
              <w:rPr>
                <w:sz w:val="18"/>
                <w:szCs w:val="18"/>
              </w:rPr>
              <w:t xml:space="preserve">Calomel electrode for electrochemical measurements </w:t>
            </w:r>
          </w:p>
          <w:p w14:paraId="0D8C107B" w14:textId="77777777" w:rsidR="008B1DF7" w:rsidRPr="00A7082A" w:rsidRDefault="008B1DF7" w:rsidP="00F65CA1">
            <w:pPr>
              <w:pStyle w:val="Normal-pool"/>
              <w:spacing w:before="40" w:after="40"/>
              <w:rPr>
                <w:sz w:val="18"/>
                <w:szCs w:val="18"/>
              </w:rPr>
            </w:pPr>
            <w:r w:rsidRPr="00A7082A">
              <w:rPr>
                <w:sz w:val="18"/>
                <w:szCs w:val="18"/>
              </w:rPr>
              <w:t>Medicine/pharmaceuticals</w:t>
            </w:r>
          </w:p>
          <w:p w14:paraId="516103C4" w14:textId="77777777" w:rsidR="008B1DF7" w:rsidRPr="00A7082A" w:rsidRDefault="008B1DF7" w:rsidP="00F65CA1">
            <w:pPr>
              <w:pStyle w:val="Normal-pool"/>
              <w:spacing w:before="40" w:after="40"/>
              <w:rPr>
                <w:sz w:val="18"/>
                <w:szCs w:val="18"/>
              </w:rPr>
            </w:pPr>
            <w:r w:rsidRPr="00A7082A">
              <w:rPr>
                <w:sz w:val="18"/>
                <w:szCs w:val="18"/>
              </w:rPr>
              <w:t>Vinyl chloride monomer catalyst – mercury (II) chloride</w:t>
            </w:r>
          </w:p>
          <w:p w14:paraId="11DA622E" w14:textId="77777777" w:rsidR="008B1DF7" w:rsidRPr="00A7082A" w:rsidRDefault="008B1DF7" w:rsidP="00F65CA1">
            <w:pPr>
              <w:pStyle w:val="Normal-pool"/>
              <w:spacing w:before="40" w:after="40"/>
              <w:rPr>
                <w:sz w:val="18"/>
                <w:szCs w:val="18"/>
              </w:rPr>
            </w:pPr>
            <w:r w:rsidRPr="00A7082A">
              <w:rPr>
                <w:sz w:val="18"/>
                <w:szCs w:val="18"/>
              </w:rPr>
              <w:t>Stockpiles</w:t>
            </w:r>
          </w:p>
        </w:tc>
      </w:tr>
      <w:tr w:rsidR="008B1DF7" w:rsidRPr="00A7082A" w14:paraId="5DD7DAD8" w14:textId="77777777" w:rsidTr="00F65CA1">
        <w:trPr>
          <w:trHeight w:val="57"/>
          <w:jc w:val="right"/>
        </w:trPr>
        <w:tc>
          <w:tcPr>
            <w:tcW w:w="2779" w:type="dxa"/>
          </w:tcPr>
          <w:p w14:paraId="351A9E0D" w14:textId="77777777" w:rsidR="008B1DF7" w:rsidRPr="00A7082A" w:rsidRDefault="008B1DF7" w:rsidP="006D4DE3">
            <w:pPr>
              <w:pStyle w:val="Normal-pool"/>
              <w:keepNext/>
              <w:keepLines/>
              <w:spacing w:before="40" w:after="40"/>
              <w:rPr>
                <w:sz w:val="18"/>
                <w:szCs w:val="18"/>
              </w:rPr>
            </w:pPr>
            <w:r w:rsidRPr="00A7082A">
              <w:rPr>
                <w:sz w:val="18"/>
                <w:szCs w:val="18"/>
              </w:rPr>
              <w:lastRenderedPageBreak/>
              <w:t>Mercury (II) oxide (mercuric oxide)</w:t>
            </w:r>
          </w:p>
        </w:tc>
        <w:tc>
          <w:tcPr>
            <w:tcW w:w="5817" w:type="dxa"/>
          </w:tcPr>
          <w:p w14:paraId="592E34E3" w14:textId="77777777" w:rsidR="008B1DF7" w:rsidRPr="00A7082A" w:rsidRDefault="008B1DF7" w:rsidP="006D4DE3">
            <w:pPr>
              <w:pStyle w:val="Normal-pool"/>
              <w:keepNext/>
              <w:keepLines/>
              <w:spacing w:before="40" w:after="40"/>
              <w:rPr>
                <w:sz w:val="18"/>
                <w:szCs w:val="18"/>
              </w:rPr>
            </w:pPr>
            <w:r w:rsidRPr="00A7082A">
              <w:rPr>
                <w:sz w:val="18"/>
                <w:szCs w:val="18"/>
              </w:rPr>
              <w:t>Dry cell batteries, pigment in paints and glass modifiers, fungicide, cosmetics, laboratory reagent, antifouling paints</w:t>
            </w:r>
          </w:p>
          <w:p w14:paraId="5CAFC2FA" w14:textId="77777777" w:rsidR="008B1DF7" w:rsidRPr="00A7082A" w:rsidRDefault="008B1DF7" w:rsidP="006D4DE3">
            <w:pPr>
              <w:pStyle w:val="Normal-pool"/>
              <w:keepNext/>
              <w:keepLines/>
              <w:spacing w:before="40" w:after="40"/>
              <w:rPr>
                <w:sz w:val="18"/>
                <w:szCs w:val="18"/>
              </w:rPr>
            </w:pPr>
            <w:r w:rsidRPr="00A7082A">
              <w:rPr>
                <w:sz w:val="18"/>
                <w:szCs w:val="18"/>
              </w:rPr>
              <w:t>Stockpiles</w:t>
            </w:r>
          </w:p>
        </w:tc>
      </w:tr>
      <w:tr w:rsidR="008B1DF7" w:rsidRPr="00A7082A" w14:paraId="29607960" w14:textId="77777777" w:rsidTr="00F65CA1">
        <w:trPr>
          <w:trHeight w:val="57"/>
          <w:jc w:val="right"/>
        </w:trPr>
        <w:tc>
          <w:tcPr>
            <w:tcW w:w="2779" w:type="dxa"/>
          </w:tcPr>
          <w:p w14:paraId="3CF36B22" w14:textId="77777777" w:rsidR="008B1DF7" w:rsidRPr="00A7082A" w:rsidRDefault="008B1DF7" w:rsidP="00F65CA1">
            <w:pPr>
              <w:pStyle w:val="Normal-pool"/>
              <w:spacing w:before="40" w:after="40"/>
              <w:rPr>
                <w:sz w:val="18"/>
                <w:szCs w:val="18"/>
              </w:rPr>
            </w:pPr>
            <w:r w:rsidRPr="00A7082A">
              <w:rPr>
                <w:sz w:val="18"/>
                <w:szCs w:val="18"/>
              </w:rPr>
              <w:t>Mercury (II) sulfate (mercuric sulfate)</w:t>
            </w:r>
          </w:p>
        </w:tc>
        <w:tc>
          <w:tcPr>
            <w:tcW w:w="5817" w:type="dxa"/>
          </w:tcPr>
          <w:p w14:paraId="6161C8F2" w14:textId="77777777" w:rsidR="008B1DF7" w:rsidRPr="00A7082A" w:rsidRDefault="008B1DF7" w:rsidP="00F65CA1">
            <w:pPr>
              <w:pStyle w:val="Normal-pool"/>
              <w:spacing w:before="40" w:after="40"/>
              <w:rPr>
                <w:sz w:val="18"/>
                <w:szCs w:val="18"/>
              </w:rPr>
            </w:pPr>
            <w:r w:rsidRPr="00A7082A">
              <w:rPr>
                <w:sz w:val="18"/>
                <w:szCs w:val="18"/>
              </w:rPr>
              <w:t>Lab reagent, catalyst used for the production of acetaldehyde</w:t>
            </w:r>
          </w:p>
          <w:p w14:paraId="7F66E4B2" w14:textId="77777777" w:rsidR="008B1DF7" w:rsidRPr="00A7082A" w:rsidRDefault="008B1DF7" w:rsidP="00F65CA1">
            <w:pPr>
              <w:pStyle w:val="Normal-pool"/>
              <w:spacing w:before="40" w:after="40"/>
              <w:rPr>
                <w:sz w:val="18"/>
                <w:szCs w:val="18"/>
              </w:rPr>
            </w:pPr>
            <w:r w:rsidRPr="00A7082A">
              <w:rPr>
                <w:sz w:val="18"/>
                <w:szCs w:val="18"/>
              </w:rPr>
              <w:t>Stockpiles</w:t>
            </w:r>
          </w:p>
        </w:tc>
      </w:tr>
      <w:tr w:rsidR="008B1DF7" w:rsidRPr="00A7082A" w14:paraId="0334C510" w14:textId="77777777" w:rsidTr="00F65CA1">
        <w:trPr>
          <w:trHeight w:val="57"/>
          <w:jc w:val="right"/>
        </w:trPr>
        <w:tc>
          <w:tcPr>
            <w:tcW w:w="2779" w:type="dxa"/>
          </w:tcPr>
          <w:p w14:paraId="751D2353" w14:textId="77777777" w:rsidR="008B1DF7" w:rsidRPr="00A7082A" w:rsidRDefault="008B1DF7" w:rsidP="00F65CA1">
            <w:pPr>
              <w:pStyle w:val="Normal-pool"/>
              <w:spacing w:before="40" w:after="40"/>
              <w:rPr>
                <w:sz w:val="18"/>
                <w:szCs w:val="18"/>
              </w:rPr>
            </w:pPr>
            <w:r w:rsidRPr="00A7082A">
              <w:rPr>
                <w:sz w:val="18"/>
                <w:szCs w:val="18"/>
              </w:rPr>
              <w:t>Mercury (II) nitrate (mercuric nitrate)</w:t>
            </w:r>
          </w:p>
        </w:tc>
        <w:tc>
          <w:tcPr>
            <w:tcW w:w="5817" w:type="dxa"/>
          </w:tcPr>
          <w:p w14:paraId="79E123FB" w14:textId="77777777" w:rsidR="008B1DF7" w:rsidRPr="00A7082A" w:rsidRDefault="008B1DF7" w:rsidP="00F65CA1">
            <w:pPr>
              <w:pStyle w:val="Normal-pool"/>
              <w:spacing w:before="40" w:after="40"/>
              <w:rPr>
                <w:sz w:val="18"/>
                <w:szCs w:val="18"/>
              </w:rPr>
            </w:pPr>
            <w:r w:rsidRPr="00A7082A">
              <w:rPr>
                <w:sz w:val="18"/>
                <w:szCs w:val="18"/>
              </w:rPr>
              <w:t>Oxidizing agent, laboratory reagent</w:t>
            </w:r>
          </w:p>
          <w:p w14:paraId="4D2E45B3" w14:textId="77777777" w:rsidR="008B1DF7" w:rsidRPr="00A7082A" w:rsidRDefault="008B1DF7" w:rsidP="00F65CA1">
            <w:pPr>
              <w:pStyle w:val="Normal-pool"/>
              <w:spacing w:before="40" w:after="40"/>
              <w:rPr>
                <w:sz w:val="18"/>
                <w:szCs w:val="18"/>
              </w:rPr>
            </w:pPr>
            <w:r w:rsidRPr="00A7082A">
              <w:rPr>
                <w:sz w:val="18"/>
                <w:szCs w:val="18"/>
              </w:rPr>
              <w:t>Stockpiles</w:t>
            </w:r>
          </w:p>
        </w:tc>
      </w:tr>
      <w:tr w:rsidR="008B1DF7" w:rsidRPr="00A7082A" w14:paraId="714ADEA8" w14:textId="77777777" w:rsidTr="00F65CA1">
        <w:trPr>
          <w:trHeight w:val="57"/>
          <w:jc w:val="right"/>
        </w:trPr>
        <w:tc>
          <w:tcPr>
            <w:tcW w:w="2779" w:type="dxa"/>
          </w:tcPr>
          <w:p w14:paraId="1A78B2E8" w14:textId="77777777" w:rsidR="008B1DF7" w:rsidRPr="00A7082A" w:rsidRDefault="008B1DF7" w:rsidP="00F65CA1">
            <w:pPr>
              <w:pStyle w:val="Normal-pool"/>
              <w:spacing w:before="40" w:after="40"/>
              <w:rPr>
                <w:sz w:val="18"/>
                <w:szCs w:val="18"/>
              </w:rPr>
            </w:pPr>
            <w:r w:rsidRPr="00A7082A">
              <w:rPr>
                <w:sz w:val="18"/>
                <w:szCs w:val="18"/>
              </w:rPr>
              <w:t>Cinnabar concentrate</w:t>
            </w:r>
          </w:p>
        </w:tc>
        <w:tc>
          <w:tcPr>
            <w:tcW w:w="5817" w:type="dxa"/>
          </w:tcPr>
          <w:p w14:paraId="23743BB0" w14:textId="77777777" w:rsidR="008B1DF7" w:rsidRPr="00A7082A" w:rsidRDefault="008B1DF7" w:rsidP="00F65CA1">
            <w:pPr>
              <w:pStyle w:val="Normal-pool"/>
              <w:spacing w:before="40" w:after="40"/>
              <w:rPr>
                <w:sz w:val="18"/>
                <w:szCs w:val="18"/>
              </w:rPr>
            </w:pPr>
            <w:r w:rsidRPr="00A7082A">
              <w:rPr>
                <w:sz w:val="18"/>
                <w:szCs w:val="18"/>
              </w:rPr>
              <w:t>Primary mercury mining</w:t>
            </w:r>
          </w:p>
          <w:p w14:paraId="3D228B68" w14:textId="77777777" w:rsidR="008B1DF7" w:rsidRPr="00A7082A" w:rsidRDefault="008B1DF7" w:rsidP="00F65CA1">
            <w:pPr>
              <w:pStyle w:val="Normal-pool"/>
              <w:spacing w:before="40" w:after="40"/>
              <w:rPr>
                <w:sz w:val="18"/>
                <w:szCs w:val="18"/>
              </w:rPr>
            </w:pPr>
            <w:r w:rsidRPr="00A7082A">
              <w:rPr>
                <w:sz w:val="18"/>
                <w:szCs w:val="18"/>
              </w:rPr>
              <w:t>Stockpiles</w:t>
            </w:r>
          </w:p>
        </w:tc>
      </w:tr>
      <w:tr w:rsidR="008B1DF7" w:rsidRPr="00A7082A" w14:paraId="1C40476A" w14:textId="77777777" w:rsidTr="00F65CA1">
        <w:trPr>
          <w:trHeight w:val="57"/>
          <w:jc w:val="right"/>
        </w:trPr>
        <w:tc>
          <w:tcPr>
            <w:tcW w:w="2779" w:type="dxa"/>
            <w:tcBorders>
              <w:bottom w:val="single" w:sz="12" w:space="0" w:color="auto"/>
            </w:tcBorders>
          </w:tcPr>
          <w:p w14:paraId="604CD6FA" w14:textId="77777777" w:rsidR="008B1DF7" w:rsidRPr="00A7082A" w:rsidRDefault="008B1DF7" w:rsidP="00F65CA1">
            <w:pPr>
              <w:pStyle w:val="Normal-pool"/>
              <w:spacing w:before="40" w:after="40"/>
              <w:rPr>
                <w:sz w:val="18"/>
                <w:szCs w:val="18"/>
              </w:rPr>
            </w:pPr>
            <w:r w:rsidRPr="00A7082A">
              <w:rPr>
                <w:sz w:val="18"/>
                <w:szCs w:val="18"/>
              </w:rPr>
              <w:t>Mercury sulfide</w:t>
            </w:r>
          </w:p>
        </w:tc>
        <w:tc>
          <w:tcPr>
            <w:tcW w:w="5817" w:type="dxa"/>
            <w:tcBorders>
              <w:bottom w:val="single" w:sz="12" w:space="0" w:color="auto"/>
            </w:tcBorders>
          </w:tcPr>
          <w:p w14:paraId="7EE03013" w14:textId="77777777" w:rsidR="008B1DF7" w:rsidRPr="00A7082A" w:rsidRDefault="008B1DF7" w:rsidP="00F65CA1">
            <w:pPr>
              <w:pStyle w:val="Normal-pool"/>
              <w:spacing w:before="40" w:after="40"/>
              <w:rPr>
                <w:sz w:val="18"/>
                <w:szCs w:val="18"/>
              </w:rPr>
            </w:pPr>
            <w:r w:rsidRPr="00A7082A">
              <w:rPr>
                <w:sz w:val="18"/>
                <w:szCs w:val="18"/>
              </w:rPr>
              <w:t>Pigment</w:t>
            </w:r>
          </w:p>
          <w:p w14:paraId="79A14162" w14:textId="77777777" w:rsidR="008B1DF7" w:rsidRPr="00A7082A" w:rsidRDefault="008B1DF7" w:rsidP="00F65CA1">
            <w:pPr>
              <w:pStyle w:val="Normal-pool"/>
              <w:spacing w:before="40" w:after="40"/>
              <w:rPr>
                <w:sz w:val="18"/>
                <w:szCs w:val="18"/>
              </w:rPr>
            </w:pPr>
            <w:r w:rsidRPr="00A7082A">
              <w:rPr>
                <w:sz w:val="18"/>
                <w:szCs w:val="18"/>
              </w:rPr>
              <w:t>Stabilization of waste mercury for storage and/or disposal</w:t>
            </w:r>
          </w:p>
          <w:p w14:paraId="3A564FCD" w14:textId="77777777" w:rsidR="008B1DF7" w:rsidRPr="00A7082A" w:rsidRDefault="008B1DF7" w:rsidP="00F65CA1">
            <w:pPr>
              <w:pStyle w:val="Normal-pool"/>
              <w:spacing w:before="40" w:after="40"/>
              <w:rPr>
                <w:sz w:val="18"/>
                <w:szCs w:val="18"/>
              </w:rPr>
            </w:pPr>
            <w:r w:rsidRPr="00A7082A">
              <w:rPr>
                <w:sz w:val="18"/>
                <w:szCs w:val="18"/>
              </w:rPr>
              <w:t>Stockpiles</w:t>
            </w:r>
          </w:p>
        </w:tc>
      </w:tr>
    </w:tbl>
    <w:p w14:paraId="69005C1C" w14:textId="77777777" w:rsidR="008B1DF7" w:rsidRPr="00A7082A" w:rsidRDefault="008B1DF7" w:rsidP="001B02D6">
      <w:pPr>
        <w:pStyle w:val="NormalNonumber"/>
        <w:spacing w:before="20" w:after="40"/>
        <w:rPr>
          <w:sz w:val="17"/>
          <w:szCs w:val="17"/>
        </w:rPr>
      </w:pPr>
      <w:r w:rsidRPr="00A7082A">
        <w:rPr>
          <w:sz w:val="17"/>
          <w:szCs w:val="17"/>
          <w:vertAlign w:val="superscript"/>
        </w:rPr>
        <w:t>a</w:t>
      </w:r>
      <w:r w:rsidRPr="00A7082A">
        <w:rPr>
          <w:sz w:val="17"/>
          <w:szCs w:val="17"/>
        </w:rPr>
        <w:t xml:space="preserve"> The Convention defines a mercury compound as any substance consisting of atoms of mercury and one or more atoms of other chemical elements that can be separated into different components only by chemical reactions. </w:t>
      </w:r>
    </w:p>
    <w:p w14:paraId="4DDA9DA0" w14:textId="77777777" w:rsidR="008B1DF7" w:rsidRPr="00A7082A" w:rsidRDefault="008B1DF7" w:rsidP="001B02D6">
      <w:pPr>
        <w:pStyle w:val="NormalNonumber"/>
        <w:spacing w:before="20" w:after="40"/>
        <w:rPr>
          <w:sz w:val="17"/>
          <w:szCs w:val="17"/>
        </w:rPr>
      </w:pPr>
      <w:r w:rsidRPr="00A7082A">
        <w:rPr>
          <w:sz w:val="17"/>
          <w:szCs w:val="17"/>
          <w:vertAlign w:val="superscript"/>
        </w:rPr>
        <w:t>b</w:t>
      </w:r>
      <w:r w:rsidRPr="00A7082A">
        <w:rPr>
          <w:sz w:val="17"/>
          <w:szCs w:val="17"/>
        </w:rPr>
        <w:t xml:space="preserve"> A facility or activity where waste is likely to be generated or accumulated.</w:t>
      </w:r>
    </w:p>
    <w:p w14:paraId="56DDDBD7" w14:textId="77777777" w:rsidR="008B1DF7" w:rsidRPr="00A7082A" w:rsidRDefault="008B1DF7" w:rsidP="001B02D6">
      <w:pPr>
        <w:pStyle w:val="NormalNonumber"/>
        <w:spacing w:before="20" w:after="40"/>
        <w:rPr>
          <w:sz w:val="17"/>
          <w:szCs w:val="17"/>
        </w:rPr>
      </w:pPr>
      <w:r w:rsidRPr="00A7082A">
        <w:rPr>
          <w:sz w:val="17"/>
          <w:szCs w:val="17"/>
          <w:vertAlign w:val="superscript"/>
        </w:rPr>
        <w:t>c</w:t>
      </w:r>
      <w:r w:rsidRPr="00A7082A">
        <w:rPr>
          <w:sz w:val="17"/>
          <w:szCs w:val="17"/>
        </w:rPr>
        <w:t xml:space="preserve"> Recovered mercury as described in subparagraph 3 (b) of article 11.</w:t>
      </w:r>
    </w:p>
    <w:p w14:paraId="1847A358" w14:textId="77777777" w:rsidR="008B1DF7" w:rsidRPr="00A7082A" w:rsidRDefault="008B1DF7" w:rsidP="001B02D6">
      <w:pPr>
        <w:pStyle w:val="NormalNonumber"/>
        <w:spacing w:before="20" w:after="40"/>
        <w:rPr>
          <w:sz w:val="17"/>
          <w:szCs w:val="17"/>
        </w:rPr>
      </w:pPr>
      <w:r w:rsidRPr="00A7082A">
        <w:rPr>
          <w:sz w:val="17"/>
          <w:szCs w:val="17"/>
          <w:vertAlign w:val="superscript"/>
        </w:rPr>
        <w:t>d</w:t>
      </w:r>
      <w:r w:rsidRPr="00A7082A">
        <w:rPr>
          <w:sz w:val="17"/>
          <w:szCs w:val="17"/>
        </w:rPr>
        <w:t xml:space="preserve"> Recovery can sometimes occur without treatment.</w:t>
      </w:r>
    </w:p>
    <w:p w14:paraId="0F523173" w14:textId="77777777" w:rsidR="008B1DF7" w:rsidRPr="00A7082A" w:rsidRDefault="008B1DF7" w:rsidP="008B1DF7">
      <w:pPr>
        <w:pStyle w:val="NormalNonumber"/>
        <w:spacing w:before="40" w:after="40"/>
        <w:rPr>
          <w:sz w:val="17"/>
          <w:szCs w:val="17"/>
        </w:rPr>
      </w:pPr>
      <w:r w:rsidRPr="00A7082A">
        <w:rPr>
          <w:sz w:val="17"/>
          <w:szCs w:val="17"/>
        </w:rPr>
        <w:br w:type="page"/>
      </w:r>
    </w:p>
    <w:p w14:paraId="5F3FD162" w14:textId="77777777" w:rsidR="008B1DF7" w:rsidRPr="00A7082A" w:rsidRDefault="008B1DF7" w:rsidP="00F65CA1">
      <w:pPr>
        <w:pStyle w:val="Titletable"/>
      </w:pPr>
      <w:r w:rsidRPr="00A7082A">
        <w:rPr>
          <w:b w:val="0"/>
        </w:rPr>
        <w:lastRenderedPageBreak/>
        <w:t xml:space="preserve">Table 2 </w:t>
      </w:r>
      <w:r w:rsidRPr="00A7082A">
        <w:rPr>
          <w:b w:val="0"/>
        </w:rPr>
        <w:br/>
      </w:r>
      <w:r w:rsidRPr="00A7082A">
        <w:t>Non-exhaustive list of waste containing mercury or mercury compounds (subparagraph 2 (b) of article 11)</w:t>
      </w:r>
      <w:r w:rsidRPr="00A7082A">
        <w:rPr>
          <w:vertAlign w:val="superscript"/>
        </w:rPr>
        <w:t>a</w:t>
      </w:r>
    </w:p>
    <w:tbl>
      <w:tblPr>
        <w:tblW w:w="8307" w:type="dxa"/>
        <w:jc w:val="right"/>
        <w:tblLayout w:type="fixed"/>
        <w:tblCellMar>
          <w:top w:w="28" w:type="dxa"/>
          <w:left w:w="57" w:type="dxa"/>
          <w:bottom w:w="28" w:type="dxa"/>
          <w:right w:w="57" w:type="dxa"/>
        </w:tblCellMar>
        <w:tblLook w:val="0400" w:firstRow="0" w:lastRow="0" w:firstColumn="0" w:lastColumn="0" w:noHBand="0" w:noVBand="1"/>
      </w:tblPr>
      <w:tblGrid>
        <w:gridCol w:w="2960"/>
        <w:gridCol w:w="5347"/>
      </w:tblGrid>
      <w:tr w:rsidR="008B1DF7" w:rsidRPr="00A7082A" w14:paraId="55220A0D" w14:textId="77777777" w:rsidTr="00F65CA1">
        <w:trPr>
          <w:trHeight w:val="57"/>
          <w:tblHeader/>
          <w:jc w:val="right"/>
        </w:trPr>
        <w:tc>
          <w:tcPr>
            <w:tcW w:w="3060" w:type="dxa"/>
            <w:tcBorders>
              <w:top w:val="single" w:sz="4" w:space="0" w:color="auto"/>
              <w:bottom w:val="single" w:sz="12" w:space="0" w:color="auto"/>
            </w:tcBorders>
          </w:tcPr>
          <w:p w14:paraId="2E5076D1" w14:textId="77777777" w:rsidR="008B1DF7" w:rsidRPr="00A7082A" w:rsidRDefault="008B1DF7" w:rsidP="00F65CA1">
            <w:pPr>
              <w:pStyle w:val="Normal-pool"/>
              <w:spacing w:before="40" w:after="40"/>
              <w:rPr>
                <w:i/>
                <w:iCs/>
                <w:sz w:val="18"/>
                <w:szCs w:val="18"/>
              </w:rPr>
            </w:pPr>
            <w:r w:rsidRPr="00A7082A">
              <w:rPr>
                <w:i/>
                <w:sz w:val="18"/>
                <w:szCs w:val="18"/>
              </w:rPr>
              <w:t>Type</w:t>
            </w:r>
            <w:r w:rsidRPr="00A7082A">
              <w:rPr>
                <w:i/>
                <w:iCs/>
                <w:sz w:val="18"/>
                <w:szCs w:val="18"/>
              </w:rPr>
              <w:t xml:space="preserve"> of waste</w:t>
            </w:r>
          </w:p>
        </w:tc>
        <w:tc>
          <w:tcPr>
            <w:tcW w:w="5531" w:type="dxa"/>
            <w:tcBorders>
              <w:top w:val="single" w:sz="4" w:space="0" w:color="auto"/>
              <w:bottom w:val="single" w:sz="12" w:space="0" w:color="auto"/>
            </w:tcBorders>
          </w:tcPr>
          <w:p w14:paraId="5FEAFE13" w14:textId="77777777" w:rsidR="008B1DF7" w:rsidRPr="00A7082A" w:rsidRDefault="008B1DF7" w:rsidP="00F65CA1">
            <w:pPr>
              <w:pStyle w:val="Normal-pool"/>
              <w:spacing w:before="40" w:after="40"/>
              <w:rPr>
                <w:i/>
                <w:iCs/>
                <w:sz w:val="18"/>
                <w:szCs w:val="18"/>
              </w:rPr>
            </w:pPr>
            <w:r w:rsidRPr="00A7082A">
              <w:rPr>
                <w:i/>
                <w:iCs/>
                <w:sz w:val="18"/>
                <w:szCs w:val="18"/>
              </w:rPr>
              <w:t>Waste source</w:t>
            </w:r>
            <w:r w:rsidRPr="00A7082A">
              <w:rPr>
                <w:i/>
                <w:sz w:val="18"/>
                <w:szCs w:val="18"/>
                <w:vertAlign w:val="superscript"/>
              </w:rPr>
              <w:t>b</w:t>
            </w:r>
            <w:r w:rsidRPr="00A7082A">
              <w:rPr>
                <w:i/>
                <w:iCs/>
                <w:sz w:val="18"/>
                <w:szCs w:val="18"/>
              </w:rPr>
              <w:t xml:space="preserve"> </w:t>
            </w:r>
          </w:p>
        </w:tc>
      </w:tr>
      <w:tr w:rsidR="008B1DF7" w:rsidRPr="00A7082A" w14:paraId="70A1E626" w14:textId="77777777" w:rsidTr="00F65CA1">
        <w:trPr>
          <w:trHeight w:val="57"/>
          <w:tblHeader/>
          <w:jc w:val="right"/>
        </w:trPr>
        <w:tc>
          <w:tcPr>
            <w:tcW w:w="3060" w:type="dxa"/>
            <w:tcBorders>
              <w:top w:val="single" w:sz="12" w:space="0" w:color="auto"/>
            </w:tcBorders>
          </w:tcPr>
          <w:p w14:paraId="15E864D3" w14:textId="77777777" w:rsidR="008B1DF7" w:rsidRPr="00A7082A" w:rsidRDefault="008B1DF7" w:rsidP="00F65CA1">
            <w:pPr>
              <w:pStyle w:val="Normal-pool"/>
              <w:tabs>
                <w:tab w:val="clear" w:pos="1247"/>
                <w:tab w:val="clear" w:pos="1814"/>
                <w:tab w:val="clear" w:pos="2381"/>
                <w:tab w:val="clear" w:pos="2948"/>
                <w:tab w:val="clear" w:pos="3515"/>
                <w:tab w:val="left" w:pos="624"/>
              </w:tabs>
              <w:spacing w:before="40" w:after="40"/>
              <w:rPr>
                <w:sz w:val="18"/>
                <w:szCs w:val="18"/>
              </w:rPr>
            </w:pPr>
            <w:r w:rsidRPr="00A7082A">
              <w:rPr>
                <w:sz w:val="18"/>
                <w:szCs w:val="18"/>
              </w:rPr>
              <w:t xml:space="preserve">Non-electronic measuring devices containing mercury (barometers, hygrometers, manometers, thermometers, sphygmomanometers) </w:t>
            </w:r>
          </w:p>
        </w:tc>
        <w:tc>
          <w:tcPr>
            <w:tcW w:w="5531" w:type="dxa"/>
            <w:tcBorders>
              <w:top w:val="single" w:sz="12" w:space="0" w:color="auto"/>
            </w:tcBorders>
          </w:tcPr>
          <w:p w14:paraId="0F70ACCD" w14:textId="2E7B2EC9" w:rsidR="008B1DF7" w:rsidRPr="00A7082A" w:rsidRDefault="008B1DF7" w:rsidP="00F65CA1">
            <w:pPr>
              <w:pStyle w:val="Normal-pool"/>
              <w:spacing w:before="40" w:after="40"/>
              <w:rPr>
                <w:sz w:val="18"/>
                <w:szCs w:val="18"/>
              </w:rPr>
            </w:pPr>
            <w:r w:rsidRPr="00A7082A">
              <w:rPr>
                <w:sz w:val="18"/>
                <w:szCs w:val="18"/>
              </w:rPr>
              <w:t>Hospitals, clinics, healthcare facilities (human and animal), pharmacies, households, schools, laboratories, universities, industrial facilities, airports, meteorological stations, ship recycling facilities</w:t>
            </w:r>
            <w:r w:rsidR="00F55A86" w:rsidRPr="00A7082A">
              <w:rPr>
                <w:sz w:val="18"/>
                <w:szCs w:val="18"/>
              </w:rPr>
              <w:t xml:space="preserve"> </w:t>
            </w:r>
          </w:p>
        </w:tc>
      </w:tr>
      <w:tr w:rsidR="008B1DF7" w:rsidRPr="00A7082A" w14:paraId="48B3D639" w14:textId="77777777" w:rsidTr="00F65CA1">
        <w:trPr>
          <w:trHeight w:val="57"/>
          <w:tblHeader/>
          <w:jc w:val="right"/>
        </w:trPr>
        <w:tc>
          <w:tcPr>
            <w:tcW w:w="3060" w:type="dxa"/>
          </w:tcPr>
          <w:p w14:paraId="0E072A0E" w14:textId="77777777" w:rsidR="008B1DF7" w:rsidRPr="00A7082A" w:rsidRDefault="008B1DF7" w:rsidP="00F65CA1">
            <w:pPr>
              <w:pStyle w:val="Normal-pool"/>
              <w:spacing w:before="40" w:after="40"/>
              <w:rPr>
                <w:sz w:val="18"/>
                <w:szCs w:val="18"/>
              </w:rPr>
            </w:pPr>
            <w:r w:rsidRPr="00A7082A">
              <w:rPr>
                <w:sz w:val="18"/>
                <w:szCs w:val="18"/>
              </w:rPr>
              <w:t xml:space="preserve">Electrical and electronic switches, contacts, relays and rotating electrical connectors with mercury </w:t>
            </w:r>
          </w:p>
        </w:tc>
        <w:tc>
          <w:tcPr>
            <w:tcW w:w="5531" w:type="dxa"/>
          </w:tcPr>
          <w:p w14:paraId="43E52471" w14:textId="77777777" w:rsidR="008B1DF7" w:rsidRPr="00A7082A" w:rsidRDefault="008B1DF7" w:rsidP="00F65CA1">
            <w:pPr>
              <w:pStyle w:val="Normal-pool"/>
              <w:spacing w:before="40" w:after="40"/>
              <w:rPr>
                <w:sz w:val="18"/>
                <w:szCs w:val="18"/>
              </w:rPr>
            </w:pPr>
            <w:r w:rsidRPr="00A7082A">
              <w:rPr>
                <w:sz w:val="18"/>
                <w:szCs w:val="18"/>
              </w:rPr>
              <w:t xml:space="preserve">Dismantling facilities of waste electrical and electronic equipment (relays, connectors and switches), industrial facilities (attached to boilers), households, offices </w:t>
            </w:r>
          </w:p>
        </w:tc>
      </w:tr>
      <w:tr w:rsidR="008B1DF7" w:rsidRPr="00A7082A" w14:paraId="60A6CA01" w14:textId="77777777" w:rsidTr="00F65CA1">
        <w:trPr>
          <w:trHeight w:val="57"/>
          <w:tblHeader/>
          <w:jc w:val="right"/>
        </w:trPr>
        <w:tc>
          <w:tcPr>
            <w:tcW w:w="3060" w:type="dxa"/>
          </w:tcPr>
          <w:p w14:paraId="362E1403" w14:textId="77777777" w:rsidR="008B1DF7" w:rsidRPr="00A7082A" w:rsidRDefault="008B1DF7" w:rsidP="00F65CA1">
            <w:pPr>
              <w:pStyle w:val="Normal-pool"/>
              <w:spacing w:before="40" w:after="40"/>
              <w:rPr>
                <w:sz w:val="18"/>
                <w:szCs w:val="18"/>
              </w:rPr>
            </w:pPr>
            <w:r w:rsidRPr="00A7082A">
              <w:rPr>
                <w:sz w:val="18"/>
                <w:szCs w:val="18"/>
              </w:rPr>
              <w:t>Fluorescent bulbs, high intensity discharge (HID) bulbs (mercury vapour bulbs, metal halide and high-pressure sodium bulbs), neon/argon lamps</w:t>
            </w:r>
          </w:p>
        </w:tc>
        <w:tc>
          <w:tcPr>
            <w:tcW w:w="5531" w:type="dxa"/>
          </w:tcPr>
          <w:p w14:paraId="20C27F9F" w14:textId="77777777" w:rsidR="008B1DF7" w:rsidRPr="00A7082A" w:rsidRDefault="008B1DF7" w:rsidP="00F65CA1">
            <w:pPr>
              <w:pStyle w:val="Normal-pool"/>
              <w:spacing w:before="40" w:after="40"/>
              <w:rPr>
                <w:sz w:val="18"/>
                <w:szCs w:val="18"/>
              </w:rPr>
            </w:pPr>
            <w:r w:rsidRPr="00A7082A">
              <w:rPr>
                <w:sz w:val="18"/>
                <w:szCs w:val="18"/>
              </w:rPr>
              <w:t xml:space="preserve">Households, industrial and commercial facilities, automobile facilities, collection points </w:t>
            </w:r>
          </w:p>
        </w:tc>
      </w:tr>
      <w:tr w:rsidR="008B1DF7" w:rsidRPr="00A7082A" w14:paraId="111A0CD8" w14:textId="77777777" w:rsidTr="00F65CA1">
        <w:trPr>
          <w:trHeight w:val="57"/>
          <w:tblHeader/>
          <w:jc w:val="right"/>
        </w:trPr>
        <w:tc>
          <w:tcPr>
            <w:tcW w:w="3060" w:type="dxa"/>
          </w:tcPr>
          <w:p w14:paraId="79A080FF" w14:textId="77777777" w:rsidR="008B1DF7" w:rsidRPr="00A7082A" w:rsidRDefault="008B1DF7" w:rsidP="00F65CA1">
            <w:pPr>
              <w:pStyle w:val="Normal-pool"/>
              <w:spacing w:before="40" w:after="40"/>
              <w:rPr>
                <w:sz w:val="18"/>
                <w:szCs w:val="18"/>
              </w:rPr>
            </w:pPr>
            <w:r w:rsidRPr="00A7082A">
              <w:rPr>
                <w:sz w:val="18"/>
                <w:szCs w:val="18"/>
              </w:rPr>
              <w:t>Batteries/accumulators containing mercury</w:t>
            </w:r>
          </w:p>
        </w:tc>
        <w:tc>
          <w:tcPr>
            <w:tcW w:w="5531" w:type="dxa"/>
          </w:tcPr>
          <w:p w14:paraId="1D81A169" w14:textId="77777777" w:rsidR="008B1DF7" w:rsidRPr="00A7082A" w:rsidRDefault="008B1DF7" w:rsidP="00F65CA1">
            <w:pPr>
              <w:pStyle w:val="Normal-pool"/>
              <w:spacing w:before="40" w:after="40"/>
              <w:rPr>
                <w:sz w:val="18"/>
                <w:szCs w:val="18"/>
              </w:rPr>
            </w:pPr>
            <w:r w:rsidRPr="00A7082A">
              <w:rPr>
                <w:sz w:val="18"/>
                <w:szCs w:val="18"/>
              </w:rPr>
              <w:t>Households, industrial and commercial facilities, collection points</w:t>
            </w:r>
          </w:p>
        </w:tc>
      </w:tr>
      <w:tr w:rsidR="008B1DF7" w:rsidRPr="00A7082A" w14:paraId="71C6C9E4" w14:textId="77777777" w:rsidTr="00F65CA1">
        <w:trPr>
          <w:trHeight w:val="57"/>
          <w:tblHeader/>
          <w:jc w:val="right"/>
        </w:trPr>
        <w:tc>
          <w:tcPr>
            <w:tcW w:w="3060" w:type="dxa"/>
          </w:tcPr>
          <w:p w14:paraId="2F6B69D3" w14:textId="77777777" w:rsidR="008B1DF7" w:rsidRPr="00A7082A" w:rsidRDefault="008B1DF7" w:rsidP="00F65CA1">
            <w:pPr>
              <w:pStyle w:val="Normal-pool"/>
              <w:spacing w:before="40" w:after="40"/>
              <w:rPr>
                <w:sz w:val="18"/>
                <w:szCs w:val="18"/>
              </w:rPr>
            </w:pPr>
            <w:r w:rsidRPr="00A7082A">
              <w:rPr>
                <w:sz w:val="18"/>
                <w:szCs w:val="18"/>
              </w:rPr>
              <w:t>Biocides and pesticides containing mercury and their formulations and products</w:t>
            </w:r>
          </w:p>
        </w:tc>
        <w:tc>
          <w:tcPr>
            <w:tcW w:w="5531" w:type="dxa"/>
          </w:tcPr>
          <w:p w14:paraId="46C795B3" w14:textId="77777777" w:rsidR="008B1DF7" w:rsidRPr="00A7082A" w:rsidRDefault="008B1DF7" w:rsidP="00F65CA1">
            <w:pPr>
              <w:pStyle w:val="Normal-pool"/>
              <w:spacing w:before="40" w:after="40"/>
              <w:rPr>
                <w:sz w:val="18"/>
                <w:szCs w:val="18"/>
              </w:rPr>
            </w:pPr>
            <w:r w:rsidRPr="00A7082A">
              <w:rPr>
                <w:sz w:val="18"/>
                <w:szCs w:val="18"/>
              </w:rPr>
              <w:t>Agricultural, horticultural, industrial and commercial facilities (including stockpiles), laboratories</w:t>
            </w:r>
          </w:p>
        </w:tc>
      </w:tr>
      <w:tr w:rsidR="008B1DF7" w:rsidRPr="00A7082A" w14:paraId="4714F623" w14:textId="77777777" w:rsidTr="00F65CA1">
        <w:trPr>
          <w:trHeight w:val="57"/>
          <w:tblHeader/>
          <w:jc w:val="right"/>
        </w:trPr>
        <w:tc>
          <w:tcPr>
            <w:tcW w:w="3060" w:type="dxa"/>
          </w:tcPr>
          <w:p w14:paraId="723C362C" w14:textId="77777777" w:rsidR="008B1DF7" w:rsidRPr="00A7082A" w:rsidRDefault="008B1DF7" w:rsidP="00F65CA1">
            <w:pPr>
              <w:pStyle w:val="Normal-pool"/>
              <w:spacing w:before="40" w:after="40"/>
              <w:rPr>
                <w:sz w:val="18"/>
                <w:szCs w:val="18"/>
              </w:rPr>
            </w:pPr>
            <w:r w:rsidRPr="00A7082A">
              <w:rPr>
                <w:sz w:val="18"/>
                <w:szCs w:val="18"/>
              </w:rPr>
              <w:t xml:space="preserve">Paints and varnishes containing mercury </w:t>
            </w:r>
          </w:p>
        </w:tc>
        <w:tc>
          <w:tcPr>
            <w:tcW w:w="5531" w:type="dxa"/>
          </w:tcPr>
          <w:p w14:paraId="0AF72A0D" w14:textId="77777777" w:rsidR="008B1DF7" w:rsidRPr="00A7082A" w:rsidRDefault="008B1DF7" w:rsidP="00F65CA1">
            <w:pPr>
              <w:pStyle w:val="Normal-pool"/>
              <w:spacing w:before="40" w:after="40"/>
              <w:rPr>
                <w:sz w:val="18"/>
                <w:szCs w:val="18"/>
              </w:rPr>
            </w:pPr>
            <w:r w:rsidRPr="00A7082A">
              <w:rPr>
                <w:sz w:val="18"/>
                <w:szCs w:val="18"/>
              </w:rPr>
              <w:t>Industrial and commercial facilities, households</w:t>
            </w:r>
          </w:p>
        </w:tc>
      </w:tr>
      <w:tr w:rsidR="008B1DF7" w:rsidRPr="00A7082A" w14:paraId="3A78E250" w14:textId="77777777" w:rsidTr="00F65CA1">
        <w:trPr>
          <w:trHeight w:val="57"/>
          <w:tblHeader/>
          <w:jc w:val="right"/>
        </w:trPr>
        <w:tc>
          <w:tcPr>
            <w:tcW w:w="3060" w:type="dxa"/>
          </w:tcPr>
          <w:p w14:paraId="0A336626" w14:textId="77777777" w:rsidR="008B1DF7" w:rsidRPr="00A7082A" w:rsidRDefault="008B1DF7" w:rsidP="00F65CA1">
            <w:pPr>
              <w:pStyle w:val="Normal-pool"/>
              <w:spacing w:before="40" w:after="40"/>
              <w:rPr>
                <w:sz w:val="18"/>
                <w:szCs w:val="18"/>
              </w:rPr>
            </w:pPr>
            <w:r w:rsidRPr="00A7082A">
              <w:rPr>
                <w:sz w:val="18"/>
                <w:szCs w:val="18"/>
              </w:rPr>
              <w:t>Pharmaceuticals containing mercury for human and veterinary uses, including vaccines</w:t>
            </w:r>
          </w:p>
        </w:tc>
        <w:tc>
          <w:tcPr>
            <w:tcW w:w="5531" w:type="dxa"/>
          </w:tcPr>
          <w:p w14:paraId="70E27394" w14:textId="77777777" w:rsidR="008B1DF7" w:rsidRPr="00A7082A" w:rsidRDefault="008B1DF7" w:rsidP="00F65CA1">
            <w:pPr>
              <w:pStyle w:val="Normal-pool"/>
              <w:spacing w:before="40" w:after="40"/>
              <w:rPr>
                <w:sz w:val="18"/>
                <w:szCs w:val="18"/>
              </w:rPr>
            </w:pPr>
            <w:r w:rsidRPr="00A7082A">
              <w:rPr>
                <w:sz w:val="18"/>
                <w:szCs w:val="18"/>
              </w:rPr>
              <w:t>Industrial and healthcare facilities (including stockpiles), livestock industry</w:t>
            </w:r>
          </w:p>
        </w:tc>
      </w:tr>
      <w:tr w:rsidR="008B1DF7" w:rsidRPr="00A7082A" w14:paraId="29A695BD" w14:textId="77777777" w:rsidTr="00F65CA1">
        <w:trPr>
          <w:trHeight w:val="57"/>
          <w:tblHeader/>
          <w:jc w:val="right"/>
        </w:trPr>
        <w:tc>
          <w:tcPr>
            <w:tcW w:w="3060" w:type="dxa"/>
          </w:tcPr>
          <w:p w14:paraId="4A8EE01E" w14:textId="77777777" w:rsidR="008B1DF7" w:rsidRPr="00A7082A" w:rsidRDefault="008B1DF7" w:rsidP="00F65CA1">
            <w:pPr>
              <w:pStyle w:val="Normal-pool"/>
              <w:spacing w:before="40" w:after="40"/>
              <w:rPr>
                <w:sz w:val="18"/>
                <w:szCs w:val="18"/>
              </w:rPr>
            </w:pPr>
            <w:r w:rsidRPr="00A7082A">
              <w:rPr>
                <w:sz w:val="18"/>
                <w:szCs w:val="18"/>
              </w:rPr>
              <w:t>Cosmetics and related products containing mercury</w:t>
            </w:r>
          </w:p>
        </w:tc>
        <w:tc>
          <w:tcPr>
            <w:tcW w:w="5531" w:type="dxa"/>
          </w:tcPr>
          <w:p w14:paraId="6638BC8F" w14:textId="77777777" w:rsidR="008B1DF7" w:rsidRPr="00A7082A" w:rsidRDefault="008B1DF7" w:rsidP="00F65CA1">
            <w:pPr>
              <w:pStyle w:val="Normal-pool"/>
              <w:spacing w:before="40" w:after="40"/>
              <w:rPr>
                <w:sz w:val="18"/>
                <w:szCs w:val="18"/>
              </w:rPr>
            </w:pPr>
            <w:r w:rsidRPr="00A7082A">
              <w:rPr>
                <w:sz w:val="18"/>
                <w:szCs w:val="18"/>
              </w:rPr>
              <w:t>Industrial facilities (including stockpiles)</w:t>
            </w:r>
          </w:p>
        </w:tc>
      </w:tr>
      <w:tr w:rsidR="008B1DF7" w:rsidRPr="00A7082A" w14:paraId="672213E4" w14:textId="77777777" w:rsidTr="00F65CA1">
        <w:trPr>
          <w:trHeight w:val="57"/>
          <w:tblHeader/>
          <w:jc w:val="right"/>
        </w:trPr>
        <w:tc>
          <w:tcPr>
            <w:tcW w:w="3060" w:type="dxa"/>
          </w:tcPr>
          <w:p w14:paraId="76CB3AB0" w14:textId="77777777" w:rsidR="008B1DF7" w:rsidRPr="00A7082A" w:rsidRDefault="008B1DF7" w:rsidP="00F65CA1">
            <w:pPr>
              <w:pStyle w:val="Normal-pool"/>
              <w:spacing w:before="40" w:after="40"/>
              <w:rPr>
                <w:sz w:val="18"/>
                <w:szCs w:val="18"/>
              </w:rPr>
            </w:pPr>
            <w:r w:rsidRPr="00A7082A">
              <w:rPr>
                <w:sz w:val="18"/>
                <w:szCs w:val="18"/>
              </w:rPr>
              <w:t>Dental amalgam</w:t>
            </w:r>
          </w:p>
        </w:tc>
        <w:tc>
          <w:tcPr>
            <w:tcW w:w="5531" w:type="dxa"/>
          </w:tcPr>
          <w:p w14:paraId="6D9779A1" w14:textId="77777777" w:rsidR="008B1DF7" w:rsidRPr="00A7082A" w:rsidRDefault="008B1DF7" w:rsidP="00F65CA1">
            <w:pPr>
              <w:pStyle w:val="Normal-pool"/>
              <w:spacing w:before="40" w:after="40"/>
              <w:rPr>
                <w:sz w:val="18"/>
                <w:szCs w:val="18"/>
              </w:rPr>
            </w:pPr>
            <w:r w:rsidRPr="00A7082A">
              <w:rPr>
                <w:sz w:val="18"/>
                <w:szCs w:val="18"/>
              </w:rPr>
              <w:t>Dental offices, dental schools, crematoria</w:t>
            </w:r>
          </w:p>
        </w:tc>
      </w:tr>
      <w:tr w:rsidR="008B1DF7" w:rsidRPr="00A7082A" w14:paraId="46CBD515" w14:textId="77777777" w:rsidTr="00F65CA1">
        <w:trPr>
          <w:trHeight w:val="57"/>
          <w:tblHeader/>
          <w:jc w:val="right"/>
        </w:trPr>
        <w:tc>
          <w:tcPr>
            <w:tcW w:w="3060" w:type="dxa"/>
            <w:tcBorders>
              <w:bottom w:val="single" w:sz="12" w:space="0" w:color="auto"/>
            </w:tcBorders>
          </w:tcPr>
          <w:p w14:paraId="2161FC27" w14:textId="77777777" w:rsidR="008B1DF7" w:rsidRPr="00A7082A" w:rsidRDefault="008B1DF7" w:rsidP="00F65CA1">
            <w:pPr>
              <w:pStyle w:val="Normal-pool"/>
              <w:spacing w:before="40" w:after="40"/>
              <w:rPr>
                <w:sz w:val="18"/>
                <w:szCs w:val="18"/>
              </w:rPr>
            </w:pPr>
            <w:r w:rsidRPr="00A7082A">
              <w:rPr>
                <w:sz w:val="18"/>
                <w:szCs w:val="18"/>
              </w:rPr>
              <w:t>Scientific instrument used for the calibration of medical or scientific devices containing mercury</w:t>
            </w:r>
          </w:p>
        </w:tc>
        <w:tc>
          <w:tcPr>
            <w:tcW w:w="5531" w:type="dxa"/>
            <w:tcBorders>
              <w:bottom w:val="single" w:sz="12" w:space="0" w:color="auto"/>
            </w:tcBorders>
          </w:tcPr>
          <w:p w14:paraId="47133457" w14:textId="77777777" w:rsidR="008B1DF7" w:rsidRPr="00A7082A" w:rsidRDefault="008B1DF7" w:rsidP="00F65CA1">
            <w:pPr>
              <w:pStyle w:val="Normal-pool"/>
              <w:spacing w:before="40" w:after="40"/>
              <w:rPr>
                <w:sz w:val="18"/>
                <w:szCs w:val="18"/>
              </w:rPr>
            </w:pPr>
            <w:r w:rsidRPr="00A7082A">
              <w:rPr>
                <w:sz w:val="18"/>
                <w:szCs w:val="18"/>
              </w:rPr>
              <w:t>Laboratories, institutions</w:t>
            </w:r>
            <w:r w:rsidRPr="00A7082A">
              <w:rPr>
                <w:sz w:val="18"/>
                <w:szCs w:val="18"/>
                <w:vertAlign w:val="superscript"/>
              </w:rPr>
              <w:t>c</w:t>
            </w:r>
            <w:r w:rsidRPr="00A7082A">
              <w:rPr>
                <w:sz w:val="18"/>
                <w:szCs w:val="18"/>
              </w:rPr>
              <w:t xml:space="preserve"> (including stockpiles)</w:t>
            </w:r>
          </w:p>
        </w:tc>
      </w:tr>
    </w:tbl>
    <w:p w14:paraId="14BA5A8D" w14:textId="2658CE20" w:rsidR="008B1DF7" w:rsidRPr="00A7082A" w:rsidRDefault="008B1DF7" w:rsidP="001B02D6">
      <w:pPr>
        <w:pStyle w:val="NormalNonumber"/>
        <w:spacing w:before="20" w:after="40"/>
        <w:rPr>
          <w:sz w:val="17"/>
          <w:szCs w:val="17"/>
        </w:rPr>
      </w:pPr>
      <w:r w:rsidRPr="00A7082A">
        <w:rPr>
          <w:sz w:val="17"/>
          <w:szCs w:val="17"/>
          <w:vertAlign w:val="superscript"/>
        </w:rPr>
        <w:t>a</w:t>
      </w:r>
      <w:r w:rsidRPr="00A7082A">
        <w:rPr>
          <w:sz w:val="17"/>
          <w:szCs w:val="17"/>
        </w:rPr>
        <w:t xml:space="preserve"> Mercury-added products listed in the “type of waste” column of this table are regarded as waste under subparagraph 2 (b) of article 11 when they are disposed of, are intended to be disposed of</w:t>
      </w:r>
      <w:r w:rsidR="00CE25B9" w:rsidRPr="00A7082A">
        <w:rPr>
          <w:sz w:val="17"/>
          <w:szCs w:val="17"/>
        </w:rPr>
        <w:t>,</w:t>
      </w:r>
      <w:r w:rsidRPr="00A7082A">
        <w:rPr>
          <w:sz w:val="17"/>
          <w:szCs w:val="17"/>
        </w:rPr>
        <w:t xml:space="preserve"> or are required to be disposed of by the provisions of national law or the Minamata Convention.</w:t>
      </w:r>
    </w:p>
    <w:p w14:paraId="4C30977B" w14:textId="77777777" w:rsidR="008B1DF7" w:rsidRPr="00A7082A" w:rsidRDefault="008B1DF7" w:rsidP="001B02D6">
      <w:pPr>
        <w:pStyle w:val="NormalNonumber"/>
        <w:spacing w:before="20" w:after="40"/>
        <w:rPr>
          <w:sz w:val="17"/>
          <w:szCs w:val="17"/>
        </w:rPr>
      </w:pPr>
      <w:r w:rsidRPr="00A7082A">
        <w:rPr>
          <w:sz w:val="17"/>
          <w:szCs w:val="17"/>
          <w:vertAlign w:val="superscript"/>
        </w:rPr>
        <w:t>b</w:t>
      </w:r>
      <w:r w:rsidRPr="00A7082A">
        <w:rPr>
          <w:sz w:val="17"/>
          <w:szCs w:val="17"/>
        </w:rPr>
        <w:t xml:space="preserve"> A facility or activity where waste is likely to be generated or accumulated.</w:t>
      </w:r>
    </w:p>
    <w:p w14:paraId="7F3035BA" w14:textId="77777777" w:rsidR="008B1DF7" w:rsidRPr="00A7082A" w:rsidRDefault="008B1DF7" w:rsidP="001B02D6">
      <w:pPr>
        <w:pStyle w:val="NormalNonumber"/>
        <w:spacing w:before="20" w:after="40"/>
        <w:rPr>
          <w:sz w:val="17"/>
          <w:szCs w:val="17"/>
        </w:rPr>
      </w:pPr>
      <w:r w:rsidRPr="00A7082A">
        <w:rPr>
          <w:sz w:val="17"/>
          <w:szCs w:val="17"/>
          <w:vertAlign w:val="superscript"/>
        </w:rPr>
        <w:t>c</w:t>
      </w:r>
      <w:r w:rsidRPr="00A7082A">
        <w:rPr>
          <w:sz w:val="17"/>
          <w:szCs w:val="17"/>
        </w:rPr>
        <w:t xml:space="preserve"> Institutions include public and private ones.</w:t>
      </w:r>
    </w:p>
    <w:p w14:paraId="778A1DEC" w14:textId="77777777" w:rsidR="008B1DF7" w:rsidRPr="00A7082A" w:rsidRDefault="008B1DF7" w:rsidP="00417FE2">
      <w:pPr>
        <w:pStyle w:val="Titlefigure"/>
      </w:pPr>
      <w:r w:rsidRPr="00A7082A">
        <w:br w:type="page"/>
      </w:r>
      <w:r w:rsidRPr="00A7082A">
        <w:rPr>
          <w:b w:val="0"/>
        </w:rPr>
        <w:lastRenderedPageBreak/>
        <w:t xml:space="preserve">Table 3 </w:t>
      </w:r>
      <w:r w:rsidRPr="00A7082A">
        <w:rPr>
          <w:b w:val="0"/>
        </w:rPr>
        <w:br/>
      </w:r>
      <w:r w:rsidRPr="00A7082A">
        <w:t>Indicative list of waste contaminated with mercury or mercury compounds (subparagraph 2 (c) of article 11)</w:t>
      </w:r>
      <w:r w:rsidRPr="00A7082A">
        <w:rPr>
          <w:vertAlign w:val="superscript"/>
        </w:rPr>
        <w:t>a</w:t>
      </w:r>
    </w:p>
    <w:tbl>
      <w:tblPr>
        <w:tblW w:w="8307" w:type="dxa"/>
        <w:jc w:val="right"/>
        <w:tblLayout w:type="fixed"/>
        <w:tblCellMar>
          <w:top w:w="28" w:type="dxa"/>
          <w:left w:w="57" w:type="dxa"/>
          <w:bottom w:w="28" w:type="dxa"/>
          <w:right w:w="57" w:type="dxa"/>
        </w:tblCellMar>
        <w:tblLook w:val="0400" w:firstRow="0" w:lastRow="0" w:firstColumn="0" w:lastColumn="0" w:noHBand="0" w:noVBand="1"/>
      </w:tblPr>
      <w:tblGrid>
        <w:gridCol w:w="2748"/>
        <w:gridCol w:w="5559"/>
      </w:tblGrid>
      <w:tr w:rsidR="008B1DF7" w:rsidRPr="00A7082A" w14:paraId="51A1F186" w14:textId="77777777" w:rsidTr="00F65CA1">
        <w:trPr>
          <w:trHeight w:val="57"/>
          <w:jc w:val="right"/>
        </w:trPr>
        <w:tc>
          <w:tcPr>
            <w:tcW w:w="3119" w:type="dxa"/>
            <w:tcBorders>
              <w:top w:val="single" w:sz="4" w:space="0" w:color="auto"/>
              <w:bottom w:val="single" w:sz="12" w:space="0" w:color="auto"/>
            </w:tcBorders>
          </w:tcPr>
          <w:p w14:paraId="08AAE298" w14:textId="77777777" w:rsidR="008B1DF7" w:rsidRPr="00A7082A" w:rsidRDefault="008B1DF7" w:rsidP="004E0AB7">
            <w:pPr>
              <w:pStyle w:val="Normal-pool"/>
              <w:spacing w:before="4" w:after="4"/>
              <w:rPr>
                <w:i/>
                <w:sz w:val="18"/>
                <w:szCs w:val="18"/>
              </w:rPr>
            </w:pPr>
            <w:r w:rsidRPr="00A7082A">
              <w:rPr>
                <w:i/>
                <w:sz w:val="18"/>
                <w:szCs w:val="18"/>
              </w:rPr>
              <w:t>Type of waste</w:t>
            </w:r>
          </w:p>
        </w:tc>
        <w:tc>
          <w:tcPr>
            <w:tcW w:w="6328" w:type="dxa"/>
            <w:tcBorders>
              <w:top w:val="single" w:sz="4" w:space="0" w:color="auto"/>
              <w:bottom w:val="single" w:sz="12" w:space="0" w:color="auto"/>
            </w:tcBorders>
          </w:tcPr>
          <w:p w14:paraId="1EC39E70" w14:textId="77777777" w:rsidR="008B1DF7" w:rsidRPr="00A7082A" w:rsidRDefault="008B1DF7" w:rsidP="004E0AB7">
            <w:pPr>
              <w:pStyle w:val="Normal-pool"/>
              <w:spacing w:before="4" w:after="4"/>
              <w:rPr>
                <w:i/>
                <w:sz w:val="18"/>
                <w:szCs w:val="18"/>
              </w:rPr>
            </w:pPr>
            <w:r w:rsidRPr="00A7082A">
              <w:rPr>
                <w:i/>
                <w:sz w:val="18"/>
                <w:szCs w:val="18"/>
              </w:rPr>
              <w:t>Waste source</w:t>
            </w:r>
            <w:r w:rsidRPr="00A7082A">
              <w:rPr>
                <w:i/>
                <w:sz w:val="18"/>
                <w:szCs w:val="18"/>
                <w:vertAlign w:val="superscript"/>
              </w:rPr>
              <w:t>b</w:t>
            </w:r>
            <w:r w:rsidRPr="00A7082A">
              <w:rPr>
                <w:i/>
                <w:sz w:val="18"/>
                <w:szCs w:val="18"/>
              </w:rPr>
              <w:t xml:space="preserve"> </w:t>
            </w:r>
          </w:p>
        </w:tc>
      </w:tr>
      <w:tr w:rsidR="008B1DF7" w:rsidRPr="00A7082A" w14:paraId="6F08B961" w14:textId="77777777" w:rsidTr="00F65CA1">
        <w:trPr>
          <w:trHeight w:val="57"/>
          <w:jc w:val="right"/>
        </w:trPr>
        <w:tc>
          <w:tcPr>
            <w:tcW w:w="3119" w:type="dxa"/>
            <w:tcBorders>
              <w:top w:val="single" w:sz="12" w:space="0" w:color="auto"/>
            </w:tcBorders>
          </w:tcPr>
          <w:p w14:paraId="4CBB7C6B" w14:textId="77777777" w:rsidR="008B1DF7" w:rsidRPr="00A7082A" w:rsidRDefault="008B1DF7" w:rsidP="004E0AB7">
            <w:pPr>
              <w:pStyle w:val="Normal-pool"/>
              <w:spacing w:before="4" w:after="4"/>
              <w:rPr>
                <w:sz w:val="18"/>
                <w:szCs w:val="18"/>
              </w:rPr>
            </w:pPr>
            <w:r w:rsidRPr="00A7082A">
              <w:rPr>
                <w:sz w:val="18"/>
                <w:szCs w:val="18"/>
              </w:rPr>
              <w:t>Waste from industrial pollution control devices or cleaning of industrial off-gases</w:t>
            </w:r>
            <w:r w:rsidRPr="00A7082A">
              <w:rPr>
                <w:sz w:val="18"/>
                <w:szCs w:val="18"/>
                <w:vertAlign w:val="superscript"/>
              </w:rPr>
              <w:t>c</w:t>
            </w:r>
          </w:p>
        </w:tc>
        <w:tc>
          <w:tcPr>
            <w:tcW w:w="6328" w:type="dxa"/>
            <w:tcBorders>
              <w:top w:val="single" w:sz="12" w:space="0" w:color="auto"/>
            </w:tcBorders>
          </w:tcPr>
          <w:p w14:paraId="4FA0ED70" w14:textId="77777777" w:rsidR="008B1DF7" w:rsidRPr="00A7082A" w:rsidRDefault="008B1DF7" w:rsidP="004E0AB7">
            <w:pPr>
              <w:pStyle w:val="Normal-pool"/>
              <w:spacing w:before="4" w:after="4"/>
              <w:rPr>
                <w:sz w:val="18"/>
                <w:szCs w:val="18"/>
              </w:rPr>
            </w:pPr>
            <w:r w:rsidRPr="00A7082A">
              <w:rPr>
                <w:sz w:val="18"/>
                <w:szCs w:val="18"/>
              </w:rPr>
              <w:t>Flue gas from sources such as:</w:t>
            </w:r>
          </w:p>
          <w:p w14:paraId="6BC1AFFC" w14:textId="77777777" w:rsidR="008B1DF7" w:rsidRPr="00A7082A" w:rsidRDefault="008B1DF7" w:rsidP="004E0AB7">
            <w:pPr>
              <w:pStyle w:val="Normal-pool"/>
              <w:spacing w:before="4" w:after="4"/>
              <w:rPr>
                <w:sz w:val="18"/>
                <w:szCs w:val="18"/>
              </w:rPr>
            </w:pPr>
            <w:r w:rsidRPr="00A7082A">
              <w:rPr>
                <w:sz w:val="18"/>
                <w:szCs w:val="18"/>
              </w:rPr>
              <w:t>Extraction and use of fuels/energy sources</w:t>
            </w:r>
          </w:p>
          <w:p w14:paraId="00894FA3" w14:textId="77777777" w:rsidR="008B1DF7" w:rsidRPr="00A7082A" w:rsidRDefault="008B1DF7" w:rsidP="004E0AB7">
            <w:pPr>
              <w:pStyle w:val="Normal-pool"/>
              <w:spacing w:before="4" w:after="4"/>
              <w:rPr>
                <w:sz w:val="18"/>
                <w:szCs w:val="18"/>
              </w:rPr>
            </w:pPr>
            <w:r w:rsidRPr="00A7082A">
              <w:rPr>
                <w:sz w:val="18"/>
                <w:szCs w:val="18"/>
              </w:rPr>
              <w:t>Smelting and roasting processes in the production of non-ferrous metals</w:t>
            </w:r>
          </w:p>
          <w:p w14:paraId="2EC0C1B6" w14:textId="77777777" w:rsidR="008B1DF7" w:rsidRPr="00A7082A" w:rsidRDefault="008B1DF7" w:rsidP="004E0AB7">
            <w:pPr>
              <w:pStyle w:val="Normal-pool"/>
              <w:spacing w:before="4" w:after="4"/>
              <w:rPr>
                <w:sz w:val="18"/>
                <w:szCs w:val="18"/>
              </w:rPr>
            </w:pPr>
            <w:r w:rsidRPr="00A7082A">
              <w:rPr>
                <w:sz w:val="18"/>
                <w:szCs w:val="18"/>
              </w:rPr>
              <w:t>Production processes with mercury impurities</w:t>
            </w:r>
          </w:p>
          <w:p w14:paraId="33D41E03" w14:textId="77777777" w:rsidR="008B1DF7" w:rsidRPr="00A7082A" w:rsidRDefault="008B1DF7" w:rsidP="004E0AB7">
            <w:pPr>
              <w:pStyle w:val="Normal-pool"/>
              <w:spacing w:before="4" w:after="4"/>
              <w:rPr>
                <w:sz w:val="18"/>
                <w:szCs w:val="18"/>
              </w:rPr>
            </w:pPr>
            <w:r w:rsidRPr="00A7082A">
              <w:rPr>
                <w:sz w:val="18"/>
                <w:szCs w:val="18"/>
              </w:rPr>
              <w:t>Recovery of precious metals from waste electrical and electronic equipment</w:t>
            </w:r>
          </w:p>
          <w:p w14:paraId="6B903596" w14:textId="77777777" w:rsidR="008B1DF7" w:rsidRPr="00A7082A" w:rsidRDefault="008B1DF7" w:rsidP="004E0AB7">
            <w:pPr>
              <w:pStyle w:val="Normal-pool"/>
              <w:spacing w:before="4" w:after="4"/>
              <w:rPr>
                <w:sz w:val="18"/>
                <w:szCs w:val="18"/>
              </w:rPr>
            </w:pPr>
            <w:r w:rsidRPr="00A7082A">
              <w:rPr>
                <w:sz w:val="18"/>
                <w:szCs w:val="18"/>
              </w:rPr>
              <w:t>Coal combustion</w:t>
            </w:r>
          </w:p>
          <w:p w14:paraId="1664B18B" w14:textId="77777777" w:rsidR="008B1DF7" w:rsidRPr="00A7082A" w:rsidRDefault="008B1DF7" w:rsidP="004E0AB7">
            <w:pPr>
              <w:pStyle w:val="Normal-pool"/>
              <w:spacing w:before="4" w:after="4"/>
              <w:rPr>
                <w:sz w:val="18"/>
                <w:szCs w:val="18"/>
              </w:rPr>
            </w:pPr>
            <w:r w:rsidRPr="00A7082A">
              <w:rPr>
                <w:sz w:val="18"/>
                <w:szCs w:val="18"/>
              </w:rPr>
              <w:t>Waste incineration and co-incineration</w:t>
            </w:r>
          </w:p>
          <w:p w14:paraId="2FFBEEE6" w14:textId="77777777" w:rsidR="008B1DF7" w:rsidRPr="00A7082A" w:rsidRDefault="008B1DF7" w:rsidP="004E0AB7">
            <w:pPr>
              <w:pStyle w:val="Normal-pool"/>
              <w:spacing w:before="4" w:after="4"/>
              <w:rPr>
                <w:sz w:val="18"/>
                <w:szCs w:val="18"/>
              </w:rPr>
            </w:pPr>
            <w:r w:rsidRPr="00A7082A">
              <w:rPr>
                <w:sz w:val="18"/>
                <w:szCs w:val="18"/>
              </w:rPr>
              <w:t xml:space="preserve">Crematoria </w:t>
            </w:r>
          </w:p>
        </w:tc>
      </w:tr>
      <w:tr w:rsidR="008B1DF7" w:rsidRPr="00A7082A" w14:paraId="672A2A34" w14:textId="77777777" w:rsidTr="00F65CA1">
        <w:trPr>
          <w:trHeight w:val="57"/>
          <w:jc w:val="right"/>
        </w:trPr>
        <w:tc>
          <w:tcPr>
            <w:tcW w:w="3119" w:type="dxa"/>
          </w:tcPr>
          <w:p w14:paraId="3CBCB78C" w14:textId="77777777" w:rsidR="008B1DF7" w:rsidRPr="00A7082A" w:rsidRDefault="008B1DF7" w:rsidP="004E0AB7">
            <w:pPr>
              <w:pStyle w:val="Normal-pool"/>
              <w:spacing w:before="4" w:after="4"/>
              <w:rPr>
                <w:sz w:val="18"/>
                <w:szCs w:val="18"/>
              </w:rPr>
            </w:pPr>
            <w:r w:rsidRPr="00A7082A">
              <w:rPr>
                <w:sz w:val="18"/>
                <w:szCs w:val="18"/>
              </w:rPr>
              <w:t xml:space="preserve">Bottom ash </w:t>
            </w:r>
          </w:p>
        </w:tc>
        <w:tc>
          <w:tcPr>
            <w:tcW w:w="6328" w:type="dxa"/>
          </w:tcPr>
          <w:p w14:paraId="2EDA52B2" w14:textId="77777777" w:rsidR="008B1DF7" w:rsidRPr="00A7082A" w:rsidRDefault="008B1DF7" w:rsidP="004E0AB7">
            <w:pPr>
              <w:pStyle w:val="Normal-pool"/>
              <w:spacing w:before="4" w:after="4"/>
              <w:rPr>
                <w:sz w:val="18"/>
                <w:szCs w:val="18"/>
              </w:rPr>
            </w:pPr>
            <w:r w:rsidRPr="00A7082A">
              <w:rPr>
                <w:sz w:val="18"/>
                <w:szCs w:val="18"/>
              </w:rPr>
              <w:t>Coal combustion</w:t>
            </w:r>
          </w:p>
          <w:p w14:paraId="08A35288" w14:textId="77777777" w:rsidR="008B1DF7" w:rsidRPr="00A7082A" w:rsidRDefault="008B1DF7" w:rsidP="004E0AB7">
            <w:pPr>
              <w:pStyle w:val="Normal-pool"/>
              <w:spacing w:before="4" w:after="4"/>
              <w:rPr>
                <w:sz w:val="18"/>
                <w:szCs w:val="18"/>
              </w:rPr>
            </w:pPr>
            <w:r w:rsidRPr="00A7082A">
              <w:rPr>
                <w:sz w:val="18"/>
                <w:szCs w:val="18"/>
              </w:rPr>
              <w:t>Biomass fired power and heat generation</w:t>
            </w:r>
          </w:p>
          <w:p w14:paraId="7CA1D30A" w14:textId="77777777" w:rsidR="008B1DF7" w:rsidRPr="00A7082A" w:rsidRDefault="008B1DF7" w:rsidP="004E0AB7">
            <w:pPr>
              <w:pStyle w:val="Normal-pool"/>
              <w:spacing w:before="4" w:after="4"/>
              <w:rPr>
                <w:sz w:val="18"/>
                <w:szCs w:val="18"/>
              </w:rPr>
            </w:pPr>
            <w:r w:rsidRPr="00A7082A">
              <w:rPr>
                <w:sz w:val="18"/>
                <w:szCs w:val="18"/>
              </w:rPr>
              <w:t>Waste incineration</w:t>
            </w:r>
          </w:p>
        </w:tc>
      </w:tr>
      <w:tr w:rsidR="008B1DF7" w:rsidRPr="00A7082A" w14:paraId="48CCC23F" w14:textId="77777777" w:rsidTr="00F65CA1">
        <w:trPr>
          <w:trHeight w:val="57"/>
          <w:jc w:val="right"/>
        </w:trPr>
        <w:tc>
          <w:tcPr>
            <w:tcW w:w="3119" w:type="dxa"/>
          </w:tcPr>
          <w:p w14:paraId="57A20B98" w14:textId="77777777" w:rsidR="008B1DF7" w:rsidRPr="00A7082A" w:rsidRDefault="008B1DF7" w:rsidP="004E0AB7">
            <w:pPr>
              <w:pStyle w:val="Normal-pool"/>
              <w:spacing w:before="4" w:after="4"/>
              <w:rPr>
                <w:sz w:val="18"/>
                <w:szCs w:val="18"/>
              </w:rPr>
            </w:pPr>
            <w:r w:rsidRPr="00A7082A">
              <w:rPr>
                <w:sz w:val="18"/>
                <w:szCs w:val="18"/>
              </w:rPr>
              <w:t>Wastewater treatment residues/slurries</w:t>
            </w:r>
            <w:r w:rsidRPr="00A7082A">
              <w:rPr>
                <w:sz w:val="18"/>
                <w:szCs w:val="18"/>
                <w:vertAlign w:val="superscript"/>
              </w:rPr>
              <w:t>d</w:t>
            </w:r>
          </w:p>
        </w:tc>
        <w:tc>
          <w:tcPr>
            <w:tcW w:w="6328" w:type="dxa"/>
          </w:tcPr>
          <w:p w14:paraId="7EA3A5F9" w14:textId="77777777" w:rsidR="008B1DF7" w:rsidRPr="00A7082A" w:rsidRDefault="008B1DF7" w:rsidP="004E0AB7">
            <w:pPr>
              <w:pStyle w:val="Normal-pool"/>
              <w:spacing w:before="4" w:after="4"/>
              <w:rPr>
                <w:sz w:val="18"/>
                <w:szCs w:val="18"/>
              </w:rPr>
            </w:pPr>
            <w:r w:rsidRPr="00A7082A">
              <w:rPr>
                <w:sz w:val="18"/>
                <w:szCs w:val="18"/>
              </w:rPr>
              <w:t>Treatment of wastewater from:</w:t>
            </w:r>
          </w:p>
          <w:p w14:paraId="672346E7" w14:textId="77777777" w:rsidR="008B1DF7" w:rsidRPr="00A7082A" w:rsidRDefault="008B1DF7" w:rsidP="004E0AB7">
            <w:pPr>
              <w:pStyle w:val="Normal-pool"/>
              <w:spacing w:before="4" w:after="4"/>
              <w:rPr>
                <w:sz w:val="18"/>
                <w:szCs w:val="18"/>
              </w:rPr>
            </w:pPr>
            <w:r w:rsidRPr="00A7082A">
              <w:rPr>
                <w:sz w:val="18"/>
                <w:szCs w:val="18"/>
              </w:rPr>
              <w:t>Extraction and use of fuels/energy</w:t>
            </w:r>
          </w:p>
          <w:p w14:paraId="4F63F916" w14:textId="77777777" w:rsidR="008B1DF7" w:rsidRPr="00A7082A" w:rsidRDefault="008B1DF7" w:rsidP="0053069F">
            <w:pPr>
              <w:pStyle w:val="Normal-pool"/>
              <w:spacing w:before="4" w:after="4"/>
              <w:rPr>
                <w:sz w:val="18"/>
                <w:szCs w:val="18"/>
              </w:rPr>
            </w:pPr>
            <w:r w:rsidRPr="00A7082A">
              <w:rPr>
                <w:sz w:val="18"/>
                <w:szCs w:val="18"/>
              </w:rPr>
              <w:t>Production of mercury-added products</w:t>
            </w:r>
          </w:p>
          <w:p w14:paraId="4957B3C8" w14:textId="77777777" w:rsidR="008B1DF7" w:rsidRPr="00A7082A" w:rsidRDefault="008B1DF7" w:rsidP="0053069F">
            <w:pPr>
              <w:pStyle w:val="Normal-pool"/>
              <w:spacing w:before="4" w:after="4"/>
              <w:rPr>
                <w:sz w:val="18"/>
                <w:szCs w:val="18"/>
              </w:rPr>
            </w:pPr>
            <w:r w:rsidRPr="00A7082A">
              <w:rPr>
                <w:sz w:val="18"/>
                <w:szCs w:val="18"/>
              </w:rPr>
              <w:t>Manufacturing processes in which mercury or mercury compounds are used</w:t>
            </w:r>
          </w:p>
          <w:p w14:paraId="4498E3FC" w14:textId="77777777" w:rsidR="008B1DF7" w:rsidRPr="00A7082A" w:rsidRDefault="008B1DF7" w:rsidP="0053069F">
            <w:pPr>
              <w:pStyle w:val="Normal-pool"/>
              <w:spacing w:before="4" w:after="4"/>
              <w:rPr>
                <w:sz w:val="18"/>
                <w:szCs w:val="18"/>
              </w:rPr>
            </w:pPr>
            <w:r w:rsidRPr="00A7082A">
              <w:rPr>
                <w:sz w:val="18"/>
                <w:szCs w:val="18"/>
              </w:rPr>
              <w:t>Primary non-ferrous metals production</w:t>
            </w:r>
          </w:p>
          <w:p w14:paraId="386F1CB4" w14:textId="77777777" w:rsidR="008B1DF7" w:rsidRPr="00A7082A" w:rsidRDefault="008B1DF7" w:rsidP="0053069F">
            <w:pPr>
              <w:pStyle w:val="Normal-pool"/>
              <w:spacing w:before="4" w:after="4"/>
              <w:rPr>
                <w:sz w:val="18"/>
                <w:szCs w:val="18"/>
              </w:rPr>
            </w:pPr>
            <w:r w:rsidRPr="00A7082A">
              <w:rPr>
                <w:sz w:val="18"/>
                <w:szCs w:val="18"/>
              </w:rPr>
              <w:t xml:space="preserve">Production processes with mercury impurities </w:t>
            </w:r>
          </w:p>
          <w:p w14:paraId="19ACFD49" w14:textId="77777777" w:rsidR="008B1DF7" w:rsidRPr="00A7082A" w:rsidRDefault="008B1DF7" w:rsidP="0053069F">
            <w:pPr>
              <w:pStyle w:val="Normal-pool"/>
              <w:spacing w:before="4" w:after="4"/>
              <w:rPr>
                <w:sz w:val="18"/>
                <w:szCs w:val="18"/>
              </w:rPr>
            </w:pPr>
            <w:r w:rsidRPr="00A7082A">
              <w:rPr>
                <w:sz w:val="18"/>
                <w:szCs w:val="18"/>
              </w:rPr>
              <w:t>Recovery of precious metals from waste electrical and electronic equipment</w:t>
            </w:r>
          </w:p>
          <w:p w14:paraId="1C7D8F78" w14:textId="77777777" w:rsidR="008B1DF7" w:rsidRPr="00A7082A" w:rsidRDefault="008B1DF7" w:rsidP="0053069F">
            <w:pPr>
              <w:pStyle w:val="Normal-pool"/>
              <w:spacing w:before="4" w:after="4"/>
              <w:rPr>
                <w:sz w:val="18"/>
                <w:szCs w:val="18"/>
              </w:rPr>
            </w:pPr>
            <w:r w:rsidRPr="00A7082A">
              <w:rPr>
                <w:sz w:val="18"/>
                <w:szCs w:val="18"/>
              </w:rPr>
              <w:t>Waste incineration, co-incineration and other thermal treatment</w:t>
            </w:r>
          </w:p>
          <w:p w14:paraId="17F5C00B" w14:textId="77777777" w:rsidR="008B1DF7" w:rsidRPr="00A7082A" w:rsidRDefault="008B1DF7" w:rsidP="0053069F">
            <w:pPr>
              <w:pStyle w:val="Normal-pool"/>
              <w:spacing w:before="4" w:after="4"/>
              <w:rPr>
                <w:sz w:val="18"/>
                <w:szCs w:val="18"/>
              </w:rPr>
            </w:pPr>
            <w:r w:rsidRPr="00A7082A">
              <w:rPr>
                <w:sz w:val="18"/>
                <w:szCs w:val="18"/>
              </w:rPr>
              <w:t>Crematoria</w:t>
            </w:r>
          </w:p>
          <w:p w14:paraId="49D52A7B" w14:textId="77777777" w:rsidR="008B1DF7" w:rsidRPr="00A7082A" w:rsidRDefault="008B1DF7" w:rsidP="0053069F">
            <w:pPr>
              <w:pStyle w:val="Normal-pool"/>
              <w:spacing w:before="4" w:after="4"/>
              <w:rPr>
                <w:sz w:val="18"/>
                <w:szCs w:val="18"/>
              </w:rPr>
            </w:pPr>
            <w:r w:rsidRPr="00A7082A">
              <w:rPr>
                <w:sz w:val="18"/>
                <w:szCs w:val="18"/>
              </w:rPr>
              <w:t>Healthcare facilities</w:t>
            </w:r>
          </w:p>
          <w:p w14:paraId="11CB8B46" w14:textId="77777777" w:rsidR="008B1DF7" w:rsidRPr="00A7082A" w:rsidRDefault="008B1DF7" w:rsidP="0053069F">
            <w:pPr>
              <w:pStyle w:val="Normal-pool"/>
              <w:spacing w:before="4" w:after="4"/>
              <w:rPr>
                <w:sz w:val="18"/>
                <w:szCs w:val="18"/>
              </w:rPr>
            </w:pPr>
            <w:r w:rsidRPr="00A7082A">
              <w:rPr>
                <w:sz w:val="18"/>
                <w:szCs w:val="18"/>
              </w:rPr>
              <w:t>Controlled landfills leachate</w:t>
            </w:r>
          </w:p>
          <w:p w14:paraId="48AAC70F" w14:textId="77777777" w:rsidR="008B1DF7" w:rsidRPr="00A7082A" w:rsidRDefault="008B1DF7" w:rsidP="004E0AB7">
            <w:pPr>
              <w:pStyle w:val="Normal-pool"/>
              <w:spacing w:before="4" w:after="4"/>
              <w:rPr>
                <w:sz w:val="18"/>
                <w:szCs w:val="18"/>
              </w:rPr>
            </w:pPr>
            <w:r w:rsidRPr="00A7082A">
              <w:rPr>
                <w:sz w:val="18"/>
                <w:szCs w:val="18"/>
              </w:rPr>
              <w:t>Uncontrolled dumping of wastes</w:t>
            </w:r>
          </w:p>
          <w:p w14:paraId="5AA360FD" w14:textId="77777777" w:rsidR="008B1DF7" w:rsidRPr="00A7082A" w:rsidRDefault="008B1DF7" w:rsidP="004E0AB7">
            <w:pPr>
              <w:pStyle w:val="Normal-pool"/>
              <w:spacing w:before="4" w:after="4"/>
              <w:rPr>
                <w:sz w:val="18"/>
                <w:szCs w:val="18"/>
              </w:rPr>
            </w:pPr>
            <w:r w:rsidRPr="00A7082A">
              <w:rPr>
                <w:sz w:val="18"/>
                <w:szCs w:val="18"/>
              </w:rPr>
              <w:t>Agricultural facilities</w:t>
            </w:r>
          </w:p>
        </w:tc>
      </w:tr>
      <w:tr w:rsidR="008B1DF7" w:rsidRPr="00A7082A" w14:paraId="46FEA5A1" w14:textId="77777777" w:rsidTr="00F65CA1">
        <w:trPr>
          <w:trHeight w:val="57"/>
          <w:jc w:val="right"/>
        </w:trPr>
        <w:tc>
          <w:tcPr>
            <w:tcW w:w="3119" w:type="dxa"/>
          </w:tcPr>
          <w:p w14:paraId="7244B9C9" w14:textId="77777777" w:rsidR="008B1DF7" w:rsidRPr="00A7082A" w:rsidRDefault="008B1DF7" w:rsidP="004E0AB7">
            <w:pPr>
              <w:pStyle w:val="Normal-pool"/>
              <w:spacing w:before="4" w:after="4"/>
              <w:rPr>
                <w:sz w:val="18"/>
                <w:szCs w:val="18"/>
              </w:rPr>
            </w:pPr>
            <w:r w:rsidRPr="00A7082A">
              <w:rPr>
                <w:sz w:val="18"/>
                <w:szCs w:val="18"/>
              </w:rPr>
              <w:t xml:space="preserve">Sludge </w:t>
            </w:r>
          </w:p>
        </w:tc>
        <w:tc>
          <w:tcPr>
            <w:tcW w:w="6328" w:type="dxa"/>
          </w:tcPr>
          <w:p w14:paraId="5198381F" w14:textId="77777777" w:rsidR="008B1DF7" w:rsidRPr="00A7082A" w:rsidRDefault="008B1DF7" w:rsidP="004E0AB7">
            <w:pPr>
              <w:pStyle w:val="Normal-pool"/>
              <w:spacing w:before="4" w:after="4"/>
              <w:rPr>
                <w:sz w:val="18"/>
                <w:szCs w:val="18"/>
              </w:rPr>
            </w:pPr>
            <w:r w:rsidRPr="00A7082A">
              <w:rPr>
                <w:sz w:val="18"/>
                <w:szCs w:val="18"/>
              </w:rPr>
              <w:t>Separator tanks and sedimentary sand tanks for refining of crude oil, natural gas production and processing, drilling, ship cleaning, chemical processes, etc.</w:t>
            </w:r>
          </w:p>
          <w:p w14:paraId="57ADF0E0" w14:textId="77777777" w:rsidR="008B1DF7" w:rsidRPr="00A7082A" w:rsidRDefault="008B1DF7" w:rsidP="004E0AB7">
            <w:pPr>
              <w:pStyle w:val="Normal-pool"/>
              <w:spacing w:before="4" w:after="4"/>
              <w:rPr>
                <w:sz w:val="18"/>
                <w:szCs w:val="18"/>
              </w:rPr>
            </w:pPr>
            <w:r w:rsidRPr="00A7082A">
              <w:rPr>
                <w:sz w:val="18"/>
                <w:szCs w:val="18"/>
              </w:rPr>
              <w:t xml:space="preserve">Treatment of wastes contaminated with mercury (e.g., chemical precipitation and chemical oxidation) </w:t>
            </w:r>
          </w:p>
        </w:tc>
      </w:tr>
      <w:tr w:rsidR="008B1DF7" w:rsidRPr="00A7082A" w14:paraId="4A5917E4" w14:textId="77777777" w:rsidTr="00F65CA1">
        <w:trPr>
          <w:trHeight w:val="57"/>
          <w:jc w:val="right"/>
        </w:trPr>
        <w:tc>
          <w:tcPr>
            <w:tcW w:w="3119" w:type="dxa"/>
          </w:tcPr>
          <w:p w14:paraId="3224ECAD" w14:textId="77777777" w:rsidR="008B1DF7" w:rsidRPr="00A7082A" w:rsidRDefault="008B1DF7" w:rsidP="004E0AB7">
            <w:pPr>
              <w:pStyle w:val="Normal-pool"/>
              <w:spacing w:before="4" w:after="4"/>
              <w:rPr>
                <w:sz w:val="18"/>
                <w:szCs w:val="18"/>
              </w:rPr>
            </w:pPr>
            <w:r w:rsidRPr="00A7082A">
              <w:rPr>
                <w:sz w:val="18"/>
                <w:szCs w:val="18"/>
              </w:rPr>
              <w:t>Oil and gas refining catalyst</w:t>
            </w:r>
          </w:p>
        </w:tc>
        <w:tc>
          <w:tcPr>
            <w:tcW w:w="6328" w:type="dxa"/>
          </w:tcPr>
          <w:p w14:paraId="4D9884DC" w14:textId="77777777" w:rsidR="008B1DF7" w:rsidRPr="00A7082A" w:rsidRDefault="008B1DF7" w:rsidP="004E0AB7">
            <w:pPr>
              <w:pStyle w:val="Normal-pool"/>
              <w:spacing w:before="4" w:after="4"/>
              <w:rPr>
                <w:sz w:val="18"/>
                <w:szCs w:val="18"/>
              </w:rPr>
            </w:pPr>
            <w:r w:rsidRPr="00A7082A">
              <w:rPr>
                <w:sz w:val="18"/>
                <w:szCs w:val="18"/>
              </w:rPr>
              <w:t>Refining of crude oil</w:t>
            </w:r>
          </w:p>
          <w:p w14:paraId="6F2DC7DB" w14:textId="77777777" w:rsidR="008B1DF7" w:rsidRPr="00A7082A" w:rsidRDefault="008B1DF7" w:rsidP="004E0AB7">
            <w:pPr>
              <w:pStyle w:val="Normal-pool"/>
              <w:spacing w:before="4" w:after="4"/>
              <w:rPr>
                <w:sz w:val="18"/>
                <w:szCs w:val="18"/>
              </w:rPr>
            </w:pPr>
            <w:r w:rsidRPr="00A7082A">
              <w:rPr>
                <w:sz w:val="18"/>
                <w:szCs w:val="18"/>
              </w:rPr>
              <w:t>Processing of natural gas</w:t>
            </w:r>
          </w:p>
        </w:tc>
      </w:tr>
      <w:tr w:rsidR="008B1DF7" w:rsidRPr="00A7082A" w14:paraId="47493051" w14:textId="77777777" w:rsidTr="00F65CA1">
        <w:trPr>
          <w:trHeight w:val="57"/>
          <w:jc w:val="right"/>
        </w:trPr>
        <w:tc>
          <w:tcPr>
            <w:tcW w:w="3119" w:type="dxa"/>
          </w:tcPr>
          <w:p w14:paraId="56F65F11" w14:textId="77777777" w:rsidR="008B1DF7" w:rsidRPr="00A7082A" w:rsidRDefault="008B1DF7" w:rsidP="004E0AB7">
            <w:pPr>
              <w:pStyle w:val="Normal-pool"/>
              <w:spacing w:before="4" w:after="4"/>
              <w:rPr>
                <w:sz w:val="18"/>
                <w:szCs w:val="18"/>
              </w:rPr>
            </w:pPr>
            <w:r w:rsidRPr="00A7082A">
              <w:rPr>
                <w:sz w:val="18"/>
                <w:szCs w:val="18"/>
              </w:rPr>
              <w:t>Tailings and extraction process residues</w:t>
            </w:r>
          </w:p>
        </w:tc>
        <w:tc>
          <w:tcPr>
            <w:tcW w:w="6328" w:type="dxa"/>
          </w:tcPr>
          <w:p w14:paraId="44A9F5D4" w14:textId="77777777" w:rsidR="008B1DF7" w:rsidRPr="00A7082A" w:rsidRDefault="008B1DF7" w:rsidP="004E0AB7">
            <w:pPr>
              <w:pStyle w:val="Normal-pool"/>
              <w:spacing w:before="4" w:after="4"/>
              <w:rPr>
                <w:sz w:val="18"/>
                <w:szCs w:val="18"/>
              </w:rPr>
            </w:pPr>
            <w:r w:rsidRPr="00A7082A">
              <w:rPr>
                <w:sz w:val="18"/>
                <w:szCs w:val="18"/>
              </w:rPr>
              <w:t>Primary mercury mining</w:t>
            </w:r>
          </w:p>
          <w:p w14:paraId="47489A03" w14:textId="2D3AE046" w:rsidR="008B1DF7" w:rsidRPr="00A7082A" w:rsidRDefault="008B1DF7" w:rsidP="004E0AB7">
            <w:pPr>
              <w:pStyle w:val="Normal-pool"/>
              <w:spacing w:before="4" w:after="4"/>
              <w:rPr>
                <w:sz w:val="18"/>
                <w:szCs w:val="18"/>
              </w:rPr>
            </w:pPr>
            <w:r w:rsidRPr="00A7082A">
              <w:rPr>
                <w:sz w:val="18"/>
                <w:szCs w:val="18"/>
              </w:rPr>
              <w:t xml:space="preserve">Artisanal and </w:t>
            </w:r>
            <w:r w:rsidR="00073984" w:rsidRPr="00A7082A">
              <w:rPr>
                <w:sz w:val="18"/>
                <w:szCs w:val="18"/>
              </w:rPr>
              <w:t>small</w:t>
            </w:r>
            <w:r w:rsidR="00073984" w:rsidRPr="00A7082A">
              <w:rPr>
                <w:sz w:val="18"/>
                <w:szCs w:val="18"/>
              </w:rPr>
              <w:noBreakHyphen/>
              <w:t>scale</w:t>
            </w:r>
            <w:r w:rsidRPr="00A7082A">
              <w:rPr>
                <w:sz w:val="18"/>
                <w:szCs w:val="18"/>
              </w:rPr>
              <w:t xml:space="preserve"> gold mining</w:t>
            </w:r>
          </w:p>
        </w:tc>
      </w:tr>
      <w:tr w:rsidR="008B1DF7" w:rsidRPr="00A7082A" w14:paraId="63AE641F" w14:textId="77777777" w:rsidTr="00F65CA1">
        <w:trPr>
          <w:trHeight w:val="57"/>
          <w:jc w:val="right"/>
        </w:trPr>
        <w:tc>
          <w:tcPr>
            <w:tcW w:w="3119" w:type="dxa"/>
          </w:tcPr>
          <w:p w14:paraId="5DCF7B5A" w14:textId="46BEA797" w:rsidR="008B1DF7" w:rsidRPr="00A7082A" w:rsidRDefault="008B1DF7" w:rsidP="004E0AB7">
            <w:pPr>
              <w:pStyle w:val="Normal-pool"/>
              <w:spacing w:before="4" w:after="4"/>
              <w:rPr>
                <w:sz w:val="18"/>
                <w:szCs w:val="18"/>
              </w:rPr>
            </w:pPr>
            <w:r w:rsidRPr="00A7082A">
              <w:rPr>
                <w:sz w:val="18"/>
                <w:szCs w:val="18"/>
              </w:rPr>
              <w:t>Rubble, debris and soil</w:t>
            </w:r>
            <w:r w:rsidRPr="00A7082A">
              <w:rPr>
                <w:sz w:val="18"/>
                <w:szCs w:val="18"/>
                <w:vertAlign w:val="superscript"/>
              </w:rPr>
              <w:t>e</w:t>
            </w:r>
          </w:p>
        </w:tc>
        <w:tc>
          <w:tcPr>
            <w:tcW w:w="6328" w:type="dxa"/>
          </w:tcPr>
          <w:p w14:paraId="7BBC030F" w14:textId="77777777" w:rsidR="008B1DF7" w:rsidRPr="00A7082A" w:rsidRDefault="008B1DF7" w:rsidP="004E0AB7">
            <w:pPr>
              <w:pStyle w:val="Normal-pool"/>
              <w:spacing w:before="4" w:after="4"/>
              <w:rPr>
                <w:sz w:val="18"/>
                <w:szCs w:val="18"/>
              </w:rPr>
            </w:pPr>
            <w:r w:rsidRPr="00A7082A">
              <w:rPr>
                <w:sz w:val="18"/>
                <w:szCs w:val="18"/>
              </w:rPr>
              <w:t>Construction/demolition</w:t>
            </w:r>
          </w:p>
          <w:p w14:paraId="76CE4EB5" w14:textId="77777777" w:rsidR="008B1DF7" w:rsidRPr="00A7082A" w:rsidRDefault="008B1DF7" w:rsidP="004E0AB7">
            <w:pPr>
              <w:pStyle w:val="Normal-pool"/>
              <w:spacing w:before="4" w:after="4"/>
              <w:rPr>
                <w:sz w:val="18"/>
                <w:szCs w:val="18"/>
              </w:rPr>
            </w:pPr>
            <w:r w:rsidRPr="00A7082A">
              <w:rPr>
                <w:sz w:val="18"/>
                <w:szCs w:val="18"/>
              </w:rPr>
              <w:t>Remediation of contaminated sites</w:t>
            </w:r>
          </w:p>
        </w:tc>
      </w:tr>
      <w:tr w:rsidR="008B1DF7" w:rsidRPr="00A7082A" w14:paraId="47A871F6" w14:textId="77777777" w:rsidTr="00F65CA1">
        <w:trPr>
          <w:trHeight w:val="57"/>
          <w:jc w:val="right"/>
        </w:trPr>
        <w:tc>
          <w:tcPr>
            <w:tcW w:w="3119" w:type="dxa"/>
          </w:tcPr>
          <w:p w14:paraId="3443E888" w14:textId="77777777" w:rsidR="008B1DF7" w:rsidRPr="00A7082A" w:rsidRDefault="008B1DF7" w:rsidP="004E0AB7">
            <w:pPr>
              <w:pStyle w:val="Normal-pool"/>
              <w:spacing w:before="4" w:after="4"/>
              <w:rPr>
                <w:sz w:val="18"/>
                <w:szCs w:val="18"/>
              </w:rPr>
            </w:pPr>
            <w:r w:rsidRPr="00A7082A">
              <w:rPr>
                <w:sz w:val="18"/>
                <w:szCs w:val="18"/>
              </w:rPr>
              <w:t>Other waste from manufacturing processes using mercury or mercury compounds</w:t>
            </w:r>
            <w:r w:rsidRPr="00A7082A">
              <w:rPr>
                <w:sz w:val="18"/>
                <w:szCs w:val="18"/>
                <w:vertAlign w:val="superscript"/>
              </w:rPr>
              <w:t>f</w:t>
            </w:r>
          </w:p>
        </w:tc>
        <w:tc>
          <w:tcPr>
            <w:tcW w:w="6328" w:type="dxa"/>
          </w:tcPr>
          <w:p w14:paraId="2C3C7922" w14:textId="77777777" w:rsidR="008B1DF7" w:rsidRPr="00A7082A" w:rsidRDefault="008B1DF7" w:rsidP="004E0AB7">
            <w:pPr>
              <w:pStyle w:val="Normal-pool"/>
              <w:spacing w:before="4" w:after="4"/>
              <w:rPr>
                <w:sz w:val="18"/>
                <w:szCs w:val="18"/>
              </w:rPr>
            </w:pPr>
            <w:r w:rsidRPr="00A7082A">
              <w:rPr>
                <w:sz w:val="18"/>
                <w:szCs w:val="18"/>
              </w:rPr>
              <w:t xml:space="preserve">Chlor-alkali production with mercury technology </w:t>
            </w:r>
          </w:p>
          <w:p w14:paraId="26FFCB05" w14:textId="77777777" w:rsidR="008B1DF7" w:rsidRPr="00A7082A" w:rsidRDefault="008B1DF7" w:rsidP="004E0AB7">
            <w:pPr>
              <w:pStyle w:val="Normal-pool"/>
              <w:spacing w:before="4" w:after="4"/>
              <w:rPr>
                <w:sz w:val="18"/>
                <w:szCs w:val="18"/>
              </w:rPr>
            </w:pPr>
            <w:r w:rsidRPr="00A7082A">
              <w:rPr>
                <w:sz w:val="18"/>
                <w:szCs w:val="18"/>
              </w:rPr>
              <w:t>Production of alcoholates (e.g., sodium or potassium methylate or ethylate)</w:t>
            </w:r>
          </w:p>
          <w:p w14:paraId="3E1C4519" w14:textId="77777777" w:rsidR="008B1DF7" w:rsidRPr="00A7082A" w:rsidRDefault="008B1DF7" w:rsidP="004E0AB7">
            <w:pPr>
              <w:pStyle w:val="Normal-pool"/>
              <w:spacing w:before="4" w:after="4"/>
              <w:rPr>
                <w:sz w:val="18"/>
                <w:szCs w:val="18"/>
              </w:rPr>
            </w:pPr>
            <w:r w:rsidRPr="00A7082A">
              <w:rPr>
                <w:sz w:val="18"/>
                <w:szCs w:val="18"/>
              </w:rPr>
              <w:t xml:space="preserve">Dithionite and ultrapure potassium hydroxide solution </w:t>
            </w:r>
          </w:p>
          <w:p w14:paraId="5D93B875" w14:textId="77777777" w:rsidR="008B1DF7" w:rsidRPr="00A7082A" w:rsidRDefault="008B1DF7" w:rsidP="004E0AB7">
            <w:pPr>
              <w:pStyle w:val="Normal-pool"/>
              <w:spacing w:before="4" w:after="4"/>
              <w:rPr>
                <w:sz w:val="18"/>
                <w:szCs w:val="18"/>
              </w:rPr>
            </w:pPr>
            <w:r w:rsidRPr="00A7082A">
              <w:rPr>
                <w:sz w:val="18"/>
                <w:szCs w:val="18"/>
              </w:rPr>
              <w:t>Vinyl chloride monomer (VCM) production with mercuric chloride (HgCl</w:t>
            </w:r>
            <w:r w:rsidRPr="00A7082A">
              <w:rPr>
                <w:sz w:val="18"/>
                <w:szCs w:val="18"/>
                <w:vertAlign w:val="subscript"/>
              </w:rPr>
              <w:t>2</w:t>
            </w:r>
            <w:r w:rsidRPr="00A7082A">
              <w:rPr>
                <w:sz w:val="18"/>
                <w:szCs w:val="18"/>
              </w:rPr>
              <w:t xml:space="preserve">) catalyst </w:t>
            </w:r>
          </w:p>
          <w:p w14:paraId="07183B52" w14:textId="77777777" w:rsidR="008B1DF7" w:rsidRPr="00A7082A" w:rsidRDefault="008B1DF7" w:rsidP="004E0AB7">
            <w:pPr>
              <w:pStyle w:val="Normal-pool"/>
              <w:spacing w:before="4" w:after="4"/>
              <w:rPr>
                <w:sz w:val="18"/>
                <w:szCs w:val="18"/>
              </w:rPr>
            </w:pPr>
            <w:r w:rsidRPr="00A7082A">
              <w:rPr>
                <w:sz w:val="18"/>
                <w:szCs w:val="18"/>
              </w:rPr>
              <w:t>Acetaldehyde production with mercury sulphate (HgSO</w:t>
            </w:r>
            <w:r w:rsidRPr="00A7082A">
              <w:rPr>
                <w:sz w:val="18"/>
                <w:szCs w:val="18"/>
                <w:vertAlign w:val="subscript"/>
              </w:rPr>
              <w:t>4</w:t>
            </w:r>
            <w:r w:rsidRPr="00A7082A">
              <w:rPr>
                <w:sz w:val="18"/>
                <w:szCs w:val="18"/>
              </w:rPr>
              <w:t>) catalyst, etc.</w:t>
            </w:r>
          </w:p>
        </w:tc>
      </w:tr>
      <w:tr w:rsidR="008B1DF7" w:rsidRPr="00A7082A" w14:paraId="37C04857" w14:textId="77777777" w:rsidTr="00F65CA1">
        <w:trPr>
          <w:trHeight w:val="57"/>
          <w:jc w:val="right"/>
        </w:trPr>
        <w:tc>
          <w:tcPr>
            <w:tcW w:w="3119" w:type="dxa"/>
          </w:tcPr>
          <w:p w14:paraId="2428B48C" w14:textId="77777777" w:rsidR="008B1DF7" w:rsidRPr="00A7082A" w:rsidRDefault="008B1DF7" w:rsidP="004E0AB7">
            <w:pPr>
              <w:pStyle w:val="Normal-pool"/>
              <w:spacing w:before="4" w:after="4"/>
              <w:rPr>
                <w:sz w:val="18"/>
                <w:szCs w:val="18"/>
              </w:rPr>
            </w:pPr>
            <w:r w:rsidRPr="00A7082A">
              <w:rPr>
                <w:sz w:val="18"/>
                <w:szCs w:val="18"/>
              </w:rPr>
              <w:t>Other waste from the manufacturing of mercury-added products</w:t>
            </w:r>
            <w:r w:rsidRPr="00A7082A">
              <w:rPr>
                <w:sz w:val="18"/>
                <w:szCs w:val="18"/>
                <w:vertAlign w:val="superscript"/>
              </w:rPr>
              <w:t>g</w:t>
            </w:r>
          </w:p>
        </w:tc>
        <w:tc>
          <w:tcPr>
            <w:tcW w:w="6328" w:type="dxa"/>
          </w:tcPr>
          <w:p w14:paraId="48A331F4" w14:textId="77777777" w:rsidR="008B1DF7" w:rsidRPr="00A7082A" w:rsidRDefault="008B1DF7" w:rsidP="004E0AB7">
            <w:pPr>
              <w:pStyle w:val="Normal-pool"/>
              <w:spacing w:before="4" w:after="4"/>
              <w:rPr>
                <w:sz w:val="18"/>
                <w:szCs w:val="18"/>
              </w:rPr>
            </w:pPr>
            <w:r w:rsidRPr="00A7082A">
              <w:rPr>
                <w:sz w:val="18"/>
                <w:szCs w:val="18"/>
              </w:rPr>
              <w:t>Manufacturing of mercury-added products</w:t>
            </w:r>
          </w:p>
        </w:tc>
      </w:tr>
      <w:tr w:rsidR="008B1DF7" w:rsidRPr="00A7082A" w14:paraId="7CB9E69F" w14:textId="77777777" w:rsidTr="00F65CA1">
        <w:trPr>
          <w:trHeight w:val="57"/>
          <w:jc w:val="right"/>
        </w:trPr>
        <w:tc>
          <w:tcPr>
            <w:tcW w:w="3119" w:type="dxa"/>
          </w:tcPr>
          <w:p w14:paraId="66A3FE41" w14:textId="77777777" w:rsidR="008B1DF7" w:rsidRPr="00A7082A" w:rsidRDefault="008B1DF7" w:rsidP="004E0AB7">
            <w:pPr>
              <w:pStyle w:val="Normal-pool"/>
              <w:spacing w:before="4" w:after="4"/>
              <w:rPr>
                <w:sz w:val="18"/>
                <w:szCs w:val="18"/>
              </w:rPr>
            </w:pPr>
            <w:r w:rsidRPr="00A7082A">
              <w:rPr>
                <w:sz w:val="18"/>
                <w:szCs w:val="18"/>
              </w:rPr>
              <w:t>Other waste from natural gas cleaning</w:t>
            </w:r>
            <w:r w:rsidRPr="00A7082A">
              <w:rPr>
                <w:sz w:val="18"/>
                <w:szCs w:val="18"/>
                <w:vertAlign w:val="superscript"/>
              </w:rPr>
              <w:t>h</w:t>
            </w:r>
          </w:p>
        </w:tc>
        <w:tc>
          <w:tcPr>
            <w:tcW w:w="6328" w:type="dxa"/>
          </w:tcPr>
          <w:p w14:paraId="3C5DFCD9" w14:textId="77777777" w:rsidR="008B1DF7" w:rsidRPr="00A7082A" w:rsidRDefault="008B1DF7" w:rsidP="004E0AB7">
            <w:pPr>
              <w:pStyle w:val="Normal-pool"/>
              <w:spacing w:before="4" w:after="4"/>
              <w:rPr>
                <w:sz w:val="18"/>
                <w:szCs w:val="18"/>
              </w:rPr>
            </w:pPr>
            <w:r w:rsidRPr="00A7082A">
              <w:rPr>
                <w:sz w:val="18"/>
                <w:szCs w:val="18"/>
              </w:rPr>
              <w:t>Natural gas cleaning</w:t>
            </w:r>
          </w:p>
        </w:tc>
      </w:tr>
      <w:tr w:rsidR="008B1DF7" w:rsidRPr="00A7082A" w14:paraId="4ED04603" w14:textId="77777777" w:rsidTr="00F65CA1">
        <w:trPr>
          <w:trHeight w:val="57"/>
          <w:jc w:val="right"/>
        </w:trPr>
        <w:tc>
          <w:tcPr>
            <w:tcW w:w="3119" w:type="dxa"/>
            <w:tcBorders>
              <w:bottom w:val="single" w:sz="12" w:space="0" w:color="auto"/>
            </w:tcBorders>
          </w:tcPr>
          <w:p w14:paraId="02D16125" w14:textId="77777777" w:rsidR="008B1DF7" w:rsidRPr="00A7082A" w:rsidRDefault="008B1DF7" w:rsidP="004E0AB7">
            <w:pPr>
              <w:pStyle w:val="Normal-pool"/>
              <w:spacing w:before="4" w:after="4"/>
              <w:rPr>
                <w:sz w:val="18"/>
                <w:szCs w:val="18"/>
              </w:rPr>
            </w:pPr>
            <w:r w:rsidRPr="00A7082A">
              <w:rPr>
                <w:sz w:val="18"/>
                <w:szCs w:val="18"/>
              </w:rPr>
              <w:t>Wastes from waste treatment facilities</w:t>
            </w:r>
            <w:r w:rsidRPr="00A7082A">
              <w:rPr>
                <w:sz w:val="18"/>
                <w:szCs w:val="18"/>
                <w:vertAlign w:val="superscript"/>
              </w:rPr>
              <w:t>i</w:t>
            </w:r>
          </w:p>
        </w:tc>
        <w:tc>
          <w:tcPr>
            <w:tcW w:w="6328" w:type="dxa"/>
            <w:tcBorders>
              <w:bottom w:val="single" w:sz="12" w:space="0" w:color="auto"/>
            </w:tcBorders>
          </w:tcPr>
          <w:p w14:paraId="358873D3" w14:textId="77777777" w:rsidR="008B1DF7" w:rsidRPr="00A7082A" w:rsidRDefault="008B1DF7" w:rsidP="004E0AB7">
            <w:pPr>
              <w:pStyle w:val="Normal-pool"/>
              <w:spacing w:before="4" w:after="4"/>
              <w:rPr>
                <w:sz w:val="18"/>
                <w:szCs w:val="18"/>
              </w:rPr>
            </w:pPr>
            <w:r w:rsidRPr="00A7082A">
              <w:rPr>
                <w:sz w:val="18"/>
                <w:szCs w:val="18"/>
              </w:rPr>
              <w:t>Waste treatment facilities</w:t>
            </w:r>
          </w:p>
        </w:tc>
      </w:tr>
    </w:tbl>
    <w:p w14:paraId="271AC233" w14:textId="77777777" w:rsidR="008B1DF7" w:rsidRPr="00A7082A" w:rsidRDefault="008B1DF7" w:rsidP="004E0AB7">
      <w:pPr>
        <w:pStyle w:val="Normal-pool"/>
        <w:tabs>
          <w:tab w:val="clear" w:pos="1247"/>
        </w:tabs>
        <w:spacing w:before="10" w:after="10"/>
        <w:ind w:left="1247"/>
        <w:rPr>
          <w:sz w:val="17"/>
          <w:szCs w:val="17"/>
        </w:rPr>
      </w:pPr>
      <w:r w:rsidRPr="00A7082A">
        <w:rPr>
          <w:sz w:val="17"/>
          <w:szCs w:val="17"/>
          <w:vertAlign w:val="superscript"/>
        </w:rPr>
        <w:t>a</w:t>
      </w:r>
      <w:r w:rsidRPr="00A7082A">
        <w:rPr>
          <w:sz w:val="17"/>
          <w:szCs w:val="17"/>
        </w:rPr>
        <w:t xml:space="preserve"> Wastes listed in this table are regarded as mercury waste when they exceed thresholds. Waste exceeding the established threshold but not listed here would also be considered mercury waste.</w:t>
      </w:r>
    </w:p>
    <w:p w14:paraId="4898E197" w14:textId="77777777" w:rsidR="008B1DF7" w:rsidRPr="00A7082A" w:rsidRDefault="008B1DF7" w:rsidP="004E0AB7">
      <w:pPr>
        <w:pStyle w:val="Normal-pool"/>
        <w:tabs>
          <w:tab w:val="clear" w:pos="1247"/>
        </w:tabs>
        <w:spacing w:before="10" w:after="10"/>
        <w:ind w:left="1247"/>
        <w:rPr>
          <w:sz w:val="17"/>
          <w:szCs w:val="17"/>
        </w:rPr>
      </w:pPr>
      <w:r w:rsidRPr="00A7082A">
        <w:rPr>
          <w:sz w:val="17"/>
          <w:szCs w:val="17"/>
          <w:vertAlign w:val="superscript"/>
        </w:rPr>
        <w:t>b</w:t>
      </w:r>
      <w:r w:rsidRPr="00A7082A">
        <w:rPr>
          <w:sz w:val="17"/>
          <w:szCs w:val="17"/>
        </w:rPr>
        <w:t xml:space="preserve"> A facility or activity where waste is likely to be generated or accumulated.</w:t>
      </w:r>
    </w:p>
    <w:p w14:paraId="2C132723" w14:textId="77777777" w:rsidR="008B1DF7" w:rsidRPr="00A7082A" w:rsidRDefault="008B1DF7" w:rsidP="004E0AB7">
      <w:pPr>
        <w:pStyle w:val="Normal-pool"/>
        <w:tabs>
          <w:tab w:val="clear" w:pos="1247"/>
        </w:tabs>
        <w:spacing w:before="10" w:after="10"/>
        <w:ind w:left="1247"/>
        <w:rPr>
          <w:sz w:val="17"/>
          <w:szCs w:val="17"/>
        </w:rPr>
      </w:pPr>
      <w:r w:rsidRPr="00A7082A">
        <w:rPr>
          <w:sz w:val="17"/>
          <w:szCs w:val="17"/>
          <w:vertAlign w:val="superscript"/>
        </w:rPr>
        <w:t>c</w:t>
      </w:r>
      <w:r w:rsidRPr="00A7082A">
        <w:rPr>
          <w:sz w:val="17"/>
          <w:szCs w:val="17"/>
        </w:rPr>
        <w:t xml:space="preserve"> Includes filters and activated carbon.</w:t>
      </w:r>
    </w:p>
    <w:p w14:paraId="75D135EA" w14:textId="77777777" w:rsidR="008B1DF7" w:rsidRPr="00A7082A" w:rsidRDefault="008B1DF7" w:rsidP="004E0AB7">
      <w:pPr>
        <w:pStyle w:val="Normal-pool"/>
        <w:tabs>
          <w:tab w:val="clear" w:pos="1247"/>
        </w:tabs>
        <w:spacing w:before="10" w:after="10"/>
        <w:ind w:left="1247"/>
        <w:rPr>
          <w:sz w:val="17"/>
          <w:szCs w:val="17"/>
        </w:rPr>
      </w:pPr>
      <w:r w:rsidRPr="00A7082A">
        <w:rPr>
          <w:sz w:val="17"/>
          <w:szCs w:val="17"/>
          <w:vertAlign w:val="superscript"/>
        </w:rPr>
        <w:t>d</w:t>
      </w:r>
      <w:r w:rsidRPr="00A7082A">
        <w:rPr>
          <w:sz w:val="17"/>
          <w:szCs w:val="17"/>
        </w:rPr>
        <w:t xml:space="preserve"> Include filters and resins.</w:t>
      </w:r>
    </w:p>
    <w:p w14:paraId="760E47CB" w14:textId="77777777" w:rsidR="008B1DF7" w:rsidRPr="00A7082A" w:rsidRDefault="008B1DF7" w:rsidP="004E0AB7">
      <w:pPr>
        <w:pStyle w:val="Normal-pool"/>
        <w:tabs>
          <w:tab w:val="clear" w:pos="1247"/>
        </w:tabs>
        <w:spacing w:before="10" w:after="10"/>
        <w:ind w:left="1247"/>
        <w:rPr>
          <w:sz w:val="17"/>
          <w:szCs w:val="17"/>
        </w:rPr>
      </w:pPr>
      <w:r w:rsidRPr="00A7082A">
        <w:rPr>
          <w:sz w:val="17"/>
          <w:szCs w:val="17"/>
          <w:vertAlign w:val="superscript"/>
        </w:rPr>
        <w:t>e</w:t>
      </w:r>
      <w:r w:rsidRPr="00A7082A">
        <w:rPr>
          <w:sz w:val="17"/>
          <w:szCs w:val="17"/>
        </w:rPr>
        <w:t xml:space="preserve"> Contaminated soil transported off-site is regarded as waste.</w:t>
      </w:r>
    </w:p>
    <w:p w14:paraId="1CE52545" w14:textId="77777777" w:rsidR="008B1DF7" w:rsidRPr="00A7082A" w:rsidRDefault="008B1DF7" w:rsidP="004E0AB7">
      <w:pPr>
        <w:pStyle w:val="Normal-pool"/>
        <w:tabs>
          <w:tab w:val="clear" w:pos="1247"/>
        </w:tabs>
        <w:spacing w:before="10" w:after="10"/>
        <w:ind w:left="1247"/>
        <w:rPr>
          <w:sz w:val="17"/>
          <w:szCs w:val="17"/>
        </w:rPr>
      </w:pPr>
      <w:r w:rsidRPr="00A7082A">
        <w:rPr>
          <w:sz w:val="17"/>
          <w:szCs w:val="17"/>
          <w:vertAlign w:val="superscript"/>
        </w:rPr>
        <w:t>f</w:t>
      </w:r>
      <w:r w:rsidRPr="00A7082A">
        <w:rPr>
          <w:sz w:val="17"/>
          <w:szCs w:val="17"/>
        </w:rPr>
        <w:t xml:space="preserve"> Mercury cells, mercury recovery units (retort), waste catalysts, decommissioning or demolition waste, personal protective equipment, elements used to contain mercury spills, etc.</w:t>
      </w:r>
    </w:p>
    <w:p w14:paraId="1DD3788C" w14:textId="77777777" w:rsidR="008B1DF7" w:rsidRPr="00A7082A" w:rsidRDefault="008B1DF7" w:rsidP="004E0AB7">
      <w:pPr>
        <w:pStyle w:val="Normal-pool"/>
        <w:tabs>
          <w:tab w:val="clear" w:pos="1247"/>
        </w:tabs>
        <w:spacing w:before="10" w:after="10"/>
        <w:ind w:left="1247"/>
        <w:rPr>
          <w:sz w:val="17"/>
          <w:szCs w:val="17"/>
        </w:rPr>
      </w:pPr>
      <w:r w:rsidRPr="00A7082A">
        <w:rPr>
          <w:sz w:val="17"/>
          <w:szCs w:val="17"/>
        </w:rPr>
        <w:t>g Process residues, demolition waste, etc.</w:t>
      </w:r>
    </w:p>
    <w:p w14:paraId="54C45A57" w14:textId="77777777" w:rsidR="008B1DF7" w:rsidRPr="00A7082A" w:rsidRDefault="008B1DF7" w:rsidP="004E0AB7">
      <w:pPr>
        <w:pStyle w:val="Normal-pool"/>
        <w:tabs>
          <w:tab w:val="clear" w:pos="1247"/>
        </w:tabs>
        <w:spacing w:before="10" w:after="10"/>
        <w:ind w:left="1247"/>
        <w:rPr>
          <w:sz w:val="17"/>
          <w:szCs w:val="17"/>
        </w:rPr>
      </w:pPr>
      <w:r w:rsidRPr="00A7082A">
        <w:rPr>
          <w:sz w:val="17"/>
          <w:szCs w:val="17"/>
        </w:rPr>
        <w:t>h Scale removed from pipework and pipe cleaning equipment, etc.</w:t>
      </w:r>
    </w:p>
    <w:p w14:paraId="0BCAA063" w14:textId="77777777" w:rsidR="008B1DF7" w:rsidRPr="00A7082A" w:rsidRDefault="008B1DF7" w:rsidP="004E0AB7">
      <w:pPr>
        <w:pStyle w:val="Normal-pool"/>
        <w:tabs>
          <w:tab w:val="clear" w:pos="1247"/>
        </w:tabs>
        <w:spacing w:before="10" w:after="10"/>
        <w:ind w:left="1247"/>
        <w:rPr>
          <w:sz w:val="17"/>
          <w:szCs w:val="17"/>
        </w:rPr>
      </w:pPr>
      <w:r w:rsidRPr="00A7082A">
        <w:rPr>
          <w:sz w:val="17"/>
          <w:szCs w:val="17"/>
        </w:rPr>
        <w:t>i Waste treated to stabilize/solidify mercury in the waste, fluorescent coatings, metal and glass.</w:t>
      </w:r>
    </w:p>
    <w:p w14:paraId="42529EFC" w14:textId="2DFD720D" w:rsidR="003F4DA7" w:rsidRPr="00A7082A" w:rsidRDefault="004E0AB7" w:rsidP="009557F8">
      <w:pPr>
        <w:pStyle w:val="CH1"/>
      </w:pPr>
      <w:r w:rsidRPr="00A7082A">
        <w:lastRenderedPageBreak/>
        <w:tab/>
      </w:r>
      <w:r w:rsidRPr="00A7082A">
        <w:tab/>
      </w:r>
      <w:r w:rsidR="003F4DA7" w:rsidRPr="00A7082A">
        <w:t>MC-3/6: Guidance on the management of contaminated sites</w:t>
      </w:r>
      <w:bookmarkEnd w:id="51"/>
      <w:r w:rsidR="003F4DA7" w:rsidRPr="00A7082A">
        <w:t xml:space="preserve"> </w:t>
      </w:r>
    </w:p>
    <w:p w14:paraId="76AA1165" w14:textId="77777777" w:rsidR="003F4DA7" w:rsidRPr="00A7082A" w:rsidRDefault="003F4DA7" w:rsidP="003F4DA7">
      <w:pPr>
        <w:tabs>
          <w:tab w:val="clear" w:pos="1247"/>
          <w:tab w:val="clear" w:pos="1814"/>
          <w:tab w:val="clear" w:pos="2381"/>
          <w:tab w:val="clear" w:pos="2948"/>
          <w:tab w:val="clear" w:pos="3515"/>
          <w:tab w:val="left" w:pos="624"/>
          <w:tab w:val="left" w:pos="4082"/>
        </w:tabs>
        <w:spacing w:after="120"/>
        <w:ind w:left="1247" w:firstLine="624"/>
        <w:rPr>
          <w:i/>
        </w:rPr>
      </w:pPr>
      <w:r w:rsidRPr="00A7082A">
        <w:rPr>
          <w:i/>
        </w:rPr>
        <w:t>The Conference of the Parties,</w:t>
      </w:r>
    </w:p>
    <w:p w14:paraId="756A4673" w14:textId="77777777" w:rsidR="003F4DA7" w:rsidRPr="00A7082A" w:rsidRDefault="003F4DA7" w:rsidP="003F4DA7">
      <w:pPr>
        <w:tabs>
          <w:tab w:val="clear" w:pos="1247"/>
          <w:tab w:val="clear" w:pos="1814"/>
          <w:tab w:val="clear" w:pos="2381"/>
          <w:tab w:val="clear" w:pos="2948"/>
          <w:tab w:val="clear" w:pos="3515"/>
          <w:tab w:val="left" w:pos="624"/>
          <w:tab w:val="left" w:pos="4082"/>
        </w:tabs>
        <w:spacing w:after="120"/>
        <w:ind w:left="1247" w:firstLine="624"/>
        <w:rPr>
          <w:i/>
        </w:rPr>
      </w:pPr>
      <w:r w:rsidRPr="00A7082A">
        <w:rPr>
          <w:i/>
        </w:rPr>
        <w:t xml:space="preserve">Recognizing </w:t>
      </w:r>
      <w:r w:rsidRPr="00A7082A">
        <w:rPr>
          <w:iCs/>
        </w:rPr>
        <w:t>the need to assist parties in the environmentally sound management of contaminated sites through the provision of guidance</w:t>
      </w:r>
      <w:r w:rsidRPr="00A7082A">
        <w:t>,</w:t>
      </w:r>
    </w:p>
    <w:p w14:paraId="091DA63D" w14:textId="5A755113" w:rsidR="003F4DA7" w:rsidRPr="00A7082A" w:rsidRDefault="003F4DA7" w:rsidP="003F4DA7">
      <w:pPr>
        <w:tabs>
          <w:tab w:val="clear" w:pos="1247"/>
          <w:tab w:val="clear" w:pos="1814"/>
          <w:tab w:val="clear" w:pos="2381"/>
          <w:tab w:val="clear" w:pos="2948"/>
          <w:tab w:val="clear" w:pos="3515"/>
          <w:tab w:val="left" w:pos="624"/>
          <w:tab w:val="left" w:pos="4082"/>
        </w:tabs>
        <w:spacing w:after="120"/>
        <w:ind w:left="1247" w:firstLine="624"/>
        <w:rPr>
          <w:i/>
        </w:rPr>
      </w:pPr>
      <w:r w:rsidRPr="00A7082A">
        <w:rPr>
          <w:i/>
        </w:rPr>
        <w:t>Noting</w:t>
      </w:r>
      <w:r w:rsidRPr="00A7082A">
        <w:rPr>
          <w:iCs/>
        </w:rPr>
        <w:t xml:space="preserve"> the draft guidance </w:t>
      </w:r>
      <w:r w:rsidRPr="00A7082A">
        <w:t xml:space="preserve">on the management of contaminated sites </w:t>
      </w:r>
      <w:r w:rsidRPr="00A7082A">
        <w:rPr>
          <w:iCs/>
        </w:rPr>
        <w:t>prepared by the secretariat in consultation with nominated experts</w:t>
      </w:r>
      <w:r w:rsidRPr="00A7082A">
        <w:t xml:space="preserve"> and set out in annex II to </w:t>
      </w:r>
      <w:r w:rsidR="00D417B1" w:rsidRPr="00A7082A">
        <w:t>the note by the secretariat on the matter</w:t>
      </w:r>
      <w:r w:rsidRPr="00A7082A">
        <w:rPr>
          <w:iCs/>
        </w:rPr>
        <w:t>,</w:t>
      </w:r>
      <w:r w:rsidR="00D417B1" w:rsidRPr="00A7082A">
        <w:rPr>
          <w:rStyle w:val="FootnoteReference"/>
          <w:iCs/>
        </w:rPr>
        <w:footnoteReference w:id="4"/>
      </w:r>
    </w:p>
    <w:p w14:paraId="517F1A65" w14:textId="61B42BCE" w:rsidR="003F4DA7" w:rsidRPr="00A7082A" w:rsidRDefault="003F4DA7" w:rsidP="0053069F">
      <w:pPr>
        <w:numPr>
          <w:ilvl w:val="0"/>
          <w:numId w:val="21"/>
        </w:numPr>
        <w:tabs>
          <w:tab w:val="clear" w:pos="1247"/>
          <w:tab w:val="clear" w:pos="1814"/>
          <w:tab w:val="clear" w:pos="2381"/>
          <w:tab w:val="clear" w:pos="2948"/>
          <w:tab w:val="clear" w:pos="3515"/>
          <w:tab w:val="left" w:pos="624"/>
        </w:tabs>
        <w:spacing w:after="120"/>
        <w:ind w:left="1247" w:firstLine="624"/>
      </w:pPr>
      <w:r w:rsidRPr="00A7082A">
        <w:rPr>
          <w:i/>
        </w:rPr>
        <w:t xml:space="preserve">Adopts </w:t>
      </w:r>
      <w:r w:rsidRPr="00A7082A">
        <w:t>the guidance on the management of contaminated sites set out in annex II to</w:t>
      </w:r>
      <w:r w:rsidR="00D417B1" w:rsidRPr="00A7082A">
        <w:t xml:space="preserve"> the revised note by the secretariat on the matter</w:t>
      </w:r>
      <w:r w:rsidRPr="00A7082A">
        <w:t>;</w:t>
      </w:r>
      <w:r w:rsidR="00D417B1" w:rsidRPr="00A7082A">
        <w:rPr>
          <w:rStyle w:val="FootnoteReference"/>
        </w:rPr>
        <w:footnoteReference w:id="5"/>
      </w:r>
    </w:p>
    <w:p w14:paraId="1424834A" w14:textId="77777777" w:rsidR="003F4DA7" w:rsidRPr="00A7082A" w:rsidRDefault="003F4DA7" w:rsidP="003F4DA7">
      <w:pPr>
        <w:numPr>
          <w:ilvl w:val="0"/>
          <w:numId w:val="21"/>
        </w:numPr>
        <w:tabs>
          <w:tab w:val="clear" w:pos="1247"/>
          <w:tab w:val="clear" w:pos="1814"/>
          <w:tab w:val="clear" w:pos="2381"/>
          <w:tab w:val="clear" w:pos="2948"/>
          <w:tab w:val="clear" w:pos="3515"/>
          <w:tab w:val="left" w:pos="624"/>
        </w:tabs>
        <w:spacing w:after="120"/>
        <w:ind w:left="1247" w:firstLine="624"/>
        <w:rPr>
          <w:i/>
        </w:rPr>
      </w:pPr>
      <w:r w:rsidRPr="00A7082A">
        <w:rPr>
          <w:i/>
          <w:iCs/>
        </w:rPr>
        <w:t xml:space="preserve">Notes </w:t>
      </w:r>
      <w:r w:rsidRPr="00A7082A">
        <w:rPr>
          <w:iCs/>
        </w:rPr>
        <w:t>the importance of capacity-building, technical assistance and technology transfer, as appropriate and in accordance with articles 13 and 14 of the Minamata Convention on Mercury;</w:t>
      </w:r>
    </w:p>
    <w:p w14:paraId="57CD6541" w14:textId="77777777" w:rsidR="003F4DA7" w:rsidRPr="00A7082A" w:rsidRDefault="003F4DA7" w:rsidP="003F4DA7">
      <w:pPr>
        <w:numPr>
          <w:ilvl w:val="0"/>
          <w:numId w:val="21"/>
        </w:numPr>
        <w:tabs>
          <w:tab w:val="clear" w:pos="1247"/>
          <w:tab w:val="clear" w:pos="1814"/>
          <w:tab w:val="clear" w:pos="2381"/>
          <w:tab w:val="clear" w:pos="2948"/>
          <w:tab w:val="clear" w:pos="3515"/>
          <w:tab w:val="left" w:pos="624"/>
        </w:tabs>
        <w:spacing w:after="120"/>
        <w:ind w:left="1247" w:firstLine="624"/>
        <w:rPr>
          <w:iCs/>
        </w:rPr>
      </w:pPr>
      <w:r w:rsidRPr="00A7082A">
        <w:rPr>
          <w:i/>
          <w:iCs/>
        </w:rPr>
        <w:t xml:space="preserve">Encourages </w:t>
      </w:r>
      <w:r w:rsidRPr="00A7082A">
        <w:rPr>
          <w:iCs/>
        </w:rPr>
        <w:t xml:space="preserve">the parties to take the guidance into account in identifying, assessing and managing, and, as appropriate, remediating sites contaminated by mercury or mercury compounds; </w:t>
      </w:r>
    </w:p>
    <w:p w14:paraId="7DB2515E" w14:textId="77777777" w:rsidR="003F4DA7" w:rsidRPr="00A7082A" w:rsidRDefault="003F4DA7" w:rsidP="003F4DA7">
      <w:pPr>
        <w:numPr>
          <w:ilvl w:val="0"/>
          <w:numId w:val="21"/>
        </w:numPr>
        <w:tabs>
          <w:tab w:val="clear" w:pos="1247"/>
          <w:tab w:val="clear" w:pos="1814"/>
          <w:tab w:val="clear" w:pos="2381"/>
          <w:tab w:val="clear" w:pos="2948"/>
          <w:tab w:val="clear" w:pos="3515"/>
          <w:tab w:val="left" w:pos="624"/>
        </w:tabs>
        <w:spacing w:after="120"/>
        <w:ind w:left="1247" w:firstLine="624"/>
      </w:pPr>
      <w:r w:rsidRPr="00A7082A">
        <w:rPr>
          <w:i/>
          <w:iCs/>
        </w:rPr>
        <w:t>Requests</w:t>
      </w:r>
      <w:r w:rsidRPr="00A7082A">
        <w:t xml:space="preserve"> the secretariat to continue to collect technical information that supports the guidance, in cooperation with experts nominated by Governments, relevant networks and others, and to make such information available to parties; </w:t>
      </w:r>
    </w:p>
    <w:p w14:paraId="3B944D04" w14:textId="46BB5773" w:rsidR="003F4DA7" w:rsidRPr="00A7082A" w:rsidRDefault="003F4DA7" w:rsidP="00417FE2">
      <w:pPr>
        <w:numPr>
          <w:ilvl w:val="0"/>
          <w:numId w:val="21"/>
        </w:numPr>
        <w:tabs>
          <w:tab w:val="clear" w:pos="1247"/>
          <w:tab w:val="clear" w:pos="1814"/>
          <w:tab w:val="clear" w:pos="2381"/>
          <w:tab w:val="clear" w:pos="2948"/>
          <w:tab w:val="clear" w:pos="3515"/>
          <w:tab w:val="left" w:pos="624"/>
        </w:tabs>
        <w:spacing w:after="120"/>
        <w:ind w:left="1247" w:firstLine="624"/>
        <w:rPr>
          <w:i/>
          <w:iCs/>
        </w:rPr>
      </w:pPr>
      <w:r w:rsidRPr="00A7082A">
        <w:rPr>
          <w:i/>
        </w:rPr>
        <w:t>Notes</w:t>
      </w:r>
      <w:r w:rsidRPr="00A7082A">
        <w:t xml:space="preserve"> that the guidance </w:t>
      </w:r>
      <w:r w:rsidRPr="00A7082A">
        <w:rPr>
          <w:iCs/>
        </w:rPr>
        <w:t>may</w:t>
      </w:r>
      <w:r w:rsidRPr="00A7082A">
        <w:t xml:space="preserve"> need to be revised in the future in the light of experience in its use to ensure that it continues to reflect best practice</w:t>
      </w:r>
      <w:r w:rsidR="00D417B1" w:rsidRPr="00A7082A">
        <w:t>.</w:t>
      </w:r>
      <w:r w:rsidRPr="00A7082A">
        <w:rPr>
          <w:i/>
          <w:iCs/>
        </w:rPr>
        <w:t xml:space="preserve"> </w:t>
      </w:r>
    </w:p>
    <w:p w14:paraId="0C13C449" w14:textId="77777777" w:rsidR="00A35F55" w:rsidRPr="00A7082A" w:rsidRDefault="00A35F55" w:rsidP="009557F8">
      <w:pPr>
        <w:pStyle w:val="Normal-pool"/>
        <w:rPr>
          <w:sz w:val="24"/>
        </w:rPr>
      </w:pPr>
      <w:bookmarkStart w:id="53" w:name="_Toc27124748"/>
      <w:r w:rsidRPr="00A7082A">
        <w:br w:type="page"/>
      </w:r>
    </w:p>
    <w:p w14:paraId="435B6DDE" w14:textId="67A83185" w:rsidR="003F4DA7" w:rsidRPr="00A7082A" w:rsidRDefault="00CE25B9" w:rsidP="009557F8">
      <w:pPr>
        <w:pStyle w:val="CH1"/>
      </w:pPr>
      <w:r w:rsidRPr="00A7082A">
        <w:lastRenderedPageBreak/>
        <w:tab/>
      </w:r>
      <w:r w:rsidRPr="00A7082A">
        <w:tab/>
      </w:r>
      <w:r w:rsidR="003F4DA7" w:rsidRPr="00A7082A">
        <w:t>MC-3/7: First review of the financial mechanism</w:t>
      </w:r>
      <w:bookmarkEnd w:id="53"/>
    </w:p>
    <w:p w14:paraId="2592A834" w14:textId="77777777" w:rsidR="003F4DA7" w:rsidRPr="00A7082A" w:rsidRDefault="003F4DA7" w:rsidP="003F4DA7">
      <w:pPr>
        <w:tabs>
          <w:tab w:val="left" w:pos="624"/>
        </w:tabs>
        <w:spacing w:after="120"/>
        <w:ind w:left="1247" w:firstLine="624"/>
        <w:rPr>
          <w:bCs/>
          <w:i/>
          <w:iCs/>
        </w:rPr>
      </w:pPr>
      <w:r w:rsidRPr="00A7082A">
        <w:rPr>
          <w:bCs/>
          <w:i/>
          <w:iCs/>
        </w:rPr>
        <w:t>The Conference of the Parties,</w:t>
      </w:r>
    </w:p>
    <w:p w14:paraId="064BA278" w14:textId="77777777" w:rsidR="003F4DA7" w:rsidRPr="00A7082A" w:rsidRDefault="003F4DA7" w:rsidP="003F4DA7">
      <w:pPr>
        <w:tabs>
          <w:tab w:val="left" w:pos="624"/>
        </w:tabs>
        <w:spacing w:after="120"/>
        <w:ind w:left="1247" w:firstLine="624"/>
        <w:rPr>
          <w:bCs/>
          <w:i/>
          <w:iCs/>
        </w:rPr>
      </w:pPr>
      <w:r w:rsidRPr="00A7082A">
        <w:rPr>
          <w:bCs/>
          <w:i/>
          <w:iCs/>
        </w:rPr>
        <w:t xml:space="preserve">Considering </w:t>
      </w:r>
      <w:r w:rsidRPr="00A7082A">
        <w:rPr>
          <w:bCs/>
        </w:rPr>
        <w:t>paragraph 11 of article 13 on the review of the financial mechanism,</w:t>
      </w:r>
    </w:p>
    <w:p w14:paraId="1EA48553" w14:textId="0209DA0A" w:rsidR="003F4DA7" w:rsidRPr="00A7082A" w:rsidRDefault="003F4DA7" w:rsidP="003F4DA7">
      <w:pPr>
        <w:tabs>
          <w:tab w:val="left" w:pos="624"/>
        </w:tabs>
        <w:spacing w:after="120"/>
        <w:ind w:left="1247" w:firstLine="624"/>
      </w:pPr>
      <w:r w:rsidRPr="00A7082A">
        <w:t>1.</w:t>
      </w:r>
      <w:r w:rsidRPr="00A7082A">
        <w:tab/>
      </w:r>
      <w:r w:rsidRPr="00A7082A">
        <w:rPr>
          <w:i/>
          <w:iCs/>
        </w:rPr>
        <w:t>Welcomes</w:t>
      </w:r>
      <w:r w:rsidRPr="00A7082A">
        <w:t xml:space="preserve"> the </w:t>
      </w:r>
      <w:r w:rsidR="00D417B1" w:rsidRPr="00A7082A">
        <w:t xml:space="preserve">note by the secretariat </w:t>
      </w:r>
      <w:r w:rsidRPr="00A7082A">
        <w:t>on the first review of the financial mechanism,</w:t>
      </w:r>
      <w:r w:rsidR="00D417B1" w:rsidRPr="00A7082A">
        <w:rPr>
          <w:rStyle w:val="FootnoteReference"/>
        </w:rPr>
        <w:footnoteReference w:id="6"/>
      </w:r>
      <w:r w:rsidRPr="00A7082A">
        <w:t xml:space="preserve"> on the basis of which the Conference of the Parties has undertaken the review in accordance with </w:t>
      </w:r>
      <w:r w:rsidR="00D417B1" w:rsidRPr="00A7082A">
        <w:t xml:space="preserve">paragraph 11 of </w:t>
      </w:r>
      <w:r w:rsidRPr="00A7082A">
        <w:t xml:space="preserve">article 13; </w:t>
      </w:r>
    </w:p>
    <w:p w14:paraId="289B8FAE" w14:textId="119927EB" w:rsidR="003F4DA7" w:rsidRPr="00A7082A" w:rsidRDefault="003F4DA7" w:rsidP="003F4DA7">
      <w:pPr>
        <w:tabs>
          <w:tab w:val="left" w:pos="624"/>
        </w:tabs>
        <w:spacing w:after="120"/>
        <w:ind w:left="1247" w:firstLine="624"/>
      </w:pPr>
      <w:r w:rsidRPr="00A7082A">
        <w:t>2.</w:t>
      </w:r>
      <w:r w:rsidRPr="00A7082A">
        <w:tab/>
      </w:r>
      <w:r w:rsidRPr="00A7082A">
        <w:rPr>
          <w:i/>
          <w:iCs/>
        </w:rPr>
        <w:t>Requests</w:t>
      </w:r>
      <w:r w:rsidRPr="00A7082A">
        <w:t xml:space="preserve"> the secretariat to prepare draft terms of reference for the second review for consideration </w:t>
      </w:r>
      <w:r w:rsidR="00D417B1" w:rsidRPr="00A7082A">
        <w:t xml:space="preserve">by the Conference of the Parties </w:t>
      </w:r>
      <w:r w:rsidRPr="00A7082A">
        <w:t xml:space="preserve">at </w:t>
      </w:r>
      <w:r w:rsidR="00D417B1" w:rsidRPr="00A7082A">
        <w:t xml:space="preserve">its </w:t>
      </w:r>
      <w:r w:rsidRPr="00A7082A">
        <w:t xml:space="preserve">fourth meeting. </w:t>
      </w:r>
    </w:p>
    <w:p w14:paraId="28AE621B" w14:textId="77777777" w:rsidR="00A35F55" w:rsidRPr="00A7082A" w:rsidRDefault="00A35F55" w:rsidP="00417FE2">
      <w:pPr>
        <w:pStyle w:val="Normal-pool"/>
      </w:pPr>
      <w:bookmarkStart w:id="54" w:name="_Toc27124749"/>
      <w:r w:rsidRPr="00A7082A">
        <w:br w:type="page"/>
      </w:r>
    </w:p>
    <w:p w14:paraId="72E3C778" w14:textId="74D52F72" w:rsidR="003F4DA7" w:rsidRPr="00A7082A" w:rsidRDefault="00CE25B9" w:rsidP="009557F8">
      <w:pPr>
        <w:pStyle w:val="CH1"/>
      </w:pPr>
      <w:r w:rsidRPr="00A7082A">
        <w:lastRenderedPageBreak/>
        <w:tab/>
      </w:r>
      <w:r w:rsidRPr="00A7082A">
        <w:tab/>
      </w:r>
      <w:r w:rsidR="003F4DA7" w:rsidRPr="00A7082A">
        <w:t>MC-3/8: Article 14: Capacity-building, technical assistance and technology transfer</w:t>
      </w:r>
      <w:bookmarkEnd w:id="54"/>
    </w:p>
    <w:p w14:paraId="27684ED1" w14:textId="77777777" w:rsidR="003F4DA7" w:rsidRPr="00A7082A" w:rsidRDefault="003F4DA7" w:rsidP="003F4DA7">
      <w:pPr>
        <w:tabs>
          <w:tab w:val="left" w:pos="4082"/>
        </w:tabs>
        <w:spacing w:after="120"/>
        <w:ind w:left="1247" w:firstLine="624"/>
        <w:jc w:val="both"/>
        <w:rPr>
          <w:i/>
        </w:rPr>
      </w:pPr>
      <w:r w:rsidRPr="00A7082A">
        <w:rPr>
          <w:i/>
        </w:rPr>
        <w:t>The Conference of the Parties,</w:t>
      </w:r>
    </w:p>
    <w:p w14:paraId="67A46417" w14:textId="190430A0" w:rsidR="003F4DA7" w:rsidRPr="00A7082A" w:rsidRDefault="003F4DA7" w:rsidP="00417FE2">
      <w:pPr>
        <w:tabs>
          <w:tab w:val="left" w:pos="4082"/>
        </w:tabs>
        <w:spacing w:after="120"/>
        <w:ind w:left="1247" w:firstLine="624"/>
      </w:pPr>
      <w:bookmarkStart w:id="55" w:name="_Hlk530301547"/>
      <w:r w:rsidRPr="00A7082A">
        <w:rPr>
          <w:i/>
        </w:rPr>
        <w:t>Recalling</w:t>
      </w:r>
      <w:r w:rsidRPr="00A7082A">
        <w:t xml:space="preserve"> decision </w:t>
      </w:r>
      <w:bookmarkStart w:id="56" w:name="_Toc495572439"/>
      <w:r w:rsidRPr="00A7082A">
        <w:t>MC-1/21</w:t>
      </w:r>
      <w:bookmarkEnd w:id="55"/>
      <w:r w:rsidRPr="00A7082A">
        <w:t xml:space="preserve"> and MC-2/11 on capacity-building, technical assistance and technology transfer for the Minamata Convention on Mercury</w:t>
      </w:r>
      <w:bookmarkEnd w:id="56"/>
      <w:r w:rsidRPr="00A7082A">
        <w:t xml:space="preserve">, </w:t>
      </w:r>
      <w:r w:rsidR="00D417B1" w:rsidRPr="00A7082A">
        <w:t xml:space="preserve">in which </w:t>
      </w:r>
      <w:r w:rsidRPr="00A7082A">
        <w:t xml:space="preserve">it </w:t>
      </w:r>
      <w:r w:rsidR="00D417B1" w:rsidRPr="00A7082A">
        <w:t>was</w:t>
      </w:r>
      <w:r w:rsidRPr="00A7082A">
        <w:t xml:space="preserve"> recognized that some of the existing regional and subregional centres </w:t>
      </w:r>
      <w:r w:rsidR="00D417B1" w:rsidRPr="00A7082A">
        <w:t>we</w:t>
      </w:r>
      <w:r w:rsidRPr="00A7082A">
        <w:t xml:space="preserve">re already developing projects and activities regarding mercury issues, </w:t>
      </w:r>
    </w:p>
    <w:p w14:paraId="28A0C117" w14:textId="376A34DC" w:rsidR="003F4DA7" w:rsidRPr="00A7082A" w:rsidRDefault="003F4DA7" w:rsidP="00417FE2">
      <w:pPr>
        <w:tabs>
          <w:tab w:val="left" w:pos="4082"/>
        </w:tabs>
        <w:spacing w:after="120"/>
        <w:ind w:left="1247" w:firstLine="624"/>
      </w:pPr>
      <w:r w:rsidRPr="00A7082A">
        <w:rPr>
          <w:i/>
        </w:rPr>
        <w:t xml:space="preserve">Welcoming </w:t>
      </w:r>
      <w:r w:rsidRPr="00A7082A">
        <w:t xml:space="preserve">the submissions from the Intergovernmental Network on Chemicals and Waste for Latin America and the Caribbean and the </w:t>
      </w:r>
      <w:r w:rsidR="00D417B1" w:rsidRPr="00A7082A">
        <w:t>G</w:t>
      </w:r>
      <w:r w:rsidRPr="00A7082A">
        <w:t xml:space="preserve">overnment of Japan </w:t>
      </w:r>
      <w:r w:rsidR="00D417B1" w:rsidRPr="00A7082A">
        <w:t xml:space="preserve">set out in the </w:t>
      </w:r>
      <w:r w:rsidR="00FF7DB4" w:rsidRPr="00A7082A">
        <w:t xml:space="preserve">compilation of information received from existing regional, subregional and national arrangements on their </w:t>
      </w:r>
      <w:r w:rsidR="009E027F" w:rsidRPr="00A7082A">
        <w:br/>
      </w:r>
      <w:r w:rsidR="00FF7DB4" w:rsidRPr="00A7082A">
        <w:t>capacity-building and technical assistance to support parties in implementing their obligations under the Minamata Convention,</w:t>
      </w:r>
      <w:r w:rsidR="00FF7DB4" w:rsidRPr="00A7082A">
        <w:rPr>
          <w:rStyle w:val="FootnoteReference"/>
        </w:rPr>
        <w:footnoteReference w:id="7"/>
      </w:r>
    </w:p>
    <w:p w14:paraId="3A1C5710" w14:textId="47CD919F" w:rsidR="003F4DA7" w:rsidRPr="00A7082A" w:rsidRDefault="003F4DA7" w:rsidP="00417FE2">
      <w:pPr>
        <w:numPr>
          <w:ilvl w:val="0"/>
          <w:numId w:val="28"/>
        </w:numPr>
        <w:tabs>
          <w:tab w:val="clear" w:pos="1247"/>
          <w:tab w:val="clear" w:pos="1814"/>
          <w:tab w:val="clear" w:pos="2381"/>
          <w:tab w:val="clear" w:pos="2948"/>
          <w:tab w:val="clear" w:pos="3515"/>
          <w:tab w:val="left" w:pos="624"/>
        </w:tabs>
        <w:spacing w:after="120"/>
        <w:ind w:left="1247" w:firstLine="624"/>
        <w:rPr>
          <w:iCs/>
        </w:rPr>
      </w:pPr>
      <w:r w:rsidRPr="00A7082A">
        <w:rPr>
          <w:i/>
        </w:rPr>
        <w:t>Emphasizes</w:t>
      </w:r>
      <w:r w:rsidRPr="00A7082A">
        <w:rPr>
          <w:iCs/>
        </w:rPr>
        <w:t xml:space="preserve"> the relevance of using, as appropriate, regional, subregional and national arrangements, including </w:t>
      </w:r>
      <w:r w:rsidR="00FF7DB4" w:rsidRPr="00A7082A">
        <w:rPr>
          <w:iCs/>
        </w:rPr>
        <w:t xml:space="preserve">the </w:t>
      </w:r>
      <w:r w:rsidRPr="00A7082A">
        <w:rPr>
          <w:iCs/>
        </w:rPr>
        <w:t xml:space="preserve">existing regional and subregional centres of </w:t>
      </w:r>
      <w:r w:rsidR="00FF7DB4" w:rsidRPr="00A7082A">
        <w:rPr>
          <w:iCs/>
        </w:rPr>
        <w:t>the Basel Convention on the Control of Transboundary Movements of Hazardous Wastes and Their Disposal</w:t>
      </w:r>
      <w:r w:rsidRPr="00A7082A">
        <w:rPr>
          <w:iCs/>
        </w:rPr>
        <w:t xml:space="preserve"> and </w:t>
      </w:r>
      <w:r w:rsidR="00FF7DB4" w:rsidRPr="00A7082A">
        <w:rPr>
          <w:iCs/>
        </w:rPr>
        <w:t xml:space="preserve">the </w:t>
      </w:r>
      <w:r w:rsidRPr="00A7082A">
        <w:rPr>
          <w:iCs/>
        </w:rPr>
        <w:t xml:space="preserve">Stockholm </w:t>
      </w:r>
      <w:r w:rsidR="00FF7DB4" w:rsidRPr="00A7082A">
        <w:rPr>
          <w:iCs/>
        </w:rPr>
        <w:t>C</w:t>
      </w:r>
      <w:r w:rsidRPr="00A7082A">
        <w:rPr>
          <w:iCs/>
        </w:rPr>
        <w:t>onvention</w:t>
      </w:r>
      <w:r w:rsidR="00FF7DB4" w:rsidRPr="00A7082A">
        <w:rPr>
          <w:iCs/>
        </w:rPr>
        <w:t xml:space="preserve"> on Persistent Organic Pollutants</w:t>
      </w:r>
      <w:r w:rsidRPr="00A7082A">
        <w:rPr>
          <w:iCs/>
        </w:rPr>
        <w:t>, in the delivery of capacity-building and technical assistance</w:t>
      </w:r>
      <w:r w:rsidR="00FF7DB4" w:rsidRPr="00A7082A">
        <w:rPr>
          <w:iCs/>
        </w:rPr>
        <w:t>,</w:t>
      </w:r>
      <w:r w:rsidRPr="00A7082A">
        <w:rPr>
          <w:iCs/>
        </w:rPr>
        <w:t xml:space="preserve"> consistent with article 14 of the Convention;</w:t>
      </w:r>
    </w:p>
    <w:p w14:paraId="6C44D421" w14:textId="209FAAB3" w:rsidR="003F4DA7" w:rsidRPr="00A7082A" w:rsidRDefault="003F4DA7" w:rsidP="00417FE2">
      <w:pPr>
        <w:numPr>
          <w:ilvl w:val="0"/>
          <w:numId w:val="28"/>
        </w:numPr>
        <w:tabs>
          <w:tab w:val="clear" w:pos="1247"/>
          <w:tab w:val="clear" w:pos="1814"/>
          <w:tab w:val="clear" w:pos="2381"/>
          <w:tab w:val="clear" w:pos="2948"/>
          <w:tab w:val="clear" w:pos="3515"/>
          <w:tab w:val="left" w:pos="624"/>
        </w:tabs>
        <w:spacing w:after="120"/>
        <w:ind w:left="1247" w:firstLine="624"/>
      </w:pPr>
      <w:r w:rsidRPr="00A7082A">
        <w:rPr>
          <w:i/>
        </w:rPr>
        <w:t>Takes into account</w:t>
      </w:r>
      <w:r w:rsidRPr="00A7082A">
        <w:t xml:space="preserve"> information collected </w:t>
      </w:r>
      <w:r w:rsidR="00FF7DB4" w:rsidRPr="00A7082A">
        <w:t>pursuant to d</w:t>
      </w:r>
      <w:r w:rsidRPr="00A7082A">
        <w:t xml:space="preserve">ecision MC-2/11, looks forward to any future information received </w:t>
      </w:r>
      <w:r w:rsidR="00FF7DB4" w:rsidRPr="00A7082A">
        <w:t xml:space="preserve">pursuant to </w:t>
      </w:r>
      <w:r w:rsidRPr="00A7082A">
        <w:t xml:space="preserve">paragraph 3 of the </w:t>
      </w:r>
      <w:r w:rsidR="00FF7DB4" w:rsidRPr="00A7082A">
        <w:t xml:space="preserve">present </w:t>
      </w:r>
      <w:r w:rsidRPr="00A7082A">
        <w:t xml:space="preserve">decision, and encourages </w:t>
      </w:r>
      <w:r w:rsidR="00FF7DB4" w:rsidRPr="00A7082A">
        <w:t>p</w:t>
      </w:r>
      <w:r w:rsidRPr="00A7082A">
        <w:t xml:space="preserve">arties, within their respective capabilities, to take </w:t>
      </w:r>
      <w:r w:rsidR="00FF7DB4" w:rsidRPr="00A7082A">
        <w:t>such information</w:t>
      </w:r>
      <w:r w:rsidRPr="00A7082A">
        <w:t xml:space="preserve"> into consideration in providing capacity</w:t>
      </w:r>
      <w:r w:rsidR="00FF7DB4" w:rsidRPr="00A7082A">
        <w:t>-</w:t>
      </w:r>
      <w:r w:rsidRPr="00A7082A">
        <w:t xml:space="preserve">building and technical assistance activities pursuant </w:t>
      </w:r>
      <w:r w:rsidR="00FF7DB4" w:rsidRPr="00A7082A">
        <w:t xml:space="preserve">to </w:t>
      </w:r>
      <w:r w:rsidRPr="00A7082A">
        <w:t>article 14;</w:t>
      </w:r>
    </w:p>
    <w:p w14:paraId="278AF598" w14:textId="20A8D4FD" w:rsidR="003F4DA7" w:rsidRPr="00A7082A" w:rsidRDefault="003F4DA7" w:rsidP="00417FE2">
      <w:pPr>
        <w:numPr>
          <w:ilvl w:val="0"/>
          <w:numId w:val="28"/>
        </w:numPr>
        <w:tabs>
          <w:tab w:val="clear" w:pos="1247"/>
          <w:tab w:val="clear" w:pos="1814"/>
          <w:tab w:val="clear" w:pos="2381"/>
          <w:tab w:val="clear" w:pos="2948"/>
          <w:tab w:val="clear" w:pos="3515"/>
          <w:tab w:val="left" w:pos="624"/>
        </w:tabs>
        <w:spacing w:after="120"/>
        <w:ind w:left="1247" w:firstLine="624"/>
      </w:pPr>
      <w:r w:rsidRPr="00A7082A">
        <w:rPr>
          <w:i/>
        </w:rPr>
        <w:t>Requests</w:t>
      </w:r>
      <w:r w:rsidRPr="00A7082A">
        <w:t xml:space="preserve"> the secretariat of the Minamata Convention to compile any information received from the </w:t>
      </w:r>
      <w:r w:rsidR="00FF7DB4" w:rsidRPr="00A7082A">
        <w:t>p</w:t>
      </w:r>
      <w:r w:rsidRPr="00A7082A">
        <w:t>arties, the existing regional, subregional and national arrangements</w:t>
      </w:r>
      <w:r w:rsidR="00FF7DB4" w:rsidRPr="00A7082A">
        <w:t>,</w:t>
      </w:r>
      <w:r w:rsidRPr="00A7082A">
        <w:t xml:space="preserve"> including </w:t>
      </w:r>
      <w:r w:rsidR="00FF7DB4" w:rsidRPr="00A7082A">
        <w:t xml:space="preserve">the </w:t>
      </w:r>
      <w:r w:rsidRPr="00A7082A">
        <w:t>existing regional and subregional centres of</w:t>
      </w:r>
      <w:r w:rsidR="00FF7DB4" w:rsidRPr="00A7082A">
        <w:t xml:space="preserve"> the</w:t>
      </w:r>
      <w:r w:rsidRPr="00A7082A">
        <w:t xml:space="preserve"> Basel and Stockholm conventions on their </w:t>
      </w:r>
      <w:r w:rsidR="00F22310" w:rsidRPr="00A7082A">
        <w:t>capacity</w:t>
      </w:r>
      <w:r w:rsidR="00F22310" w:rsidRPr="00A7082A">
        <w:noBreakHyphen/>
        <w:t>building</w:t>
      </w:r>
      <w:r w:rsidRPr="00A7082A">
        <w:t xml:space="preserve"> and technical assistance to support parties in implementing their obligations under the Minamata Convention, and also requests the secretariat to report thereon to the Conference of the Parties at its fourth meeting.</w:t>
      </w:r>
    </w:p>
    <w:p w14:paraId="408969D8" w14:textId="77777777" w:rsidR="00A35F55" w:rsidRPr="00A7082A" w:rsidRDefault="00A35F55" w:rsidP="009557F8">
      <w:pPr>
        <w:pStyle w:val="Normal-pool"/>
        <w:rPr>
          <w:sz w:val="24"/>
        </w:rPr>
      </w:pPr>
      <w:bookmarkStart w:id="57" w:name="_Toc27124750"/>
      <w:r w:rsidRPr="00A7082A">
        <w:br w:type="page"/>
      </w:r>
    </w:p>
    <w:p w14:paraId="18FC8896" w14:textId="71CF4817" w:rsidR="003F4DA7" w:rsidRPr="00A7082A" w:rsidRDefault="00CE25B9" w:rsidP="009557F8">
      <w:pPr>
        <w:pStyle w:val="CH1"/>
      </w:pPr>
      <w:r w:rsidRPr="00A7082A">
        <w:lastRenderedPageBreak/>
        <w:tab/>
      </w:r>
      <w:r w:rsidRPr="00A7082A">
        <w:tab/>
      </w:r>
      <w:r w:rsidR="003F4DA7" w:rsidRPr="00A7082A">
        <w:t>MC-3/9: Implementation and Compliance Committee</w:t>
      </w:r>
      <w:r w:rsidR="00FF7DB4" w:rsidRPr="00A7082A">
        <w:t>: t</w:t>
      </w:r>
      <w:r w:rsidR="003F4DA7" w:rsidRPr="00A7082A">
        <w:t xml:space="preserve">erms of reference and </w:t>
      </w:r>
      <w:r w:rsidR="00FF7DB4" w:rsidRPr="00A7082A">
        <w:t>t</w:t>
      </w:r>
      <w:r w:rsidR="003F4DA7" w:rsidRPr="00A7082A">
        <w:t>emplate for written submissions from parties with respect to their own compliance</w:t>
      </w:r>
      <w:bookmarkEnd w:id="57"/>
    </w:p>
    <w:p w14:paraId="2B109718" w14:textId="77777777" w:rsidR="003F4DA7" w:rsidRPr="00A7082A" w:rsidRDefault="003F4DA7" w:rsidP="003F4DA7">
      <w:pPr>
        <w:tabs>
          <w:tab w:val="clear" w:pos="1247"/>
          <w:tab w:val="clear" w:pos="1814"/>
          <w:tab w:val="clear" w:pos="2381"/>
          <w:tab w:val="clear" w:pos="2948"/>
          <w:tab w:val="clear" w:pos="3515"/>
          <w:tab w:val="left" w:pos="624"/>
          <w:tab w:val="left" w:pos="4082"/>
        </w:tabs>
        <w:spacing w:after="120"/>
        <w:ind w:left="1247" w:firstLine="624"/>
        <w:rPr>
          <w:rFonts w:eastAsia="SimSun"/>
          <w:i/>
        </w:rPr>
      </w:pPr>
      <w:r w:rsidRPr="00A7082A">
        <w:rPr>
          <w:rFonts w:eastAsia="SimSun"/>
          <w:i/>
        </w:rPr>
        <w:t>The Conference of the Parties,</w:t>
      </w:r>
    </w:p>
    <w:p w14:paraId="36813AD4" w14:textId="77777777" w:rsidR="003F4DA7" w:rsidRPr="00A7082A" w:rsidRDefault="003F4DA7" w:rsidP="003F4DA7">
      <w:pPr>
        <w:tabs>
          <w:tab w:val="clear" w:pos="1247"/>
          <w:tab w:val="clear" w:pos="1814"/>
          <w:tab w:val="clear" w:pos="2381"/>
          <w:tab w:val="clear" w:pos="2948"/>
          <w:tab w:val="clear" w:pos="3515"/>
          <w:tab w:val="left" w:pos="624"/>
          <w:tab w:val="left" w:pos="4082"/>
        </w:tabs>
        <w:spacing w:after="120"/>
        <w:ind w:left="1247" w:firstLine="624"/>
        <w:rPr>
          <w:rFonts w:eastAsia="SimSun"/>
        </w:rPr>
      </w:pPr>
      <w:r w:rsidRPr="00A7082A">
        <w:rPr>
          <w:rFonts w:eastAsia="SimSun"/>
          <w:i/>
        </w:rPr>
        <w:t xml:space="preserve">Recalling </w:t>
      </w:r>
      <w:r w:rsidRPr="00A7082A">
        <w:rPr>
          <w:rFonts w:eastAsia="SimSun"/>
        </w:rPr>
        <w:t>paragraph 5 of article 15 of the Minamata Convention on Mercury,</w:t>
      </w:r>
    </w:p>
    <w:p w14:paraId="16BA98F5" w14:textId="77777777" w:rsidR="003F4DA7" w:rsidRPr="00A7082A" w:rsidRDefault="003F4DA7" w:rsidP="003F4DA7">
      <w:pPr>
        <w:tabs>
          <w:tab w:val="clear" w:pos="1247"/>
          <w:tab w:val="clear" w:pos="1814"/>
          <w:tab w:val="clear" w:pos="2381"/>
          <w:tab w:val="clear" w:pos="2948"/>
          <w:tab w:val="clear" w:pos="3515"/>
          <w:tab w:val="left" w:pos="624"/>
          <w:tab w:val="left" w:pos="4082"/>
        </w:tabs>
        <w:spacing w:after="120"/>
        <w:ind w:left="1247" w:firstLine="624"/>
        <w:rPr>
          <w:rFonts w:eastAsia="SimSun"/>
        </w:rPr>
      </w:pPr>
      <w:r w:rsidRPr="00A7082A">
        <w:rPr>
          <w:rFonts w:eastAsia="SimSun"/>
          <w:i/>
        </w:rPr>
        <w:t>Having</w:t>
      </w:r>
      <w:r w:rsidRPr="00A7082A">
        <w:rPr>
          <w:rFonts w:eastAsia="SimSun"/>
        </w:rPr>
        <w:t xml:space="preserve"> </w:t>
      </w:r>
      <w:r w:rsidRPr="00A7082A">
        <w:rPr>
          <w:rFonts w:eastAsia="SimSun"/>
          <w:i/>
        </w:rPr>
        <w:t>considered</w:t>
      </w:r>
      <w:r w:rsidRPr="00A7082A">
        <w:rPr>
          <w:rFonts w:eastAsia="SimSun"/>
        </w:rPr>
        <w:t xml:space="preserve"> the report on the work of the Implementation and Compliance Committee of the Convention,</w:t>
      </w:r>
      <w:r w:rsidRPr="00A7082A">
        <w:rPr>
          <w:rFonts w:eastAsia="SimSun"/>
          <w:szCs w:val="18"/>
          <w:vertAlign w:val="superscript"/>
        </w:rPr>
        <w:footnoteReference w:id="8"/>
      </w:r>
    </w:p>
    <w:p w14:paraId="0F8A9C7D" w14:textId="77777777" w:rsidR="003F4DA7" w:rsidRPr="00A7082A" w:rsidRDefault="003F4DA7" w:rsidP="003F4DA7">
      <w:pPr>
        <w:tabs>
          <w:tab w:val="clear" w:pos="1247"/>
          <w:tab w:val="clear" w:pos="1814"/>
          <w:tab w:val="clear" w:pos="2381"/>
          <w:tab w:val="clear" w:pos="2948"/>
          <w:tab w:val="clear" w:pos="3515"/>
          <w:tab w:val="left" w:pos="624"/>
          <w:tab w:val="left" w:pos="4082"/>
        </w:tabs>
        <w:spacing w:after="120"/>
        <w:ind w:left="1247" w:firstLine="624"/>
        <w:rPr>
          <w:rFonts w:eastAsia="SimSun"/>
        </w:rPr>
      </w:pPr>
      <w:r w:rsidRPr="00A7082A">
        <w:rPr>
          <w:rFonts w:eastAsia="SimSun"/>
          <w:i/>
        </w:rPr>
        <w:t>Noting with appreciation</w:t>
      </w:r>
      <w:r w:rsidRPr="00A7082A">
        <w:rPr>
          <w:rFonts w:eastAsia="SimSun"/>
        </w:rPr>
        <w:t xml:space="preserve"> the work undertaken by the Implementation and Compliance Committee,</w:t>
      </w:r>
    </w:p>
    <w:p w14:paraId="53A224B3" w14:textId="54D1E274" w:rsidR="003F4DA7" w:rsidRPr="00A7082A" w:rsidRDefault="003F4DA7" w:rsidP="00EF0D69">
      <w:pPr>
        <w:tabs>
          <w:tab w:val="clear" w:pos="1247"/>
          <w:tab w:val="clear" w:pos="1814"/>
          <w:tab w:val="clear" w:pos="2381"/>
          <w:tab w:val="clear" w:pos="2948"/>
          <w:tab w:val="clear" w:pos="3515"/>
        </w:tabs>
        <w:spacing w:after="120"/>
        <w:ind w:left="1247" w:firstLine="624"/>
        <w:rPr>
          <w:rFonts w:eastAsia="SimSun"/>
        </w:rPr>
      </w:pPr>
      <w:r w:rsidRPr="00A7082A">
        <w:rPr>
          <w:rFonts w:eastAsia="SimSun"/>
          <w:i/>
        </w:rPr>
        <w:t>Decides</w:t>
      </w:r>
      <w:r w:rsidRPr="00A7082A">
        <w:rPr>
          <w:rFonts w:eastAsia="SimSun"/>
        </w:rPr>
        <w:t xml:space="preserve"> to adopt the terms of reference for the Implementation and Compliance Committee set out in annex I to the present decision, and to approve the template for written submissions from parties with respect to their own compliance set out in annex II to the present decision.</w:t>
      </w:r>
    </w:p>
    <w:p w14:paraId="3ED87F26" w14:textId="14C1E479" w:rsidR="00A35F55" w:rsidRPr="00A7082A" w:rsidRDefault="004E0AB7" w:rsidP="00417FE2">
      <w:pPr>
        <w:pStyle w:val="CH1"/>
      </w:pPr>
      <w:r w:rsidRPr="00A7082A">
        <w:rPr>
          <w:rFonts w:eastAsia="SimSun"/>
        </w:rPr>
        <w:tab/>
      </w:r>
      <w:r w:rsidRPr="00A7082A">
        <w:rPr>
          <w:rFonts w:eastAsia="SimSun"/>
        </w:rPr>
        <w:tab/>
      </w:r>
      <w:r w:rsidR="00FF7DB4" w:rsidRPr="00A7082A">
        <w:rPr>
          <w:rFonts w:eastAsia="SimSun"/>
        </w:rPr>
        <w:t>Annex I to decision MC-3/9</w:t>
      </w:r>
      <w:r w:rsidR="00FF7DB4" w:rsidRPr="00A7082A">
        <w:rPr>
          <w:rFonts w:eastAsia="SimSun"/>
          <w:i/>
        </w:rPr>
        <w:t xml:space="preserve"> </w:t>
      </w:r>
    </w:p>
    <w:p w14:paraId="1E3A7906" w14:textId="6D66AC81" w:rsidR="00A35F55" w:rsidRPr="00A7082A" w:rsidRDefault="004E0AB7" w:rsidP="004E0AB7">
      <w:pPr>
        <w:pStyle w:val="CH2"/>
        <w:rPr>
          <w:rFonts w:eastAsia="SimSun"/>
        </w:rPr>
      </w:pPr>
      <w:r w:rsidRPr="00A7082A">
        <w:tab/>
      </w:r>
      <w:r w:rsidRPr="00A7082A">
        <w:tab/>
      </w:r>
      <w:bookmarkStart w:id="58" w:name="_Hlk15892544"/>
      <w:r w:rsidR="00A35F55" w:rsidRPr="00A7082A">
        <w:rPr>
          <w:rFonts w:eastAsia="SimSun"/>
        </w:rPr>
        <w:t xml:space="preserve">Terms of reference for the Implementation and Compliance Committee of the Minamata Convention on Mercury </w:t>
      </w:r>
    </w:p>
    <w:bookmarkEnd w:id="58"/>
    <w:p w14:paraId="44419F37" w14:textId="77777777" w:rsidR="00A35F55" w:rsidRPr="00A7082A" w:rsidRDefault="00A35F55" w:rsidP="00DA11EA">
      <w:pPr>
        <w:pStyle w:val="CH1"/>
        <w:spacing w:before="200"/>
      </w:pPr>
      <w:r w:rsidRPr="00A7082A">
        <w:tab/>
        <w:t>I.</w:t>
      </w:r>
      <w:r w:rsidRPr="00A7082A">
        <w:tab/>
        <w:t>Preamble</w:t>
      </w:r>
    </w:p>
    <w:p w14:paraId="2485D820" w14:textId="77777777" w:rsidR="00A35F55" w:rsidRPr="00A7082A" w:rsidRDefault="00A35F55" w:rsidP="006D4DE3">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pPr>
      <w:r w:rsidRPr="00A7082A">
        <w:t>The terms of reference of the Implementation and Compliance Committee of the Minamata Convention on Mercury shall be read in conjunction with the provisions of the Convention as well as the rules of procedure for the Committee. In the event of any conflict between any provision of the present terms of reference and any provision of the Convention, the Convention shall prevail.</w:t>
      </w:r>
    </w:p>
    <w:p w14:paraId="3DC1009E" w14:textId="77777777" w:rsidR="00A35F55" w:rsidRPr="00A7082A" w:rsidRDefault="00A35F55" w:rsidP="006D4DE3">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pPr>
      <w:r w:rsidRPr="00A7082A">
        <w:t>Any recommendation of the Committee is subject to consideration by the party concerned or the Conference of the Parties, as appropriate.</w:t>
      </w:r>
    </w:p>
    <w:p w14:paraId="304181B2" w14:textId="77777777" w:rsidR="00A35F55" w:rsidRPr="00A7082A" w:rsidRDefault="00A35F55" w:rsidP="006D4DE3">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pPr>
      <w:r w:rsidRPr="00A7082A">
        <w:t>The members of the Committee shall serve objectively and in the best interests of the Convention.</w:t>
      </w:r>
    </w:p>
    <w:p w14:paraId="5C194A67" w14:textId="77777777" w:rsidR="00A35F55" w:rsidRPr="00A7082A" w:rsidRDefault="00A35F55" w:rsidP="00DA11EA">
      <w:pPr>
        <w:pStyle w:val="CH1"/>
        <w:spacing w:before="200"/>
        <w:rPr>
          <w:sz w:val="24"/>
        </w:rPr>
      </w:pPr>
      <w:r w:rsidRPr="00A7082A">
        <w:rPr>
          <w:sz w:val="24"/>
        </w:rPr>
        <w:tab/>
      </w:r>
      <w:r w:rsidRPr="00A7082A">
        <w:t>II.</w:t>
      </w:r>
      <w:r w:rsidRPr="00A7082A">
        <w:tab/>
        <w:t>Scope and objective</w:t>
      </w:r>
      <w:r w:rsidRPr="00A7082A">
        <w:rPr>
          <w:sz w:val="24"/>
        </w:rPr>
        <w:t xml:space="preserve"> </w:t>
      </w:r>
    </w:p>
    <w:p w14:paraId="514828DC" w14:textId="77777777" w:rsidR="00A35F55" w:rsidRPr="00A7082A" w:rsidRDefault="00A35F55" w:rsidP="006D4DE3">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pPr>
      <w:r w:rsidRPr="00A7082A">
        <w:t xml:space="preserve">The objective of the Committee is to promote the implementation of, and review compliance with, all the provisions of the Convention. </w:t>
      </w:r>
    </w:p>
    <w:p w14:paraId="585458C9" w14:textId="77777777" w:rsidR="00A35F55" w:rsidRPr="00A7082A" w:rsidRDefault="00A35F55" w:rsidP="006D4DE3">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pPr>
      <w:r w:rsidRPr="00A7082A">
        <w:t>The Committee shall be facilitative in nature and pay particular attention to the respective national capabilities and circumstances of parties.</w:t>
      </w:r>
    </w:p>
    <w:p w14:paraId="36DF0132" w14:textId="77777777" w:rsidR="00A35F55" w:rsidRPr="00A7082A" w:rsidRDefault="00A35F55" w:rsidP="006D4DE3">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pPr>
      <w:r w:rsidRPr="00A7082A">
        <w:t xml:space="preserve">The Committee shall examine both individual and systemic issues of implementation and compliance and make recommendations, as appropriate, to the Conference of the Parties. </w:t>
      </w:r>
    </w:p>
    <w:p w14:paraId="243D9D67" w14:textId="77777777" w:rsidR="00A35F55" w:rsidRPr="00A7082A" w:rsidRDefault="00A35F55" w:rsidP="00DA11EA">
      <w:pPr>
        <w:pStyle w:val="CH1"/>
        <w:spacing w:before="200"/>
      </w:pPr>
      <w:bookmarkStart w:id="59" w:name="_Hlk6956259"/>
      <w:r w:rsidRPr="00A7082A">
        <w:tab/>
        <w:t>III.</w:t>
      </w:r>
      <w:r w:rsidRPr="00A7082A">
        <w:tab/>
        <w:t>Functions of the Committee</w:t>
      </w:r>
    </w:p>
    <w:bookmarkEnd w:id="59"/>
    <w:p w14:paraId="6ACC41C5" w14:textId="77777777" w:rsidR="00A35F55" w:rsidRPr="00A7082A" w:rsidRDefault="00A35F55" w:rsidP="00A35F55">
      <w:pPr>
        <w:pStyle w:val="CH2"/>
      </w:pPr>
      <w:r w:rsidRPr="00A7082A">
        <w:tab/>
        <w:t>A.</w:t>
      </w:r>
      <w:r w:rsidRPr="00A7082A">
        <w:tab/>
        <w:t>Consider any written submission from a party with respect to its own compliance as per paragraph 4 (a) of article 15</w:t>
      </w:r>
    </w:p>
    <w:p w14:paraId="39041C1A" w14:textId="77777777" w:rsidR="00A35F55" w:rsidRPr="00A7082A" w:rsidRDefault="00A35F55" w:rsidP="006D4DE3">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pPr>
      <w:r w:rsidRPr="00A7082A">
        <w:t>The Committee shall consider any written submission from any party with respect to its own compliance pursuant to paragraph 4 (a) of article 15 with a view to evaluating the facts and root causes of the matter of concern and assisting in its resolution in a facilitative manner and paying particular attention to the respective national capabilities and circumstances of the said party. Written submissions by any party with respect to its own compliance shall be addressed to the Committee,</w:t>
      </w:r>
      <w:r w:rsidRPr="00A7082A">
        <w:rPr>
          <w:sz w:val="24"/>
        </w:rPr>
        <w:t xml:space="preserve"> </w:t>
      </w:r>
      <w:r w:rsidRPr="00A7082A">
        <w:t>through the secretariat, in one of the six official languages of the United Nations, preferably be sent by electronic means, and shall set out:</w:t>
      </w:r>
    </w:p>
    <w:p w14:paraId="6DB6DCE5" w14:textId="77777777" w:rsidR="00A35F55" w:rsidRPr="00A7082A" w:rsidRDefault="00A35F55" w:rsidP="0053069F">
      <w:pPr>
        <w:pStyle w:val="Normal-pool"/>
        <w:numPr>
          <w:ilvl w:val="0"/>
          <w:numId w:val="44"/>
        </w:numPr>
        <w:tabs>
          <w:tab w:val="clear" w:pos="1247"/>
          <w:tab w:val="clear" w:pos="1814"/>
          <w:tab w:val="clear" w:pos="2381"/>
          <w:tab w:val="clear" w:pos="2948"/>
          <w:tab w:val="clear" w:pos="3515"/>
          <w:tab w:val="clear" w:pos="4082"/>
          <w:tab w:val="left" w:pos="624"/>
        </w:tabs>
        <w:spacing w:after="120"/>
        <w:ind w:left="1247" w:firstLine="624"/>
      </w:pPr>
      <w:bookmarkStart w:id="60" w:name="_Hlk7762842"/>
      <w:r w:rsidRPr="00A7082A">
        <w:t>The name and contact details of the national focal point or other relevant authority of the party</w:t>
      </w:r>
      <w:r w:rsidRPr="00A7082A">
        <w:rPr>
          <w:b/>
          <w:i/>
        </w:rPr>
        <w:t xml:space="preserve"> </w:t>
      </w:r>
      <w:r w:rsidRPr="00A7082A">
        <w:t>transmitting the submission with respect to the party’s own compliance;</w:t>
      </w:r>
    </w:p>
    <w:p w14:paraId="1B453A06" w14:textId="77777777" w:rsidR="00A35F55" w:rsidRPr="00A7082A" w:rsidRDefault="00A35F55" w:rsidP="00A35F55">
      <w:pPr>
        <w:pStyle w:val="Normal-pool"/>
        <w:numPr>
          <w:ilvl w:val="0"/>
          <w:numId w:val="44"/>
        </w:numPr>
        <w:tabs>
          <w:tab w:val="clear" w:pos="1247"/>
          <w:tab w:val="clear" w:pos="1814"/>
          <w:tab w:val="clear" w:pos="2381"/>
          <w:tab w:val="clear" w:pos="2948"/>
          <w:tab w:val="clear" w:pos="3515"/>
          <w:tab w:val="clear" w:pos="4082"/>
          <w:tab w:val="left" w:pos="624"/>
        </w:tabs>
        <w:spacing w:after="120"/>
        <w:ind w:left="1247" w:firstLine="624"/>
      </w:pPr>
      <w:r w:rsidRPr="00A7082A">
        <w:lastRenderedPageBreak/>
        <w:t>Background information and description of the matter of concern and the party’s national capabilities and circumstances;</w:t>
      </w:r>
    </w:p>
    <w:p w14:paraId="49CFC355" w14:textId="77777777" w:rsidR="00A35F55" w:rsidRPr="00A7082A" w:rsidRDefault="00A35F55" w:rsidP="00A35F55">
      <w:pPr>
        <w:pStyle w:val="Normal-pool"/>
        <w:numPr>
          <w:ilvl w:val="0"/>
          <w:numId w:val="44"/>
        </w:numPr>
        <w:tabs>
          <w:tab w:val="clear" w:pos="1247"/>
          <w:tab w:val="clear" w:pos="1814"/>
          <w:tab w:val="clear" w:pos="2381"/>
          <w:tab w:val="clear" w:pos="2948"/>
          <w:tab w:val="clear" w:pos="3515"/>
          <w:tab w:val="clear" w:pos="4082"/>
          <w:tab w:val="left" w:pos="624"/>
        </w:tabs>
        <w:spacing w:after="120"/>
        <w:ind w:left="1247" w:firstLine="624"/>
      </w:pPr>
      <w:r w:rsidRPr="00A7082A">
        <w:t>The relevant provision(s) of the Convention;</w:t>
      </w:r>
    </w:p>
    <w:p w14:paraId="428574D6" w14:textId="77777777" w:rsidR="00A35F55" w:rsidRPr="00A7082A" w:rsidRDefault="00A35F55" w:rsidP="00A35F55">
      <w:pPr>
        <w:pStyle w:val="Normal-pool"/>
        <w:numPr>
          <w:ilvl w:val="0"/>
          <w:numId w:val="44"/>
        </w:numPr>
        <w:tabs>
          <w:tab w:val="clear" w:pos="1247"/>
          <w:tab w:val="clear" w:pos="1814"/>
          <w:tab w:val="clear" w:pos="2381"/>
          <w:tab w:val="clear" w:pos="2948"/>
          <w:tab w:val="clear" w:pos="3515"/>
          <w:tab w:val="clear" w:pos="4082"/>
          <w:tab w:val="left" w:pos="624"/>
        </w:tabs>
        <w:spacing w:after="120"/>
        <w:ind w:left="1247" w:firstLine="624"/>
      </w:pPr>
      <w:r w:rsidRPr="00A7082A">
        <w:t xml:space="preserve">Information on any efforts undertaken or under way to address the matter of concern; </w:t>
      </w:r>
    </w:p>
    <w:p w14:paraId="14E0113C" w14:textId="77777777" w:rsidR="00A35F55" w:rsidRPr="00A7082A" w:rsidRDefault="00A35F55" w:rsidP="00A35F55">
      <w:pPr>
        <w:pStyle w:val="Normal-pool"/>
        <w:numPr>
          <w:ilvl w:val="0"/>
          <w:numId w:val="44"/>
        </w:numPr>
        <w:tabs>
          <w:tab w:val="clear" w:pos="1247"/>
          <w:tab w:val="clear" w:pos="1814"/>
          <w:tab w:val="clear" w:pos="2381"/>
          <w:tab w:val="clear" w:pos="2948"/>
          <w:tab w:val="clear" w:pos="3515"/>
          <w:tab w:val="clear" w:pos="4082"/>
          <w:tab w:val="left" w:pos="624"/>
        </w:tabs>
        <w:spacing w:after="120"/>
        <w:ind w:left="1247" w:firstLine="624"/>
      </w:pPr>
      <w:r w:rsidRPr="00A7082A">
        <w:t>Any particular</w:t>
      </w:r>
      <w:r w:rsidRPr="00A7082A">
        <w:rPr>
          <w:color w:val="000000"/>
        </w:rPr>
        <w:t xml:space="preserve"> request pertaining to confidential or protected information. </w:t>
      </w:r>
    </w:p>
    <w:bookmarkEnd w:id="60"/>
    <w:p w14:paraId="7301D5F4" w14:textId="77777777" w:rsidR="00A35F55" w:rsidRPr="00A7082A" w:rsidRDefault="00A35F55" w:rsidP="006D4DE3">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pPr>
      <w:r w:rsidRPr="00A7082A">
        <w:t xml:space="preserve">Written submissions shall not exceed five pages. </w:t>
      </w:r>
      <w:bookmarkStart w:id="61" w:name="_Hlk19193486"/>
      <w:r w:rsidRPr="00A7082A">
        <w:t>Supplementary information may be requested by the Committee, if necessary</w:t>
      </w:r>
      <w:bookmarkEnd w:id="61"/>
      <w:r w:rsidRPr="00A7082A">
        <w:t xml:space="preserve">. </w:t>
      </w:r>
      <w:bookmarkStart w:id="62" w:name="_Hlk19193637"/>
      <w:r w:rsidRPr="00A7082A">
        <w:t xml:space="preserve">The party concerned may submit, through the secretariat, any such supplementary information for the Committee’s attention within two weeks </w:t>
      </w:r>
      <w:bookmarkEnd w:id="62"/>
      <w:r w:rsidRPr="00A7082A">
        <w:t xml:space="preserve">following receipt of the Committee’s request. In the case where supplementary information is submitted in one of the United Nations official languages other than English and cannot be translated prior to the meeting at which it is to be considered, the information can be presented at the meeting, in which </w:t>
      </w:r>
      <w:bookmarkStart w:id="63" w:name="_Hlk19193847"/>
      <w:r w:rsidRPr="00A7082A">
        <w:t>case the information may</w:t>
      </w:r>
      <w:bookmarkEnd w:id="63"/>
      <w:r w:rsidRPr="00A7082A">
        <w:t xml:space="preserve"> be interpreted into English in accordance with rule 39 of the rules of procedure of the Committee.</w:t>
      </w:r>
    </w:p>
    <w:p w14:paraId="2879E375" w14:textId="77777777" w:rsidR="00A35F55" w:rsidRPr="00A7082A" w:rsidRDefault="00A35F55" w:rsidP="006D4DE3">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pPr>
      <w:r w:rsidRPr="00A7082A">
        <w:t xml:space="preserve">The party concerned may also submit additional relevant information at its own initiative at least five weeks prior to the opening of the meeting at which its submission is to be considered. Any such additional information should include a summary in English of a maximum of two pages in length. </w:t>
      </w:r>
    </w:p>
    <w:p w14:paraId="6717D60B" w14:textId="77777777" w:rsidR="00A35F55" w:rsidRPr="00A7082A" w:rsidRDefault="00A35F55" w:rsidP="006D4DE3">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pPr>
      <w:r w:rsidRPr="00A7082A">
        <w:t>The Committee may decide not to proceed with a submission which it considers de minimis or manifestly ill-founded.</w:t>
      </w:r>
    </w:p>
    <w:p w14:paraId="187B5C55" w14:textId="77777777" w:rsidR="00A35F55" w:rsidRPr="00A7082A" w:rsidRDefault="00A35F55" w:rsidP="006D4DE3">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pPr>
      <w:r w:rsidRPr="00A7082A">
        <w:t>The Committee may provide to the party concerned, after consultation with that party, the outcome of its consideration, recommendations and additional relevant information relating to the matter under review with respect to:</w:t>
      </w:r>
    </w:p>
    <w:p w14:paraId="4F91F7C7" w14:textId="77777777" w:rsidR="00A35F55" w:rsidRPr="00A7082A" w:rsidRDefault="00A35F55" w:rsidP="0053069F">
      <w:pPr>
        <w:pStyle w:val="Normal-pool"/>
        <w:numPr>
          <w:ilvl w:val="0"/>
          <w:numId w:val="45"/>
        </w:numPr>
        <w:tabs>
          <w:tab w:val="clear" w:pos="1247"/>
          <w:tab w:val="clear" w:pos="1814"/>
          <w:tab w:val="clear" w:pos="2381"/>
          <w:tab w:val="clear" w:pos="2948"/>
          <w:tab w:val="clear" w:pos="3515"/>
          <w:tab w:val="clear" w:pos="4082"/>
          <w:tab w:val="left" w:pos="624"/>
        </w:tabs>
        <w:spacing w:after="120"/>
        <w:ind w:left="1247" w:firstLine="624"/>
      </w:pPr>
      <w:r w:rsidRPr="00A7082A">
        <w:t>Establishing and/or strengthening its domestic or regional</w:t>
      </w:r>
      <w:r w:rsidRPr="00A7082A">
        <w:rPr>
          <w:b/>
        </w:rPr>
        <w:t xml:space="preserve"> </w:t>
      </w:r>
      <w:r w:rsidRPr="00A7082A">
        <w:t>regulatory regimes;</w:t>
      </w:r>
    </w:p>
    <w:p w14:paraId="2DDB7166" w14:textId="7906B4C8" w:rsidR="00A35F55" w:rsidRPr="00A7082A" w:rsidRDefault="00A35F55" w:rsidP="00A35F55">
      <w:pPr>
        <w:pStyle w:val="Normal-pool"/>
        <w:numPr>
          <w:ilvl w:val="0"/>
          <w:numId w:val="45"/>
        </w:numPr>
        <w:tabs>
          <w:tab w:val="clear" w:pos="1247"/>
          <w:tab w:val="clear" w:pos="1814"/>
          <w:tab w:val="clear" w:pos="2381"/>
          <w:tab w:val="clear" w:pos="2948"/>
          <w:tab w:val="clear" w:pos="3515"/>
          <w:tab w:val="clear" w:pos="4082"/>
          <w:tab w:val="left" w:pos="624"/>
        </w:tabs>
        <w:spacing w:after="120"/>
        <w:ind w:left="1247" w:firstLine="624"/>
      </w:pPr>
      <w:r w:rsidRPr="00A7082A">
        <w:t xml:space="preserve">Providing assistance, in particular to developing country parties and parties with economies in transition, relating to how to access financial and technical support, as well as technology transfer and </w:t>
      </w:r>
      <w:r w:rsidR="00F22310" w:rsidRPr="00A7082A">
        <w:t>capacity</w:t>
      </w:r>
      <w:r w:rsidR="00F22310" w:rsidRPr="00A7082A">
        <w:noBreakHyphen/>
        <w:t>building</w:t>
      </w:r>
      <w:r w:rsidRPr="00A7082A">
        <w:t>;</w:t>
      </w:r>
    </w:p>
    <w:p w14:paraId="569A234E" w14:textId="77777777" w:rsidR="00A35F55" w:rsidRPr="00A7082A" w:rsidRDefault="00A35F55" w:rsidP="00A35F55">
      <w:pPr>
        <w:pStyle w:val="Normal-pool"/>
        <w:numPr>
          <w:ilvl w:val="0"/>
          <w:numId w:val="45"/>
        </w:numPr>
        <w:tabs>
          <w:tab w:val="clear" w:pos="1247"/>
          <w:tab w:val="clear" w:pos="1814"/>
          <w:tab w:val="clear" w:pos="2381"/>
          <w:tab w:val="clear" w:pos="2948"/>
          <w:tab w:val="clear" w:pos="3515"/>
          <w:tab w:val="clear" w:pos="4082"/>
          <w:tab w:val="left" w:pos="624"/>
        </w:tabs>
        <w:spacing w:after="120"/>
        <w:ind w:left="1247" w:firstLine="624"/>
      </w:pPr>
      <w:r w:rsidRPr="00A7082A">
        <w:t xml:space="preserve">Elaborating, as appropriate and in consultation with the party concerned, a strategy for achieving compliance, associated with a proposed time schedule, and reporting on the implementation of that strategy to the Committee; </w:t>
      </w:r>
    </w:p>
    <w:p w14:paraId="72494B96" w14:textId="77777777" w:rsidR="00A35F55" w:rsidRPr="00A7082A" w:rsidRDefault="00A35F55" w:rsidP="00A35F55">
      <w:pPr>
        <w:pStyle w:val="Normal-pool"/>
        <w:numPr>
          <w:ilvl w:val="0"/>
          <w:numId w:val="45"/>
        </w:numPr>
        <w:tabs>
          <w:tab w:val="clear" w:pos="1247"/>
          <w:tab w:val="clear" w:pos="1814"/>
          <w:tab w:val="clear" w:pos="2381"/>
          <w:tab w:val="clear" w:pos="2948"/>
          <w:tab w:val="clear" w:pos="3515"/>
          <w:tab w:val="clear" w:pos="4082"/>
          <w:tab w:val="left" w:pos="624"/>
        </w:tabs>
        <w:spacing w:after="120"/>
        <w:ind w:left="1247" w:firstLine="624"/>
        <w:rPr>
          <w:color w:val="000000"/>
        </w:rPr>
      </w:pPr>
      <w:r w:rsidRPr="00A7082A">
        <w:t>Any follow</w:t>
      </w:r>
      <w:r w:rsidRPr="00A7082A">
        <w:rPr>
          <w:color w:val="000000"/>
        </w:rPr>
        <w:t>-up arrangements for reporting on progress to the Committee.</w:t>
      </w:r>
    </w:p>
    <w:p w14:paraId="00E5BB0C" w14:textId="77777777" w:rsidR="00A35F55" w:rsidRPr="00A7082A" w:rsidRDefault="00A35F55" w:rsidP="006D4DE3">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pPr>
      <w:r w:rsidRPr="00A7082A">
        <w:t>If, after undertaking the procedure above and taking into account the cause, type, degree and frequency of compliance difficulties, as well as the capacity of the party, the Committee considers it necessary, it shall make recommendations, as appropriate, to the Conference of the Parties as per section V of the present terms of reference.</w:t>
      </w:r>
    </w:p>
    <w:p w14:paraId="08457116" w14:textId="77777777" w:rsidR="00A35F55" w:rsidRPr="00A7082A" w:rsidRDefault="00A35F55" w:rsidP="00A35F55">
      <w:pPr>
        <w:pStyle w:val="CH2"/>
      </w:pPr>
      <w:r w:rsidRPr="00A7082A">
        <w:tab/>
        <w:t>B.</w:t>
      </w:r>
      <w:r w:rsidRPr="00A7082A">
        <w:tab/>
        <w:t>Consider issues on the basis of national reports in accordance with article 21 as per paragraph 4 (b) of article 15 as well as requests from the Conference of the Parties as per paragraph 4 (c) of article 15</w:t>
      </w:r>
    </w:p>
    <w:p w14:paraId="6B101588" w14:textId="77777777" w:rsidR="00A35F55" w:rsidRPr="00A7082A" w:rsidRDefault="00A35F55" w:rsidP="006D4DE3">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pPr>
      <w:r w:rsidRPr="00A7082A">
        <w:t xml:space="preserve">In examining individual and systemic issues of implementation and compliance on the basis of national reports in accordance with article 21 and paragraph 4 (b) of article 15 and of requests from the Conference of the Parties pursuant to paragraph 4 (c) of article 15, the Committee shall aim to promote the implementation of, and review compliance with, all the provisions of the Convention, in a facilitative manner and paying particular attention to the respective national capabilities and circumstances of parties. </w:t>
      </w:r>
    </w:p>
    <w:p w14:paraId="6317051E" w14:textId="288407FE" w:rsidR="00A35F55" w:rsidRPr="00A7082A" w:rsidRDefault="00A35F55" w:rsidP="006D4DE3">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pPr>
      <w:r w:rsidRPr="00A7082A">
        <w:t xml:space="preserve">The secretariat shall distribute to the Committee for its consideration the national reports submitted pursuant to article 21 in accordance with rule 40 of the rules of procedure, as well as its reports prepared in accordance with paragraphs </w:t>
      </w:r>
      <w:r w:rsidR="00FB142F" w:rsidRPr="00A7082A">
        <w:t xml:space="preserve">25 </w:t>
      </w:r>
      <w:r w:rsidRPr="00A7082A">
        <w:t xml:space="preserve">(b) and </w:t>
      </w:r>
      <w:r w:rsidR="00FB142F" w:rsidRPr="00A7082A">
        <w:t xml:space="preserve">25 </w:t>
      </w:r>
      <w:r w:rsidRPr="00A7082A">
        <w:t xml:space="preserve">(c) under section VI of the present terms of reference. </w:t>
      </w:r>
    </w:p>
    <w:p w14:paraId="052C3821" w14:textId="77777777" w:rsidR="00A35F55" w:rsidRPr="00A7082A" w:rsidRDefault="00A35F55" w:rsidP="006D4DE3">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pPr>
      <w:r w:rsidRPr="00A7082A">
        <w:t xml:space="preserve">The secretariat shall distribute to the Committee any request made by the Conference of the Parties pursuant to paragraph 4 (c) of article 15 within two months of the conclusion of the meeting of the Conference of the Parties at which the request was made. Any such request shall be considered by the Committee at its first meeting after the receipt of the request. </w:t>
      </w:r>
    </w:p>
    <w:p w14:paraId="0C71F081" w14:textId="0CA230E7" w:rsidR="00A35F55" w:rsidRPr="00A7082A" w:rsidRDefault="00A35F55" w:rsidP="00E51E24">
      <w:pPr>
        <w:pStyle w:val="Normal-pool"/>
        <w:keepNext/>
        <w:keepLines/>
        <w:numPr>
          <w:ilvl w:val="0"/>
          <w:numId w:val="43"/>
        </w:numPr>
        <w:tabs>
          <w:tab w:val="clear" w:pos="1247"/>
          <w:tab w:val="clear" w:pos="1814"/>
          <w:tab w:val="clear" w:pos="2381"/>
          <w:tab w:val="clear" w:pos="2948"/>
          <w:tab w:val="clear" w:pos="3515"/>
          <w:tab w:val="clear" w:pos="4082"/>
          <w:tab w:val="left" w:pos="624"/>
        </w:tabs>
        <w:spacing w:after="120"/>
        <w:ind w:left="1247" w:firstLine="0"/>
      </w:pPr>
      <w:r w:rsidRPr="00A7082A">
        <w:lastRenderedPageBreak/>
        <w:t xml:space="preserve">The Committee may provide to a party or several parties, after consultation with the party or parties concerned, the outcome of its consideration, recommendations and additional relevant information relating to the matter under its consideration, and shall make recommendations, as appropriate, to the Conference of the Parties, as per section V of the present terms of reference. </w:t>
      </w:r>
    </w:p>
    <w:p w14:paraId="0A244647" w14:textId="77777777" w:rsidR="00A35F55" w:rsidRPr="00A7082A" w:rsidRDefault="00A35F55" w:rsidP="00A35F55">
      <w:pPr>
        <w:pStyle w:val="CH2"/>
      </w:pPr>
      <w:r w:rsidRPr="00A7082A">
        <w:tab/>
        <w:t>C.</w:t>
      </w:r>
      <w:r w:rsidRPr="00A7082A">
        <w:tab/>
        <w:t xml:space="preserve">Consider systemic issues of implementation and compliance </w:t>
      </w:r>
    </w:p>
    <w:p w14:paraId="2CA8DB39" w14:textId="77777777" w:rsidR="00A35F55" w:rsidRPr="00A7082A" w:rsidRDefault="00A35F55" w:rsidP="006D4DE3">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pPr>
      <w:r w:rsidRPr="00A7082A">
        <w:t>The Committee may identify and consider systemic issues of implementation and compliance further to its consideration of written submissions from parties with respect to their own compliance or of national reports pursuant to article 21 or to a request by the Conference of the Parties.</w:t>
      </w:r>
    </w:p>
    <w:p w14:paraId="64EEF3D8" w14:textId="77777777" w:rsidR="00A35F55" w:rsidRPr="00A7082A" w:rsidRDefault="00A35F55" w:rsidP="006D4DE3">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pPr>
      <w:r w:rsidRPr="00A7082A">
        <w:t>In order to address any such systemic issues, the Committee may make recommendations to the Conference of the Parties.</w:t>
      </w:r>
    </w:p>
    <w:p w14:paraId="3E0D9304" w14:textId="77777777" w:rsidR="00A35F55" w:rsidRPr="00A7082A" w:rsidRDefault="00A35F55" w:rsidP="00A35F55">
      <w:pPr>
        <w:pStyle w:val="CH2"/>
      </w:pPr>
      <w:r w:rsidRPr="00A7082A">
        <w:tab/>
        <w:t>D.</w:t>
      </w:r>
      <w:r w:rsidRPr="00A7082A">
        <w:tab/>
        <w:t>Report to the Conference of the Parties</w:t>
      </w:r>
    </w:p>
    <w:p w14:paraId="29CDC95C" w14:textId="77777777" w:rsidR="00A35F55" w:rsidRPr="00A7082A" w:rsidRDefault="00A35F55" w:rsidP="006D4DE3">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pPr>
      <w:r w:rsidRPr="00A7082A">
        <w:t>The Committee shall report to each ordinary meeting of the Conference of the Parties to the Minamata Convention on the work it has carried out to fulfil its functions, as set out in the Convention, the Committee’s rules of procedure and the present terms of reference. Such reporting may include recommendations for the consideration of the Conference of the Parties.</w:t>
      </w:r>
    </w:p>
    <w:p w14:paraId="56B29E25" w14:textId="77777777" w:rsidR="00A35F55" w:rsidRPr="00A7082A" w:rsidRDefault="00A35F55" w:rsidP="006D4DE3">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pPr>
      <w:r w:rsidRPr="00A7082A">
        <w:t>The Committee shall submit its report to the secretariat no later than 12 weeks before the opening of the meeting of the Conference of the Parties at which it is to be considered.</w:t>
      </w:r>
    </w:p>
    <w:p w14:paraId="1D69D579" w14:textId="77777777" w:rsidR="00A35F55" w:rsidRPr="00A7082A" w:rsidRDefault="00A35F55" w:rsidP="00A35F55">
      <w:pPr>
        <w:pStyle w:val="CH1"/>
        <w:rPr>
          <w:sz w:val="24"/>
        </w:rPr>
      </w:pPr>
      <w:bookmarkStart w:id="64" w:name="_Hlk7685054"/>
      <w:r w:rsidRPr="00A7082A">
        <w:rPr>
          <w:sz w:val="24"/>
        </w:rPr>
        <w:tab/>
      </w:r>
      <w:r w:rsidRPr="00A7082A">
        <w:t>IV.</w:t>
      </w:r>
      <w:r w:rsidRPr="00A7082A">
        <w:tab/>
        <w:t xml:space="preserve">Additional information, expertise or consultations that </w:t>
      </w:r>
      <w:bookmarkEnd w:id="64"/>
      <w:r w:rsidRPr="00A7082A">
        <w:t>the Committee may draw on</w:t>
      </w:r>
      <w:r w:rsidRPr="00A7082A">
        <w:rPr>
          <w:sz w:val="24"/>
        </w:rPr>
        <w:t xml:space="preserve"> </w:t>
      </w:r>
    </w:p>
    <w:p w14:paraId="002F493E" w14:textId="77777777" w:rsidR="00A35F55" w:rsidRPr="00A7082A" w:rsidRDefault="00A35F55" w:rsidP="006D4DE3">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pPr>
      <w:r w:rsidRPr="00A7082A">
        <w:t>In carrying out its functions, the Committee may, in accordance with the programme of work and budget, inter alia:</w:t>
      </w:r>
    </w:p>
    <w:p w14:paraId="31199189" w14:textId="77777777" w:rsidR="00A35F55" w:rsidRPr="00A7082A" w:rsidRDefault="00A35F55" w:rsidP="00A35F55">
      <w:pPr>
        <w:pStyle w:val="Normal-pool"/>
        <w:numPr>
          <w:ilvl w:val="0"/>
          <w:numId w:val="46"/>
        </w:numPr>
        <w:tabs>
          <w:tab w:val="clear" w:pos="1247"/>
          <w:tab w:val="clear" w:pos="1814"/>
          <w:tab w:val="clear" w:pos="2381"/>
          <w:tab w:val="clear" w:pos="2948"/>
          <w:tab w:val="clear" w:pos="3515"/>
          <w:tab w:val="clear" w:pos="4082"/>
          <w:tab w:val="left" w:pos="624"/>
        </w:tabs>
        <w:spacing w:after="120"/>
        <w:ind w:left="1247" w:firstLine="624"/>
      </w:pPr>
      <w:r w:rsidRPr="00A7082A">
        <w:t>Draw on the reports, decisions and recommendations of the Conference of the Parties</w:t>
      </w:r>
      <w:r w:rsidRPr="00A7082A">
        <w:rPr>
          <w:szCs w:val="24"/>
        </w:rPr>
        <w:t>, as well as reports and recommendations of</w:t>
      </w:r>
      <w:r w:rsidRPr="00A7082A">
        <w:t xml:space="preserve"> subsidiary bodies of the Convention, including with respect to the effectiveness evaluation pursuant to article 22;</w:t>
      </w:r>
    </w:p>
    <w:p w14:paraId="3CF10F96" w14:textId="77777777" w:rsidR="00A35F55" w:rsidRPr="00A7082A" w:rsidRDefault="00A35F55" w:rsidP="00A35F55">
      <w:pPr>
        <w:pStyle w:val="Normal-pool"/>
        <w:numPr>
          <w:ilvl w:val="0"/>
          <w:numId w:val="46"/>
        </w:numPr>
        <w:tabs>
          <w:tab w:val="clear" w:pos="1247"/>
          <w:tab w:val="clear" w:pos="1814"/>
          <w:tab w:val="clear" w:pos="2381"/>
          <w:tab w:val="clear" w:pos="2948"/>
          <w:tab w:val="clear" w:pos="3515"/>
          <w:tab w:val="clear" w:pos="4082"/>
          <w:tab w:val="left" w:pos="624"/>
        </w:tabs>
        <w:spacing w:after="120"/>
        <w:ind w:left="1247" w:firstLine="624"/>
      </w:pPr>
      <w:r w:rsidRPr="00A7082A">
        <w:t>Request further information, through the secretariat, from a party that has made a written submission with respect to its own compliance and from all parties on systemic issues of implementation and compliance under its consideration;</w:t>
      </w:r>
    </w:p>
    <w:p w14:paraId="06EFB50D" w14:textId="77777777" w:rsidR="00A35F55" w:rsidRPr="00A7082A" w:rsidRDefault="00A35F55" w:rsidP="00A35F55">
      <w:pPr>
        <w:pStyle w:val="Normal-pool"/>
        <w:numPr>
          <w:ilvl w:val="0"/>
          <w:numId w:val="46"/>
        </w:numPr>
        <w:tabs>
          <w:tab w:val="clear" w:pos="1247"/>
          <w:tab w:val="clear" w:pos="1814"/>
          <w:tab w:val="clear" w:pos="2381"/>
          <w:tab w:val="clear" w:pos="2948"/>
          <w:tab w:val="clear" w:pos="3515"/>
          <w:tab w:val="clear" w:pos="4082"/>
          <w:tab w:val="left" w:pos="624"/>
        </w:tabs>
        <w:spacing w:after="120"/>
        <w:ind w:left="1247" w:firstLine="624"/>
      </w:pPr>
      <w:r w:rsidRPr="00A7082A">
        <w:t>Consult with other subsidiary bodies of the Convention;</w:t>
      </w:r>
    </w:p>
    <w:p w14:paraId="3501791B" w14:textId="3AA91FC4" w:rsidR="00A35F55" w:rsidRPr="00A7082A" w:rsidRDefault="00A35F55" w:rsidP="00A35F55">
      <w:pPr>
        <w:pStyle w:val="Normal-pool"/>
        <w:numPr>
          <w:ilvl w:val="0"/>
          <w:numId w:val="46"/>
        </w:numPr>
        <w:tabs>
          <w:tab w:val="clear" w:pos="1247"/>
          <w:tab w:val="clear" w:pos="1814"/>
          <w:tab w:val="clear" w:pos="2381"/>
          <w:tab w:val="clear" w:pos="2948"/>
          <w:tab w:val="clear" w:pos="3515"/>
          <w:tab w:val="clear" w:pos="4082"/>
          <w:tab w:val="left" w:pos="624"/>
        </w:tabs>
        <w:spacing w:after="120"/>
        <w:ind w:left="1247" w:firstLine="624"/>
      </w:pPr>
      <w:r w:rsidRPr="00A7082A">
        <w:t>In the case of systemic issues of implementation and compliance, request further information in addition to that provided pursuant to subparagraphs (a) to (c), and draw upon outside expertise, as it considers necessary and appropriate, through the secretariat;</w:t>
      </w:r>
    </w:p>
    <w:p w14:paraId="148FE24B" w14:textId="77777777" w:rsidR="00A35F55" w:rsidRPr="00A7082A" w:rsidRDefault="00A35F55" w:rsidP="00A35F55">
      <w:pPr>
        <w:pStyle w:val="Normal-pool"/>
        <w:numPr>
          <w:ilvl w:val="0"/>
          <w:numId w:val="46"/>
        </w:numPr>
        <w:tabs>
          <w:tab w:val="clear" w:pos="1247"/>
          <w:tab w:val="clear" w:pos="1814"/>
          <w:tab w:val="clear" w:pos="2381"/>
          <w:tab w:val="clear" w:pos="2948"/>
          <w:tab w:val="clear" w:pos="3515"/>
          <w:tab w:val="clear" w:pos="4082"/>
          <w:tab w:val="left" w:pos="624"/>
        </w:tabs>
        <w:spacing w:after="120"/>
        <w:ind w:left="1247" w:firstLine="624"/>
      </w:pPr>
      <w:r w:rsidRPr="00A7082A">
        <w:t>In the case of individual issues of implementation and compliance considered on the basis of written submissions from parties with respect to their own compliance, request further information in addition to that provided pursuant to subparagraphs (a) to (c), and draw upon outside expertise, as it considers necessary and appropriate, through the secretariat, with the prior consent of the party concerned;</w:t>
      </w:r>
    </w:p>
    <w:p w14:paraId="6EE916C8" w14:textId="77777777" w:rsidR="00A35F55" w:rsidRPr="00A7082A" w:rsidRDefault="00A35F55" w:rsidP="00A35F55">
      <w:pPr>
        <w:pStyle w:val="Normal-pool"/>
        <w:numPr>
          <w:ilvl w:val="0"/>
          <w:numId w:val="46"/>
        </w:numPr>
        <w:tabs>
          <w:tab w:val="clear" w:pos="1247"/>
          <w:tab w:val="clear" w:pos="1814"/>
          <w:tab w:val="clear" w:pos="2381"/>
          <w:tab w:val="clear" w:pos="2948"/>
          <w:tab w:val="clear" w:pos="3515"/>
          <w:tab w:val="clear" w:pos="4082"/>
          <w:tab w:val="left" w:pos="624"/>
        </w:tabs>
        <w:spacing w:after="120"/>
        <w:ind w:left="1247" w:firstLine="624"/>
      </w:pPr>
      <w:r w:rsidRPr="00A7082A">
        <w:t>In the case of individual issues of implementation and compliance considered on the basis of a request by the Conference of the Parties, request further information in addition to that provided pursuant to subparagraphs (a) to (c), and draw upon outside expertise, as it considers necessary and appropriate, through the secretariat, with the prior consent of the party concerned or as directed by the Conference of the Parties;</w:t>
      </w:r>
    </w:p>
    <w:p w14:paraId="7F1BF80E" w14:textId="77777777" w:rsidR="00A35F55" w:rsidRPr="00A7082A" w:rsidRDefault="00A35F55" w:rsidP="00A35F55">
      <w:pPr>
        <w:pStyle w:val="Normal-pool"/>
        <w:numPr>
          <w:ilvl w:val="0"/>
          <w:numId w:val="46"/>
        </w:numPr>
        <w:tabs>
          <w:tab w:val="clear" w:pos="1247"/>
          <w:tab w:val="clear" w:pos="1814"/>
          <w:tab w:val="clear" w:pos="2381"/>
          <w:tab w:val="clear" w:pos="2948"/>
          <w:tab w:val="clear" w:pos="3515"/>
          <w:tab w:val="clear" w:pos="4082"/>
          <w:tab w:val="left" w:pos="624"/>
        </w:tabs>
        <w:spacing w:after="120"/>
        <w:ind w:left="1247" w:firstLine="624"/>
      </w:pPr>
      <w:r w:rsidRPr="00A7082A">
        <w:t xml:space="preserve">Facilitate, upon invitation by the party concerned, information gathering in the territory of that party for the purpose of fulfilling the functions of the Committee; </w:t>
      </w:r>
    </w:p>
    <w:p w14:paraId="6F082599" w14:textId="77777777" w:rsidR="00A35F55" w:rsidRPr="00A7082A" w:rsidRDefault="00A35F55" w:rsidP="00163711">
      <w:pPr>
        <w:pStyle w:val="Normal-pool"/>
        <w:numPr>
          <w:ilvl w:val="0"/>
          <w:numId w:val="46"/>
        </w:numPr>
        <w:tabs>
          <w:tab w:val="clear" w:pos="1247"/>
          <w:tab w:val="clear" w:pos="1814"/>
          <w:tab w:val="clear" w:pos="2381"/>
          <w:tab w:val="clear" w:pos="2948"/>
          <w:tab w:val="clear" w:pos="3515"/>
          <w:tab w:val="clear" w:pos="4082"/>
          <w:tab w:val="left" w:pos="624"/>
        </w:tabs>
        <w:spacing w:after="120"/>
        <w:ind w:left="1247" w:firstLine="624"/>
      </w:pPr>
      <w:r w:rsidRPr="00A7082A">
        <w:t>Consult with the secretariat and draw upon its experience and knowledge developed pursuant to article 24 of the Convention and request information from the secretariat, where appropriate, in the form of a report, on matters under the Committee’s consideration.</w:t>
      </w:r>
      <w:bookmarkStart w:id="65" w:name="_Hlk7038431"/>
      <w:bookmarkStart w:id="66" w:name="_Hlk7598289"/>
    </w:p>
    <w:bookmarkEnd w:id="65"/>
    <w:bookmarkEnd w:id="66"/>
    <w:p w14:paraId="269749CE" w14:textId="77777777" w:rsidR="00A35F55" w:rsidRPr="00A7082A" w:rsidRDefault="00A35F55" w:rsidP="00FB4230">
      <w:pPr>
        <w:pStyle w:val="CH1"/>
        <w:rPr>
          <w:sz w:val="24"/>
        </w:rPr>
      </w:pPr>
      <w:r w:rsidRPr="00A7082A">
        <w:rPr>
          <w:sz w:val="24"/>
        </w:rPr>
        <w:lastRenderedPageBreak/>
        <w:tab/>
      </w:r>
      <w:r w:rsidRPr="00A7082A">
        <w:t>V.</w:t>
      </w:r>
      <w:r w:rsidRPr="00A7082A">
        <w:tab/>
        <w:t>Types of recommendations to the Conference of the Parties that the Committee may consider in order to promote implementation and review compliance with all the provisions of the Convention</w:t>
      </w:r>
    </w:p>
    <w:p w14:paraId="14F73AFB" w14:textId="77777777" w:rsidR="00A35F55" w:rsidRPr="00A7082A" w:rsidRDefault="00A35F55" w:rsidP="006D4DE3">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pPr>
      <w:r w:rsidRPr="00A7082A">
        <w:t xml:space="preserve">Recommendations from the Committee to the Conference of the Parties shall aim at promoting implementation and reviewing compliance with the provisions of the Convention. They shall be facilitative in nature and pay particular attention to the respective national capabilities and circumstances of parties. </w:t>
      </w:r>
    </w:p>
    <w:p w14:paraId="6B9E6C2C" w14:textId="77777777" w:rsidR="00A35F55" w:rsidRPr="00A7082A" w:rsidRDefault="00A35F55" w:rsidP="006D4DE3">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pPr>
      <w:r w:rsidRPr="00A7082A">
        <w:t>Recommendations relating to individual and systemic issues of implementation and compliance may include, but not be limited to:</w:t>
      </w:r>
    </w:p>
    <w:p w14:paraId="37A8CEA5" w14:textId="77777777" w:rsidR="00A35F55" w:rsidRPr="00A7082A" w:rsidRDefault="00A35F55" w:rsidP="00163711">
      <w:pPr>
        <w:pStyle w:val="Normal-pool"/>
        <w:numPr>
          <w:ilvl w:val="0"/>
          <w:numId w:val="47"/>
        </w:numPr>
        <w:tabs>
          <w:tab w:val="clear" w:pos="1247"/>
          <w:tab w:val="clear" w:pos="1814"/>
          <w:tab w:val="clear" w:pos="2381"/>
          <w:tab w:val="clear" w:pos="2948"/>
          <w:tab w:val="clear" w:pos="3515"/>
          <w:tab w:val="clear" w:pos="4082"/>
          <w:tab w:val="left" w:pos="624"/>
        </w:tabs>
        <w:spacing w:after="120"/>
        <w:ind w:left="1247" w:firstLine="624"/>
      </w:pPr>
      <w:r w:rsidRPr="00A7082A">
        <w:t>Steps to support the party or parties in implementing the provisions of the Convention, including with respect to legislative, procedural or institutional arrangements that may be required;</w:t>
      </w:r>
    </w:p>
    <w:p w14:paraId="620C50C1" w14:textId="77777777" w:rsidR="00A35F55" w:rsidRPr="00A7082A" w:rsidRDefault="00A35F55" w:rsidP="00A35F55">
      <w:pPr>
        <w:pStyle w:val="Normal-pool"/>
        <w:numPr>
          <w:ilvl w:val="0"/>
          <w:numId w:val="47"/>
        </w:numPr>
        <w:tabs>
          <w:tab w:val="clear" w:pos="1247"/>
          <w:tab w:val="clear" w:pos="1814"/>
          <w:tab w:val="clear" w:pos="2381"/>
          <w:tab w:val="clear" w:pos="2948"/>
          <w:tab w:val="clear" w:pos="3515"/>
          <w:tab w:val="clear" w:pos="4082"/>
          <w:tab w:val="left" w:pos="624"/>
        </w:tabs>
        <w:spacing w:after="120"/>
        <w:ind w:left="1247" w:firstLine="624"/>
      </w:pPr>
      <w:r w:rsidRPr="00A7082A">
        <w:t>The need for the concerned party or parties to develop and submit to the Committee a strategy to achieve implementation and compliance, associated with a proposed time schedule, and to report on the implementation of the said strategy;</w:t>
      </w:r>
    </w:p>
    <w:p w14:paraId="0D82DA87" w14:textId="77777777" w:rsidR="00A35F55" w:rsidRPr="00A7082A" w:rsidRDefault="00A35F55" w:rsidP="00A35F55">
      <w:pPr>
        <w:pStyle w:val="Normal-pool"/>
        <w:numPr>
          <w:ilvl w:val="0"/>
          <w:numId w:val="47"/>
        </w:numPr>
        <w:tabs>
          <w:tab w:val="clear" w:pos="1247"/>
          <w:tab w:val="clear" w:pos="1814"/>
          <w:tab w:val="clear" w:pos="2381"/>
          <w:tab w:val="clear" w:pos="2948"/>
          <w:tab w:val="clear" w:pos="3515"/>
          <w:tab w:val="clear" w:pos="4082"/>
          <w:tab w:val="left" w:pos="624"/>
        </w:tabs>
        <w:spacing w:after="120"/>
        <w:ind w:left="1247" w:firstLine="624"/>
      </w:pPr>
      <w:r w:rsidRPr="00A7082A">
        <w:t xml:space="preserve">Expert assistance, including on legal, institutional or technical matters; </w:t>
      </w:r>
    </w:p>
    <w:p w14:paraId="70061B6C" w14:textId="2125A5A2" w:rsidR="00A35F55" w:rsidRPr="00A7082A" w:rsidRDefault="00A35F55" w:rsidP="00A35F55">
      <w:pPr>
        <w:pStyle w:val="Normal-pool"/>
        <w:numPr>
          <w:ilvl w:val="0"/>
          <w:numId w:val="47"/>
        </w:numPr>
        <w:tabs>
          <w:tab w:val="clear" w:pos="1247"/>
          <w:tab w:val="clear" w:pos="1814"/>
          <w:tab w:val="clear" w:pos="2381"/>
          <w:tab w:val="clear" w:pos="2948"/>
          <w:tab w:val="clear" w:pos="3515"/>
          <w:tab w:val="clear" w:pos="4082"/>
          <w:tab w:val="left" w:pos="624"/>
        </w:tabs>
        <w:spacing w:after="120"/>
        <w:ind w:left="1247" w:firstLine="624"/>
      </w:pPr>
      <w:r w:rsidRPr="00A7082A">
        <w:t xml:space="preserve">Targeted </w:t>
      </w:r>
      <w:r w:rsidR="00F22310" w:rsidRPr="00A7082A">
        <w:t>capacity</w:t>
      </w:r>
      <w:r w:rsidR="00F22310" w:rsidRPr="00A7082A">
        <w:noBreakHyphen/>
        <w:t>building</w:t>
      </w:r>
      <w:r w:rsidRPr="00A7082A">
        <w:t>, financial and technical assistance as well as technology transfer.</w:t>
      </w:r>
    </w:p>
    <w:p w14:paraId="3556E8C9" w14:textId="77777777" w:rsidR="00A35F55" w:rsidRPr="00A7082A" w:rsidRDefault="00A35F55" w:rsidP="006D4DE3">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pPr>
      <w:r w:rsidRPr="00A7082A">
        <w:t>When there is a need for it and as a last resort, the Committee may recommend to the Conference of the Parties that the Conference of the Parties issue a statement regarding compliance and provide advice in order to help the concerned party or parties implement the provisions of the Convention and to promote cooperation between all the parties.</w:t>
      </w:r>
    </w:p>
    <w:p w14:paraId="622D25E2" w14:textId="77777777" w:rsidR="00A35F55" w:rsidRPr="00A7082A" w:rsidRDefault="00A35F55" w:rsidP="00A35F55">
      <w:pPr>
        <w:pStyle w:val="CH1"/>
        <w:rPr>
          <w:sz w:val="24"/>
        </w:rPr>
      </w:pPr>
      <w:r w:rsidRPr="00A7082A">
        <w:rPr>
          <w:sz w:val="24"/>
        </w:rPr>
        <w:tab/>
      </w:r>
      <w:r w:rsidRPr="00A7082A">
        <w:t>VI.</w:t>
      </w:r>
      <w:r w:rsidRPr="00A7082A">
        <w:tab/>
        <w:t>Functions of the secretariat</w:t>
      </w:r>
      <w:r w:rsidRPr="00A7082A">
        <w:rPr>
          <w:sz w:val="24"/>
        </w:rPr>
        <w:t xml:space="preserve"> </w:t>
      </w:r>
    </w:p>
    <w:p w14:paraId="79133826" w14:textId="77777777" w:rsidR="00A35F55" w:rsidRPr="00A7082A" w:rsidRDefault="00A35F55" w:rsidP="006D4DE3">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pPr>
      <w:r w:rsidRPr="00A7082A">
        <w:t>Consistent with the functions specified in article 24 of the Convention and in the Committee’s rules of procedure, and in accordance with the programme of work and budget, the secretariat shall, in addition to the functions specified elsewhere in the present terms of reference:</w:t>
      </w:r>
    </w:p>
    <w:p w14:paraId="715DFCF7" w14:textId="77777777" w:rsidR="00A35F55" w:rsidRPr="00A7082A" w:rsidRDefault="00A35F55" w:rsidP="00163711">
      <w:pPr>
        <w:pStyle w:val="Normal-pool"/>
        <w:numPr>
          <w:ilvl w:val="0"/>
          <w:numId w:val="48"/>
        </w:numPr>
        <w:tabs>
          <w:tab w:val="clear" w:pos="1247"/>
          <w:tab w:val="clear" w:pos="1814"/>
          <w:tab w:val="clear" w:pos="2381"/>
          <w:tab w:val="clear" w:pos="2948"/>
          <w:tab w:val="clear" w:pos="3515"/>
          <w:tab w:val="clear" w:pos="4082"/>
          <w:tab w:val="left" w:pos="624"/>
        </w:tabs>
        <w:spacing w:after="120"/>
        <w:ind w:left="1247" w:firstLine="624"/>
        <w:rPr>
          <w:color w:val="000000"/>
        </w:rPr>
      </w:pPr>
      <w:r w:rsidRPr="00A7082A">
        <w:t xml:space="preserve">Collect written submissions from parties with respect to their own compliance pursuant to paragraph 4 (a) of article 15, make arrangements for their translation into English and distribute them to the </w:t>
      </w:r>
      <w:r w:rsidRPr="00A7082A">
        <w:rPr>
          <w:color w:val="000000"/>
        </w:rPr>
        <w:t>Committee, in accordance with rule 23 of the rules of procedure, as well as any additional information provided by the party. Submissions in English shall be distributed to the Committee within two weeks of receipt, and the translation into English of submissions in one of the official languages of the United Nations other than English shall be distributed to the Committee within four weeks of receipt;</w:t>
      </w:r>
    </w:p>
    <w:p w14:paraId="3DBE96FA" w14:textId="77777777" w:rsidR="00A35F55" w:rsidRPr="00A7082A" w:rsidRDefault="00A35F55" w:rsidP="00A35F55">
      <w:pPr>
        <w:pStyle w:val="Normal-pool"/>
        <w:numPr>
          <w:ilvl w:val="0"/>
          <w:numId w:val="48"/>
        </w:numPr>
        <w:tabs>
          <w:tab w:val="clear" w:pos="1247"/>
          <w:tab w:val="clear" w:pos="1814"/>
          <w:tab w:val="clear" w:pos="2381"/>
          <w:tab w:val="clear" w:pos="2948"/>
          <w:tab w:val="clear" w:pos="3515"/>
          <w:tab w:val="clear" w:pos="4082"/>
          <w:tab w:val="left" w:pos="624"/>
        </w:tabs>
        <w:spacing w:after="120"/>
        <w:ind w:left="1247" w:firstLine="624"/>
        <w:rPr>
          <w:color w:val="000000"/>
        </w:rPr>
      </w:pPr>
      <w:r w:rsidRPr="00A7082A">
        <w:rPr>
          <w:color w:val="000000"/>
        </w:rPr>
        <w:t>Collect national reports submitted in accordance with article 21, and, when issues are to be considered by the Committee on their basis in accordance with paragraph 4 (b) of article 15, prepare the relevant reports for the consideration of the Committee. These reports shall include but not be limited to information about parties’ reporting performances and the identification of particular issues that may emerge from the reports and may be of interest to the Committee;</w:t>
      </w:r>
    </w:p>
    <w:p w14:paraId="53B2C96A" w14:textId="77777777" w:rsidR="00A35F55" w:rsidRPr="00A7082A" w:rsidRDefault="00A35F55" w:rsidP="00A35F55">
      <w:pPr>
        <w:pStyle w:val="Normal-pool"/>
        <w:numPr>
          <w:ilvl w:val="0"/>
          <w:numId w:val="48"/>
        </w:numPr>
        <w:tabs>
          <w:tab w:val="clear" w:pos="1247"/>
          <w:tab w:val="clear" w:pos="1814"/>
          <w:tab w:val="clear" w:pos="2381"/>
          <w:tab w:val="clear" w:pos="2948"/>
          <w:tab w:val="clear" w:pos="3515"/>
          <w:tab w:val="clear" w:pos="4082"/>
          <w:tab w:val="left" w:pos="624"/>
        </w:tabs>
        <w:spacing w:after="120"/>
        <w:ind w:left="1247" w:firstLine="624"/>
        <w:rPr>
          <w:color w:val="000000"/>
        </w:rPr>
      </w:pPr>
      <w:r w:rsidRPr="00A7082A">
        <w:rPr>
          <w:color w:val="000000"/>
        </w:rPr>
        <w:t>Make arrangements for the translation into English and distribution of national reports, or sections thereof, in accordance with rule 40 of the rules of procedure;</w:t>
      </w:r>
    </w:p>
    <w:p w14:paraId="0CE5C41F" w14:textId="77777777" w:rsidR="00A35F55" w:rsidRPr="00A7082A" w:rsidRDefault="00A35F55" w:rsidP="00A35F55">
      <w:pPr>
        <w:pStyle w:val="Normal-pool"/>
        <w:numPr>
          <w:ilvl w:val="0"/>
          <w:numId w:val="48"/>
        </w:numPr>
        <w:tabs>
          <w:tab w:val="clear" w:pos="1247"/>
          <w:tab w:val="clear" w:pos="1814"/>
          <w:tab w:val="clear" w:pos="2381"/>
          <w:tab w:val="clear" w:pos="2948"/>
          <w:tab w:val="clear" w:pos="3515"/>
          <w:tab w:val="clear" w:pos="4082"/>
          <w:tab w:val="left" w:pos="624"/>
        </w:tabs>
        <w:spacing w:after="120"/>
        <w:ind w:left="1247" w:firstLine="624"/>
        <w:rPr>
          <w:color w:val="000000"/>
        </w:rPr>
      </w:pPr>
      <w:r w:rsidRPr="00A7082A">
        <w:rPr>
          <w:color w:val="000000"/>
        </w:rPr>
        <w:t>Forward to the Committee any request made by the Conference of the Parties within two months after the conclusion of the meeting of the Conference of the Parties at which the request was made;</w:t>
      </w:r>
    </w:p>
    <w:p w14:paraId="65A1A038" w14:textId="77777777" w:rsidR="00A35F55" w:rsidRPr="00A7082A" w:rsidRDefault="00A35F55" w:rsidP="00A35F55">
      <w:pPr>
        <w:pStyle w:val="Normal-pool"/>
        <w:numPr>
          <w:ilvl w:val="0"/>
          <w:numId w:val="48"/>
        </w:numPr>
        <w:tabs>
          <w:tab w:val="clear" w:pos="1247"/>
          <w:tab w:val="clear" w:pos="1814"/>
          <w:tab w:val="clear" w:pos="2381"/>
          <w:tab w:val="clear" w:pos="2948"/>
          <w:tab w:val="clear" w:pos="3515"/>
          <w:tab w:val="clear" w:pos="4082"/>
          <w:tab w:val="left" w:pos="624"/>
        </w:tabs>
        <w:spacing w:after="120"/>
        <w:ind w:left="1247" w:firstLine="624"/>
        <w:rPr>
          <w:color w:val="000000"/>
        </w:rPr>
      </w:pPr>
      <w:r w:rsidRPr="00A7082A">
        <w:rPr>
          <w:color w:val="000000"/>
        </w:rPr>
        <w:t xml:space="preserve">As requested by the Committee in order to facilitate the conduct of its work, seek and collect further information from parties and other sources and prepare any report or supporting document; </w:t>
      </w:r>
    </w:p>
    <w:p w14:paraId="048C5EB6" w14:textId="77777777" w:rsidR="00A35F55" w:rsidRPr="00A7082A" w:rsidRDefault="00A35F55" w:rsidP="00A35F55">
      <w:pPr>
        <w:pStyle w:val="Normal-pool"/>
        <w:numPr>
          <w:ilvl w:val="0"/>
          <w:numId w:val="48"/>
        </w:numPr>
        <w:tabs>
          <w:tab w:val="clear" w:pos="1247"/>
          <w:tab w:val="clear" w:pos="1814"/>
          <w:tab w:val="clear" w:pos="2381"/>
          <w:tab w:val="clear" w:pos="2948"/>
          <w:tab w:val="clear" w:pos="3515"/>
          <w:tab w:val="clear" w:pos="4082"/>
          <w:tab w:val="left" w:pos="624"/>
        </w:tabs>
        <w:spacing w:after="120"/>
        <w:ind w:left="1247" w:firstLine="624"/>
      </w:pPr>
      <w:r w:rsidRPr="00A7082A">
        <w:rPr>
          <w:color w:val="000000"/>
        </w:rPr>
        <w:t>Perform</w:t>
      </w:r>
      <w:r w:rsidRPr="00A7082A">
        <w:t xml:space="preserve"> any other functions </w:t>
      </w:r>
      <w:bookmarkStart w:id="67" w:name="_Hlk7602917"/>
      <w:r w:rsidRPr="00A7082A">
        <w:t xml:space="preserve">assigned to it by the Committee or the Conference of the Parties </w:t>
      </w:r>
      <w:bookmarkEnd w:id="67"/>
      <w:r w:rsidRPr="00A7082A">
        <w:t>with respect to the work of the Committee.</w:t>
      </w:r>
    </w:p>
    <w:p w14:paraId="181A21D8" w14:textId="77777777" w:rsidR="00A35F55" w:rsidRPr="00A7082A" w:rsidRDefault="00A35F55" w:rsidP="00A35F55">
      <w:pPr>
        <w:pStyle w:val="CH1"/>
        <w:rPr>
          <w:b w:val="0"/>
        </w:rPr>
      </w:pPr>
      <w:r w:rsidRPr="00A7082A">
        <w:rPr>
          <w:sz w:val="24"/>
        </w:rPr>
        <w:lastRenderedPageBreak/>
        <w:tab/>
      </w:r>
      <w:r w:rsidRPr="00A7082A">
        <w:t>VII.</w:t>
      </w:r>
      <w:r w:rsidRPr="00A7082A">
        <w:tab/>
        <w:t>Relationship with the settlement of disputes under article 25 of the Convention</w:t>
      </w:r>
    </w:p>
    <w:p w14:paraId="3D911803" w14:textId="77777777" w:rsidR="00A35F55" w:rsidRPr="00A7082A" w:rsidRDefault="00A35F55" w:rsidP="006D4DE3">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pPr>
      <w:r w:rsidRPr="00A7082A">
        <w:t>The operation of the implementation and compliance mechanism and the work of the Committee shall be distinct and without prejudice to the provisions of article 25 of the Convention on settlement of disputes.</w:t>
      </w:r>
    </w:p>
    <w:p w14:paraId="0252FBF1" w14:textId="77777777" w:rsidR="00A35F55" w:rsidRPr="00A7082A" w:rsidRDefault="00A35F55" w:rsidP="00A35F55">
      <w:pPr>
        <w:pStyle w:val="CH1"/>
        <w:rPr>
          <w:sz w:val="24"/>
        </w:rPr>
      </w:pPr>
      <w:r w:rsidRPr="00A7082A">
        <w:rPr>
          <w:sz w:val="24"/>
        </w:rPr>
        <w:tab/>
      </w:r>
      <w:r w:rsidRPr="00A7082A">
        <w:t>VIII.</w:t>
      </w:r>
      <w:r w:rsidRPr="00A7082A">
        <w:tab/>
        <w:t>Protection of confidentiality</w:t>
      </w:r>
    </w:p>
    <w:p w14:paraId="595878F3" w14:textId="455507FC" w:rsidR="006D214C" w:rsidRPr="00A7082A" w:rsidRDefault="00A35F55" w:rsidP="006D4DE3">
      <w:pPr>
        <w:pStyle w:val="Normal-pool"/>
        <w:numPr>
          <w:ilvl w:val="0"/>
          <w:numId w:val="43"/>
        </w:numPr>
        <w:tabs>
          <w:tab w:val="clear" w:pos="1247"/>
          <w:tab w:val="clear" w:pos="1814"/>
          <w:tab w:val="clear" w:pos="2381"/>
          <w:tab w:val="clear" w:pos="2948"/>
          <w:tab w:val="clear" w:pos="3515"/>
          <w:tab w:val="clear" w:pos="4082"/>
          <w:tab w:val="left" w:pos="624"/>
        </w:tabs>
        <w:spacing w:after="120"/>
        <w:ind w:left="1247" w:firstLine="0"/>
        <w:rPr>
          <w:rFonts w:eastAsia="SimSun"/>
        </w:rPr>
      </w:pPr>
      <w:r w:rsidRPr="00A7082A">
        <w:t>As a general rule, reports and recommendations from the Committee shall not be treated confidentially. However, information provided to the Committee in confidence, including by a party with respect to its own compliance, shall be treated confidentially.</w:t>
      </w:r>
    </w:p>
    <w:p w14:paraId="28DDDE05" w14:textId="0FE4D8A9" w:rsidR="00FF7DB4" w:rsidRPr="00A7082A" w:rsidRDefault="004E0AB7" w:rsidP="006D214C">
      <w:pPr>
        <w:pStyle w:val="CH1"/>
        <w:rPr>
          <w:rFonts w:eastAsia="SimSun"/>
        </w:rPr>
      </w:pPr>
      <w:r w:rsidRPr="00A7082A">
        <w:rPr>
          <w:rFonts w:eastAsia="SimSun"/>
        </w:rPr>
        <w:tab/>
      </w:r>
      <w:r w:rsidR="00E75BE3" w:rsidRPr="00A7082A">
        <w:rPr>
          <w:rFonts w:eastAsia="SimSun"/>
        </w:rPr>
        <w:tab/>
      </w:r>
      <w:r w:rsidR="00FF7DB4" w:rsidRPr="00A7082A">
        <w:rPr>
          <w:rFonts w:eastAsia="SimSun"/>
        </w:rPr>
        <w:t xml:space="preserve">Annex II to decision MC-3/9 </w:t>
      </w:r>
    </w:p>
    <w:p w14:paraId="774A182B" w14:textId="0A6E7CD4" w:rsidR="00C433AC" w:rsidRPr="00A7082A" w:rsidRDefault="004E0AB7" w:rsidP="00417FE2">
      <w:pPr>
        <w:pStyle w:val="CH2"/>
        <w:rPr>
          <w:rFonts w:eastAsia="SimSun"/>
        </w:rPr>
      </w:pPr>
      <w:r w:rsidRPr="00A7082A">
        <w:rPr>
          <w:rFonts w:eastAsia="SimSun"/>
        </w:rPr>
        <w:tab/>
      </w:r>
      <w:r w:rsidRPr="00A7082A">
        <w:rPr>
          <w:rFonts w:eastAsia="SimSun"/>
        </w:rPr>
        <w:tab/>
      </w:r>
      <w:r w:rsidR="00C433AC" w:rsidRPr="00A7082A">
        <w:rPr>
          <w:rFonts w:eastAsia="SimSun"/>
        </w:rPr>
        <w:t>Template for written submissions from parties with respect to their own compliance (article 15, paragraph 4 (a))</w:t>
      </w:r>
    </w:p>
    <w:tbl>
      <w:tblPr>
        <w:tblStyle w:val="TableGrid"/>
        <w:tblW w:w="0" w:type="auto"/>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8239"/>
      </w:tblGrid>
      <w:tr w:rsidR="00C433AC" w:rsidRPr="00A7082A" w14:paraId="52080274" w14:textId="77777777" w:rsidTr="006D667A">
        <w:trPr>
          <w:trHeight w:val="8580"/>
        </w:trPr>
        <w:tc>
          <w:tcPr>
            <w:tcW w:w="8239" w:type="dxa"/>
            <w:shd w:val="clear" w:color="auto" w:fill="D9D9D9" w:themeFill="background1" w:themeFillShade="D9"/>
          </w:tcPr>
          <w:p w14:paraId="708E16A4" w14:textId="519B4DA4" w:rsidR="00C433AC" w:rsidRPr="00A7082A" w:rsidRDefault="00C433AC" w:rsidP="006D667A">
            <w:pPr>
              <w:pStyle w:val="NormalNonumber"/>
              <w:ind w:left="0"/>
              <w:rPr>
                <w:rFonts w:eastAsia="SimSun"/>
              </w:rPr>
            </w:pPr>
            <w:r w:rsidRPr="00A7082A">
              <w:rPr>
                <w:rFonts w:eastAsia="SimSun"/>
                <w:b/>
                <w:bCs/>
              </w:rPr>
              <w:t>N</w:t>
            </w:r>
            <w:r w:rsidR="00EE6BE4" w:rsidRPr="00A7082A">
              <w:rPr>
                <w:rFonts w:eastAsia="SimSun"/>
                <w:b/>
                <w:bCs/>
              </w:rPr>
              <w:t>otes</w:t>
            </w:r>
            <w:r w:rsidRPr="00A7082A">
              <w:rPr>
                <w:rFonts w:eastAsia="SimSun"/>
                <w:b/>
                <w:bCs/>
              </w:rPr>
              <w:t>:</w:t>
            </w:r>
          </w:p>
          <w:p w14:paraId="16077682" w14:textId="77777777" w:rsidR="00C433AC" w:rsidRPr="00A7082A" w:rsidRDefault="00C433AC" w:rsidP="006D667A">
            <w:pPr>
              <w:pStyle w:val="NormalNonumber"/>
              <w:spacing w:after="240"/>
              <w:ind w:left="0"/>
              <w:rPr>
                <w:rFonts w:eastAsia="SimSun"/>
              </w:rPr>
            </w:pPr>
            <w:r w:rsidRPr="00A7082A">
              <w:rPr>
                <w:rFonts w:eastAsia="SimSun"/>
              </w:rPr>
              <w:t>Written submissions made by a party with respect to its own compliance pursuant to paragraph 4 (a) of article 15 of the Minamata Convention shall be addressed to the Implementation and Compliance Committee, through the secretariat at:</w:t>
            </w:r>
          </w:p>
          <w:p w14:paraId="375A267A" w14:textId="77777777" w:rsidR="00C433AC" w:rsidRPr="00A7082A" w:rsidRDefault="00C433AC" w:rsidP="006D667A">
            <w:pPr>
              <w:pStyle w:val="NormalNonumber"/>
              <w:spacing w:after="0"/>
              <w:ind w:left="0"/>
              <w:rPr>
                <w:rFonts w:eastAsia="SimSun"/>
              </w:rPr>
            </w:pPr>
            <w:r w:rsidRPr="00A7082A">
              <w:rPr>
                <w:rFonts w:eastAsia="SimSun"/>
              </w:rPr>
              <w:t xml:space="preserve">Secretariat of the Minamata Convention on Mercury </w:t>
            </w:r>
          </w:p>
          <w:p w14:paraId="1882FA94" w14:textId="09D837A1" w:rsidR="00C433AC" w:rsidRPr="00A7082A" w:rsidRDefault="00C433AC" w:rsidP="006D667A">
            <w:pPr>
              <w:pStyle w:val="NormalNonumber"/>
              <w:spacing w:after="0"/>
              <w:ind w:left="0"/>
              <w:rPr>
                <w:rFonts w:eastAsia="SimSun"/>
              </w:rPr>
            </w:pPr>
            <w:r w:rsidRPr="00A7082A">
              <w:rPr>
                <w:rFonts w:eastAsia="SimSun"/>
              </w:rPr>
              <w:t xml:space="preserve">United Nations Environment Programme </w:t>
            </w:r>
          </w:p>
          <w:p w14:paraId="73D3B496" w14:textId="4DFE667E" w:rsidR="00C433AC" w:rsidRPr="00A7082A" w:rsidRDefault="00C433AC" w:rsidP="006D667A">
            <w:pPr>
              <w:pStyle w:val="NormalNonumber"/>
              <w:spacing w:after="0"/>
              <w:ind w:left="0"/>
              <w:rPr>
                <w:rFonts w:eastAsia="SimSun"/>
              </w:rPr>
            </w:pPr>
            <w:r w:rsidRPr="00A7082A">
              <w:rPr>
                <w:rFonts w:eastAsia="SimSun"/>
              </w:rPr>
              <w:t>Postal address: Avenue de la Paix 8</w:t>
            </w:r>
            <w:r w:rsidR="00EE6BE4" w:rsidRPr="00A7082A">
              <w:rPr>
                <w:rFonts w:eastAsia="SimSun"/>
              </w:rPr>
              <w:t>–</w:t>
            </w:r>
            <w:r w:rsidRPr="00A7082A">
              <w:rPr>
                <w:rFonts w:eastAsia="SimSun"/>
              </w:rPr>
              <w:t>14, 1211 Geneva 10, Switzerland</w:t>
            </w:r>
          </w:p>
          <w:p w14:paraId="1BC3E0DF" w14:textId="77777777" w:rsidR="00C433AC" w:rsidRPr="00A7082A" w:rsidRDefault="00C433AC" w:rsidP="006D667A">
            <w:pPr>
              <w:pStyle w:val="NormalNonumber"/>
              <w:spacing w:after="240"/>
              <w:ind w:left="0"/>
              <w:rPr>
                <w:rFonts w:eastAsia="SimSun"/>
              </w:rPr>
            </w:pPr>
            <w:r w:rsidRPr="00A7082A">
              <w:rPr>
                <w:rFonts w:eastAsia="SimSun"/>
              </w:rPr>
              <w:t xml:space="preserve">E-mail: </w:t>
            </w:r>
            <w:hyperlink r:id="rId19" w:history="1">
              <w:r w:rsidRPr="00A7082A">
                <w:rPr>
                  <w:rStyle w:val="Hyperlink"/>
                  <w:rFonts w:eastAsia="SimSun"/>
                  <w:lang w:val="en-GB"/>
                </w:rPr>
                <w:t>mea-minamatasecretariat@un.org</w:t>
              </w:r>
            </w:hyperlink>
          </w:p>
          <w:p w14:paraId="44968096" w14:textId="77777777" w:rsidR="00C433AC" w:rsidRPr="00A7082A" w:rsidRDefault="00C433AC" w:rsidP="006D667A">
            <w:pPr>
              <w:pStyle w:val="NormalNonumber"/>
              <w:spacing w:after="240"/>
              <w:ind w:left="0"/>
              <w:rPr>
                <w:rFonts w:eastAsia="SimSun"/>
              </w:rPr>
            </w:pPr>
            <w:r w:rsidRPr="00A7082A">
              <w:rPr>
                <w:rFonts w:eastAsia="SimSun"/>
              </w:rPr>
              <w:t xml:space="preserve">Written submissions shall be made in one of the six official languages of the United Nations, preferably by electronic means, and contain the elements set out in the annexed template. </w:t>
            </w:r>
          </w:p>
          <w:p w14:paraId="5CCFCF76" w14:textId="77777777" w:rsidR="00C433AC" w:rsidRPr="00A7082A" w:rsidRDefault="00C433AC" w:rsidP="006D667A">
            <w:pPr>
              <w:pStyle w:val="NormalNonumber"/>
              <w:spacing w:after="240"/>
              <w:ind w:left="0"/>
              <w:rPr>
                <w:rFonts w:eastAsia="SimSun"/>
              </w:rPr>
            </w:pPr>
            <w:r w:rsidRPr="00A7082A">
              <w:rPr>
                <w:rFonts w:eastAsia="SimSun"/>
              </w:rPr>
              <w:t xml:space="preserve">They shall not exceed five pages. </w:t>
            </w:r>
          </w:p>
          <w:p w14:paraId="2B56BAF5" w14:textId="77777777" w:rsidR="00C433AC" w:rsidRPr="00A7082A" w:rsidRDefault="00C433AC" w:rsidP="006D667A">
            <w:pPr>
              <w:pStyle w:val="NormalNonumber"/>
              <w:spacing w:after="240"/>
              <w:ind w:left="0"/>
              <w:rPr>
                <w:rFonts w:eastAsia="SimSun"/>
              </w:rPr>
            </w:pPr>
            <w:r w:rsidRPr="00A7082A">
              <w:rPr>
                <w:rFonts w:eastAsia="SimSun"/>
              </w:rPr>
              <w:t xml:space="preserve">In order to be included in the agenda of the Committee’s subsequent meeting, the submission should reach the secretariat at least eight weeks before the first day of that meeting. </w:t>
            </w:r>
          </w:p>
          <w:p w14:paraId="394F21B8" w14:textId="77777777" w:rsidR="00C433AC" w:rsidRPr="00A7082A" w:rsidRDefault="00C433AC" w:rsidP="006D667A">
            <w:pPr>
              <w:pStyle w:val="NormalNonumber"/>
              <w:spacing w:after="240"/>
              <w:ind w:left="0"/>
              <w:rPr>
                <w:rFonts w:eastAsia="SimSun"/>
              </w:rPr>
            </w:pPr>
            <w:r w:rsidRPr="00A7082A">
              <w:rPr>
                <w:rFonts w:eastAsia="SimSun"/>
              </w:rPr>
              <w:t>When the Committee is considering an issue on the basis of a specific submission relating to the compliance of an individual party, that party shall be invited to participate in the consideration of the issue by the Committee. Such sessions shall not be open to observers, unless otherwise agreed by the Committee and the party concerned. Deliberations to prepare recommendations or voting on recommendations shall be closed to all observers.</w:t>
            </w:r>
          </w:p>
          <w:p w14:paraId="2BCD6C15" w14:textId="77777777" w:rsidR="00C433AC" w:rsidRPr="00A7082A" w:rsidRDefault="00C433AC" w:rsidP="006D667A">
            <w:pPr>
              <w:pStyle w:val="NormalNonumber"/>
              <w:spacing w:after="240"/>
              <w:ind w:left="0"/>
              <w:rPr>
                <w:rFonts w:eastAsia="SimSun"/>
              </w:rPr>
            </w:pPr>
            <w:r w:rsidRPr="00A7082A">
              <w:rPr>
                <w:rFonts w:eastAsia="SimSun"/>
              </w:rPr>
              <w:t xml:space="preserve">Supplementary information may be requested by the Committee, if necessary. The party concerned may submit, through the secretariat, any such relevant supplementary information for the Committee’s attention within two weeks of receiving the request from the Committee. </w:t>
            </w:r>
          </w:p>
          <w:p w14:paraId="02B82C1D" w14:textId="77777777" w:rsidR="00C433AC" w:rsidRPr="00A7082A" w:rsidRDefault="00C433AC" w:rsidP="006D667A">
            <w:pPr>
              <w:pStyle w:val="NormalNonumber"/>
              <w:spacing w:after="240"/>
              <w:ind w:left="0"/>
              <w:rPr>
                <w:rFonts w:eastAsia="SimSun"/>
              </w:rPr>
            </w:pPr>
            <w:r w:rsidRPr="00A7082A">
              <w:rPr>
                <w:rFonts w:eastAsia="SimSun"/>
              </w:rPr>
              <w:t>In the case where supplementary information is submitted in one of the official languages of the United Nations other than English and cannot be translated before the meeting at which it is to be considered, the information can be presented at the meeting, in which case the information may be interpreted into English in accordance with rule 39 of the rules of procedure.</w:t>
            </w:r>
          </w:p>
          <w:p w14:paraId="6E80F6C6" w14:textId="77777777" w:rsidR="00C433AC" w:rsidRPr="00A7082A" w:rsidRDefault="00C433AC" w:rsidP="006D667A">
            <w:pPr>
              <w:pStyle w:val="NormalNonumber"/>
              <w:spacing w:after="240"/>
              <w:ind w:left="0"/>
              <w:rPr>
                <w:rFonts w:eastAsia="SimSun"/>
              </w:rPr>
            </w:pPr>
            <w:r w:rsidRPr="00A7082A">
              <w:rPr>
                <w:rFonts w:eastAsia="SimSun"/>
              </w:rPr>
              <w:t xml:space="preserve">The party concerned may also submit additional relevant information at its own initiative, at least five weeks before the opening of a meeting at which its submission is to be considered. Any such additional information should include a summary in English of a maximum of two pages in length. </w:t>
            </w:r>
          </w:p>
          <w:p w14:paraId="64880A82" w14:textId="77777777" w:rsidR="00C433AC" w:rsidRPr="00A7082A" w:rsidRDefault="00C433AC" w:rsidP="006D667A">
            <w:pPr>
              <w:pStyle w:val="NormalNonumber"/>
              <w:spacing w:after="240"/>
              <w:ind w:left="0"/>
              <w:rPr>
                <w:rFonts w:eastAsia="SimSun"/>
              </w:rPr>
            </w:pPr>
            <w:r w:rsidRPr="00A7082A">
              <w:rPr>
                <w:rFonts w:eastAsia="SimSun"/>
              </w:rPr>
              <w:t xml:space="preserve">For further information about the consideration by the Committee of written submissions from a party with respect to its own compliance, please refer to the rules of procedure and the terms of reference for the Committee, available at: </w:t>
            </w:r>
            <w:hyperlink r:id="rId20" w:history="1">
              <w:r w:rsidRPr="00A7082A">
                <w:rPr>
                  <w:rStyle w:val="Hyperlink"/>
                  <w:rFonts w:eastAsia="SimSun"/>
                  <w:lang w:val="en-GB"/>
                </w:rPr>
                <w:t>www.mercuryconvention.org</w:t>
              </w:r>
            </w:hyperlink>
            <w:r w:rsidRPr="00A7082A">
              <w:rPr>
                <w:rFonts w:eastAsia="SimSun"/>
              </w:rPr>
              <w:t>.</w:t>
            </w:r>
          </w:p>
        </w:tc>
      </w:tr>
    </w:tbl>
    <w:p w14:paraId="0DACF5C2" w14:textId="77777777" w:rsidR="00C433AC" w:rsidRPr="00A7082A" w:rsidRDefault="00C433AC" w:rsidP="004D65A6">
      <w:pPr>
        <w:pStyle w:val="CH1"/>
      </w:pPr>
      <w:r w:rsidRPr="00A7082A">
        <w:lastRenderedPageBreak/>
        <w:tab/>
        <w:t>I.</w:t>
      </w:r>
      <w:r w:rsidRPr="00A7082A">
        <w:tab/>
        <w:t>Party and contact information</w:t>
      </w:r>
    </w:p>
    <w:p w14:paraId="3F5CBAAA" w14:textId="77777777" w:rsidR="00C433AC" w:rsidRPr="00A7082A" w:rsidRDefault="00C433AC" w:rsidP="006D4DE3">
      <w:pPr>
        <w:keepNext/>
        <w:keepLines/>
        <w:tabs>
          <w:tab w:val="left" w:pos="4082"/>
        </w:tabs>
        <w:spacing w:after="120"/>
        <w:ind w:left="1247"/>
        <w:rPr>
          <w:iCs/>
        </w:rPr>
      </w:pPr>
      <w:r w:rsidRPr="00A7082A">
        <w:rPr>
          <w:i/>
          <w:iCs/>
        </w:rPr>
        <w:t xml:space="preserve">[Indicate below the name of the party concerned as well as the name and contact details of the national focal point or other relevant authority of the party transmitting the submission with respect to the party’s own compliance.] </w:t>
      </w:r>
    </w:p>
    <w:tbl>
      <w:tblPr>
        <w:tblW w:w="8354"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34"/>
        <w:gridCol w:w="1559"/>
        <w:gridCol w:w="709"/>
        <w:gridCol w:w="1843"/>
        <w:gridCol w:w="1012"/>
        <w:gridCol w:w="2097"/>
      </w:tblGrid>
      <w:tr w:rsidR="00C433AC" w:rsidRPr="00A7082A" w14:paraId="5CA45D1C" w14:textId="77777777" w:rsidTr="00EF0D69">
        <w:trPr>
          <w:trHeight w:val="42"/>
          <w:jc w:val="right"/>
        </w:trPr>
        <w:tc>
          <w:tcPr>
            <w:tcW w:w="2693" w:type="dxa"/>
            <w:gridSpan w:val="2"/>
            <w:tcBorders>
              <w:top w:val="single" w:sz="8" w:space="0" w:color="000000"/>
              <w:left w:val="single" w:sz="8" w:space="0" w:color="000000"/>
              <w:bottom w:val="single" w:sz="8" w:space="0" w:color="000000"/>
              <w:right w:val="single" w:sz="8" w:space="0" w:color="000000"/>
            </w:tcBorders>
            <w:shd w:val="clear" w:color="auto" w:fill="7F7F7F"/>
            <w:tcMar>
              <w:top w:w="80" w:type="dxa"/>
              <w:left w:w="80" w:type="dxa"/>
              <w:bottom w:w="80" w:type="dxa"/>
              <w:right w:w="80" w:type="dxa"/>
            </w:tcMar>
            <w:hideMark/>
          </w:tcPr>
          <w:p w14:paraId="6371E585" w14:textId="77777777" w:rsidR="00C433AC" w:rsidRPr="00A7082A" w:rsidRDefault="00C433AC" w:rsidP="006D4DE3">
            <w:pPr>
              <w:keepNext/>
              <w:keepLines/>
              <w:pBdr>
                <w:top w:val="nil"/>
                <w:left w:val="nil"/>
                <w:bottom w:val="nil"/>
                <w:right w:val="nil"/>
                <w:between w:val="nil"/>
                <w:bar w:val="nil"/>
              </w:pBdr>
              <w:tabs>
                <w:tab w:val="clear" w:pos="1247"/>
                <w:tab w:val="clear" w:pos="1814"/>
                <w:tab w:val="clear" w:pos="2381"/>
                <w:tab w:val="clear" w:pos="2948"/>
                <w:tab w:val="clear" w:pos="3515"/>
              </w:tabs>
              <w:rPr>
                <w:i/>
                <w:iCs/>
                <w:color w:val="FFFFFF"/>
                <w:sz w:val="18"/>
                <w:szCs w:val="18"/>
              </w:rPr>
            </w:pPr>
            <w:r w:rsidRPr="00A7082A">
              <w:rPr>
                <w:i/>
                <w:iCs/>
                <w:color w:val="FFFFFF"/>
                <w:sz w:val="18"/>
                <w:szCs w:val="18"/>
              </w:rPr>
              <w:t xml:space="preserve">PARTY: </w:t>
            </w:r>
          </w:p>
        </w:tc>
        <w:tc>
          <w:tcPr>
            <w:tcW w:w="5661"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14:paraId="237F1063" w14:textId="77777777" w:rsidR="00C433AC" w:rsidRPr="00A7082A" w:rsidRDefault="00C433AC" w:rsidP="006D4DE3">
            <w:pPr>
              <w:keepNext/>
              <w:keepLines/>
              <w:rPr>
                <w:i/>
                <w:iCs/>
                <w:color w:val="000000"/>
                <w:sz w:val="18"/>
                <w:szCs w:val="18"/>
              </w:rPr>
            </w:pPr>
            <w:r w:rsidRPr="00A7082A">
              <w:rPr>
                <w:i/>
                <w:iCs/>
                <w:color w:val="000000"/>
                <w:sz w:val="18"/>
                <w:szCs w:val="18"/>
              </w:rPr>
              <w:t>[indicate the name of the party concerned by the submission]</w:t>
            </w:r>
          </w:p>
        </w:tc>
      </w:tr>
      <w:tr w:rsidR="00C433AC" w:rsidRPr="00A7082A" w14:paraId="74B0783C" w14:textId="77777777" w:rsidTr="00EF0D69">
        <w:trPr>
          <w:trHeight w:val="25"/>
          <w:jc w:val="right"/>
        </w:trPr>
        <w:tc>
          <w:tcPr>
            <w:tcW w:w="8354" w:type="dxa"/>
            <w:gridSpan w:val="6"/>
            <w:tcBorders>
              <w:top w:val="single" w:sz="8" w:space="0" w:color="000000"/>
              <w:left w:val="single" w:sz="8" w:space="0" w:color="000000"/>
              <w:bottom w:val="single" w:sz="8" w:space="0" w:color="000000"/>
              <w:right w:val="single" w:sz="8" w:space="0" w:color="000000"/>
            </w:tcBorders>
            <w:shd w:val="clear" w:color="auto" w:fill="7F7F7F"/>
            <w:tcMar>
              <w:top w:w="80" w:type="dxa"/>
              <w:left w:w="80" w:type="dxa"/>
              <w:bottom w:w="80" w:type="dxa"/>
              <w:right w:w="80" w:type="dxa"/>
            </w:tcMar>
            <w:hideMark/>
          </w:tcPr>
          <w:p w14:paraId="2894EF63" w14:textId="77777777" w:rsidR="00C433AC" w:rsidRPr="00A7082A" w:rsidRDefault="00C433AC" w:rsidP="006D667A">
            <w:pPr>
              <w:pBdr>
                <w:top w:val="nil"/>
                <w:left w:val="nil"/>
                <w:bottom w:val="nil"/>
                <w:right w:val="nil"/>
                <w:between w:val="nil"/>
                <w:bar w:val="nil"/>
              </w:pBdr>
              <w:tabs>
                <w:tab w:val="clear" w:pos="1247"/>
                <w:tab w:val="clear" w:pos="1814"/>
                <w:tab w:val="clear" w:pos="2381"/>
                <w:tab w:val="clear" w:pos="2948"/>
                <w:tab w:val="clear" w:pos="3515"/>
              </w:tabs>
              <w:rPr>
                <w:i/>
                <w:iCs/>
                <w:color w:val="FFFFFF"/>
                <w:sz w:val="18"/>
                <w:szCs w:val="18"/>
              </w:rPr>
            </w:pPr>
            <w:r w:rsidRPr="00A7082A">
              <w:rPr>
                <w:i/>
                <w:iCs/>
                <w:color w:val="FFFFFF"/>
                <w:sz w:val="18"/>
                <w:szCs w:val="18"/>
              </w:rPr>
              <w:t>CONTACT DETAILS OF MINAMATA CONVENTION NATIONAL FOCAL POINT OR OTHER RELEVANT AUTHORITY OF THE PARTY TRANSMITTING THE SUBMISSION</w:t>
            </w:r>
          </w:p>
        </w:tc>
      </w:tr>
      <w:tr w:rsidR="00C433AC" w:rsidRPr="00A7082A" w14:paraId="2A956CE8" w14:textId="77777777" w:rsidTr="00EF0D69">
        <w:trPr>
          <w:trHeight w:val="192"/>
          <w:jc w:val="right"/>
        </w:trPr>
        <w:tc>
          <w:tcPr>
            <w:tcW w:w="2693" w:type="dxa"/>
            <w:gridSpan w:val="2"/>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14:paraId="31019CBE" w14:textId="77777777" w:rsidR="00C433AC" w:rsidRPr="00A7082A" w:rsidRDefault="00C433AC" w:rsidP="006D667A">
            <w:pPr>
              <w:pBdr>
                <w:top w:val="nil"/>
                <w:left w:val="nil"/>
                <w:bottom w:val="nil"/>
                <w:right w:val="nil"/>
                <w:between w:val="nil"/>
                <w:bar w:val="nil"/>
              </w:pBdr>
              <w:tabs>
                <w:tab w:val="clear" w:pos="1247"/>
                <w:tab w:val="clear" w:pos="1814"/>
                <w:tab w:val="clear" w:pos="2381"/>
                <w:tab w:val="clear" w:pos="2948"/>
                <w:tab w:val="clear" w:pos="3515"/>
              </w:tabs>
              <w:rPr>
                <w:i/>
                <w:iCs/>
                <w:color w:val="404040"/>
                <w:sz w:val="18"/>
                <w:szCs w:val="18"/>
              </w:rPr>
            </w:pPr>
            <w:r w:rsidRPr="00A7082A">
              <w:rPr>
                <w:i/>
                <w:iCs/>
                <w:color w:val="404040"/>
                <w:sz w:val="18"/>
                <w:szCs w:val="18"/>
              </w:rPr>
              <w:t>First name/Last name</w:t>
            </w:r>
          </w:p>
        </w:tc>
        <w:tc>
          <w:tcPr>
            <w:tcW w:w="5661"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5E7041C" w14:textId="77777777" w:rsidR="00C433AC" w:rsidRPr="00A7082A" w:rsidRDefault="00C433AC" w:rsidP="006D667A">
            <w:pPr>
              <w:pBdr>
                <w:top w:val="nil"/>
                <w:left w:val="nil"/>
                <w:bottom w:val="nil"/>
                <w:right w:val="nil"/>
                <w:between w:val="nil"/>
                <w:bar w:val="nil"/>
              </w:pBdr>
              <w:tabs>
                <w:tab w:val="clear" w:pos="1247"/>
                <w:tab w:val="clear" w:pos="1814"/>
                <w:tab w:val="clear" w:pos="2381"/>
                <w:tab w:val="clear" w:pos="2948"/>
                <w:tab w:val="clear" w:pos="3515"/>
              </w:tabs>
              <w:rPr>
                <w:b/>
                <w:bCs/>
                <w:i/>
                <w:iCs/>
                <w:color w:val="404040"/>
                <w:sz w:val="18"/>
                <w:szCs w:val="18"/>
              </w:rPr>
            </w:pPr>
          </w:p>
        </w:tc>
      </w:tr>
      <w:tr w:rsidR="00C433AC" w:rsidRPr="00A7082A" w14:paraId="54902FF4" w14:textId="77777777" w:rsidTr="00EF0D69">
        <w:trPr>
          <w:trHeight w:val="192"/>
          <w:jc w:val="right"/>
        </w:trPr>
        <w:tc>
          <w:tcPr>
            <w:tcW w:w="2693" w:type="dxa"/>
            <w:gridSpan w:val="2"/>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14:paraId="417FC5BD" w14:textId="77777777" w:rsidR="00C433AC" w:rsidRPr="00A7082A" w:rsidRDefault="00C433AC" w:rsidP="006D667A">
            <w:pPr>
              <w:pBdr>
                <w:top w:val="nil"/>
                <w:left w:val="nil"/>
                <w:bottom w:val="nil"/>
                <w:right w:val="nil"/>
                <w:between w:val="nil"/>
                <w:bar w:val="nil"/>
              </w:pBdr>
              <w:tabs>
                <w:tab w:val="clear" w:pos="1247"/>
                <w:tab w:val="clear" w:pos="1814"/>
                <w:tab w:val="clear" w:pos="2381"/>
                <w:tab w:val="clear" w:pos="2948"/>
                <w:tab w:val="clear" w:pos="3515"/>
              </w:tabs>
              <w:rPr>
                <w:i/>
                <w:iCs/>
                <w:color w:val="404040"/>
                <w:sz w:val="18"/>
                <w:szCs w:val="18"/>
              </w:rPr>
            </w:pPr>
            <w:r w:rsidRPr="00A7082A">
              <w:rPr>
                <w:i/>
                <w:iCs/>
                <w:color w:val="404040"/>
                <w:sz w:val="18"/>
                <w:szCs w:val="18"/>
              </w:rPr>
              <w:t>Functional title:</w:t>
            </w:r>
          </w:p>
        </w:tc>
        <w:tc>
          <w:tcPr>
            <w:tcW w:w="5661"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DD1CC1C" w14:textId="77777777" w:rsidR="00C433AC" w:rsidRPr="00A7082A" w:rsidRDefault="00C433AC" w:rsidP="006D667A">
            <w:pPr>
              <w:pBdr>
                <w:top w:val="nil"/>
                <w:left w:val="nil"/>
                <w:bottom w:val="nil"/>
                <w:right w:val="nil"/>
                <w:between w:val="nil"/>
                <w:bar w:val="nil"/>
              </w:pBdr>
              <w:tabs>
                <w:tab w:val="clear" w:pos="1247"/>
                <w:tab w:val="clear" w:pos="1814"/>
                <w:tab w:val="clear" w:pos="2381"/>
                <w:tab w:val="clear" w:pos="2948"/>
                <w:tab w:val="clear" w:pos="3515"/>
              </w:tabs>
              <w:rPr>
                <w:b/>
                <w:bCs/>
                <w:i/>
                <w:iCs/>
                <w:color w:val="404040"/>
                <w:sz w:val="18"/>
                <w:szCs w:val="18"/>
              </w:rPr>
            </w:pPr>
          </w:p>
        </w:tc>
      </w:tr>
      <w:tr w:rsidR="00C433AC" w:rsidRPr="00A7082A" w14:paraId="18529128" w14:textId="77777777" w:rsidTr="00EF0D69">
        <w:trPr>
          <w:trHeight w:val="192"/>
          <w:jc w:val="right"/>
        </w:trPr>
        <w:tc>
          <w:tcPr>
            <w:tcW w:w="2693" w:type="dxa"/>
            <w:gridSpan w:val="2"/>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14:paraId="3A8C7F0E" w14:textId="77777777" w:rsidR="00C433AC" w:rsidRPr="00A7082A" w:rsidRDefault="00C433AC" w:rsidP="006D667A">
            <w:pPr>
              <w:pBdr>
                <w:top w:val="nil"/>
                <w:left w:val="nil"/>
                <w:bottom w:val="nil"/>
                <w:right w:val="nil"/>
                <w:between w:val="nil"/>
                <w:bar w:val="nil"/>
              </w:pBdr>
              <w:tabs>
                <w:tab w:val="clear" w:pos="1247"/>
                <w:tab w:val="clear" w:pos="1814"/>
                <w:tab w:val="clear" w:pos="2381"/>
                <w:tab w:val="clear" w:pos="2948"/>
                <w:tab w:val="clear" w:pos="3515"/>
              </w:tabs>
              <w:rPr>
                <w:i/>
                <w:iCs/>
                <w:color w:val="404040"/>
                <w:sz w:val="18"/>
                <w:szCs w:val="18"/>
              </w:rPr>
            </w:pPr>
            <w:r w:rsidRPr="00A7082A">
              <w:rPr>
                <w:i/>
                <w:iCs/>
                <w:color w:val="404040"/>
                <w:sz w:val="18"/>
                <w:szCs w:val="18"/>
              </w:rPr>
              <w:t>Section/Department:</w:t>
            </w:r>
          </w:p>
        </w:tc>
        <w:tc>
          <w:tcPr>
            <w:tcW w:w="5661"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AF306A4" w14:textId="77777777" w:rsidR="00C433AC" w:rsidRPr="00A7082A" w:rsidRDefault="00C433AC" w:rsidP="006D667A">
            <w:pPr>
              <w:pBdr>
                <w:top w:val="nil"/>
                <w:left w:val="nil"/>
                <w:bottom w:val="nil"/>
                <w:right w:val="nil"/>
                <w:between w:val="nil"/>
                <w:bar w:val="nil"/>
              </w:pBdr>
              <w:tabs>
                <w:tab w:val="clear" w:pos="1247"/>
                <w:tab w:val="clear" w:pos="1814"/>
                <w:tab w:val="clear" w:pos="2381"/>
                <w:tab w:val="clear" w:pos="2948"/>
                <w:tab w:val="clear" w:pos="3515"/>
              </w:tabs>
              <w:rPr>
                <w:b/>
                <w:bCs/>
                <w:i/>
                <w:iCs/>
                <w:color w:val="404040"/>
                <w:sz w:val="18"/>
                <w:szCs w:val="18"/>
              </w:rPr>
            </w:pPr>
          </w:p>
        </w:tc>
      </w:tr>
      <w:tr w:rsidR="00C433AC" w:rsidRPr="00A7082A" w14:paraId="328FF0EA" w14:textId="77777777" w:rsidTr="00EF0D69">
        <w:trPr>
          <w:trHeight w:val="192"/>
          <w:jc w:val="right"/>
        </w:trPr>
        <w:tc>
          <w:tcPr>
            <w:tcW w:w="2693" w:type="dxa"/>
            <w:gridSpan w:val="2"/>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tcPr>
          <w:p w14:paraId="32975B43" w14:textId="77777777" w:rsidR="00C433AC" w:rsidRPr="00A7082A" w:rsidRDefault="00C433AC" w:rsidP="006D667A">
            <w:pPr>
              <w:pBdr>
                <w:top w:val="nil"/>
                <w:left w:val="nil"/>
                <w:bottom w:val="nil"/>
                <w:right w:val="nil"/>
                <w:between w:val="nil"/>
                <w:bar w:val="nil"/>
              </w:pBdr>
              <w:tabs>
                <w:tab w:val="clear" w:pos="1247"/>
                <w:tab w:val="clear" w:pos="1814"/>
                <w:tab w:val="clear" w:pos="2381"/>
                <w:tab w:val="clear" w:pos="2948"/>
                <w:tab w:val="clear" w:pos="3515"/>
              </w:tabs>
              <w:rPr>
                <w:i/>
                <w:iCs/>
                <w:color w:val="404040"/>
                <w:sz w:val="18"/>
                <w:szCs w:val="18"/>
              </w:rPr>
            </w:pPr>
            <w:r w:rsidRPr="00A7082A">
              <w:rPr>
                <w:i/>
                <w:iCs/>
                <w:color w:val="404040"/>
                <w:sz w:val="18"/>
                <w:szCs w:val="18"/>
              </w:rPr>
              <w:t>Organization/Institution</w:t>
            </w:r>
          </w:p>
        </w:tc>
        <w:tc>
          <w:tcPr>
            <w:tcW w:w="5661" w:type="dxa"/>
            <w:gridSpan w:val="4"/>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394E7DD" w14:textId="77777777" w:rsidR="00C433AC" w:rsidRPr="00A7082A" w:rsidRDefault="00C433AC" w:rsidP="006D667A">
            <w:pPr>
              <w:pBdr>
                <w:top w:val="nil"/>
                <w:left w:val="nil"/>
                <w:bottom w:val="nil"/>
                <w:right w:val="nil"/>
                <w:between w:val="nil"/>
                <w:bar w:val="nil"/>
              </w:pBdr>
              <w:tabs>
                <w:tab w:val="clear" w:pos="1247"/>
                <w:tab w:val="clear" w:pos="1814"/>
                <w:tab w:val="clear" w:pos="2381"/>
                <w:tab w:val="clear" w:pos="2948"/>
                <w:tab w:val="clear" w:pos="3515"/>
              </w:tabs>
              <w:rPr>
                <w:b/>
                <w:bCs/>
                <w:i/>
                <w:iCs/>
                <w:color w:val="404040"/>
                <w:sz w:val="18"/>
                <w:szCs w:val="18"/>
              </w:rPr>
            </w:pPr>
          </w:p>
        </w:tc>
      </w:tr>
      <w:tr w:rsidR="00C433AC" w:rsidRPr="00A7082A" w14:paraId="3CEDBA6D" w14:textId="77777777" w:rsidTr="00EF0D69">
        <w:trPr>
          <w:trHeight w:val="25"/>
          <w:jc w:val="right"/>
        </w:trPr>
        <w:tc>
          <w:tcPr>
            <w:tcW w:w="1134"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hideMark/>
          </w:tcPr>
          <w:p w14:paraId="5719FC93" w14:textId="77777777" w:rsidR="00C433AC" w:rsidRPr="00A7082A" w:rsidRDefault="00C433AC" w:rsidP="006D667A">
            <w:pPr>
              <w:pBdr>
                <w:top w:val="nil"/>
                <w:left w:val="nil"/>
                <w:bottom w:val="nil"/>
                <w:right w:val="nil"/>
                <w:between w:val="nil"/>
                <w:bar w:val="nil"/>
              </w:pBdr>
              <w:tabs>
                <w:tab w:val="clear" w:pos="1247"/>
                <w:tab w:val="clear" w:pos="1814"/>
                <w:tab w:val="clear" w:pos="2381"/>
                <w:tab w:val="clear" w:pos="2948"/>
                <w:tab w:val="clear" w:pos="3515"/>
              </w:tabs>
              <w:rPr>
                <w:i/>
                <w:iCs/>
                <w:color w:val="404040"/>
                <w:sz w:val="18"/>
                <w:szCs w:val="18"/>
              </w:rPr>
            </w:pPr>
            <w:r w:rsidRPr="00A7082A">
              <w:rPr>
                <w:i/>
                <w:iCs/>
                <w:color w:val="404040"/>
                <w:sz w:val="18"/>
                <w:szCs w:val="18"/>
              </w:rPr>
              <w:t>Address:</w:t>
            </w:r>
          </w:p>
        </w:tc>
        <w:tc>
          <w:tcPr>
            <w:tcW w:w="7220" w:type="dxa"/>
            <w:gridSpan w:val="5"/>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hideMark/>
          </w:tcPr>
          <w:p w14:paraId="1AFB7CC1" w14:textId="77777777" w:rsidR="00C433AC" w:rsidRPr="00A7082A" w:rsidRDefault="00C433AC" w:rsidP="006D667A">
            <w:pPr>
              <w:rPr>
                <w:i/>
                <w:iCs/>
                <w:color w:val="404040"/>
                <w:sz w:val="18"/>
                <w:szCs w:val="18"/>
              </w:rPr>
            </w:pPr>
          </w:p>
        </w:tc>
      </w:tr>
      <w:tr w:rsidR="002C0E7A" w:rsidRPr="00A7082A" w14:paraId="3A029891" w14:textId="77777777" w:rsidTr="009E027F">
        <w:trPr>
          <w:trHeight w:val="294"/>
          <w:jc w:val="right"/>
        </w:trPr>
        <w:tc>
          <w:tcPr>
            <w:tcW w:w="1134" w:type="dxa"/>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hideMark/>
          </w:tcPr>
          <w:p w14:paraId="0715B7ED" w14:textId="77777777" w:rsidR="00C433AC" w:rsidRPr="00A7082A" w:rsidRDefault="00C433AC" w:rsidP="006D667A">
            <w:pPr>
              <w:rPr>
                <w:i/>
                <w:iCs/>
                <w:color w:val="404040"/>
                <w:sz w:val="18"/>
                <w:szCs w:val="18"/>
              </w:rPr>
            </w:pPr>
            <w:r w:rsidRPr="00A7082A">
              <w:rPr>
                <w:i/>
                <w:iCs/>
                <w:color w:val="404040"/>
                <w:sz w:val="18"/>
                <w:szCs w:val="18"/>
              </w:rPr>
              <w:t>Post code:</w:t>
            </w:r>
          </w:p>
        </w:tc>
        <w:tc>
          <w:tcPr>
            <w:tcW w:w="1559" w:type="dxa"/>
            <w:tcBorders>
              <w:top w:val="single" w:sz="8" w:space="0" w:color="000000"/>
              <w:left w:val="single" w:sz="8" w:space="0" w:color="000000"/>
              <w:bottom w:val="single" w:sz="8" w:space="0" w:color="000000"/>
              <w:right w:val="single" w:sz="8" w:space="0" w:color="000000"/>
            </w:tcBorders>
            <w:shd w:val="clear" w:color="auto" w:fill="FFFFFF"/>
            <w:hideMark/>
          </w:tcPr>
          <w:p w14:paraId="673DA7C8" w14:textId="77777777" w:rsidR="00C433AC" w:rsidRPr="00A7082A" w:rsidRDefault="00C433AC" w:rsidP="006D667A">
            <w:pPr>
              <w:rPr>
                <w:i/>
                <w:iCs/>
                <w:color w:val="404040"/>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D5D5D5"/>
            <w:hideMark/>
          </w:tcPr>
          <w:p w14:paraId="435A95B2" w14:textId="77777777" w:rsidR="00C433AC" w:rsidRPr="00A7082A" w:rsidRDefault="00C433AC" w:rsidP="006D667A">
            <w:pPr>
              <w:rPr>
                <w:i/>
                <w:iCs/>
                <w:color w:val="404040"/>
                <w:sz w:val="18"/>
                <w:szCs w:val="18"/>
              </w:rPr>
            </w:pPr>
            <w:r w:rsidRPr="00A7082A">
              <w:rPr>
                <w:i/>
                <w:iCs/>
                <w:color w:val="404040"/>
                <w:sz w:val="18"/>
                <w:szCs w:val="18"/>
              </w:rPr>
              <w:t>City:</w:t>
            </w:r>
          </w:p>
        </w:tc>
        <w:tc>
          <w:tcPr>
            <w:tcW w:w="1843" w:type="dxa"/>
            <w:tcBorders>
              <w:top w:val="single" w:sz="8" w:space="0" w:color="000000"/>
              <w:left w:val="single" w:sz="8" w:space="0" w:color="000000"/>
              <w:bottom w:val="single" w:sz="8" w:space="0" w:color="000000"/>
              <w:right w:val="single" w:sz="8" w:space="0" w:color="000000"/>
            </w:tcBorders>
            <w:shd w:val="clear" w:color="auto" w:fill="FFFFFF"/>
            <w:hideMark/>
          </w:tcPr>
          <w:p w14:paraId="052DB90A" w14:textId="77777777" w:rsidR="00C433AC" w:rsidRPr="00A7082A" w:rsidRDefault="00C433AC" w:rsidP="006D667A">
            <w:pPr>
              <w:rPr>
                <w:i/>
                <w:iCs/>
                <w:color w:val="404040"/>
                <w:sz w:val="18"/>
                <w:szCs w:val="18"/>
              </w:rPr>
            </w:pPr>
          </w:p>
        </w:tc>
        <w:tc>
          <w:tcPr>
            <w:tcW w:w="1012" w:type="dxa"/>
            <w:tcBorders>
              <w:top w:val="single" w:sz="8" w:space="0" w:color="000000"/>
              <w:left w:val="single" w:sz="8" w:space="0" w:color="000000"/>
              <w:bottom w:val="single" w:sz="8" w:space="0" w:color="000000"/>
              <w:right w:val="single" w:sz="8" w:space="0" w:color="000000"/>
            </w:tcBorders>
            <w:shd w:val="clear" w:color="auto" w:fill="D5D5D5"/>
            <w:hideMark/>
          </w:tcPr>
          <w:p w14:paraId="46207346" w14:textId="77777777" w:rsidR="00C433AC" w:rsidRPr="00A7082A" w:rsidRDefault="00C433AC" w:rsidP="006D667A">
            <w:pPr>
              <w:rPr>
                <w:i/>
                <w:iCs/>
                <w:color w:val="404040"/>
                <w:sz w:val="18"/>
                <w:szCs w:val="18"/>
              </w:rPr>
            </w:pPr>
            <w:r w:rsidRPr="00A7082A">
              <w:rPr>
                <w:i/>
                <w:iCs/>
                <w:color w:val="404040"/>
                <w:sz w:val="18"/>
                <w:szCs w:val="18"/>
              </w:rPr>
              <w:t>Country:</w:t>
            </w:r>
          </w:p>
        </w:tc>
        <w:tc>
          <w:tcPr>
            <w:tcW w:w="2097" w:type="dxa"/>
            <w:tcBorders>
              <w:top w:val="single" w:sz="8" w:space="0" w:color="000000"/>
              <w:left w:val="single" w:sz="8" w:space="0" w:color="000000"/>
              <w:bottom w:val="single" w:sz="8" w:space="0" w:color="000000"/>
              <w:right w:val="single" w:sz="8" w:space="0" w:color="000000"/>
            </w:tcBorders>
            <w:shd w:val="clear" w:color="auto" w:fill="FFFFFF"/>
            <w:hideMark/>
          </w:tcPr>
          <w:p w14:paraId="65F31892" w14:textId="77777777" w:rsidR="00C433AC" w:rsidRPr="00A7082A" w:rsidRDefault="00C433AC" w:rsidP="006D667A">
            <w:pPr>
              <w:rPr>
                <w:i/>
                <w:iCs/>
                <w:color w:val="404040"/>
                <w:sz w:val="18"/>
                <w:szCs w:val="18"/>
              </w:rPr>
            </w:pPr>
          </w:p>
        </w:tc>
      </w:tr>
      <w:tr w:rsidR="002C0E7A" w:rsidRPr="00A7082A" w14:paraId="6333CA11" w14:textId="77777777" w:rsidTr="009E027F">
        <w:trPr>
          <w:trHeight w:val="25"/>
          <w:jc w:val="right"/>
        </w:trPr>
        <w:tc>
          <w:tcPr>
            <w:tcW w:w="2693" w:type="dxa"/>
            <w:gridSpan w:val="2"/>
            <w:tcBorders>
              <w:top w:val="single" w:sz="8" w:space="0" w:color="000000"/>
              <w:left w:val="single" w:sz="8" w:space="0" w:color="000000"/>
              <w:bottom w:val="single" w:sz="8" w:space="0" w:color="000000"/>
              <w:right w:val="single" w:sz="8" w:space="0" w:color="000000"/>
            </w:tcBorders>
            <w:shd w:val="clear" w:color="auto" w:fill="D5D5D5"/>
            <w:tcMar>
              <w:top w:w="80" w:type="dxa"/>
              <w:left w:w="80" w:type="dxa"/>
              <w:bottom w:w="80" w:type="dxa"/>
              <w:right w:w="80" w:type="dxa"/>
            </w:tcMar>
            <w:hideMark/>
          </w:tcPr>
          <w:p w14:paraId="10A3D25D" w14:textId="77777777" w:rsidR="00C433AC" w:rsidRPr="00A7082A" w:rsidRDefault="00C433AC" w:rsidP="006D667A">
            <w:pPr>
              <w:pBdr>
                <w:top w:val="nil"/>
                <w:left w:val="nil"/>
                <w:bottom w:val="nil"/>
                <w:right w:val="nil"/>
                <w:between w:val="nil"/>
                <w:bar w:val="nil"/>
              </w:pBdr>
              <w:tabs>
                <w:tab w:val="clear" w:pos="1247"/>
                <w:tab w:val="clear" w:pos="1814"/>
                <w:tab w:val="clear" w:pos="2381"/>
                <w:tab w:val="clear" w:pos="2948"/>
                <w:tab w:val="clear" w:pos="3515"/>
              </w:tabs>
              <w:jc w:val="center"/>
              <w:rPr>
                <w:i/>
                <w:iCs/>
                <w:color w:val="404040"/>
                <w:sz w:val="18"/>
                <w:szCs w:val="18"/>
              </w:rPr>
            </w:pPr>
            <w:r w:rsidRPr="00A7082A">
              <w:rPr>
                <w:i/>
                <w:iCs/>
                <w:color w:val="404040"/>
                <w:sz w:val="18"/>
                <w:szCs w:val="18"/>
              </w:rPr>
              <w:t>Telephone (include country and city code):</w:t>
            </w:r>
          </w:p>
        </w:tc>
        <w:tc>
          <w:tcPr>
            <w:tcW w:w="2552" w:type="dxa"/>
            <w:gridSpan w:val="2"/>
            <w:tcBorders>
              <w:top w:val="single" w:sz="8" w:space="0" w:color="000000"/>
              <w:left w:val="single" w:sz="8" w:space="0" w:color="000000"/>
              <w:bottom w:val="single" w:sz="8" w:space="0" w:color="000000"/>
              <w:right w:val="single" w:sz="8" w:space="0" w:color="000000"/>
            </w:tcBorders>
            <w:shd w:val="clear" w:color="auto" w:fill="D5D5D5"/>
            <w:hideMark/>
          </w:tcPr>
          <w:p w14:paraId="77C9EB89" w14:textId="77777777" w:rsidR="00C433AC" w:rsidRPr="00A7082A" w:rsidRDefault="00C433AC" w:rsidP="006D667A">
            <w:pPr>
              <w:pBdr>
                <w:top w:val="nil"/>
                <w:left w:val="nil"/>
                <w:bottom w:val="nil"/>
                <w:right w:val="nil"/>
                <w:between w:val="nil"/>
                <w:bar w:val="nil"/>
              </w:pBdr>
              <w:tabs>
                <w:tab w:val="clear" w:pos="1247"/>
                <w:tab w:val="clear" w:pos="1814"/>
                <w:tab w:val="clear" w:pos="2381"/>
                <w:tab w:val="clear" w:pos="2948"/>
                <w:tab w:val="clear" w:pos="3515"/>
              </w:tabs>
              <w:jc w:val="center"/>
              <w:rPr>
                <w:i/>
                <w:iCs/>
                <w:color w:val="404040"/>
                <w:sz w:val="18"/>
                <w:szCs w:val="18"/>
              </w:rPr>
            </w:pPr>
            <w:r w:rsidRPr="00A7082A">
              <w:rPr>
                <w:i/>
                <w:iCs/>
                <w:color w:val="404040"/>
                <w:sz w:val="18"/>
                <w:szCs w:val="18"/>
              </w:rPr>
              <w:t>Fax (include country and city code):</w:t>
            </w:r>
          </w:p>
        </w:tc>
        <w:tc>
          <w:tcPr>
            <w:tcW w:w="3109" w:type="dxa"/>
            <w:gridSpan w:val="2"/>
            <w:tcBorders>
              <w:top w:val="single" w:sz="8" w:space="0" w:color="000000"/>
              <w:left w:val="single" w:sz="8" w:space="0" w:color="000000"/>
              <w:bottom w:val="single" w:sz="8" w:space="0" w:color="000000"/>
              <w:right w:val="single" w:sz="8" w:space="0" w:color="000000"/>
            </w:tcBorders>
            <w:shd w:val="clear" w:color="auto" w:fill="D5D5D5"/>
            <w:hideMark/>
          </w:tcPr>
          <w:p w14:paraId="185DD7FD" w14:textId="77777777" w:rsidR="00C433AC" w:rsidRPr="00A7082A" w:rsidRDefault="00C433AC" w:rsidP="006D667A">
            <w:pPr>
              <w:pBdr>
                <w:top w:val="nil"/>
                <w:left w:val="nil"/>
                <w:bottom w:val="nil"/>
                <w:right w:val="nil"/>
                <w:between w:val="nil"/>
                <w:bar w:val="nil"/>
              </w:pBdr>
              <w:tabs>
                <w:tab w:val="clear" w:pos="1247"/>
                <w:tab w:val="clear" w:pos="1814"/>
                <w:tab w:val="clear" w:pos="2381"/>
                <w:tab w:val="clear" w:pos="2948"/>
                <w:tab w:val="clear" w:pos="3515"/>
              </w:tabs>
              <w:jc w:val="center"/>
              <w:rPr>
                <w:i/>
                <w:iCs/>
                <w:color w:val="404040"/>
                <w:sz w:val="18"/>
                <w:szCs w:val="18"/>
              </w:rPr>
            </w:pPr>
            <w:r w:rsidRPr="00A7082A">
              <w:rPr>
                <w:i/>
                <w:iCs/>
                <w:color w:val="404040"/>
                <w:sz w:val="18"/>
                <w:szCs w:val="18"/>
              </w:rPr>
              <w:t>E-mail address:</w:t>
            </w:r>
          </w:p>
        </w:tc>
      </w:tr>
      <w:tr w:rsidR="00C433AC" w:rsidRPr="00A7082A" w14:paraId="0EE4379C" w14:textId="77777777" w:rsidTr="00EF0D69">
        <w:trPr>
          <w:trHeight w:val="25"/>
          <w:jc w:val="right"/>
        </w:trPr>
        <w:tc>
          <w:tcPr>
            <w:tcW w:w="2693" w:type="dxa"/>
            <w:gridSpan w:val="2"/>
            <w:tcBorders>
              <w:top w:val="single" w:sz="8" w:space="0" w:color="000000"/>
              <w:left w:val="single" w:sz="8" w:space="0" w:color="000000"/>
              <w:bottom w:val="single" w:sz="2" w:space="0" w:color="000000"/>
              <w:right w:val="single" w:sz="8" w:space="0" w:color="000000"/>
            </w:tcBorders>
            <w:tcMar>
              <w:top w:w="80" w:type="dxa"/>
              <w:left w:w="80" w:type="dxa"/>
              <w:bottom w:w="80" w:type="dxa"/>
              <w:right w:w="80" w:type="dxa"/>
            </w:tcMar>
            <w:hideMark/>
          </w:tcPr>
          <w:p w14:paraId="54DBE11D" w14:textId="77777777" w:rsidR="00C433AC" w:rsidRPr="00A7082A" w:rsidRDefault="00C433AC" w:rsidP="006D667A">
            <w:pPr>
              <w:pBdr>
                <w:top w:val="nil"/>
                <w:left w:val="nil"/>
                <w:bottom w:val="nil"/>
                <w:right w:val="nil"/>
                <w:between w:val="nil"/>
                <w:bar w:val="nil"/>
              </w:pBdr>
              <w:tabs>
                <w:tab w:val="clear" w:pos="1247"/>
                <w:tab w:val="clear" w:pos="1814"/>
                <w:tab w:val="clear" w:pos="2381"/>
                <w:tab w:val="clear" w:pos="2948"/>
                <w:tab w:val="clear" w:pos="3515"/>
              </w:tabs>
              <w:rPr>
                <w:rFonts w:eastAsia="Helvetica Neue"/>
                <w:color w:val="404040"/>
                <w:sz w:val="18"/>
                <w:szCs w:val="18"/>
                <w:bdr w:val="nil"/>
              </w:rPr>
            </w:pPr>
            <w:bookmarkStart w:id="68" w:name="_Hlk13837024"/>
          </w:p>
        </w:tc>
        <w:tc>
          <w:tcPr>
            <w:tcW w:w="2552" w:type="dxa"/>
            <w:gridSpan w:val="2"/>
            <w:tcBorders>
              <w:top w:val="single" w:sz="8" w:space="0" w:color="000000"/>
              <w:left w:val="single" w:sz="8" w:space="0" w:color="000000"/>
              <w:bottom w:val="single" w:sz="2" w:space="0" w:color="000000"/>
              <w:right w:val="single" w:sz="8" w:space="0" w:color="000000"/>
            </w:tcBorders>
            <w:hideMark/>
          </w:tcPr>
          <w:p w14:paraId="125807CE" w14:textId="77777777" w:rsidR="00C433AC" w:rsidRPr="00A7082A" w:rsidRDefault="00C433AC" w:rsidP="006D667A">
            <w:pPr>
              <w:pBdr>
                <w:top w:val="nil"/>
                <w:left w:val="nil"/>
                <w:bottom w:val="nil"/>
                <w:right w:val="nil"/>
                <w:between w:val="nil"/>
                <w:bar w:val="nil"/>
              </w:pBdr>
              <w:tabs>
                <w:tab w:val="clear" w:pos="1247"/>
                <w:tab w:val="clear" w:pos="1814"/>
                <w:tab w:val="clear" w:pos="2381"/>
                <w:tab w:val="clear" w:pos="2948"/>
                <w:tab w:val="clear" w:pos="3515"/>
              </w:tabs>
              <w:rPr>
                <w:rFonts w:eastAsia="Helvetica Neue"/>
                <w:color w:val="404040"/>
                <w:sz w:val="18"/>
                <w:szCs w:val="18"/>
                <w:bdr w:val="nil"/>
              </w:rPr>
            </w:pPr>
          </w:p>
        </w:tc>
        <w:tc>
          <w:tcPr>
            <w:tcW w:w="3109" w:type="dxa"/>
            <w:gridSpan w:val="2"/>
            <w:tcBorders>
              <w:top w:val="single" w:sz="8" w:space="0" w:color="000000"/>
              <w:left w:val="single" w:sz="8" w:space="0" w:color="000000"/>
              <w:bottom w:val="single" w:sz="2" w:space="0" w:color="000000"/>
              <w:right w:val="single" w:sz="8" w:space="0" w:color="000000"/>
            </w:tcBorders>
            <w:hideMark/>
          </w:tcPr>
          <w:p w14:paraId="56301D63" w14:textId="77777777" w:rsidR="00C433AC" w:rsidRPr="00A7082A" w:rsidRDefault="00C433AC" w:rsidP="006D667A">
            <w:pPr>
              <w:pBdr>
                <w:top w:val="nil"/>
                <w:left w:val="nil"/>
                <w:bottom w:val="nil"/>
                <w:right w:val="nil"/>
                <w:between w:val="nil"/>
                <w:bar w:val="nil"/>
              </w:pBdr>
              <w:tabs>
                <w:tab w:val="clear" w:pos="1247"/>
                <w:tab w:val="clear" w:pos="1814"/>
                <w:tab w:val="clear" w:pos="2381"/>
                <w:tab w:val="clear" w:pos="2948"/>
                <w:tab w:val="clear" w:pos="3515"/>
              </w:tabs>
              <w:rPr>
                <w:rFonts w:eastAsia="Helvetica Neue"/>
                <w:color w:val="404040"/>
                <w:sz w:val="18"/>
                <w:szCs w:val="18"/>
                <w:bdr w:val="nil"/>
              </w:rPr>
            </w:pPr>
          </w:p>
        </w:tc>
      </w:tr>
    </w:tbl>
    <w:bookmarkEnd w:id="68"/>
    <w:p w14:paraId="64360A93" w14:textId="77777777" w:rsidR="00C433AC" w:rsidRPr="00A7082A" w:rsidRDefault="00C433AC" w:rsidP="00C433AC">
      <w:pPr>
        <w:pStyle w:val="CH1"/>
      </w:pPr>
      <w:r w:rsidRPr="00A7082A">
        <w:tab/>
        <w:t>II.</w:t>
      </w:r>
      <w:r w:rsidRPr="00A7082A">
        <w:tab/>
        <w:t xml:space="preserve">Matter of concern </w:t>
      </w:r>
    </w:p>
    <w:p w14:paraId="08409E5E" w14:textId="77777777" w:rsidR="00C433AC" w:rsidRPr="00A7082A" w:rsidRDefault="00C433AC" w:rsidP="00C433AC">
      <w:pPr>
        <w:tabs>
          <w:tab w:val="left" w:pos="4082"/>
        </w:tabs>
        <w:spacing w:after="120"/>
        <w:ind w:left="1247"/>
        <w:rPr>
          <w:i/>
          <w:iCs/>
        </w:rPr>
      </w:pPr>
      <w:r w:rsidRPr="00A7082A">
        <w:rPr>
          <w:i/>
          <w:iCs/>
        </w:rPr>
        <w:t>[Provide background information and describe the matter of concern, i.e., the compliance issue being presented. Indicate your party’s national capabilities and circumstances as they relate to that matter]</w:t>
      </w:r>
    </w:p>
    <w:p w14:paraId="32084461" w14:textId="77777777" w:rsidR="00C433AC" w:rsidRPr="00A7082A" w:rsidRDefault="00C433AC" w:rsidP="00C433AC">
      <w:pPr>
        <w:pStyle w:val="CH1"/>
      </w:pPr>
      <w:r w:rsidRPr="00A7082A">
        <w:tab/>
        <w:t>III.</w:t>
      </w:r>
      <w:r w:rsidRPr="00A7082A">
        <w:tab/>
        <w:t>Relevant provision(s) of the Convention</w:t>
      </w:r>
    </w:p>
    <w:p w14:paraId="02341AFA" w14:textId="77777777" w:rsidR="00C433AC" w:rsidRPr="00A7082A" w:rsidRDefault="00C433AC" w:rsidP="00C433AC">
      <w:pPr>
        <w:tabs>
          <w:tab w:val="left" w:pos="4082"/>
        </w:tabs>
        <w:spacing w:after="120"/>
        <w:ind w:left="1247"/>
        <w:rPr>
          <w:i/>
          <w:iCs/>
        </w:rPr>
      </w:pPr>
      <w:r w:rsidRPr="00A7082A">
        <w:rPr>
          <w:i/>
          <w:iCs/>
        </w:rPr>
        <w:t>[Indicate the relevant provision(s) of the Convention to which the compliance issue relates. Specify corresponding article(s), paragraph(s), subparagraph(s), annex(es) as appropriate.]</w:t>
      </w:r>
    </w:p>
    <w:p w14:paraId="23FBA537" w14:textId="77777777" w:rsidR="00C433AC" w:rsidRPr="00A7082A" w:rsidRDefault="00C433AC" w:rsidP="00C433AC">
      <w:pPr>
        <w:pStyle w:val="CH1"/>
      </w:pPr>
      <w:r w:rsidRPr="00A7082A">
        <w:tab/>
        <w:t>IV.</w:t>
      </w:r>
      <w:r w:rsidRPr="00A7082A">
        <w:tab/>
        <w:t>Efforts to address the matter of concern</w:t>
      </w:r>
    </w:p>
    <w:p w14:paraId="07FDF1E6" w14:textId="77777777" w:rsidR="00C433AC" w:rsidRPr="00A7082A" w:rsidRDefault="00C433AC" w:rsidP="00C433AC">
      <w:pPr>
        <w:tabs>
          <w:tab w:val="left" w:pos="4082"/>
        </w:tabs>
        <w:spacing w:after="120"/>
        <w:ind w:left="1247"/>
        <w:rPr>
          <w:i/>
          <w:iCs/>
        </w:rPr>
      </w:pPr>
      <w:r w:rsidRPr="00A7082A">
        <w:rPr>
          <w:i/>
          <w:iCs/>
        </w:rPr>
        <w:t>[Provide information on any efforts undertaken or under way to address the matter of concern or, if none, explain why.]</w:t>
      </w:r>
    </w:p>
    <w:p w14:paraId="3435B08A" w14:textId="77777777" w:rsidR="00C433AC" w:rsidRPr="00A7082A" w:rsidRDefault="00C433AC" w:rsidP="00C433AC">
      <w:pPr>
        <w:pStyle w:val="CH1"/>
      </w:pPr>
      <w:r w:rsidRPr="00A7082A">
        <w:tab/>
        <w:t>V.</w:t>
      </w:r>
      <w:r w:rsidRPr="00A7082A">
        <w:tab/>
        <w:t>Confidential or protected information</w:t>
      </w:r>
    </w:p>
    <w:p w14:paraId="0AC26984" w14:textId="77777777" w:rsidR="00C433AC" w:rsidRPr="00A7082A" w:rsidRDefault="00C433AC" w:rsidP="00C433AC">
      <w:pPr>
        <w:tabs>
          <w:tab w:val="left" w:pos="4082"/>
        </w:tabs>
        <w:spacing w:after="120"/>
        <w:ind w:left="1247"/>
        <w:rPr>
          <w:i/>
          <w:iCs/>
        </w:rPr>
      </w:pPr>
      <w:r w:rsidRPr="00A7082A">
        <w:rPr>
          <w:i/>
          <w:iCs/>
        </w:rPr>
        <w:t>[Information provided to the Committee in confidence, including by a party with respect to its own compliance, will be treated confidentially. However, specify below any particular request pertaining to confidential or protected information, for instance information that should not be disclosed in the reports and recommendations of the Committee.]</w:t>
      </w:r>
    </w:p>
    <w:p w14:paraId="5F569616" w14:textId="77777777" w:rsidR="00C433AC" w:rsidRPr="00A7082A" w:rsidRDefault="00C433AC" w:rsidP="00C433AC">
      <w:pPr>
        <w:pStyle w:val="CH1"/>
      </w:pPr>
      <w:r w:rsidRPr="00A7082A">
        <w:tab/>
        <w:t>VI.</w:t>
      </w:r>
      <w:r w:rsidRPr="00A7082A">
        <w:tab/>
        <w:t>Signature</w:t>
      </w:r>
    </w:p>
    <w:p w14:paraId="17C8BF7C" w14:textId="77777777" w:rsidR="00C433AC" w:rsidRPr="00A7082A" w:rsidRDefault="00C433AC" w:rsidP="00C433AC">
      <w:pPr>
        <w:tabs>
          <w:tab w:val="left" w:pos="4082"/>
        </w:tabs>
        <w:spacing w:after="120"/>
        <w:ind w:left="1247"/>
        <w:rPr>
          <w:i/>
          <w:iCs/>
        </w:rPr>
      </w:pPr>
      <w:r w:rsidRPr="00A7082A">
        <w:rPr>
          <w:i/>
          <w:iCs/>
        </w:rPr>
        <w:t>[The submission shall be signed by the Minamata Convention national focal point or, if transmitted by another relevant authority of the party, by a person authorized to sign on its behalf.]</w:t>
      </w:r>
    </w:p>
    <w:p w14:paraId="7458E9B4" w14:textId="77777777" w:rsidR="00C433AC" w:rsidRPr="00A7082A" w:rsidRDefault="00C433AC" w:rsidP="009557F8">
      <w:pPr>
        <w:pStyle w:val="Normal-pool"/>
        <w:rPr>
          <w:sz w:val="24"/>
        </w:rPr>
      </w:pPr>
      <w:bookmarkStart w:id="69" w:name="_Toc27124751"/>
      <w:r w:rsidRPr="00A7082A">
        <w:br w:type="page"/>
      </w:r>
    </w:p>
    <w:p w14:paraId="0E66D733" w14:textId="296BC4BA" w:rsidR="003F4DA7" w:rsidRPr="00A7082A" w:rsidRDefault="004E0AB7" w:rsidP="009557F8">
      <w:pPr>
        <w:pStyle w:val="CH1"/>
      </w:pPr>
      <w:r w:rsidRPr="00A7082A">
        <w:lastRenderedPageBreak/>
        <w:tab/>
      </w:r>
      <w:r w:rsidRPr="00A7082A">
        <w:tab/>
      </w:r>
      <w:r w:rsidR="003F4DA7" w:rsidRPr="00A7082A">
        <w:t>MC-3/10: Arrangements for the first effectiveness evaluation of the Minamata Convention on Mercury</w:t>
      </w:r>
      <w:bookmarkEnd w:id="69"/>
    </w:p>
    <w:p w14:paraId="1A5A6FC9" w14:textId="77777777" w:rsidR="003F4DA7" w:rsidRPr="00A7082A" w:rsidRDefault="003F4DA7" w:rsidP="003F4DA7">
      <w:pPr>
        <w:tabs>
          <w:tab w:val="clear" w:pos="1247"/>
          <w:tab w:val="clear" w:pos="1814"/>
          <w:tab w:val="clear" w:pos="2381"/>
          <w:tab w:val="clear" w:pos="2948"/>
          <w:tab w:val="clear" w:pos="3515"/>
        </w:tabs>
        <w:spacing w:before="120" w:after="120"/>
        <w:ind w:left="1247" w:firstLine="624"/>
        <w:rPr>
          <w:i/>
        </w:rPr>
      </w:pPr>
      <w:r w:rsidRPr="00A7082A">
        <w:rPr>
          <w:i/>
        </w:rPr>
        <w:tab/>
        <w:t>The Conference of the Parties,</w:t>
      </w:r>
      <w:r w:rsidRPr="00A7082A">
        <w:t xml:space="preserve"> </w:t>
      </w:r>
    </w:p>
    <w:p w14:paraId="1A7F2499" w14:textId="14A4D9BF" w:rsidR="003F4DA7" w:rsidRPr="00A7082A" w:rsidRDefault="003F4DA7" w:rsidP="003F4DA7">
      <w:pPr>
        <w:tabs>
          <w:tab w:val="clear" w:pos="1247"/>
          <w:tab w:val="clear" w:pos="1814"/>
          <w:tab w:val="clear" w:pos="2381"/>
          <w:tab w:val="clear" w:pos="2948"/>
          <w:tab w:val="clear" w:pos="3515"/>
        </w:tabs>
        <w:spacing w:before="120" w:after="120"/>
        <w:ind w:left="1247" w:firstLine="624"/>
        <w:rPr>
          <w:rFonts w:eastAsia="Calibri Light"/>
        </w:rPr>
      </w:pPr>
      <w:r w:rsidRPr="00A7082A">
        <w:rPr>
          <w:i/>
          <w:iCs/>
        </w:rPr>
        <w:t xml:space="preserve">Welcoming </w:t>
      </w:r>
      <w:r w:rsidRPr="00A7082A">
        <w:t>the report on the proposed framework for the effectiveness evaluation and monitoring arrangements under</w:t>
      </w:r>
      <w:r w:rsidR="00C433AC" w:rsidRPr="00A7082A">
        <w:t xml:space="preserve"> </w:t>
      </w:r>
      <w:r w:rsidRPr="00A7082A">
        <w:t>the Minamata Convention,</w:t>
      </w:r>
      <w:r w:rsidR="00CE502E" w:rsidRPr="00A7082A">
        <w:rPr>
          <w:rFonts w:eastAsia="Calibri Light"/>
          <w:vertAlign w:val="superscript"/>
        </w:rPr>
        <w:footnoteReference w:id="9"/>
      </w:r>
      <w:r w:rsidRPr="00A7082A">
        <w:t xml:space="preserve"> and the complementing information developed by the </w:t>
      </w:r>
      <w:r w:rsidR="0026572F" w:rsidRPr="00A7082A">
        <w:t>ad hoc</w:t>
      </w:r>
      <w:r w:rsidRPr="00A7082A">
        <w:t xml:space="preserve"> technical expert group on the basis of the mandates set out in decisions MC1/9 and MC-2/10,</w:t>
      </w:r>
      <w:r w:rsidRPr="00A7082A">
        <w:rPr>
          <w:rFonts w:eastAsia="Calibri Light"/>
          <w:vertAlign w:val="superscript"/>
        </w:rPr>
        <w:footnoteReference w:id="10"/>
      </w:r>
      <w:r w:rsidRPr="00A7082A">
        <w:t xml:space="preserve"> </w:t>
      </w:r>
    </w:p>
    <w:p w14:paraId="1AABCC5D" w14:textId="6AF4197D" w:rsidR="003F4DA7" w:rsidRPr="00A7082A" w:rsidRDefault="003F4DA7" w:rsidP="003F4DA7">
      <w:pPr>
        <w:tabs>
          <w:tab w:val="clear" w:pos="1247"/>
          <w:tab w:val="clear" w:pos="1814"/>
          <w:tab w:val="clear" w:pos="2381"/>
          <w:tab w:val="clear" w:pos="2948"/>
          <w:tab w:val="clear" w:pos="3515"/>
        </w:tabs>
        <w:spacing w:before="120" w:after="120"/>
        <w:ind w:left="1247" w:firstLine="624"/>
        <w:rPr>
          <w:i/>
        </w:rPr>
      </w:pPr>
      <w:r w:rsidRPr="00A7082A">
        <w:rPr>
          <w:bCs/>
          <w:i/>
        </w:rPr>
        <w:t xml:space="preserve">Recognizing </w:t>
      </w:r>
      <w:r w:rsidRPr="00A7082A">
        <w:rPr>
          <w:iCs/>
        </w:rPr>
        <w:t>the efforts to advance the work on the effectiveness evaluation at the third meeting of the Conference of the Parties,</w:t>
      </w:r>
    </w:p>
    <w:p w14:paraId="4BCBC9E6" w14:textId="596C36B3" w:rsidR="003F4DA7" w:rsidRPr="00A7082A" w:rsidRDefault="003F4DA7" w:rsidP="003F4DA7">
      <w:pPr>
        <w:numPr>
          <w:ilvl w:val="0"/>
          <w:numId w:val="36"/>
        </w:numPr>
        <w:tabs>
          <w:tab w:val="clear" w:pos="1247"/>
          <w:tab w:val="clear" w:pos="1814"/>
          <w:tab w:val="clear" w:pos="2381"/>
          <w:tab w:val="clear" w:pos="2948"/>
          <w:tab w:val="clear" w:pos="3515"/>
          <w:tab w:val="left" w:pos="624"/>
        </w:tabs>
        <w:spacing w:after="120"/>
        <w:ind w:left="1247" w:firstLine="624"/>
      </w:pPr>
      <w:r w:rsidRPr="00A7082A">
        <w:rPr>
          <w:i/>
          <w:iCs/>
        </w:rPr>
        <w:t>Invites</w:t>
      </w:r>
      <w:r w:rsidRPr="00A7082A">
        <w:t xml:space="preserve"> parties to submit views on the indicators </w:t>
      </w:r>
      <w:r w:rsidR="00CE502E" w:rsidRPr="00A7082A">
        <w:t xml:space="preserve">set out </w:t>
      </w:r>
      <w:r w:rsidRPr="00A7082A">
        <w:t xml:space="preserve">in annex </w:t>
      </w:r>
      <w:r w:rsidR="00CE502E" w:rsidRPr="00A7082A">
        <w:t>I</w:t>
      </w:r>
      <w:r w:rsidRPr="00A7082A">
        <w:t xml:space="preserve"> to th</w:t>
      </w:r>
      <w:r w:rsidR="00CE502E" w:rsidRPr="00A7082A">
        <w:t>e present</w:t>
      </w:r>
      <w:r w:rsidRPr="00A7082A">
        <w:t xml:space="preserve"> decision and requests the </w:t>
      </w:r>
      <w:r w:rsidR="00CE502E" w:rsidRPr="00A7082A">
        <w:t>s</w:t>
      </w:r>
      <w:r w:rsidRPr="00A7082A">
        <w:t>ecretariat to compile those views in advance</w:t>
      </w:r>
      <w:r w:rsidR="002F6236" w:rsidRPr="00A7082A">
        <w:t xml:space="preserve"> of </w:t>
      </w:r>
      <w:r w:rsidRPr="00A7082A">
        <w:t>the fourth meeting of the Conference of the Parties;</w:t>
      </w:r>
    </w:p>
    <w:p w14:paraId="640D6CA5" w14:textId="277B6518" w:rsidR="003F4DA7" w:rsidRPr="00A7082A" w:rsidRDefault="003F4DA7" w:rsidP="003F4DA7">
      <w:pPr>
        <w:numPr>
          <w:ilvl w:val="0"/>
          <w:numId w:val="36"/>
        </w:numPr>
        <w:tabs>
          <w:tab w:val="clear" w:pos="1247"/>
          <w:tab w:val="clear" w:pos="1814"/>
          <w:tab w:val="clear" w:pos="2381"/>
          <w:tab w:val="clear" w:pos="2948"/>
          <w:tab w:val="clear" w:pos="3515"/>
          <w:tab w:val="left" w:pos="624"/>
        </w:tabs>
        <w:spacing w:after="120"/>
        <w:ind w:left="1247" w:firstLine="624"/>
      </w:pPr>
      <w:r w:rsidRPr="00A7082A">
        <w:rPr>
          <w:i/>
        </w:rPr>
        <w:t>Requests</w:t>
      </w:r>
      <w:r w:rsidRPr="00A7082A">
        <w:t xml:space="preserve"> the </w:t>
      </w:r>
      <w:r w:rsidR="00851014" w:rsidRPr="00A7082A">
        <w:rPr>
          <w:bCs/>
          <w:iCs/>
        </w:rPr>
        <w:t>secretariat</w:t>
      </w:r>
      <w:r w:rsidRPr="00A7082A">
        <w:t xml:space="preserve"> to advance the work by securing services for drafting:</w:t>
      </w:r>
    </w:p>
    <w:p w14:paraId="720DEBF3" w14:textId="28EC5356" w:rsidR="003F4DA7" w:rsidRPr="00A7082A" w:rsidRDefault="003F4DA7" w:rsidP="006D4DE3">
      <w:pPr>
        <w:pStyle w:val="Normal-pool"/>
        <w:numPr>
          <w:ilvl w:val="0"/>
          <w:numId w:val="99"/>
        </w:numPr>
        <w:spacing w:after="120"/>
        <w:ind w:left="1247" w:firstLine="624"/>
      </w:pPr>
      <w:r w:rsidRPr="00A7082A">
        <w:t xml:space="preserve">Guidance on monitoring to maintain harmonized, comparable information on mercury levels in the environment, taking into consideration the draft structure </w:t>
      </w:r>
      <w:r w:rsidR="00CE502E" w:rsidRPr="00A7082A">
        <w:t xml:space="preserve">set out </w:t>
      </w:r>
      <w:r w:rsidRPr="00A7082A">
        <w:t>in</w:t>
      </w:r>
      <w:r w:rsidR="00CE502E" w:rsidRPr="00A7082A">
        <w:t xml:space="preserve"> the note on </w:t>
      </w:r>
      <w:r w:rsidR="002F4928" w:rsidRPr="00A7082A">
        <w:t>background</w:t>
      </w:r>
      <w:r w:rsidR="00CE502E" w:rsidRPr="00A7082A">
        <w:t xml:space="preserve"> information on mercury monitoring</w:t>
      </w:r>
      <w:r w:rsidRPr="00A7082A">
        <w:t>;</w:t>
      </w:r>
      <w:r w:rsidR="00CE502E" w:rsidRPr="00A7082A">
        <w:rPr>
          <w:rStyle w:val="FootnoteReference"/>
        </w:rPr>
        <w:footnoteReference w:id="11"/>
      </w:r>
      <w:r w:rsidRPr="00A7082A">
        <w:t xml:space="preserve"> </w:t>
      </w:r>
    </w:p>
    <w:p w14:paraId="1B21CCB4" w14:textId="1A08AA44" w:rsidR="003F4DA7" w:rsidRPr="00A7082A" w:rsidRDefault="003F4DA7" w:rsidP="006D4DE3">
      <w:pPr>
        <w:pStyle w:val="Normal-pool"/>
        <w:numPr>
          <w:ilvl w:val="0"/>
          <w:numId w:val="99"/>
        </w:numPr>
        <w:spacing w:after="120"/>
        <w:ind w:left="1247" w:firstLine="624"/>
      </w:pPr>
      <w:r w:rsidRPr="00A7082A">
        <w:t xml:space="preserve">Reports set out in the framework in annex </w:t>
      </w:r>
      <w:r w:rsidR="00CE502E" w:rsidRPr="00A7082A">
        <w:t xml:space="preserve">II </w:t>
      </w:r>
      <w:r w:rsidRPr="00A7082A">
        <w:t>to th</w:t>
      </w:r>
      <w:r w:rsidR="00CE502E" w:rsidRPr="00A7082A">
        <w:t>e present</w:t>
      </w:r>
      <w:r w:rsidRPr="00A7082A">
        <w:t xml:space="preserve"> decision with the exception of the emissions and releases report, the monitoring report, and the modelling report.</w:t>
      </w:r>
    </w:p>
    <w:p w14:paraId="37F323A8" w14:textId="14F60036" w:rsidR="00CE502E" w:rsidRPr="00A7082A" w:rsidRDefault="004E0AB7" w:rsidP="00417FE2">
      <w:pPr>
        <w:pStyle w:val="CH1"/>
        <w:rPr>
          <w:rFonts w:eastAsia="SimSun"/>
          <w:i/>
        </w:rPr>
      </w:pPr>
      <w:r w:rsidRPr="00A7082A">
        <w:rPr>
          <w:rFonts w:eastAsia="SimSun"/>
        </w:rPr>
        <w:tab/>
      </w:r>
      <w:r w:rsidRPr="00A7082A">
        <w:rPr>
          <w:rFonts w:eastAsia="SimSun"/>
        </w:rPr>
        <w:tab/>
      </w:r>
      <w:r w:rsidR="00CE502E" w:rsidRPr="00A7082A">
        <w:rPr>
          <w:rFonts w:eastAsia="SimSun"/>
        </w:rPr>
        <w:t>Annex I to decision MC-3/10</w:t>
      </w:r>
      <w:r w:rsidR="00CE502E" w:rsidRPr="00A7082A">
        <w:rPr>
          <w:rFonts w:eastAsia="SimSun"/>
          <w:i/>
        </w:rPr>
        <w:t xml:space="preserve"> </w:t>
      </w:r>
    </w:p>
    <w:p w14:paraId="7B4C1BE9" w14:textId="0D7A0F37" w:rsidR="006D667A" w:rsidRPr="00A7082A" w:rsidRDefault="004E0AB7" w:rsidP="004E0AB7">
      <w:pPr>
        <w:pStyle w:val="CH2"/>
      </w:pPr>
      <w:r w:rsidRPr="00A7082A">
        <w:rPr>
          <w:sz w:val="28"/>
          <w:szCs w:val="28"/>
        </w:rPr>
        <w:tab/>
      </w:r>
      <w:r w:rsidRPr="00A7082A">
        <w:rPr>
          <w:sz w:val="28"/>
          <w:szCs w:val="28"/>
        </w:rPr>
        <w:tab/>
      </w:r>
      <w:r w:rsidR="006D667A" w:rsidRPr="00A7082A">
        <w:t>Proposed indicators for evaluating the effectiveness of the Minamata Convention, by article</w:t>
      </w:r>
    </w:p>
    <w:tbl>
      <w:tblPr>
        <w:tblW w:w="8307" w:type="dxa"/>
        <w:jc w:val="right"/>
        <w:shd w:val="clear" w:color="auto" w:fill="CDD4E9"/>
        <w:tblLayout w:type="fixed"/>
        <w:tblLook w:val="04A0" w:firstRow="1" w:lastRow="0" w:firstColumn="1" w:lastColumn="0" w:noHBand="0" w:noVBand="1"/>
      </w:tblPr>
      <w:tblGrid>
        <w:gridCol w:w="1832"/>
        <w:gridCol w:w="3194"/>
        <w:gridCol w:w="1495"/>
        <w:gridCol w:w="1786"/>
      </w:tblGrid>
      <w:tr w:rsidR="006D667A" w:rsidRPr="00A7082A" w14:paraId="744093F1" w14:textId="77777777" w:rsidTr="00417FE2">
        <w:trPr>
          <w:trHeight w:val="57"/>
          <w:jc w:val="right"/>
        </w:trPr>
        <w:tc>
          <w:tcPr>
            <w:tcW w:w="5026" w:type="dxa"/>
            <w:gridSpan w:val="2"/>
            <w:tcBorders>
              <w:top w:val="single" w:sz="4" w:space="0" w:color="auto"/>
              <w:bottom w:val="single" w:sz="12" w:space="0" w:color="auto"/>
            </w:tcBorders>
            <w:shd w:val="clear" w:color="auto" w:fill="auto"/>
            <w:tcMar>
              <w:top w:w="80" w:type="dxa"/>
              <w:left w:w="80" w:type="dxa"/>
              <w:bottom w:w="80" w:type="dxa"/>
              <w:right w:w="80" w:type="dxa"/>
            </w:tcMar>
          </w:tcPr>
          <w:p w14:paraId="31D7BC3F" w14:textId="77777777" w:rsidR="006D667A" w:rsidRPr="00A7082A" w:rsidRDefault="006D667A" w:rsidP="006D667A">
            <w:pPr>
              <w:rPr>
                <w:bCs/>
                <w:i/>
                <w:sz w:val="18"/>
                <w:szCs w:val="18"/>
              </w:rPr>
            </w:pPr>
            <w:r w:rsidRPr="00A7082A">
              <w:rPr>
                <w:bCs/>
                <w:i/>
                <w:sz w:val="18"/>
                <w:szCs w:val="18"/>
              </w:rPr>
              <w:t>A: Article 1 (objective)</w:t>
            </w:r>
          </w:p>
          <w:p w14:paraId="3C5D8771" w14:textId="68C5BB34" w:rsidR="006D667A" w:rsidRPr="00A7082A" w:rsidRDefault="006D667A" w:rsidP="00620F0B">
            <w:pPr>
              <w:ind w:left="486"/>
            </w:pPr>
            <w:r w:rsidRPr="00A7082A">
              <w:rPr>
                <w:sz w:val="18"/>
                <w:szCs w:val="18"/>
              </w:rPr>
              <w:t xml:space="preserve">(The indicator for article 1 is to be read with the relevant monitoring indicator </w:t>
            </w:r>
            <w:r w:rsidR="008A032F" w:rsidRPr="00A7082A">
              <w:rPr>
                <w:sz w:val="18"/>
                <w:szCs w:val="18"/>
              </w:rPr>
              <w:t xml:space="preserve">set out </w:t>
            </w:r>
            <w:r w:rsidRPr="00A7082A">
              <w:rPr>
                <w:sz w:val="18"/>
                <w:szCs w:val="18"/>
              </w:rPr>
              <w:t>in</w:t>
            </w:r>
            <w:r w:rsidR="008A032F" w:rsidRPr="00A7082A">
              <w:t xml:space="preserve"> </w:t>
            </w:r>
            <w:r w:rsidRPr="00A7082A">
              <w:rPr>
                <w:sz w:val="18"/>
                <w:szCs w:val="18"/>
              </w:rPr>
              <w:t>table 4</w:t>
            </w:r>
            <w:r w:rsidR="008A032F" w:rsidRPr="00A7082A">
              <w:rPr>
                <w:sz w:val="18"/>
                <w:szCs w:val="18"/>
              </w:rPr>
              <w:t xml:space="preserve"> in </w:t>
            </w:r>
            <w:r w:rsidR="009D509F" w:rsidRPr="00A7082A">
              <w:rPr>
                <w:sz w:val="18"/>
                <w:szCs w:val="18"/>
              </w:rPr>
              <w:t xml:space="preserve">document </w:t>
            </w:r>
            <w:r w:rsidR="008A032F" w:rsidRPr="00A7082A">
              <w:t>UNEP/MC/COP.3/14</w:t>
            </w:r>
            <w:r w:rsidRPr="00A7082A">
              <w:t>)</w:t>
            </w:r>
          </w:p>
        </w:tc>
        <w:tc>
          <w:tcPr>
            <w:tcW w:w="1495" w:type="dxa"/>
            <w:tcBorders>
              <w:top w:val="single" w:sz="4" w:space="0" w:color="auto"/>
              <w:bottom w:val="single" w:sz="12" w:space="0" w:color="auto"/>
            </w:tcBorders>
            <w:shd w:val="clear" w:color="auto" w:fill="auto"/>
            <w:tcMar>
              <w:top w:w="80" w:type="dxa"/>
              <w:left w:w="80" w:type="dxa"/>
              <w:bottom w:w="80" w:type="dxa"/>
              <w:right w:w="80" w:type="dxa"/>
            </w:tcMar>
          </w:tcPr>
          <w:p w14:paraId="6B21C99F" w14:textId="77777777" w:rsidR="006D667A" w:rsidRPr="00A7082A" w:rsidRDefault="006D667A" w:rsidP="006D667A">
            <w:pPr>
              <w:rPr>
                <w:i/>
              </w:rPr>
            </w:pPr>
            <w:r w:rsidRPr="00A7082A">
              <w:rPr>
                <w:bCs/>
                <w:i/>
                <w:sz w:val="18"/>
                <w:szCs w:val="18"/>
              </w:rPr>
              <w:t>Source of information on the indicator</w:t>
            </w:r>
          </w:p>
        </w:tc>
        <w:tc>
          <w:tcPr>
            <w:tcW w:w="1786" w:type="dxa"/>
            <w:tcBorders>
              <w:top w:val="single" w:sz="4" w:space="0" w:color="auto"/>
              <w:bottom w:val="single" w:sz="12" w:space="0" w:color="auto"/>
            </w:tcBorders>
            <w:shd w:val="clear" w:color="auto" w:fill="auto"/>
            <w:tcMar>
              <w:top w:w="80" w:type="dxa"/>
              <w:left w:w="80" w:type="dxa"/>
              <w:bottom w:w="80" w:type="dxa"/>
              <w:right w:w="80" w:type="dxa"/>
            </w:tcMar>
          </w:tcPr>
          <w:p w14:paraId="0A40D539" w14:textId="77777777" w:rsidR="006D667A" w:rsidRPr="00A7082A" w:rsidRDefault="006D667A" w:rsidP="006D667A">
            <w:pPr>
              <w:rPr>
                <w:i/>
              </w:rPr>
            </w:pPr>
            <w:r w:rsidRPr="00A7082A">
              <w:rPr>
                <w:bCs/>
                <w:i/>
                <w:sz w:val="18"/>
                <w:szCs w:val="18"/>
              </w:rPr>
              <w:t>Baseline for the indicator</w:t>
            </w:r>
          </w:p>
        </w:tc>
      </w:tr>
      <w:tr w:rsidR="006D667A" w:rsidRPr="00A7082A" w14:paraId="15630D72" w14:textId="77777777" w:rsidTr="00417FE2">
        <w:trPr>
          <w:trHeight w:val="57"/>
          <w:jc w:val="right"/>
        </w:trPr>
        <w:tc>
          <w:tcPr>
            <w:tcW w:w="1832" w:type="dxa"/>
            <w:tcBorders>
              <w:top w:val="single" w:sz="12" w:space="0" w:color="auto"/>
            </w:tcBorders>
            <w:shd w:val="clear" w:color="auto" w:fill="auto"/>
            <w:tcMar>
              <w:top w:w="80" w:type="dxa"/>
              <w:left w:w="80" w:type="dxa"/>
              <w:bottom w:w="80" w:type="dxa"/>
              <w:right w:w="80" w:type="dxa"/>
            </w:tcMar>
          </w:tcPr>
          <w:p w14:paraId="6C787324" w14:textId="3B7F2284" w:rsidR="006D667A" w:rsidRPr="00A7082A" w:rsidRDefault="006D667A" w:rsidP="006D667A">
            <w:r w:rsidRPr="00A7082A">
              <w:rPr>
                <w:sz w:val="18"/>
                <w:szCs w:val="18"/>
              </w:rPr>
              <w:t>A1. Cross</w:t>
            </w:r>
            <w:r w:rsidR="00660CBD" w:rsidRPr="00A7082A">
              <w:rPr>
                <w:sz w:val="18"/>
                <w:szCs w:val="18"/>
              </w:rPr>
              <w:t>-</w:t>
            </w:r>
            <w:r w:rsidRPr="00A7082A">
              <w:rPr>
                <w:sz w:val="18"/>
                <w:szCs w:val="18"/>
              </w:rPr>
              <w:t>cutting monitoring indicator</w:t>
            </w:r>
          </w:p>
        </w:tc>
        <w:tc>
          <w:tcPr>
            <w:tcW w:w="3194" w:type="dxa"/>
            <w:tcBorders>
              <w:top w:val="single" w:sz="12" w:space="0" w:color="auto"/>
            </w:tcBorders>
            <w:shd w:val="clear" w:color="auto" w:fill="auto"/>
            <w:tcMar>
              <w:top w:w="80" w:type="dxa"/>
              <w:left w:w="80" w:type="dxa"/>
              <w:bottom w:w="80" w:type="dxa"/>
              <w:right w:w="80" w:type="dxa"/>
            </w:tcMar>
          </w:tcPr>
          <w:p w14:paraId="63E6302D" w14:textId="77777777" w:rsidR="006D667A" w:rsidRPr="00A7082A" w:rsidRDefault="006D667A" w:rsidP="006D667A">
            <w:r w:rsidRPr="00A7082A">
              <w:rPr>
                <w:sz w:val="18"/>
                <w:szCs w:val="18"/>
              </w:rPr>
              <w:t>Levels of mercury in the environment and in humans due to anthropogenic emissions and releases</w:t>
            </w:r>
          </w:p>
        </w:tc>
        <w:tc>
          <w:tcPr>
            <w:tcW w:w="1495" w:type="dxa"/>
            <w:tcBorders>
              <w:top w:val="single" w:sz="12" w:space="0" w:color="auto"/>
            </w:tcBorders>
            <w:shd w:val="clear" w:color="auto" w:fill="auto"/>
            <w:tcMar>
              <w:top w:w="80" w:type="dxa"/>
              <w:left w:w="80" w:type="dxa"/>
              <w:bottom w:w="80" w:type="dxa"/>
              <w:right w:w="80" w:type="dxa"/>
            </w:tcMar>
          </w:tcPr>
          <w:p w14:paraId="10D3112E" w14:textId="77777777" w:rsidR="006D667A" w:rsidRPr="00A7082A" w:rsidRDefault="006D667A" w:rsidP="006D667A">
            <w:r w:rsidRPr="00A7082A">
              <w:rPr>
                <w:sz w:val="18"/>
                <w:szCs w:val="18"/>
              </w:rPr>
              <w:t>Attributive modelling</w:t>
            </w:r>
          </w:p>
        </w:tc>
        <w:tc>
          <w:tcPr>
            <w:tcW w:w="1786" w:type="dxa"/>
            <w:tcBorders>
              <w:top w:val="single" w:sz="12" w:space="0" w:color="auto"/>
            </w:tcBorders>
            <w:shd w:val="clear" w:color="auto" w:fill="auto"/>
            <w:tcMar>
              <w:top w:w="80" w:type="dxa"/>
              <w:left w:w="80" w:type="dxa"/>
              <w:bottom w:w="80" w:type="dxa"/>
              <w:right w:w="80" w:type="dxa"/>
            </w:tcMar>
          </w:tcPr>
          <w:p w14:paraId="0C46DB98" w14:textId="77777777" w:rsidR="006D667A" w:rsidRPr="00A7082A" w:rsidRDefault="006D667A" w:rsidP="006D667A">
            <w:r w:rsidRPr="00A7082A">
              <w:rPr>
                <w:sz w:val="18"/>
                <w:szCs w:val="18"/>
              </w:rPr>
              <w:t>Amount in the first evaluation (if models are available)</w:t>
            </w:r>
          </w:p>
        </w:tc>
      </w:tr>
      <w:tr w:rsidR="006D667A" w:rsidRPr="00A7082A" w14:paraId="522577DB" w14:textId="77777777" w:rsidTr="00417FE2">
        <w:trPr>
          <w:trHeight w:val="57"/>
          <w:jc w:val="right"/>
        </w:trPr>
        <w:tc>
          <w:tcPr>
            <w:tcW w:w="1832" w:type="dxa"/>
            <w:tcBorders>
              <w:bottom w:val="single" w:sz="12" w:space="0" w:color="auto"/>
            </w:tcBorders>
            <w:shd w:val="clear" w:color="auto" w:fill="auto"/>
            <w:tcMar>
              <w:top w:w="80" w:type="dxa"/>
              <w:left w:w="80" w:type="dxa"/>
              <w:bottom w:w="80" w:type="dxa"/>
              <w:right w:w="80" w:type="dxa"/>
            </w:tcMar>
          </w:tcPr>
          <w:p w14:paraId="14077CDF" w14:textId="77777777" w:rsidR="006D667A" w:rsidRPr="00A7082A" w:rsidRDefault="006D667A" w:rsidP="006D667A">
            <w:r w:rsidRPr="00A7082A">
              <w:rPr>
                <w:b/>
                <w:bCs/>
                <w:sz w:val="18"/>
                <w:szCs w:val="18"/>
              </w:rPr>
              <w:t>Notes</w:t>
            </w:r>
          </w:p>
        </w:tc>
        <w:tc>
          <w:tcPr>
            <w:tcW w:w="6475" w:type="dxa"/>
            <w:gridSpan w:val="3"/>
            <w:tcBorders>
              <w:bottom w:val="single" w:sz="12" w:space="0" w:color="auto"/>
            </w:tcBorders>
            <w:shd w:val="clear" w:color="auto" w:fill="auto"/>
            <w:tcMar>
              <w:top w:w="80" w:type="dxa"/>
              <w:left w:w="80" w:type="dxa"/>
              <w:bottom w:w="80" w:type="dxa"/>
              <w:right w:w="80" w:type="dxa"/>
            </w:tcMar>
          </w:tcPr>
          <w:p w14:paraId="7E4E4229" w14:textId="77777777" w:rsidR="006D667A" w:rsidRPr="00A7082A" w:rsidRDefault="006D667A" w:rsidP="006D667A">
            <w:pPr>
              <w:numPr>
                <w:ilvl w:val="0"/>
                <w:numId w:val="50"/>
              </w:numPr>
              <w:rPr>
                <w:sz w:val="18"/>
                <w:szCs w:val="18"/>
              </w:rPr>
            </w:pPr>
            <w:r w:rsidRPr="00A7082A">
              <w:rPr>
                <w:sz w:val="18"/>
                <w:szCs w:val="18"/>
              </w:rPr>
              <w:t>Attribution is to be estimated using models yet to be developed; thus, information for this indicator may or may not be available for the first effectiveness evaluation cycle.</w:t>
            </w:r>
          </w:p>
          <w:p w14:paraId="1B4D2638" w14:textId="77777777" w:rsidR="006D667A" w:rsidRPr="00A7082A" w:rsidRDefault="006D667A" w:rsidP="006D667A">
            <w:pPr>
              <w:numPr>
                <w:ilvl w:val="0"/>
                <w:numId w:val="50"/>
              </w:numPr>
              <w:rPr>
                <w:sz w:val="18"/>
                <w:szCs w:val="18"/>
              </w:rPr>
            </w:pPr>
            <w:r w:rsidRPr="00A7082A">
              <w:rPr>
                <w:sz w:val="18"/>
                <w:szCs w:val="18"/>
              </w:rPr>
              <w:t>Estimates from modelling are to be accompanied by relevant notes on modelling uncertainties.</w:t>
            </w:r>
          </w:p>
          <w:p w14:paraId="79BFE79D" w14:textId="77777777" w:rsidR="006D667A" w:rsidRPr="00A7082A" w:rsidRDefault="006D667A" w:rsidP="006D667A">
            <w:pPr>
              <w:numPr>
                <w:ilvl w:val="0"/>
                <w:numId w:val="50"/>
              </w:numPr>
              <w:rPr>
                <w:sz w:val="18"/>
                <w:szCs w:val="18"/>
              </w:rPr>
            </w:pPr>
            <w:r w:rsidRPr="00A7082A">
              <w:rPr>
                <w:sz w:val="18"/>
                <w:szCs w:val="18"/>
              </w:rPr>
              <w:t>In case of non-availability of information from models, levels of mercury and trends in mercury levels (changes over time) could be used for attribution purposes.</w:t>
            </w:r>
          </w:p>
        </w:tc>
      </w:tr>
    </w:tbl>
    <w:p w14:paraId="0273F649" w14:textId="77777777" w:rsidR="006D667A" w:rsidRPr="00A7082A" w:rsidRDefault="006D667A" w:rsidP="00620F0B">
      <w:pPr>
        <w:keepNext/>
        <w:keepLines/>
        <w:widowControl w:val="0"/>
        <w:tabs>
          <w:tab w:val="left" w:pos="4082"/>
        </w:tabs>
        <w:suppressAutoHyphens/>
        <w:spacing w:before="120" w:after="120"/>
        <w:jc w:val="right"/>
        <w:rPr>
          <w:bCs/>
        </w:rPr>
      </w:pPr>
    </w:p>
    <w:tbl>
      <w:tblPr>
        <w:tblW w:w="8307"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06"/>
        <w:gridCol w:w="3226"/>
        <w:gridCol w:w="1664"/>
        <w:gridCol w:w="1611"/>
      </w:tblGrid>
      <w:tr w:rsidR="006D667A" w:rsidRPr="00A7082A" w14:paraId="7108B733" w14:textId="77777777" w:rsidTr="00620F0B">
        <w:trPr>
          <w:trHeight w:val="812"/>
          <w:tblHeader/>
          <w:jc w:val="right"/>
        </w:trPr>
        <w:tc>
          <w:tcPr>
            <w:tcW w:w="5032" w:type="dxa"/>
            <w:gridSpan w:val="2"/>
            <w:tcBorders>
              <w:top w:val="single" w:sz="4" w:space="0" w:color="000000" w:themeColor="text1"/>
              <w:left w:val="nil"/>
              <w:bottom w:val="single" w:sz="12" w:space="0" w:color="000000" w:themeColor="text1"/>
              <w:right w:val="nil"/>
            </w:tcBorders>
            <w:shd w:val="clear" w:color="auto" w:fill="auto"/>
            <w:tcMar>
              <w:top w:w="80" w:type="dxa"/>
              <w:left w:w="80" w:type="dxa"/>
              <w:bottom w:w="80" w:type="dxa"/>
              <w:right w:w="80" w:type="dxa"/>
            </w:tcMar>
          </w:tcPr>
          <w:p w14:paraId="0A5771C9" w14:textId="77777777" w:rsidR="006D667A" w:rsidRPr="00A7082A" w:rsidRDefault="006D667A" w:rsidP="00620F0B">
            <w:pPr>
              <w:keepNext/>
              <w:keepLines/>
              <w:spacing w:after="60"/>
              <w:rPr>
                <w:bCs/>
                <w:i/>
                <w:sz w:val="18"/>
                <w:szCs w:val="18"/>
              </w:rPr>
            </w:pPr>
            <w:r w:rsidRPr="00A7082A">
              <w:rPr>
                <w:bCs/>
                <w:i/>
                <w:sz w:val="18"/>
                <w:szCs w:val="18"/>
              </w:rPr>
              <w:t xml:space="preserve">B: Supply cluster </w:t>
            </w:r>
          </w:p>
          <w:p w14:paraId="57B4ED95" w14:textId="635867AB" w:rsidR="006D667A" w:rsidRPr="00A7082A" w:rsidRDefault="006D667A" w:rsidP="00620F0B">
            <w:pPr>
              <w:keepNext/>
              <w:keepLines/>
              <w:ind w:left="486"/>
              <w:rPr>
                <w:i/>
                <w:sz w:val="18"/>
                <w:szCs w:val="18"/>
              </w:rPr>
            </w:pPr>
            <w:r w:rsidRPr="00A7082A">
              <w:rPr>
                <w:bCs/>
                <w:i/>
                <w:sz w:val="18"/>
                <w:szCs w:val="18"/>
              </w:rPr>
              <w:t>Article 3 (mercury supply sources and trade); article 10 (environmentally sound interim storage of mercury</w:t>
            </w:r>
            <w:r w:rsidR="00D5474A" w:rsidRPr="00A7082A">
              <w:rPr>
                <w:bCs/>
                <w:i/>
                <w:sz w:val="18"/>
                <w:szCs w:val="18"/>
              </w:rPr>
              <w:t>,</w:t>
            </w:r>
            <w:r w:rsidRPr="00A7082A">
              <w:rPr>
                <w:bCs/>
                <w:i/>
                <w:sz w:val="18"/>
                <w:szCs w:val="18"/>
              </w:rPr>
              <w:t xml:space="preserve"> other than waste mercury); article 11 (mercury waste</w:t>
            </w:r>
            <w:r w:rsidR="00D5474A" w:rsidRPr="00A7082A">
              <w:rPr>
                <w:bCs/>
                <w:i/>
                <w:sz w:val="18"/>
                <w:szCs w:val="18"/>
              </w:rPr>
              <w:t>s</w:t>
            </w:r>
            <w:r w:rsidRPr="00A7082A">
              <w:rPr>
                <w:bCs/>
                <w:i/>
                <w:sz w:val="18"/>
                <w:szCs w:val="18"/>
              </w:rPr>
              <w:t xml:space="preserve">) </w:t>
            </w:r>
          </w:p>
        </w:tc>
        <w:tc>
          <w:tcPr>
            <w:tcW w:w="1664" w:type="dxa"/>
            <w:tcBorders>
              <w:top w:val="single" w:sz="4" w:space="0" w:color="000000" w:themeColor="text1"/>
              <w:left w:val="nil"/>
              <w:bottom w:val="single" w:sz="12" w:space="0" w:color="000000" w:themeColor="text1"/>
              <w:right w:val="nil"/>
            </w:tcBorders>
            <w:shd w:val="clear" w:color="auto" w:fill="auto"/>
            <w:tcMar>
              <w:top w:w="80" w:type="dxa"/>
              <w:left w:w="80" w:type="dxa"/>
              <w:bottom w:w="80" w:type="dxa"/>
              <w:right w:w="80" w:type="dxa"/>
            </w:tcMar>
          </w:tcPr>
          <w:p w14:paraId="530B447F" w14:textId="77777777" w:rsidR="006D667A" w:rsidRPr="00A7082A" w:rsidRDefault="006D667A" w:rsidP="00620F0B">
            <w:pPr>
              <w:rPr>
                <w:i/>
                <w:sz w:val="18"/>
                <w:szCs w:val="18"/>
              </w:rPr>
            </w:pPr>
            <w:r w:rsidRPr="00A7082A">
              <w:rPr>
                <w:bCs/>
                <w:i/>
                <w:sz w:val="18"/>
                <w:szCs w:val="18"/>
              </w:rPr>
              <w:t>Source of information on the indicator</w:t>
            </w:r>
          </w:p>
        </w:tc>
        <w:tc>
          <w:tcPr>
            <w:tcW w:w="1611" w:type="dxa"/>
            <w:tcBorders>
              <w:top w:val="single" w:sz="4" w:space="0" w:color="000000" w:themeColor="text1"/>
              <w:left w:val="nil"/>
              <w:bottom w:val="single" w:sz="12" w:space="0" w:color="000000" w:themeColor="text1"/>
              <w:right w:val="nil"/>
            </w:tcBorders>
            <w:shd w:val="clear" w:color="auto" w:fill="auto"/>
            <w:tcMar>
              <w:top w:w="80" w:type="dxa"/>
              <w:left w:w="80" w:type="dxa"/>
              <w:bottom w:w="80" w:type="dxa"/>
              <w:right w:w="80" w:type="dxa"/>
            </w:tcMar>
          </w:tcPr>
          <w:p w14:paraId="724F8E08" w14:textId="77777777" w:rsidR="006D667A" w:rsidRPr="00A7082A" w:rsidRDefault="006D667A" w:rsidP="00620F0B">
            <w:pPr>
              <w:rPr>
                <w:i/>
                <w:sz w:val="18"/>
                <w:szCs w:val="18"/>
              </w:rPr>
            </w:pPr>
            <w:r w:rsidRPr="00A7082A">
              <w:rPr>
                <w:bCs/>
                <w:i/>
                <w:sz w:val="18"/>
                <w:szCs w:val="18"/>
              </w:rPr>
              <w:t>Baseline for the indicator</w:t>
            </w:r>
          </w:p>
        </w:tc>
      </w:tr>
      <w:tr w:rsidR="006D667A" w:rsidRPr="00A7082A" w14:paraId="1D50F762" w14:textId="77777777" w:rsidTr="00620F0B">
        <w:trPr>
          <w:trHeight w:val="1005"/>
          <w:jc w:val="right"/>
        </w:trPr>
        <w:tc>
          <w:tcPr>
            <w:tcW w:w="1806" w:type="dxa"/>
            <w:tcBorders>
              <w:top w:val="single" w:sz="12" w:space="0" w:color="000000" w:themeColor="text1"/>
              <w:left w:val="nil"/>
              <w:bottom w:val="nil"/>
              <w:right w:val="nil"/>
            </w:tcBorders>
            <w:shd w:val="clear" w:color="auto" w:fill="auto"/>
            <w:tcMar>
              <w:top w:w="80" w:type="dxa"/>
              <w:left w:w="80" w:type="dxa"/>
              <w:bottom w:w="80" w:type="dxa"/>
              <w:right w:w="80" w:type="dxa"/>
            </w:tcMar>
          </w:tcPr>
          <w:p w14:paraId="766907C0" w14:textId="77777777" w:rsidR="006D667A" w:rsidRPr="00A7082A" w:rsidRDefault="006D667A" w:rsidP="00620F0B">
            <w:pPr>
              <w:rPr>
                <w:sz w:val="18"/>
                <w:szCs w:val="18"/>
              </w:rPr>
            </w:pPr>
            <w:r w:rsidRPr="00A7082A">
              <w:rPr>
                <w:sz w:val="18"/>
                <w:szCs w:val="18"/>
              </w:rPr>
              <w:t>B1. Overall process indicator for articles 3, 10 and 11</w:t>
            </w:r>
          </w:p>
        </w:tc>
        <w:tc>
          <w:tcPr>
            <w:tcW w:w="3226" w:type="dxa"/>
            <w:tcBorders>
              <w:top w:val="single" w:sz="12" w:space="0" w:color="000000" w:themeColor="text1"/>
              <w:left w:val="nil"/>
              <w:bottom w:val="nil"/>
              <w:right w:val="nil"/>
            </w:tcBorders>
            <w:shd w:val="clear" w:color="auto" w:fill="auto"/>
            <w:tcMar>
              <w:top w:w="80" w:type="dxa"/>
              <w:left w:w="80" w:type="dxa"/>
              <w:bottom w:w="80" w:type="dxa"/>
              <w:right w:w="80" w:type="dxa"/>
            </w:tcMar>
          </w:tcPr>
          <w:p w14:paraId="365B4411" w14:textId="77777777" w:rsidR="006D667A" w:rsidRPr="00A7082A" w:rsidRDefault="006D667A" w:rsidP="00620F0B">
            <w:pPr>
              <w:keepNext/>
              <w:keepLines/>
              <w:tabs>
                <w:tab w:val="left" w:pos="1163"/>
              </w:tabs>
              <w:rPr>
                <w:sz w:val="18"/>
                <w:szCs w:val="18"/>
              </w:rPr>
            </w:pPr>
            <w:r w:rsidRPr="00A7082A">
              <w:rPr>
                <w:sz w:val="18"/>
                <w:szCs w:val="18"/>
              </w:rPr>
              <w:t>Proportion of parties that have implemented key provisions under this cluster (encompassing all process indicators below, i.e., B5, B6, B7, B8, B9 and B13)</w:t>
            </w:r>
          </w:p>
        </w:tc>
        <w:tc>
          <w:tcPr>
            <w:tcW w:w="1664" w:type="dxa"/>
            <w:tcBorders>
              <w:top w:val="single" w:sz="12" w:space="0" w:color="000000" w:themeColor="text1"/>
              <w:left w:val="nil"/>
              <w:bottom w:val="nil"/>
              <w:right w:val="nil"/>
            </w:tcBorders>
            <w:shd w:val="clear" w:color="auto" w:fill="auto"/>
            <w:tcMar>
              <w:top w:w="80" w:type="dxa"/>
              <w:left w:w="80" w:type="dxa"/>
              <w:bottom w:w="80" w:type="dxa"/>
              <w:right w:w="80" w:type="dxa"/>
            </w:tcMar>
          </w:tcPr>
          <w:p w14:paraId="664F08A1" w14:textId="77777777" w:rsidR="006D667A" w:rsidRPr="00A7082A" w:rsidRDefault="006D667A" w:rsidP="00620F0B">
            <w:pPr>
              <w:tabs>
                <w:tab w:val="left" w:pos="1163"/>
              </w:tabs>
              <w:rPr>
                <w:sz w:val="18"/>
                <w:szCs w:val="18"/>
              </w:rPr>
            </w:pPr>
            <w:r w:rsidRPr="00A7082A">
              <w:rPr>
                <w:sz w:val="18"/>
                <w:szCs w:val="18"/>
              </w:rPr>
              <w:t>- Article 21 reporting</w:t>
            </w:r>
          </w:p>
        </w:tc>
        <w:tc>
          <w:tcPr>
            <w:tcW w:w="1611" w:type="dxa"/>
            <w:tcBorders>
              <w:top w:val="single" w:sz="12" w:space="0" w:color="000000" w:themeColor="text1"/>
              <w:left w:val="nil"/>
              <w:bottom w:val="nil"/>
              <w:right w:val="nil"/>
            </w:tcBorders>
            <w:shd w:val="clear" w:color="auto" w:fill="auto"/>
            <w:tcMar>
              <w:top w:w="80" w:type="dxa"/>
              <w:left w:w="80" w:type="dxa"/>
              <w:bottom w:w="80" w:type="dxa"/>
              <w:right w:w="80" w:type="dxa"/>
            </w:tcMar>
          </w:tcPr>
          <w:p w14:paraId="010AFB22" w14:textId="77777777" w:rsidR="006D667A" w:rsidRPr="00A7082A" w:rsidRDefault="006D667A" w:rsidP="00620F0B">
            <w:pPr>
              <w:rPr>
                <w:sz w:val="18"/>
                <w:szCs w:val="18"/>
              </w:rPr>
            </w:pPr>
            <w:r w:rsidRPr="00A7082A">
              <w:rPr>
                <w:sz w:val="18"/>
                <w:szCs w:val="18"/>
              </w:rPr>
              <w:t>Amount in the first evaluation</w:t>
            </w:r>
          </w:p>
        </w:tc>
      </w:tr>
      <w:tr w:rsidR="006D667A" w:rsidRPr="00A7082A" w14:paraId="38A521A5" w14:textId="77777777" w:rsidTr="00620F0B">
        <w:trPr>
          <w:trHeight w:val="57"/>
          <w:jc w:val="right"/>
        </w:trPr>
        <w:tc>
          <w:tcPr>
            <w:tcW w:w="1806" w:type="dxa"/>
            <w:tcBorders>
              <w:top w:val="nil"/>
              <w:left w:val="nil"/>
              <w:bottom w:val="single" w:sz="4" w:space="0" w:color="000000" w:themeColor="text1"/>
              <w:right w:val="nil"/>
            </w:tcBorders>
            <w:shd w:val="clear" w:color="auto" w:fill="auto"/>
            <w:tcMar>
              <w:top w:w="80" w:type="dxa"/>
              <w:left w:w="80" w:type="dxa"/>
              <w:bottom w:w="80" w:type="dxa"/>
              <w:right w:w="80" w:type="dxa"/>
            </w:tcMar>
          </w:tcPr>
          <w:p w14:paraId="462F2EA3" w14:textId="175BE3D1" w:rsidR="006D667A" w:rsidRPr="00A7082A" w:rsidRDefault="006D667A" w:rsidP="00417FE2">
            <w:pPr>
              <w:keepNext/>
              <w:keepLines/>
              <w:rPr>
                <w:sz w:val="18"/>
                <w:szCs w:val="18"/>
              </w:rPr>
            </w:pPr>
            <w:r w:rsidRPr="00A7082A">
              <w:rPr>
                <w:sz w:val="18"/>
                <w:szCs w:val="18"/>
              </w:rPr>
              <w:lastRenderedPageBreak/>
              <w:t>B2. Additional cross</w:t>
            </w:r>
            <w:r w:rsidR="00660CBD" w:rsidRPr="00A7082A">
              <w:rPr>
                <w:sz w:val="18"/>
                <w:szCs w:val="18"/>
              </w:rPr>
              <w:t>-</w:t>
            </w:r>
            <w:r w:rsidRPr="00A7082A">
              <w:rPr>
                <w:sz w:val="18"/>
                <w:szCs w:val="18"/>
              </w:rPr>
              <w:t>cutting outcome indicator for articles 3, 10 and 11</w:t>
            </w:r>
          </w:p>
        </w:tc>
        <w:tc>
          <w:tcPr>
            <w:tcW w:w="3226" w:type="dxa"/>
            <w:tcBorders>
              <w:top w:val="nil"/>
              <w:left w:val="nil"/>
              <w:bottom w:val="single" w:sz="4" w:space="0" w:color="000000" w:themeColor="text1"/>
              <w:right w:val="nil"/>
            </w:tcBorders>
            <w:shd w:val="clear" w:color="auto" w:fill="auto"/>
            <w:tcMar>
              <w:top w:w="80" w:type="dxa"/>
              <w:left w:w="80" w:type="dxa"/>
              <w:bottom w:w="80" w:type="dxa"/>
              <w:right w:w="80" w:type="dxa"/>
            </w:tcMar>
          </w:tcPr>
          <w:p w14:paraId="1B1D05DC" w14:textId="77777777" w:rsidR="006D667A" w:rsidRPr="00A7082A" w:rsidRDefault="006D667A" w:rsidP="00417FE2">
            <w:pPr>
              <w:keepNext/>
              <w:keepLines/>
              <w:rPr>
                <w:sz w:val="18"/>
                <w:szCs w:val="18"/>
              </w:rPr>
            </w:pPr>
            <w:r w:rsidRPr="00A7082A">
              <w:rPr>
                <w:sz w:val="18"/>
                <w:szCs w:val="18"/>
              </w:rPr>
              <w:t>Estimated global supply of mercury, in tonnes per year</w:t>
            </w:r>
          </w:p>
        </w:tc>
        <w:tc>
          <w:tcPr>
            <w:tcW w:w="1664" w:type="dxa"/>
            <w:tcBorders>
              <w:top w:val="nil"/>
              <w:left w:val="nil"/>
              <w:bottom w:val="single" w:sz="4" w:space="0" w:color="000000" w:themeColor="text1"/>
              <w:right w:val="nil"/>
            </w:tcBorders>
            <w:shd w:val="clear" w:color="auto" w:fill="auto"/>
            <w:tcMar>
              <w:top w:w="80" w:type="dxa"/>
              <w:left w:w="80" w:type="dxa"/>
              <w:bottom w:w="80" w:type="dxa"/>
              <w:right w:w="80" w:type="dxa"/>
            </w:tcMar>
          </w:tcPr>
          <w:p w14:paraId="43769499" w14:textId="77777777" w:rsidR="006D667A" w:rsidRPr="00A7082A" w:rsidRDefault="006D667A" w:rsidP="00417FE2">
            <w:pPr>
              <w:keepNext/>
              <w:keepLines/>
              <w:rPr>
                <w:sz w:val="18"/>
                <w:szCs w:val="18"/>
              </w:rPr>
            </w:pPr>
            <w:r w:rsidRPr="00A7082A">
              <w:rPr>
                <w:sz w:val="18"/>
                <w:szCs w:val="18"/>
              </w:rPr>
              <w:t>- Synthesized information from individual indicators for articles 3, 10 and 11</w:t>
            </w:r>
          </w:p>
        </w:tc>
        <w:tc>
          <w:tcPr>
            <w:tcW w:w="1611" w:type="dxa"/>
            <w:tcBorders>
              <w:top w:val="nil"/>
              <w:left w:val="nil"/>
              <w:bottom w:val="single" w:sz="4" w:space="0" w:color="000000" w:themeColor="text1"/>
              <w:right w:val="nil"/>
            </w:tcBorders>
            <w:shd w:val="clear" w:color="auto" w:fill="auto"/>
            <w:tcMar>
              <w:top w:w="80" w:type="dxa"/>
              <w:left w:w="80" w:type="dxa"/>
              <w:bottom w:w="80" w:type="dxa"/>
              <w:right w:w="80" w:type="dxa"/>
            </w:tcMar>
          </w:tcPr>
          <w:p w14:paraId="372F9CF5" w14:textId="77777777" w:rsidR="006D667A" w:rsidRPr="00A7082A" w:rsidRDefault="006D667A" w:rsidP="00417FE2">
            <w:pPr>
              <w:keepNext/>
              <w:keepLines/>
              <w:rPr>
                <w:sz w:val="18"/>
                <w:szCs w:val="18"/>
              </w:rPr>
            </w:pPr>
            <w:r w:rsidRPr="00A7082A">
              <w:rPr>
                <w:sz w:val="18"/>
                <w:szCs w:val="18"/>
              </w:rPr>
              <w:t>Amount in the first evaluation</w:t>
            </w:r>
          </w:p>
        </w:tc>
      </w:tr>
      <w:tr w:rsidR="006D667A" w:rsidRPr="00A7082A" w14:paraId="30D309F0" w14:textId="77777777" w:rsidTr="00620F0B">
        <w:trPr>
          <w:trHeight w:val="259"/>
          <w:jc w:val="right"/>
        </w:trPr>
        <w:tc>
          <w:tcPr>
            <w:tcW w:w="1806"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32088B16" w14:textId="77777777" w:rsidR="006D667A" w:rsidRPr="00A7082A" w:rsidRDefault="006D667A" w:rsidP="00620F0B">
            <w:pPr>
              <w:rPr>
                <w:sz w:val="18"/>
                <w:szCs w:val="18"/>
              </w:rPr>
            </w:pPr>
            <w:r w:rsidRPr="00A7082A">
              <w:rPr>
                <w:b/>
                <w:bCs/>
                <w:sz w:val="18"/>
                <w:szCs w:val="18"/>
              </w:rPr>
              <w:t>Article 3</w:t>
            </w:r>
          </w:p>
        </w:tc>
        <w:tc>
          <w:tcPr>
            <w:tcW w:w="3226"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0CCCA429" w14:textId="77777777" w:rsidR="006D667A" w:rsidRPr="00A7082A" w:rsidRDefault="006D667A" w:rsidP="00620F0B">
            <w:pPr>
              <w:keepNext/>
              <w:keepLines/>
              <w:rPr>
                <w:sz w:val="18"/>
                <w:szCs w:val="18"/>
              </w:rPr>
            </w:pPr>
          </w:p>
        </w:tc>
        <w:tc>
          <w:tcPr>
            <w:tcW w:w="1664"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21C27238" w14:textId="77777777" w:rsidR="006D667A" w:rsidRPr="00A7082A" w:rsidRDefault="006D667A" w:rsidP="00620F0B">
            <w:pPr>
              <w:rPr>
                <w:sz w:val="18"/>
                <w:szCs w:val="18"/>
              </w:rPr>
            </w:pPr>
          </w:p>
        </w:tc>
        <w:tc>
          <w:tcPr>
            <w:tcW w:w="1611"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3BA48019" w14:textId="77777777" w:rsidR="006D667A" w:rsidRPr="00A7082A" w:rsidRDefault="006D667A" w:rsidP="00620F0B">
            <w:pPr>
              <w:rPr>
                <w:sz w:val="18"/>
                <w:szCs w:val="18"/>
              </w:rPr>
            </w:pPr>
          </w:p>
        </w:tc>
      </w:tr>
      <w:tr w:rsidR="006D667A" w:rsidRPr="00A7082A" w14:paraId="1DB8B3E3" w14:textId="77777777" w:rsidTr="00620F0B">
        <w:trPr>
          <w:trHeight w:val="57"/>
          <w:jc w:val="right"/>
        </w:trPr>
        <w:tc>
          <w:tcPr>
            <w:tcW w:w="1806" w:type="dxa"/>
            <w:tcBorders>
              <w:top w:val="single" w:sz="4" w:space="0" w:color="000000" w:themeColor="text1"/>
              <w:left w:val="nil"/>
              <w:bottom w:val="nil"/>
              <w:right w:val="nil"/>
            </w:tcBorders>
            <w:shd w:val="clear" w:color="auto" w:fill="auto"/>
            <w:tcMar>
              <w:top w:w="80" w:type="dxa"/>
              <w:left w:w="80" w:type="dxa"/>
              <w:bottom w:w="80" w:type="dxa"/>
              <w:right w:w="80" w:type="dxa"/>
            </w:tcMar>
          </w:tcPr>
          <w:p w14:paraId="2B310146" w14:textId="77777777" w:rsidR="006D667A" w:rsidRPr="00A7082A" w:rsidRDefault="006D667A" w:rsidP="00620F0B">
            <w:pPr>
              <w:rPr>
                <w:sz w:val="18"/>
                <w:szCs w:val="18"/>
              </w:rPr>
            </w:pPr>
            <w:r w:rsidRPr="00A7082A">
              <w:rPr>
                <w:sz w:val="18"/>
                <w:szCs w:val="18"/>
              </w:rPr>
              <w:t>B3. Outcome indicator for article 3</w:t>
            </w:r>
          </w:p>
        </w:tc>
        <w:tc>
          <w:tcPr>
            <w:tcW w:w="3226" w:type="dxa"/>
            <w:tcBorders>
              <w:top w:val="single" w:sz="4" w:space="0" w:color="000000" w:themeColor="text1"/>
              <w:left w:val="nil"/>
              <w:bottom w:val="nil"/>
              <w:right w:val="nil"/>
            </w:tcBorders>
            <w:shd w:val="clear" w:color="auto" w:fill="auto"/>
            <w:tcMar>
              <w:top w:w="80" w:type="dxa"/>
              <w:left w:w="80" w:type="dxa"/>
              <w:bottom w:w="80" w:type="dxa"/>
              <w:right w:w="80" w:type="dxa"/>
            </w:tcMar>
          </w:tcPr>
          <w:p w14:paraId="120AA00B" w14:textId="77777777" w:rsidR="006D667A" w:rsidRPr="00A7082A" w:rsidRDefault="006D667A" w:rsidP="00620F0B">
            <w:pPr>
              <w:tabs>
                <w:tab w:val="left" w:pos="1163"/>
              </w:tabs>
              <w:rPr>
                <w:sz w:val="18"/>
                <w:szCs w:val="18"/>
              </w:rPr>
            </w:pPr>
            <w:r w:rsidRPr="00A7082A">
              <w:rPr>
                <w:sz w:val="18"/>
                <w:szCs w:val="18"/>
              </w:rPr>
              <w:t>Total amount of mercury mined from primary mercury mines</w:t>
            </w:r>
          </w:p>
        </w:tc>
        <w:tc>
          <w:tcPr>
            <w:tcW w:w="1664" w:type="dxa"/>
            <w:tcBorders>
              <w:top w:val="single" w:sz="4" w:space="0" w:color="000000" w:themeColor="text1"/>
              <w:left w:val="nil"/>
              <w:bottom w:val="nil"/>
              <w:right w:val="nil"/>
            </w:tcBorders>
            <w:shd w:val="clear" w:color="auto" w:fill="auto"/>
            <w:tcMar>
              <w:top w:w="80" w:type="dxa"/>
              <w:left w:w="80" w:type="dxa"/>
              <w:bottom w:w="80" w:type="dxa"/>
              <w:right w:w="80" w:type="dxa"/>
            </w:tcMar>
          </w:tcPr>
          <w:p w14:paraId="3CAA6FA8" w14:textId="77777777" w:rsidR="006D667A" w:rsidRPr="00A7082A" w:rsidRDefault="006D667A" w:rsidP="00620F0B">
            <w:pPr>
              <w:rPr>
                <w:sz w:val="18"/>
                <w:szCs w:val="18"/>
              </w:rPr>
            </w:pPr>
            <w:r w:rsidRPr="00A7082A">
              <w:rPr>
                <w:sz w:val="18"/>
                <w:szCs w:val="18"/>
              </w:rPr>
              <w:t>- 2017 report on global mercury supply, trade and demand</w:t>
            </w:r>
          </w:p>
          <w:p w14:paraId="718A5991" w14:textId="77777777" w:rsidR="006D667A" w:rsidRPr="00A7082A" w:rsidRDefault="006D667A" w:rsidP="00620F0B">
            <w:pPr>
              <w:tabs>
                <w:tab w:val="left" w:pos="1163"/>
              </w:tabs>
              <w:rPr>
                <w:sz w:val="18"/>
                <w:szCs w:val="18"/>
              </w:rPr>
            </w:pPr>
            <w:r w:rsidRPr="00A7082A">
              <w:rPr>
                <w:sz w:val="18"/>
                <w:szCs w:val="18"/>
              </w:rPr>
              <w:t>- Article 21 reporting</w:t>
            </w:r>
          </w:p>
          <w:p w14:paraId="639B1233" w14:textId="77777777" w:rsidR="006D667A" w:rsidRPr="00A7082A" w:rsidRDefault="006D667A" w:rsidP="00620F0B">
            <w:pPr>
              <w:rPr>
                <w:sz w:val="18"/>
                <w:szCs w:val="18"/>
              </w:rPr>
            </w:pPr>
            <w:r w:rsidRPr="00A7082A">
              <w:rPr>
                <w:sz w:val="18"/>
                <w:szCs w:val="18"/>
              </w:rPr>
              <w:t>- ASGM national action plan reports</w:t>
            </w:r>
          </w:p>
        </w:tc>
        <w:tc>
          <w:tcPr>
            <w:tcW w:w="1611" w:type="dxa"/>
            <w:tcBorders>
              <w:top w:val="single" w:sz="4" w:space="0" w:color="000000" w:themeColor="text1"/>
              <w:left w:val="nil"/>
              <w:bottom w:val="nil"/>
              <w:right w:val="nil"/>
            </w:tcBorders>
            <w:shd w:val="clear" w:color="auto" w:fill="auto"/>
            <w:tcMar>
              <w:top w:w="80" w:type="dxa"/>
              <w:left w:w="80" w:type="dxa"/>
              <w:bottom w:w="80" w:type="dxa"/>
              <w:right w:w="80" w:type="dxa"/>
            </w:tcMar>
          </w:tcPr>
          <w:p w14:paraId="4F16188D" w14:textId="77777777" w:rsidR="006D667A" w:rsidRPr="00A7082A" w:rsidRDefault="006D667A" w:rsidP="00620F0B">
            <w:pPr>
              <w:rPr>
                <w:sz w:val="18"/>
                <w:szCs w:val="18"/>
              </w:rPr>
            </w:pPr>
            <w:r w:rsidRPr="00A7082A">
              <w:rPr>
                <w:sz w:val="18"/>
                <w:szCs w:val="18"/>
              </w:rPr>
              <w:t>Amount in the first evaluation</w:t>
            </w:r>
          </w:p>
        </w:tc>
      </w:tr>
      <w:tr w:rsidR="006D667A" w:rsidRPr="00A7082A" w14:paraId="661E5AC9" w14:textId="77777777" w:rsidTr="00620F0B">
        <w:trPr>
          <w:trHeight w:val="57"/>
          <w:jc w:val="right"/>
        </w:trPr>
        <w:tc>
          <w:tcPr>
            <w:tcW w:w="1806" w:type="dxa"/>
            <w:tcBorders>
              <w:top w:val="nil"/>
              <w:left w:val="nil"/>
              <w:bottom w:val="nil"/>
              <w:right w:val="nil"/>
            </w:tcBorders>
            <w:shd w:val="clear" w:color="auto" w:fill="auto"/>
            <w:tcMar>
              <w:top w:w="80" w:type="dxa"/>
              <w:left w:w="80" w:type="dxa"/>
              <w:bottom w:w="80" w:type="dxa"/>
              <w:right w:w="80" w:type="dxa"/>
            </w:tcMar>
          </w:tcPr>
          <w:p w14:paraId="51D9DD10" w14:textId="77777777" w:rsidR="006D667A" w:rsidRPr="00A7082A" w:rsidRDefault="006D667A" w:rsidP="00620F0B">
            <w:pPr>
              <w:rPr>
                <w:sz w:val="18"/>
                <w:szCs w:val="18"/>
              </w:rPr>
            </w:pPr>
            <w:r w:rsidRPr="00A7082A">
              <w:rPr>
                <w:sz w:val="18"/>
                <w:szCs w:val="18"/>
              </w:rPr>
              <w:t>B4. Outcome indicator for article 3</w:t>
            </w:r>
          </w:p>
        </w:tc>
        <w:tc>
          <w:tcPr>
            <w:tcW w:w="3226" w:type="dxa"/>
            <w:tcBorders>
              <w:top w:val="nil"/>
              <w:left w:val="nil"/>
              <w:bottom w:val="nil"/>
              <w:right w:val="nil"/>
            </w:tcBorders>
            <w:shd w:val="clear" w:color="auto" w:fill="auto"/>
            <w:tcMar>
              <w:top w:w="80" w:type="dxa"/>
              <w:left w:w="80" w:type="dxa"/>
              <w:bottom w:w="80" w:type="dxa"/>
              <w:right w:w="80" w:type="dxa"/>
            </w:tcMar>
          </w:tcPr>
          <w:p w14:paraId="2E02813C" w14:textId="77777777" w:rsidR="006D667A" w:rsidRPr="00A7082A" w:rsidRDefault="006D667A" w:rsidP="00620F0B">
            <w:pPr>
              <w:tabs>
                <w:tab w:val="left" w:pos="1163"/>
              </w:tabs>
              <w:rPr>
                <w:sz w:val="18"/>
                <w:szCs w:val="18"/>
              </w:rPr>
            </w:pPr>
            <w:r w:rsidRPr="00A7082A">
              <w:rPr>
                <w:sz w:val="18"/>
                <w:szCs w:val="18"/>
              </w:rPr>
              <w:t>Amount of mercury traded, broken down by specific purpose</w:t>
            </w:r>
          </w:p>
        </w:tc>
        <w:tc>
          <w:tcPr>
            <w:tcW w:w="1664" w:type="dxa"/>
            <w:tcBorders>
              <w:top w:val="nil"/>
              <w:left w:val="nil"/>
              <w:bottom w:val="nil"/>
              <w:right w:val="nil"/>
            </w:tcBorders>
            <w:shd w:val="clear" w:color="auto" w:fill="auto"/>
            <w:tcMar>
              <w:top w:w="80" w:type="dxa"/>
              <w:left w:w="80" w:type="dxa"/>
              <w:bottom w:w="80" w:type="dxa"/>
              <w:right w:w="80" w:type="dxa"/>
            </w:tcMar>
          </w:tcPr>
          <w:p w14:paraId="3124AD25" w14:textId="77777777" w:rsidR="006D667A" w:rsidRPr="00A7082A" w:rsidRDefault="006D667A" w:rsidP="00620F0B">
            <w:pPr>
              <w:rPr>
                <w:sz w:val="18"/>
                <w:szCs w:val="18"/>
              </w:rPr>
            </w:pPr>
            <w:r w:rsidRPr="00A7082A">
              <w:rPr>
                <w:sz w:val="18"/>
                <w:szCs w:val="18"/>
              </w:rPr>
              <w:t>- Article 3 forms</w:t>
            </w:r>
          </w:p>
        </w:tc>
        <w:tc>
          <w:tcPr>
            <w:tcW w:w="1611" w:type="dxa"/>
            <w:tcBorders>
              <w:top w:val="nil"/>
              <w:left w:val="nil"/>
              <w:bottom w:val="nil"/>
              <w:right w:val="nil"/>
            </w:tcBorders>
            <w:shd w:val="clear" w:color="auto" w:fill="auto"/>
            <w:tcMar>
              <w:top w:w="80" w:type="dxa"/>
              <w:left w:w="80" w:type="dxa"/>
              <w:bottom w:w="80" w:type="dxa"/>
              <w:right w:w="80" w:type="dxa"/>
            </w:tcMar>
          </w:tcPr>
          <w:p w14:paraId="67132FD1" w14:textId="77777777" w:rsidR="006D667A" w:rsidRPr="00A7082A" w:rsidRDefault="006D667A" w:rsidP="00620F0B">
            <w:pPr>
              <w:rPr>
                <w:sz w:val="18"/>
                <w:szCs w:val="18"/>
              </w:rPr>
            </w:pPr>
            <w:r w:rsidRPr="00A7082A">
              <w:rPr>
                <w:sz w:val="18"/>
                <w:szCs w:val="18"/>
              </w:rPr>
              <w:t>Amount in the first evaluation</w:t>
            </w:r>
          </w:p>
        </w:tc>
      </w:tr>
      <w:tr w:rsidR="006D667A" w:rsidRPr="00A7082A" w14:paraId="5011BF77" w14:textId="77777777" w:rsidTr="00620F0B">
        <w:trPr>
          <w:trHeight w:val="57"/>
          <w:jc w:val="right"/>
        </w:trPr>
        <w:tc>
          <w:tcPr>
            <w:tcW w:w="1806" w:type="dxa"/>
            <w:tcBorders>
              <w:top w:val="nil"/>
              <w:left w:val="nil"/>
              <w:bottom w:val="nil"/>
              <w:right w:val="nil"/>
            </w:tcBorders>
            <w:shd w:val="clear" w:color="auto" w:fill="auto"/>
            <w:tcMar>
              <w:top w:w="80" w:type="dxa"/>
              <w:left w:w="80" w:type="dxa"/>
              <w:bottom w:w="80" w:type="dxa"/>
              <w:right w:w="80" w:type="dxa"/>
            </w:tcMar>
          </w:tcPr>
          <w:p w14:paraId="358DC682" w14:textId="77777777" w:rsidR="006D667A" w:rsidRPr="00A7082A" w:rsidRDefault="006D667A" w:rsidP="00620F0B">
            <w:pPr>
              <w:rPr>
                <w:sz w:val="18"/>
                <w:szCs w:val="18"/>
              </w:rPr>
            </w:pPr>
            <w:r w:rsidRPr="00A7082A">
              <w:rPr>
                <w:sz w:val="18"/>
                <w:szCs w:val="18"/>
              </w:rPr>
              <w:t>B5. Process indicator for article 3</w:t>
            </w:r>
          </w:p>
        </w:tc>
        <w:tc>
          <w:tcPr>
            <w:tcW w:w="3226" w:type="dxa"/>
            <w:tcBorders>
              <w:top w:val="nil"/>
              <w:left w:val="nil"/>
              <w:bottom w:val="nil"/>
              <w:right w:val="nil"/>
            </w:tcBorders>
            <w:shd w:val="clear" w:color="auto" w:fill="auto"/>
            <w:tcMar>
              <w:top w:w="80" w:type="dxa"/>
              <w:left w:w="80" w:type="dxa"/>
              <w:bottom w:w="80" w:type="dxa"/>
              <w:right w:w="80" w:type="dxa"/>
            </w:tcMar>
          </w:tcPr>
          <w:p w14:paraId="1B053BE0" w14:textId="77777777" w:rsidR="006D667A" w:rsidRPr="00A7082A" w:rsidRDefault="006D667A" w:rsidP="00620F0B">
            <w:pPr>
              <w:tabs>
                <w:tab w:val="left" w:pos="1163"/>
              </w:tabs>
              <w:rPr>
                <w:sz w:val="18"/>
                <w:szCs w:val="18"/>
              </w:rPr>
            </w:pPr>
            <w:r w:rsidRPr="00A7082A">
              <w:rPr>
                <w:sz w:val="18"/>
                <w:szCs w:val="18"/>
              </w:rPr>
              <w:t>Number of parties that have endeavoured to identify stocks and sources of supply</w:t>
            </w:r>
          </w:p>
        </w:tc>
        <w:tc>
          <w:tcPr>
            <w:tcW w:w="1664" w:type="dxa"/>
            <w:tcBorders>
              <w:top w:val="nil"/>
              <w:left w:val="nil"/>
              <w:bottom w:val="nil"/>
              <w:right w:val="nil"/>
            </w:tcBorders>
            <w:shd w:val="clear" w:color="auto" w:fill="auto"/>
            <w:tcMar>
              <w:top w:w="80" w:type="dxa"/>
              <w:left w:w="80" w:type="dxa"/>
              <w:bottom w:w="80" w:type="dxa"/>
              <w:right w:w="80" w:type="dxa"/>
            </w:tcMar>
          </w:tcPr>
          <w:p w14:paraId="32D6C144" w14:textId="77777777" w:rsidR="006D667A" w:rsidRPr="00A7082A" w:rsidRDefault="006D667A" w:rsidP="00620F0B">
            <w:pPr>
              <w:tabs>
                <w:tab w:val="left" w:pos="1163"/>
              </w:tabs>
              <w:rPr>
                <w:sz w:val="18"/>
                <w:szCs w:val="18"/>
              </w:rPr>
            </w:pPr>
            <w:r w:rsidRPr="00A7082A">
              <w:rPr>
                <w:sz w:val="18"/>
                <w:szCs w:val="18"/>
              </w:rPr>
              <w:t>- Article 21 reporting</w:t>
            </w:r>
          </w:p>
        </w:tc>
        <w:tc>
          <w:tcPr>
            <w:tcW w:w="1611" w:type="dxa"/>
            <w:tcBorders>
              <w:top w:val="nil"/>
              <w:left w:val="nil"/>
              <w:bottom w:val="nil"/>
              <w:right w:val="nil"/>
            </w:tcBorders>
            <w:shd w:val="clear" w:color="auto" w:fill="auto"/>
            <w:tcMar>
              <w:top w:w="80" w:type="dxa"/>
              <w:left w:w="80" w:type="dxa"/>
              <w:bottom w:w="80" w:type="dxa"/>
              <w:right w:w="80" w:type="dxa"/>
            </w:tcMar>
          </w:tcPr>
          <w:p w14:paraId="73C10CB7" w14:textId="77777777" w:rsidR="006D667A" w:rsidRPr="00A7082A" w:rsidRDefault="006D667A" w:rsidP="00620F0B">
            <w:pPr>
              <w:rPr>
                <w:sz w:val="18"/>
                <w:szCs w:val="18"/>
              </w:rPr>
            </w:pPr>
            <w:r w:rsidRPr="00A7082A">
              <w:rPr>
                <w:sz w:val="18"/>
                <w:szCs w:val="18"/>
              </w:rPr>
              <w:t>Number in the first evaluation</w:t>
            </w:r>
          </w:p>
        </w:tc>
      </w:tr>
      <w:tr w:rsidR="006D667A" w:rsidRPr="00A7082A" w14:paraId="72D6E83A" w14:textId="77777777" w:rsidTr="00620F0B">
        <w:trPr>
          <w:trHeight w:val="57"/>
          <w:jc w:val="right"/>
        </w:trPr>
        <w:tc>
          <w:tcPr>
            <w:tcW w:w="1806" w:type="dxa"/>
            <w:tcBorders>
              <w:top w:val="nil"/>
              <w:left w:val="nil"/>
              <w:bottom w:val="nil"/>
              <w:right w:val="nil"/>
            </w:tcBorders>
            <w:shd w:val="clear" w:color="auto" w:fill="auto"/>
            <w:tcMar>
              <w:top w:w="80" w:type="dxa"/>
              <w:left w:w="80" w:type="dxa"/>
              <w:bottom w:w="80" w:type="dxa"/>
              <w:right w:w="80" w:type="dxa"/>
            </w:tcMar>
          </w:tcPr>
          <w:p w14:paraId="53EB2327" w14:textId="77777777" w:rsidR="006D667A" w:rsidRPr="00A7082A" w:rsidRDefault="006D667A" w:rsidP="00620F0B">
            <w:pPr>
              <w:tabs>
                <w:tab w:val="left" w:pos="1163"/>
              </w:tabs>
              <w:rPr>
                <w:sz w:val="18"/>
                <w:szCs w:val="18"/>
              </w:rPr>
            </w:pPr>
            <w:r w:rsidRPr="00A7082A">
              <w:rPr>
                <w:sz w:val="18"/>
                <w:szCs w:val="18"/>
              </w:rPr>
              <w:t>B6. Process indicator for article 3</w:t>
            </w:r>
          </w:p>
        </w:tc>
        <w:tc>
          <w:tcPr>
            <w:tcW w:w="3226" w:type="dxa"/>
            <w:tcBorders>
              <w:top w:val="nil"/>
              <w:left w:val="nil"/>
              <w:bottom w:val="nil"/>
              <w:right w:val="nil"/>
            </w:tcBorders>
            <w:shd w:val="clear" w:color="auto" w:fill="auto"/>
            <w:tcMar>
              <w:top w:w="80" w:type="dxa"/>
              <w:left w:w="80" w:type="dxa"/>
              <w:bottom w:w="80" w:type="dxa"/>
              <w:right w:w="80" w:type="dxa"/>
            </w:tcMar>
          </w:tcPr>
          <w:p w14:paraId="7EB070B9" w14:textId="3783468C" w:rsidR="006D667A" w:rsidRPr="00A7082A" w:rsidRDefault="006D667A" w:rsidP="00620F0B">
            <w:pPr>
              <w:tabs>
                <w:tab w:val="left" w:pos="1163"/>
              </w:tabs>
              <w:rPr>
                <w:sz w:val="18"/>
                <w:szCs w:val="18"/>
              </w:rPr>
            </w:pPr>
            <w:r w:rsidRPr="00A7082A">
              <w:rPr>
                <w:sz w:val="18"/>
                <w:szCs w:val="18"/>
              </w:rPr>
              <w:t xml:space="preserve"> For those </w:t>
            </w:r>
            <w:r w:rsidR="00CF0BFD" w:rsidRPr="00A7082A">
              <w:rPr>
                <w:sz w:val="18"/>
                <w:szCs w:val="18"/>
              </w:rPr>
              <w:t xml:space="preserve">parties </w:t>
            </w:r>
            <w:r w:rsidRPr="00A7082A">
              <w:rPr>
                <w:sz w:val="18"/>
                <w:szCs w:val="18"/>
              </w:rPr>
              <w:t xml:space="preserve">that have determined they have excess Hg, whether they have taken measures called for in </w:t>
            </w:r>
            <w:r w:rsidR="002349CA" w:rsidRPr="00A7082A">
              <w:rPr>
                <w:sz w:val="18"/>
                <w:szCs w:val="18"/>
              </w:rPr>
              <w:t>a</w:t>
            </w:r>
            <w:r w:rsidRPr="00A7082A">
              <w:rPr>
                <w:sz w:val="18"/>
                <w:szCs w:val="18"/>
              </w:rPr>
              <w:t>rt</w:t>
            </w:r>
            <w:r w:rsidR="002349CA" w:rsidRPr="00A7082A">
              <w:rPr>
                <w:sz w:val="18"/>
                <w:szCs w:val="18"/>
              </w:rPr>
              <w:t>icle</w:t>
            </w:r>
            <w:r w:rsidRPr="00A7082A">
              <w:rPr>
                <w:sz w:val="18"/>
                <w:szCs w:val="18"/>
              </w:rPr>
              <w:t xml:space="preserve"> 3 para</w:t>
            </w:r>
            <w:r w:rsidR="00660CBD" w:rsidRPr="00A7082A">
              <w:rPr>
                <w:sz w:val="18"/>
                <w:szCs w:val="18"/>
              </w:rPr>
              <w:t>.</w:t>
            </w:r>
            <w:r w:rsidRPr="00A7082A">
              <w:rPr>
                <w:sz w:val="18"/>
                <w:szCs w:val="18"/>
              </w:rPr>
              <w:t xml:space="preserve"> 5</w:t>
            </w:r>
            <w:r w:rsidR="00CF0BFD" w:rsidRPr="00A7082A">
              <w:rPr>
                <w:sz w:val="18"/>
                <w:szCs w:val="18"/>
              </w:rPr>
              <w:t xml:space="preserve"> </w:t>
            </w:r>
            <w:r w:rsidRPr="00A7082A">
              <w:rPr>
                <w:sz w:val="18"/>
                <w:szCs w:val="18"/>
              </w:rPr>
              <w:t xml:space="preserve">(b), and amount of Hg disposed of in accordance with those measure, if available </w:t>
            </w:r>
          </w:p>
        </w:tc>
        <w:tc>
          <w:tcPr>
            <w:tcW w:w="1664" w:type="dxa"/>
            <w:tcBorders>
              <w:top w:val="nil"/>
              <w:left w:val="nil"/>
              <w:bottom w:val="nil"/>
              <w:right w:val="nil"/>
            </w:tcBorders>
            <w:shd w:val="clear" w:color="auto" w:fill="auto"/>
            <w:tcMar>
              <w:top w:w="80" w:type="dxa"/>
              <w:left w:w="80" w:type="dxa"/>
              <w:bottom w:w="80" w:type="dxa"/>
              <w:right w:w="80" w:type="dxa"/>
            </w:tcMar>
          </w:tcPr>
          <w:p w14:paraId="51E15614" w14:textId="77777777" w:rsidR="006D667A" w:rsidRPr="00A7082A" w:rsidRDefault="006D667A" w:rsidP="00620F0B">
            <w:pPr>
              <w:rPr>
                <w:sz w:val="18"/>
                <w:szCs w:val="18"/>
              </w:rPr>
            </w:pPr>
            <w:r w:rsidRPr="00A7082A">
              <w:rPr>
                <w:sz w:val="18"/>
                <w:szCs w:val="18"/>
              </w:rPr>
              <w:t xml:space="preserve">- Article 21 reporting </w:t>
            </w:r>
          </w:p>
          <w:p w14:paraId="4CB01442" w14:textId="77777777" w:rsidR="006D667A" w:rsidRPr="00A7082A" w:rsidRDefault="006D667A" w:rsidP="00620F0B">
            <w:pPr>
              <w:rPr>
                <w:sz w:val="18"/>
                <w:szCs w:val="18"/>
              </w:rPr>
            </w:pPr>
            <w:r w:rsidRPr="00A7082A">
              <w:rPr>
                <w:sz w:val="18"/>
                <w:szCs w:val="18"/>
              </w:rPr>
              <w:t>- World Chlorine Council reports</w:t>
            </w:r>
          </w:p>
        </w:tc>
        <w:tc>
          <w:tcPr>
            <w:tcW w:w="1611" w:type="dxa"/>
            <w:tcBorders>
              <w:top w:val="nil"/>
              <w:left w:val="nil"/>
              <w:bottom w:val="nil"/>
              <w:right w:val="nil"/>
            </w:tcBorders>
            <w:shd w:val="clear" w:color="auto" w:fill="auto"/>
            <w:tcMar>
              <w:top w:w="80" w:type="dxa"/>
              <w:left w:w="80" w:type="dxa"/>
              <w:bottom w:w="80" w:type="dxa"/>
              <w:right w:w="80" w:type="dxa"/>
            </w:tcMar>
          </w:tcPr>
          <w:p w14:paraId="1A05FD66" w14:textId="77777777" w:rsidR="006D667A" w:rsidRPr="00A7082A" w:rsidRDefault="006D667A" w:rsidP="00620F0B">
            <w:pPr>
              <w:rPr>
                <w:sz w:val="18"/>
                <w:szCs w:val="18"/>
              </w:rPr>
            </w:pPr>
            <w:r w:rsidRPr="00A7082A">
              <w:rPr>
                <w:sz w:val="18"/>
                <w:szCs w:val="18"/>
              </w:rPr>
              <w:t>Percentage in the first evaluation</w:t>
            </w:r>
          </w:p>
        </w:tc>
      </w:tr>
      <w:tr w:rsidR="006D667A" w:rsidRPr="00A7082A" w14:paraId="792586B1" w14:textId="77777777" w:rsidTr="00620F0B">
        <w:trPr>
          <w:trHeight w:val="57"/>
          <w:jc w:val="right"/>
        </w:trPr>
        <w:tc>
          <w:tcPr>
            <w:tcW w:w="1806" w:type="dxa"/>
            <w:tcBorders>
              <w:top w:val="nil"/>
              <w:left w:val="nil"/>
              <w:bottom w:val="nil"/>
              <w:right w:val="nil"/>
            </w:tcBorders>
            <w:shd w:val="clear" w:color="auto" w:fill="auto"/>
            <w:tcMar>
              <w:top w:w="80" w:type="dxa"/>
              <w:left w:w="80" w:type="dxa"/>
              <w:bottom w:w="80" w:type="dxa"/>
              <w:right w:w="80" w:type="dxa"/>
            </w:tcMar>
          </w:tcPr>
          <w:p w14:paraId="3997DF6C" w14:textId="77777777" w:rsidR="006D667A" w:rsidRPr="00A7082A" w:rsidRDefault="006D667A" w:rsidP="00620F0B">
            <w:pPr>
              <w:tabs>
                <w:tab w:val="left" w:pos="1163"/>
              </w:tabs>
              <w:rPr>
                <w:sz w:val="18"/>
                <w:szCs w:val="18"/>
              </w:rPr>
            </w:pPr>
            <w:r w:rsidRPr="00A7082A">
              <w:rPr>
                <w:sz w:val="18"/>
                <w:szCs w:val="18"/>
              </w:rPr>
              <w:t>B7. Process indicator for article 3</w:t>
            </w:r>
          </w:p>
        </w:tc>
        <w:tc>
          <w:tcPr>
            <w:tcW w:w="3226" w:type="dxa"/>
            <w:tcBorders>
              <w:top w:val="nil"/>
              <w:left w:val="nil"/>
              <w:bottom w:val="nil"/>
              <w:right w:val="nil"/>
            </w:tcBorders>
            <w:shd w:val="clear" w:color="auto" w:fill="auto"/>
            <w:tcMar>
              <w:top w:w="80" w:type="dxa"/>
              <w:left w:w="80" w:type="dxa"/>
              <w:bottom w:w="80" w:type="dxa"/>
              <w:right w:w="80" w:type="dxa"/>
            </w:tcMar>
          </w:tcPr>
          <w:p w14:paraId="126310DF" w14:textId="77777777" w:rsidR="006D667A" w:rsidRPr="00A7082A" w:rsidRDefault="006D667A" w:rsidP="00620F0B">
            <w:pPr>
              <w:tabs>
                <w:tab w:val="left" w:pos="1163"/>
              </w:tabs>
              <w:rPr>
                <w:sz w:val="18"/>
                <w:szCs w:val="18"/>
              </w:rPr>
            </w:pPr>
            <w:r w:rsidRPr="00A7082A">
              <w:rPr>
                <w:sz w:val="18"/>
                <w:szCs w:val="18"/>
              </w:rPr>
              <w:t>Number and proportion of parties trading in mercury</w:t>
            </w:r>
          </w:p>
        </w:tc>
        <w:tc>
          <w:tcPr>
            <w:tcW w:w="1664" w:type="dxa"/>
            <w:tcBorders>
              <w:top w:val="nil"/>
              <w:left w:val="nil"/>
              <w:bottom w:val="nil"/>
              <w:right w:val="nil"/>
            </w:tcBorders>
            <w:shd w:val="clear" w:color="auto" w:fill="auto"/>
            <w:tcMar>
              <w:top w:w="80" w:type="dxa"/>
              <w:left w:w="80" w:type="dxa"/>
              <w:bottom w:w="80" w:type="dxa"/>
              <w:right w:w="80" w:type="dxa"/>
            </w:tcMar>
          </w:tcPr>
          <w:p w14:paraId="7D8AFE4B" w14:textId="77777777" w:rsidR="006D667A" w:rsidRPr="00A7082A" w:rsidRDefault="006D667A" w:rsidP="00620F0B">
            <w:pPr>
              <w:tabs>
                <w:tab w:val="left" w:pos="1163"/>
              </w:tabs>
              <w:rPr>
                <w:sz w:val="18"/>
                <w:szCs w:val="18"/>
              </w:rPr>
            </w:pPr>
            <w:r w:rsidRPr="00A7082A">
              <w:rPr>
                <w:sz w:val="18"/>
                <w:szCs w:val="18"/>
              </w:rPr>
              <w:t xml:space="preserve">- Article 21 reporting </w:t>
            </w:r>
          </w:p>
          <w:p w14:paraId="584A87CB" w14:textId="77777777" w:rsidR="006D667A" w:rsidRPr="00A7082A" w:rsidRDefault="006D667A" w:rsidP="00620F0B">
            <w:pPr>
              <w:tabs>
                <w:tab w:val="left" w:pos="1163"/>
              </w:tabs>
              <w:rPr>
                <w:sz w:val="18"/>
                <w:szCs w:val="18"/>
              </w:rPr>
            </w:pPr>
            <w:r w:rsidRPr="00A7082A">
              <w:rPr>
                <w:sz w:val="18"/>
                <w:szCs w:val="18"/>
              </w:rPr>
              <w:t>- Article 3 forms</w:t>
            </w:r>
          </w:p>
        </w:tc>
        <w:tc>
          <w:tcPr>
            <w:tcW w:w="1611" w:type="dxa"/>
            <w:tcBorders>
              <w:top w:val="nil"/>
              <w:left w:val="nil"/>
              <w:bottom w:val="nil"/>
              <w:right w:val="nil"/>
            </w:tcBorders>
            <w:shd w:val="clear" w:color="auto" w:fill="auto"/>
            <w:tcMar>
              <w:top w:w="80" w:type="dxa"/>
              <w:left w:w="80" w:type="dxa"/>
              <w:bottom w:w="80" w:type="dxa"/>
              <w:right w:w="80" w:type="dxa"/>
            </w:tcMar>
          </w:tcPr>
          <w:p w14:paraId="3E485D06" w14:textId="42364AF1" w:rsidR="006D667A" w:rsidRPr="00A7082A" w:rsidRDefault="00C860C6" w:rsidP="00620F0B">
            <w:pPr>
              <w:rPr>
                <w:sz w:val="18"/>
                <w:szCs w:val="18"/>
              </w:rPr>
            </w:pPr>
            <w:r w:rsidRPr="00A7082A">
              <w:rPr>
                <w:sz w:val="18"/>
                <w:szCs w:val="18"/>
              </w:rPr>
              <w:t>Number and percentage</w:t>
            </w:r>
            <w:r w:rsidR="006D667A" w:rsidRPr="00A7082A">
              <w:rPr>
                <w:sz w:val="18"/>
                <w:szCs w:val="18"/>
              </w:rPr>
              <w:t xml:space="preserve"> in the first evaluation</w:t>
            </w:r>
          </w:p>
        </w:tc>
      </w:tr>
      <w:tr w:rsidR="006D667A" w:rsidRPr="00A7082A" w14:paraId="3B0BB0BD" w14:textId="77777777" w:rsidTr="00620F0B">
        <w:trPr>
          <w:trHeight w:val="57"/>
          <w:jc w:val="right"/>
        </w:trPr>
        <w:tc>
          <w:tcPr>
            <w:tcW w:w="1806" w:type="dxa"/>
            <w:tcBorders>
              <w:top w:val="nil"/>
              <w:left w:val="nil"/>
              <w:bottom w:val="single" w:sz="4" w:space="0" w:color="000000" w:themeColor="text1"/>
              <w:right w:val="nil"/>
            </w:tcBorders>
            <w:shd w:val="clear" w:color="auto" w:fill="auto"/>
            <w:tcMar>
              <w:top w:w="80" w:type="dxa"/>
              <w:left w:w="80" w:type="dxa"/>
              <w:bottom w:w="80" w:type="dxa"/>
              <w:right w:w="80" w:type="dxa"/>
            </w:tcMar>
          </w:tcPr>
          <w:p w14:paraId="2FAD3A80" w14:textId="77777777" w:rsidR="006D667A" w:rsidRPr="00A7082A" w:rsidRDefault="006D667A" w:rsidP="00620F0B">
            <w:pPr>
              <w:tabs>
                <w:tab w:val="left" w:pos="1163"/>
              </w:tabs>
              <w:rPr>
                <w:sz w:val="18"/>
                <w:szCs w:val="18"/>
              </w:rPr>
            </w:pPr>
            <w:r w:rsidRPr="00A7082A">
              <w:rPr>
                <w:sz w:val="18"/>
                <w:szCs w:val="18"/>
              </w:rPr>
              <w:t>B8. Process indicator for article 3</w:t>
            </w:r>
          </w:p>
        </w:tc>
        <w:tc>
          <w:tcPr>
            <w:tcW w:w="3226" w:type="dxa"/>
            <w:tcBorders>
              <w:top w:val="nil"/>
              <w:left w:val="nil"/>
              <w:bottom w:val="single" w:sz="4" w:space="0" w:color="000000" w:themeColor="text1"/>
              <w:right w:val="nil"/>
            </w:tcBorders>
            <w:shd w:val="clear" w:color="auto" w:fill="auto"/>
            <w:tcMar>
              <w:top w:w="80" w:type="dxa"/>
              <w:left w:w="80" w:type="dxa"/>
              <w:bottom w:w="80" w:type="dxa"/>
              <w:right w:w="80" w:type="dxa"/>
            </w:tcMar>
          </w:tcPr>
          <w:p w14:paraId="23AA0044" w14:textId="77777777" w:rsidR="006D667A" w:rsidRPr="00A7082A" w:rsidRDefault="006D667A" w:rsidP="00620F0B">
            <w:pPr>
              <w:tabs>
                <w:tab w:val="left" w:pos="1163"/>
              </w:tabs>
              <w:rPr>
                <w:sz w:val="18"/>
                <w:szCs w:val="18"/>
              </w:rPr>
            </w:pPr>
            <w:r w:rsidRPr="00A7082A">
              <w:rPr>
                <w:sz w:val="18"/>
                <w:szCs w:val="18"/>
              </w:rPr>
              <w:t>Volume of mercury being traded</w:t>
            </w:r>
          </w:p>
        </w:tc>
        <w:tc>
          <w:tcPr>
            <w:tcW w:w="1664" w:type="dxa"/>
            <w:tcBorders>
              <w:top w:val="nil"/>
              <w:left w:val="nil"/>
              <w:bottom w:val="single" w:sz="4" w:space="0" w:color="000000" w:themeColor="text1"/>
              <w:right w:val="nil"/>
            </w:tcBorders>
            <w:shd w:val="clear" w:color="auto" w:fill="auto"/>
            <w:tcMar>
              <w:top w:w="80" w:type="dxa"/>
              <w:left w:w="80" w:type="dxa"/>
              <w:bottom w:w="80" w:type="dxa"/>
              <w:right w:w="80" w:type="dxa"/>
            </w:tcMar>
          </w:tcPr>
          <w:p w14:paraId="4BD8FA48" w14:textId="77777777" w:rsidR="006D667A" w:rsidRPr="00A7082A" w:rsidRDefault="006D667A" w:rsidP="00620F0B">
            <w:pPr>
              <w:tabs>
                <w:tab w:val="left" w:pos="1163"/>
              </w:tabs>
              <w:rPr>
                <w:sz w:val="18"/>
                <w:szCs w:val="18"/>
              </w:rPr>
            </w:pPr>
            <w:r w:rsidRPr="00A7082A">
              <w:rPr>
                <w:sz w:val="18"/>
                <w:szCs w:val="18"/>
              </w:rPr>
              <w:t xml:space="preserve">- Article 21 reporting </w:t>
            </w:r>
          </w:p>
        </w:tc>
        <w:tc>
          <w:tcPr>
            <w:tcW w:w="1611" w:type="dxa"/>
            <w:tcBorders>
              <w:top w:val="nil"/>
              <w:left w:val="nil"/>
              <w:bottom w:val="single" w:sz="4" w:space="0" w:color="000000" w:themeColor="text1"/>
              <w:right w:val="nil"/>
            </w:tcBorders>
            <w:shd w:val="clear" w:color="auto" w:fill="auto"/>
            <w:tcMar>
              <w:top w:w="80" w:type="dxa"/>
              <w:left w:w="80" w:type="dxa"/>
              <w:bottom w:w="80" w:type="dxa"/>
              <w:right w:w="80" w:type="dxa"/>
            </w:tcMar>
          </w:tcPr>
          <w:p w14:paraId="5E06843B" w14:textId="77777777" w:rsidR="006D667A" w:rsidRPr="00A7082A" w:rsidRDefault="006D667A" w:rsidP="00620F0B">
            <w:pPr>
              <w:rPr>
                <w:sz w:val="18"/>
                <w:szCs w:val="18"/>
              </w:rPr>
            </w:pPr>
            <w:r w:rsidRPr="00A7082A">
              <w:rPr>
                <w:sz w:val="18"/>
                <w:szCs w:val="18"/>
              </w:rPr>
              <w:t>Amount in the first evaluation</w:t>
            </w:r>
          </w:p>
        </w:tc>
      </w:tr>
      <w:tr w:rsidR="006D667A" w:rsidRPr="00A7082A" w14:paraId="75355B7E" w14:textId="77777777" w:rsidTr="00620F0B">
        <w:trPr>
          <w:trHeight w:val="139"/>
          <w:jc w:val="right"/>
        </w:trPr>
        <w:tc>
          <w:tcPr>
            <w:tcW w:w="1806"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4A880C50" w14:textId="77777777" w:rsidR="006D667A" w:rsidRPr="00A7082A" w:rsidRDefault="006D667A" w:rsidP="00620F0B">
            <w:pPr>
              <w:tabs>
                <w:tab w:val="left" w:pos="1163"/>
              </w:tabs>
              <w:rPr>
                <w:sz w:val="18"/>
                <w:szCs w:val="18"/>
              </w:rPr>
            </w:pPr>
            <w:r w:rsidRPr="00A7082A">
              <w:rPr>
                <w:b/>
                <w:bCs/>
                <w:sz w:val="18"/>
                <w:szCs w:val="18"/>
              </w:rPr>
              <w:t>Article 10</w:t>
            </w:r>
          </w:p>
        </w:tc>
        <w:tc>
          <w:tcPr>
            <w:tcW w:w="3226"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604D481B" w14:textId="77777777" w:rsidR="006D667A" w:rsidRPr="00A7082A" w:rsidRDefault="006D667A" w:rsidP="00620F0B">
            <w:pPr>
              <w:rPr>
                <w:sz w:val="18"/>
                <w:szCs w:val="18"/>
              </w:rPr>
            </w:pPr>
          </w:p>
        </w:tc>
        <w:tc>
          <w:tcPr>
            <w:tcW w:w="1664"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0FD414FE" w14:textId="77777777" w:rsidR="006D667A" w:rsidRPr="00A7082A" w:rsidRDefault="006D667A" w:rsidP="00620F0B">
            <w:pPr>
              <w:rPr>
                <w:sz w:val="18"/>
                <w:szCs w:val="18"/>
              </w:rPr>
            </w:pPr>
          </w:p>
        </w:tc>
        <w:tc>
          <w:tcPr>
            <w:tcW w:w="1611"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56361E4D" w14:textId="77777777" w:rsidR="006D667A" w:rsidRPr="00A7082A" w:rsidRDefault="006D667A" w:rsidP="00620F0B">
            <w:pPr>
              <w:rPr>
                <w:sz w:val="18"/>
                <w:szCs w:val="18"/>
              </w:rPr>
            </w:pPr>
          </w:p>
        </w:tc>
      </w:tr>
      <w:tr w:rsidR="006D667A" w:rsidRPr="00A7082A" w14:paraId="422A18A2" w14:textId="77777777" w:rsidTr="00620F0B">
        <w:trPr>
          <w:trHeight w:val="57"/>
          <w:jc w:val="right"/>
        </w:trPr>
        <w:tc>
          <w:tcPr>
            <w:tcW w:w="1806" w:type="dxa"/>
            <w:tcBorders>
              <w:top w:val="single" w:sz="4" w:space="0" w:color="000000" w:themeColor="text1"/>
              <w:left w:val="nil"/>
              <w:bottom w:val="nil"/>
              <w:right w:val="nil"/>
            </w:tcBorders>
            <w:shd w:val="clear" w:color="auto" w:fill="auto"/>
            <w:tcMar>
              <w:top w:w="80" w:type="dxa"/>
              <w:left w:w="80" w:type="dxa"/>
              <w:bottom w:w="80" w:type="dxa"/>
              <w:right w:w="80" w:type="dxa"/>
            </w:tcMar>
          </w:tcPr>
          <w:p w14:paraId="1B03E3B7" w14:textId="77777777" w:rsidR="006D667A" w:rsidRPr="00A7082A" w:rsidRDefault="006D667A" w:rsidP="00620F0B">
            <w:pPr>
              <w:tabs>
                <w:tab w:val="left" w:pos="1163"/>
              </w:tabs>
              <w:rPr>
                <w:sz w:val="18"/>
                <w:szCs w:val="18"/>
              </w:rPr>
            </w:pPr>
            <w:r w:rsidRPr="00A7082A">
              <w:rPr>
                <w:sz w:val="18"/>
                <w:szCs w:val="18"/>
              </w:rPr>
              <w:t>B9. Process indicator for article 10</w:t>
            </w:r>
          </w:p>
        </w:tc>
        <w:tc>
          <w:tcPr>
            <w:tcW w:w="3226" w:type="dxa"/>
            <w:tcBorders>
              <w:top w:val="single" w:sz="4" w:space="0" w:color="000000" w:themeColor="text1"/>
              <w:left w:val="nil"/>
              <w:bottom w:val="nil"/>
              <w:right w:val="nil"/>
            </w:tcBorders>
            <w:shd w:val="clear" w:color="auto" w:fill="auto"/>
            <w:tcMar>
              <w:top w:w="80" w:type="dxa"/>
              <w:left w:w="80" w:type="dxa"/>
              <w:bottom w:w="80" w:type="dxa"/>
              <w:right w:w="80" w:type="dxa"/>
            </w:tcMar>
          </w:tcPr>
          <w:p w14:paraId="7F43AF87" w14:textId="77777777" w:rsidR="006D667A" w:rsidRPr="00A7082A" w:rsidRDefault="006D667A" w:rsidP="00620F0B">
            <w:pPr>
              <w:rPr>
                <w:sz w:val="18"/>
                <w:szCs w:val="18"/>
              </w:rPr>
            </w:pPr>
            <w:r w:rsidRPr="00A7082A">
              <w:rPr>
                <w:sz w:val="18"/>
                <w:szCs w:val="18"/>
              </w:rPr>
              <w:t>Number and proportion of parties that have taken measures to ensure sound interim storage</w:t>
            </w:r>
          </w:p>
        </w:tc>
        <w:tc>
          <w:tcPr>
            <w:tcW w:w="1664" w:type="dxa"/>
            <w:tcBorders>
              <w:top w:val="single" w:sz="4" w:space="0" w:color="000000" w:themeColor="text1"/>
              <w:left w:val="nil"/>
              <w:bottom w:val="nil"/>
              <w:right w:val="nil"/>
            </w:tcBorders>
            <w:shd w:val="clear" w:color="auto" w:fill="auto"/>
            <w:tcMar>
              <w:top w:w="80" w:type="dxa"/>
              <w:left w:w="80" w:type="dxa"/>
              <w:bottom w:w="80" w:type="dxa"/>
              <w:right w:w="80" w:type="dxa"/>
            </w:tcMar>
          </w:tcPr>
          <w:p w14:paraId="62B1DC41" w14:textId="77777777" w:rsidR="006D667A" w:rsidRPr="00A7082A" w:rsidRDefault="006D667A" w:rsidP="00620F0B">
            <w:pPr>
              <w:rPr>
                <w:sz w:val="18"/>
                <w:szCs w:val="18"/>
              </w:rPr>
            </w:pPr>
            <w:r w:rsidRPr="00A7082A">
              <w:rPr>
                <w:sz w:val="18"/>
                <w:szCs w:val="18"/>
              </w:rPr>
              <w:t>- Article 21 reporting</w:t>
            </w:r>
          </w:p>
        </w:tc>
        <w:tc>
          <w:tcPr>
            <w:tcW w:w="1611" w:type="dxa"/>
            <w:tcBorders>
              <w:top w:val="single" w:sz="4" w:space="0" w:color="000000" w:themeColor="text1"/>
              <w:left w:val="nil"/>
              <w:bottom w:val="nil"/>
              <w:right w:val="nil"/>
            </w:tcBorders>
            <w:shd w:val="clear" w:color="auto" w:fill="auto"/>
            <w:tcMar>
              <w:top w:w="80" w:type="dxa"/>
              <w:left w:w="80" w:type="dxa"/>
              <w:bottom w:w="80" w:type="dxa"/>
              <w:right w:w="80" w:type="dxa"/>
            </w:tcMar>
          </w:tcPr>
          <w:p w14:paraId="5C5BA086" w14:textId="37E5D079" w:rsidR="006D667A" w:rsidRPr="00A7082A" w:rsidRDefault="002D7BCA" w:rsidP="00620F0B">
            <w:pPr>
              <w:rPr>
                <w:sz w:val="18"/>
                <w:szCs w:val="18"/>
              </w:rPr>
            </w:pPr>
            <w:r w:rsidRPr="00A7082A">
              <w:rPr>
                <w:sz w:val="18"/>
                <w:szCs w:val="18"/>
              </w:rPr>
              <w:t>Number and percentage</w:t>
            </w:r>
            <w:r w:rsidR="006D667A" w:rsidRPr="00A7082A">
              <w:rPr>
                <w:sz w:val="18"/>
                <w:szCs w:val="18"/>
              </w:rPr>
              <w:t xml:space="preserve"> in the first evaluation</w:t>
            </w:r>
          </w:p>
        </w:tc>
      </w:tr>
      <w:tr w:rsidR="006D667A" w:rsidRPr="00A7082A" w14:paraId="524B3A73" w14:textId="77777777" w:rsidTr="00620F0B">
        <w:trPr>
          <w:trHeight w:val="57"/>
          <w:jc w:val="right"/>
        </w:trPr>
        <w:tc>
          <w:tcPr>
            <w:tcW w:w="1806" w:type="dxa"/>
            <w:tcBorders>
              <w:top w:val="nil"/>
              <w:left w:val="nil"/>
              <w:bottom w:val="single" w:sz="4" w:space="0" w:color="000000" w:themeColor="text1"/>
              <w:right w:val="nil"/>
            </w:tcBorders>
            <w:shd w:val="clear" w:color="auto" w:fill="auto"/>
            <w:tcMar>
              <w:top w:w="80" w:type="dxa"/>
              <w:left w:w="80" w:type="dxa"/>
              <w:bottom w:w="80" w:type="dxa"/>
              <w:right w:w="80" w:type="dxa"/>
            </w:tcMar>
          </w:tcPr>
          <w:p w14:paraId="63FFE487" w14:textId="77777777" w:rsidR="006D667A" w:rsidRPr="00A7082A" w:rsidRDefault="006D667A" w:rsidP="00620F0B">
            <w:pPr>
              <w:rPr>
                <w:sz w:val="18"/>
                <w:szCs w:val="18"/>
              </w:rPr>
            </w:pPr>
            <w:r w:rsidRPr="00A7082A">
              <w:rPr>
                <w:spacing w:val="-2"/>
                <w:sz w:val="18"/>
                <w:szCs w:val="18"/>
              </w:rPr>
              <w:t>B10. Outcome indicator for article 10</w:t>
            </w:r>
          </w:p>
        </w:tc>
        <w:tc>
          <w:tcPr>
            <w:tcW w:w="3226" w:type="dxa"/>
            <w:tcBorders>
              <w:top w:val="nil"/>
              <w:left w:val="nil"/>
              <w:bottom w:val="single" w:sz="4" w:space="0" w:color="000000" w:themeColor="text1"/>
              <w:right w:val="nil"/>
            </w:tcBorders>
            <w:shd w:val="clear" w:color="auto" w:fill="auto"/>
            <w:tcMar>
              <w:top w:w="80" w:type="dxa"/>
              <w:left w:w="80" w:type="dxa"/>
              <w:bottom w:w="80" w:type="dxa"/>
              <w:right w:w="80" w:type="dxa"/>
            </w:tcMar>
          </w:tcPr>
          <w:p w14:paraId="6AEEFB89" w14:textId="77777777" w:rsidR="006D667A" w:rsidRPr="00A7082A" w:rsidRDefault="006D667A" w:rsidP="00620F0B">
            <w:pPr>
              <w:tabs>
                <w:tab w:val="left" w:pos="1163"/>
              </w:tabs>
              <w:rPr>
                <w:sz w:val="18"/>
                <w:szCs w:val="18"/>
              </w:rPr>
            </w:pPr>
            <w:r w:rsidRPr="00A7082A">
              <w:rPr>
                <w:sz w:val="18"/>
                <w:szCs w:val="18"/>
              </w:rPr>
              <w:t>Amount of mercury stored in an environmentally sound way (as identified in the inventory of stocks)</w:t>
            </w:r>
          </w:p>
        </w:tc>
        <w:tc>
          <w:tcPr>
            <w:tcW w:w="1664" w:type="dxa"/>
            <w:tcBorders>
              <w:top w:val="nil"/>
              <w:left w:val="nil"/>
              <w:bottom w:val="single" w:sz="4" w:space="0" w:color="000000" w:themeColor="text1"/>
              <w:right w:val="nil"/>
            </w:tcBorders>
            <w:shd w:val="clear" w:color="auto" w:fill="auto"/>
            <w:tcMar>
              <w:top w:w="80" w:type="dxa"/>
              <w:left w:w="80" w:type="dxa"/>
              <w:bottom w:w="80" w:type="dxa"/>
              <w:right w:w="80" w:type="dxa"/>
            </w:tcMar>
          </w:tcPr>
          <w:p w14:paraId="6D34B792" w14:textId="77777777" w:rsidR="006D667A" w:rsidRPr="00A7082A" w:rsidRDefault="006D667A" w:rsidP="00620F0B">
            <w:pPr>
              <w:tabs>
                <w:tab w:val="left" w:pos="1163"/>
              </w:tabs>
              <w:rPr>
                <w:sz w:val="18"/>
                <w:szCs w:val="18"/>
              </w:rPr>
            </w:pPr>
            <w:r w:rsidRPr="00A7082A">
              <w:rPr>
                <w:sz w:val="18"/>
                <w:szCs w:val="18"/>
              </w:rPr>
              <w:t>- Article 21 reporting</w:t>
            </w:r>
          </w:p>
        </w:tc>
        <w:tc>
          <w:tcPr>
            <w:tcW w:w="1611" w:type="dxa"/>
            <w:tcBorders>
              <w:top w:val="nil"/>
              <w:left w:val="nil"/>
              <w:bottom w:val="single" w:sz="4" w:space="0" w:color="000000" w:themeColor="text1"/>
              <w:right w:val="nil"/>
            </w:tcBorders>
            <w:shd w:val="clear" w:color="auto" w:fill="auto"/>
            <w:tcMar>
              <w:top w:w="80" w:type="dxa"/>
              <w:left w:w="80" w:type="dxa"/>
              <w:bottom w:w="80" w:type="dxa"/>
              <w:right w:w="80" w:type="dxa"/>
            </w:tcMar>
          </w:tcPr>
          <w:p w14:paraId="1A733F2C" w14:textId="77777777" w:rsidR="006D667A" w:rsidRPr="00A7082A" w:rsidRDefault="006D667A" w:rsidP="00620F0B">
            <w:pPr>
              <w:rPr>
                <w:sz w:val="18"/>
                <w:szCs w:val="18"/>
              </w:rPr>
            </w:pPr>
            <w:r w:rsidRPr="00A7082A">
              <w:rPr>
                <w:sz w:val="18"/>
                <w:szCs w:val="18"/>
              </w:rPr>
              <w:t>Amount in the first evaluation</w:t>
            </w:r>
          </w:p>
        </w:tc>
      </w:tr>
      <w:tr w:rsidR="006D667A" w:rsidRPr="00A7082A" w14:paraId="0D327148" w14:textId="77777777" w:rsidTr="00620F0B">
        <w:trPr>
          <w:trHeight w:val="57"/>
          <w:jc w:val="right"/>
        </w:trPr>
        <w:tc>
          <w:tcPr>
            <w:tcW w:w="1806"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2B0E21D9" w14:textId="77777777" w:rsidR="006D667A" w:rsidRPr="00A7082A" w:rsidRDefault="006D667A" w:rsidP="00620F0B">
            <w:pPr>
              <w:tabs>
                <w:tab w:val="left" w:pos="1163"/>
              </w:tabs>
              <w:rPr>
                <w:sz w:val="18"/>
                <w:szCs w:val="18"/>
              </w:rPr>
            </w:pPr>
            <w:r w:rsidRPr="00A7082A">
              <w:rPr>
                <w:b/>
                <w:bCs/>
                <w:sz w:val="18"/>
                <w:szCs w:val="18"/>
              </w:rPr>
              <w:t>Article 11</w:t>
            </w:r>
          </w:p>
        </w:tc>
        <w:tc>
          <w:tcPr>
            <w:tcW w:w="3226"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58355407" w14:textId="77777777" w:rsidR="006D667A" w:rsidRPr="00A7082A" w:rsidRDefault="006D667A" w:rsidP="00620F0B">
            <w:pPr>
              <w:rPr>
                <w:sz w:val="18"/>
                <w:szCs w:val="18"/>
              </w:rPr>
            </w:pPr>
          </w:p>
        </w:tc>
        <w:tc>
          <w:tcPr>
            <w:tcW w:w="1664"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10E5745A" w14:textId="77777777" w:rsidR="006D667A" w:rsidRPr="00A7082A" w:rsidRDefault="006D667A" w:rsidP="00620F0B">
            <w:pPr>
              <w:rPr>
                <w:sz w:val="18"/>
                <w:szCs w:val="18"/>
              </w:rPr>
            </w:pPr>
          </w:p>
        </w:tc>
        <w:tc>
          <w:tcPr>
            <w:tcW w:w="1611" w:type="dxa"/>
            <w:tcBorders>
              <w:top w:val="single" w:sz="4" w:space="0" w:color="000000" w:themeColor="text1"/>
              <w:left w:val="nil"/>
              <w:bottom w:val="single" w:sz="4" w:space="0" w:color="000000" w:themeColor="text1"/>
              <w:right w:val="nil"/>
            </w:tcBorders>
            <w:shd w:val="clear" w:color="auto" w:fill="auto"/>
            <w:tcMar>
              <w:top w:w="80" w:type="dxa"/>
              <w:left w:w="80" w:type="dxa"/>
              <w:bottom w:w="80" w:type="dxa"/>
              <w:right w:w="80" w:type="dxa"/>
            </w:tcMar>
          </w:tcPr>
          <w:p w14:paraId="4DAD5213" w14:textId="77777777" w:rsidR="006D667A" w:rsidRPr="00A7082A" w:rsidRDefault="006D667A" w:rsidP="00620F0B">
            <w:pPr>
              <w:rPr>
                <w:sz w:val="18"/>
                <w:szCs w:val="18"/>
              </w:rPr>
            </w:pPr>
          </w:p>
        </w:tc>
      </w:tr>
      <w:tr w:rsidR="006D667A" w:rsidRPr="00A7082A" w14:paraId="6ABAFC37" w14:textId="77777777" w:rsidTr="00620F0B">
        <w:trPr>
          <w:trHeight w:val="57"/>
          <w:jc w:val="right"/>
        </w:trPr>
        <w:tc>
          <w:tcPr>
            <w:tcW w:w="1806" w:type="dxa"/>
            <w:tcBorders>
              <w:top w:val="single" w:sz="4" w:space="0" w:color="000000" w:themeColor="text1"/>
              <w:left w:val="nil"/>
              <w:bottom w:val="nil"/>
              <w:right w:val="nil"/>
            </w:tcBorders>
            <w:shd w:val="clear" w:color="auto" w:fill="auto"/>
            <w:tcMar>
              <w:top w:w="80" w:type="dxa"/>
              <w:left w:w="80" w:type="dxa"/>
              <w:bottom w:w="80" w:type="dxa"/>
              <w:right w:w="80" w:type="dxa"/>
            </w:tcMar>
          </w:tcPr>
          <w:p w14:paraId="63308A7B" w14:textId="77777777" w:rsidR="006D667A" w:rsidRPr="00A7082A" w:rsidRDefault="006D667A" w:rsidP="00620F0B">
            <w:pPr>
              <w:tabs>
                <w:tab w:val="left" w:pos="1163"/>
              </w:tabs>
              <w:rPr>
                <w:sz w:val="18"/>
                <w:szCs w:val="18"/>
              </w:rPr>
            </w:pPr>
            <w:r w:rsidRPr="00A7082A">
              <w:rPr>
                <w:spacing w:val="-2"/>
                <w:sz w:val="18"/>
                <w:szCs w:val="18"/>
              </w:rPr>
              <w:t>B11. Outcome indicator for article 11</w:t>
            </w:r>
          </w:p>
        </w:tc>
        <w:tc>
          <w:tcPr>
            <w:tcW w:w="3226" w:type="dxa"/>
            <w:tcBorders>
              <w:top w:val="single" w:sz="4" w:space="0" w:color="000000" w:themeColor="text1"/>
              <w:left w:val="nil"/>
              <w:bottom w:val="nil"/>
              <w:right w:val="nil"/>
            </w:tcBorders>
            <w:shd w:val="clear" w:color="auto" w:fill="auto"/>
            <w:tcMar>
              <w:top w:w="80" w:type="dxa"/>
              <w:left w:w="80" w:type="dxa"/>
              <w:bottom w:w="80" w:type="dxa"/>
              <w:right w:w="80" w:type="dxa"/>
            </w:tcMar>
          </w:tcPr>
          <w:p w14:paraId="583D7AC8" w14:textId="77777777" w:rsidR="006D667A" w:rsidRPr="00A7082A" w:rsidRDefault="006D667A" w:rsidP="00620F0B">
            <w:pPr>
              <w:rPr>
                <w:sz w:val="18"/>
                <w:szCs w:val="18"/>
              </w:rPr>
            </w:pPr>
            <w:r w:rsidRPr="00A7082A">
              <w:rPr>
                <w:sz w:val="18"/>
                <w:szCs w:val="18"/>
              </w:rPr>
              <w:t>Amount of waste containing mercury or mercury compounds subject to final disposal</w:t>
            </w:r>
          </w:p>
        </w:tc>
        <w:tc>
          <w:tcPr>
            <w:tcW w:w="1664" w:type="dxa"/>
            <w:tcBorders>
              <w:top w:val="single" w:sz="4" w:space="0" w:color="000000" w:themeColor="text1"/>
              <w:left w:val="nil"/>
              <w:bottom w:val="nil"/>
              <w:right w:val="nil"/>
            </w:tcBorders>
            <w:shd w:val="clear" w:color="auto" w:fill="auto"/>
            <w:tcMar>
              <w:top w:w="80" w:type="dxa"/>
              <w:left w:w="80" w:type="dxa"/>
              <w:bottom w:w="80" w:type="dxa"/>
              <w:right w:w="80" w:type="dxa"/>
            </w:tcMar>
          </w:tcPr>
          <w:p w14:paraId="499C2C4A" w14:textId="77777777" w:rsidR="006D667A" w:rsidRPr="00A7082A" w:rsidRDefault="006D667A" w:rsidP="00620F0B">
            <w:pPr>
              <w:rPr>
                <w:sz w:val="18"/>
                <w:szCs w:val="18"/>
              </w:rPr>
            </w:pPr>
            <w:r w:rsidRPr="00A7082A">
              <w:rPr>
                <w:sz w:val="18"/>
                <w:szCs w:val="18"/>
              </w:rPr>
              <w:t>- Article 21 reporting</w:t>
            </w:r>
          </w:p>
        </w:tc>
        <w:tc>
          <w:tcPr>
            <w:tcW w:w="1611" w:type="dxa"/>
            <w:tcBorders>
              <w:top w:val="single" w:sz="4" w:space="0" w:color="000000" w:themeColor="text1"/>
              <w:left w:val="nil"/>
              <w:bottom w:val="nil"/>
              <w:right w:val="nil"/>
            </w:tcBorders>
            <w:shd w:val="clear" w:color="auto" w:fill="auto"/>
            <w:tcMar>
              <w:top w:w="80" w:type="dxa"/>
              <w:left w:w="80" w:type="dxa"/>
              <w:bottom w:w="80" w:type="dxa"/>
              <w:right w:w="80" w:type="dxa"/>
            </w:tcMar>
          </w:tcPr>
          <w:p w14:paraId="075BE05D" w14:textId="77777777" w:rsidR="006D667A" w:rsidRPr="00A7082A" w:rsidRDefault="006D667A" w:rsidP="00620F0B">
            <w:pPr>
              <w:rPr>
                <w:sz w:val="18"/>
                <w:szCs w:val="18"/>
              </w:rPr>
            </w:pPr>
            <w:r w:rsidRPr="00A7082A">
              <w:rPr>
                <w:sz w:val="18"/>
                <w:szCs w:val="18"/>
              </w:rPr>
              <w:t>Amount in the first evaluation</w:t>
            </w:r>
          </w:p>
        </w:tc>
      </w:tr>
      <w:tr w:rsidR="006D667A" w:rsidRPr="00A7082A" w14:paraId="27E65C92" w14:textId="77777777" w:rsidTr="00620F0B">
        <w:trPr>
          <w:trHeight w:val="57"/>
          <w:jc w:val="right"/>
        </w:trPr>
        <w:tc>
          <w:tcPr>
            <w:tcW w:w="1806" w:type="dxa"/>
            <w:tcBorders>
              <w:top w:val="nil"/>
              <w:left w:val="nil"/>
              <w:bottom w:val="nil"/>
              <w:right w:val="nil"/>
            </w:tcBorders>
            <w:shd w:val="clear" w:color="auto" w:fill="auto"/>
            <w:tcMar>
              <w:top w:w="80" w:type="dxa"/>
              <w:left w:w="80" w:type="dxa"/>
              <w:bottom w:w="80" w:type="dxa"/>
              <w:right w:w="80" w:type="dxa"/>
            </w:tcMar>
          </w:tcPr>
          <w:p w14:paraId="226ABF2C" w14:textId="77777777" w:rsidR="006D667A" w:rsidRPr="00A7082A" w:rsidRDefault="006D667A" w:rsidP="00620F0B">
            <w:pPr>
              <w:tabs>
                <w:tab w:val="left" w:pos="1163"/>
              </w:tabs>
              <w:rPr>
                <w:sz w:val="18"/>
                <w:szCs w:val="18"/>
              </w:rPr>
            </w:pPr>
            <w:r w:rsidRPr="00A7082A">
              <w:rPr>
                <w:spacing w:val="-2"/>
                <w:sz w:val="18"/>
                <w:szCs w:val="18"/>
              </w:rPr>
              <w:t>B12. Outcome indicator for article 11</w:t>
            </w:r>
          </w:p>
        </w:tc>
        <w:tc>
          <w:tcPr>
            <w:tcW w:w="3226" w:type="dxa"/>
            <w:tcBorders>
              <w:top w:val="nil"/>
              <w:left w:val="nil"/>
              <w:bottom w:val="nil"/>
              <w:right w:val="nil"/>
            </w:tcBorders>
            <w:shd w:val="clear" w:color="auto" w:fill="auto"/>
            <w:tcMar>
              <w:top w:w="80" w:type="dxa"/>
              <w:left w:w="80" w:type="dxa"/>
              <w:bottom w:w="80" w:type="dxa"/>
              <w:right w:w="80" w:type="dxa"/>
            </w:tcMar>
          </w:tcPr>
          <w:p w14:paraId="7434B1C1" w14:textId="77777777" w:rsidR="006D667A" w:rsidRPr="00A7082A" w:rsidRDefault="006D667A" w:rsidP="00620F0B">
            <w:pPr>
              <w:rPr>
                <w:sz w:val="18"/>
                <w:szCs w:val="18"/>
              </w:rPr>
            </w:pPr>
            <w:r w:rsidRPr="00A7082A">
              <w:rPr>
                <w:sz w:val="18"/>
                <w:szCs w:val="18"/>
              </w:rPr>
              <w:t>Number of parties with facilities for final disposal of waste containing mercury or mercury compounds</w:t>
            </w:r>
          </w:p>
        </w:tc>
        <w:tc>
          <w:tcPr>
            <w:tcW w:w="1664" w:type="dxa"/>
            <w:tcBorders>
              <w:top w:val="nil"/>
              <w:left w:val="nil"/>
              <w:bottom w:val="nil"/>
              <w:right w:val="nil"/>
            </w:tcBorders>
            <w:shd w:val="clear" w:color="auto" w:fill="auto"/>
            <w:tcMar>
              <w:top w:w="80" w:type="dxa"/>
              <w:left w:w="80" w:type="dxa"/>
              <w:bottom w:w="80" w:type="dxa"/>
              <w:right w:w="80" w:type="dxa"/>
            </w:tcMar>
          </w:tcPr>
          <w:p w14:paraId="249430DA" w14:textId="77777777" w:rsidR="006D667A" w:rsidRPr="00A7082A" w:rsidRDefault="006D667A" w:rsidP="00620F0B">
            <w:pPr>
              <w:rPr>
                <w:sz w:val="18"/>
                <w:szCs w:val="18"/>
              </w:rPr>
            </w:pPr>
            <w:r w:rsidRPr="00A7082A">
              <w:rPr>
                <w:sz w:val="18"/>
                <w:szCs w:val="18"/>
              </w:rPr>
              <w:t>- Article 21 reporting</w:t>
            </w:r>
          </w:p>
        </w:tc>
        <w:tc>
          <w:tcPr>
            <w:tcW w:w="1611" w:type="dxa"/>
            <w:tcBorders>
              <w:top w:val="nil"/>
              <w:left w:val="nil"/>
              <w:bottom w:val="nil"/>
              <w:right w:val="nil"/>
            </w:tcBorders>
            <w:shd w:val="clear" w:color="auto" w:fill="auto"/>
            <w:tcMar>
              <w:top w:w="80" w:type="dxa"/>
              <w:left w:w="80" w:type="dxa"/>
              <w:bottom w:w="80" w:type="dxa"/>
              <w:right w:w="80" w:type="dxa"/>
            </w:tcMar>
          </w:tcPr>
          <w:p w14:paraId="6422D8DC" w14:textId="067B9265" w:rsidR="006D667A" w:rsidRPr="00A7082A" w:rsidRDefault="002D7BCA" w:rsidP="00620F0B">
            <w:pPr>
              <w:rPr>
                <w:sz w:val="18"/>
                <w:szCs w:val="18"/>
              </w:rPr>
            </w:pPr>
            <w:r w:rsidRPr="00A7082A">
              <w:rPr>
                <w:sz w:val="18"/>
                <w:szCs w:val="18"/>
              </w:rPr>
              <w:t xml:space="preserve">Number </w:t>
            </w:r>
            <w:r w:rsidR="006D667A" w:rsidRPr="00A7082A">
              <w:rPr>
                <w:sz w:val="18"/>
                <w:szCs w:val="18"/>
              </w:rPr>
              <w:t>in the first evaluation</w:t>
            </w:r>
          </w:p>
        </w:tc>
      </w:tr>
      <w:tr w:rsidR="006D667A" w:rsidRPr="00A7082A" w14:paraId="0D870C0D" w14:textId="77777777" w:rsidTr="00620F0B">
        <w:trPr>
          <w:trHeight w:val="588"/>
          <w:jc w:val="right"/>
        </w:trPr>
        <w:tc>
          <w:tcPr>
            <w:tcW w:w="1806" w:type="dxa"/>
            <w:tcBorders>
              <w:top w:val="nil"/>
              <w:left w:val="nil"/>
              <w:bottom w:val="nil"/>
              <w:right w:val="nil"/>
            </w:tcBorders>
            <w:shd w:val="clear" w:color="auto" w:fill="auto"/>
            <w:tcMar>
              <w:top w:w="80" w:type="dxa"/>
              <w:left w:w="80" w:type="dxa"/>
              <w:bottom w:w="80" w:type="dxa"/>
              <w:right w:w="80" w:type="dxa"/>
            </w:tcMar>
          </w:tcPr>
          <w:p w14:paraId="4B7A0F0D" w14:textId="77777777" w:rsidR="006D667A" w:rsidRPr="00A7082A" w:rsidRDefault="006D667A" w:rsidP="00620F0B">
            <w:pPr>
              <w:tabs>
                <w:tab w:val="left" w:pos="1163"/>
              </w:tabs>
              <w:rPr>
                <w:sz w:val="18"/>
                <w:szCs w:val="18"/>
              </w:rPr>
            </w:pPr>
            <w:r w:rsidRPr="00A7082A">
              <w:rPr>
                <w:sz w:val="18"/>
                <w:szCs w:val="18"/>
              </w:rPr>
              <w:t>B13. Process indicator for article 11</w:t>
            </w:r>
          </w:p>
        </w:tc>
        <w:tc>
          <w:tcPr>
            <w:tcW w:w="3226" w:type="dxa"/>
            <w:tcBorders>
              <w:top w:val="nil"/>
              <w:left w:val="nil"/>
              <w:bottom w:val="nil"/>
              <w:right w:val="nil"/>
            </w:tcBorders>
            <w:shd w:val="clear" w:color="auto" w:fill="auto"/>
            <w:tcMar>
              <w:top w:w="80" w:type="dxa"/>
              <w:left w:w="80" w:type="dxa"/>
              <w:bottom w:w="80" w:type="dxa"/>
              <w:right w:w="80" w:type="dxa"/>
            </w:tcMar>
          </w:tcPr>
          <w:p w14:paraId="24A0408A" w14:textId="77777777" w:rsidR="006D667A" w:rsidRPr="00A7082A" w:rsidRDefault="006D667A" w:rsidP="00620F0B">
            <w:pPr>
              <w:rPr>
                <w:sz w:val="18"/>
                <w:szCs w:val="18"/>
              </w:rPr>
            </w:pPr>
            <w:r w:rsidRPr="00A7082A">
              <w:rPr>
                <w:sz w:val="18"/>
                <w:szCs w:val="18"/>
              </w:rPr>
              <w:t>Number of parties that have measures in place to manage mercury waste in an environmentally sound manner</w:t>
            </w:r>
          </w:p>
        </w:tc>
        <w:tc>
          <w:tcPr>
            <w:tcW w:w="1664" w:type="dxa"/>
            <w:tcBorders>
              <w:top w:val="nil"/>
              <w:left w:val="nil"/>
              <w:bottom w:val="nil"/>
              <w:right w:val="nil"/>
            </w:tcBorders>
            <w:shd w:val="clear" w:color="auto" w:fill="auto"/>
            <w:tcMar>
              <w:top w:w="80" w:type="dxa"/>
              <w:left w:w="80" w:type="dxa"/>
              <w:bottom w:w="80" w:type="dxa"/>
              <w:right w:w="80" w:type="dxa"/>
            </w:tcMar>
          </w:tcPr>
          <w:p w14:paraId="32D8A74E" w14:textId="77777777" w:rsidR="006D667A" w:rsidRPr="00A7082A" w:rsidRDefault="006D667A" w:rsidP="00620F0B">
            <w:pPr>
              <w:rPr>
                <w:sz w:val="18"/>
                <w:szCs w:val="18"/>
              </w:rPr>
            </w:pPr>
            <w:r w:rsidRPr="00A7082A">
              <w:rPr>
                <w:sz w:val="18"/>
                <w:szCs w:val="18"/>
              </w:rPr>
              <w:t>- Article 21 reporting</w:t>
            </w:r>
          </w:p>
        </w:tc>
        <w:tc>
          <w:tcPr>
            <w:tcW w:w="1611" w:type="dxa"/>
            <w:tcBorders>
              <w:top w:val="nil"/>
              <w:left w:val="nil"/>
              <w:bottom w:val="nil"/>
              <w:right w:val="nil"/>
            </w:tcBorders>
            <w:shd w:val="clear" w:color="auto" w:fill="auto"/>
            <w:tcMar>
              <w:top w:w="80" w:type="dxa"/>
              <w:left w:w="80" w:type="dxa"/>
              <w:bottom w:w="80" w:type="dxa"/>
              <w:right w:w="80" w:type="dxa"/>
            </w:tcMar>
          </w:tcPr>
          <w:p w14:paraId="3C972584" w14:textId="4DABD766" w:rsidR="006D667A" w:rsidRPr="00A7082A" w:rsidRDefault="002D7BCA" w:rsidP="00620F0B">
            <w:pPr>
              <w:rPr>
                <w:sz w:val="18"/>
                <w:szCs w:val="18"/>
              </w:rPr>
            </w:pPr>
            <w:r w:rsidRPr="00A7082A">
              <w:rPr>
                <w:sz w:val="18"/>
                <w:szCs w:val="18"/>
              </w:rPr>
              <w:t xml:space="preserve">Number </w:t>
            </w:r>
            <w:r w:rsidR="006D667A" w:rsidRPr="00A7082A">
              <w:rPr>
                <w:sz w:val="18"/>
                <w:szCs w:val="18"/>
              </w:rPr>
              <w:t>in the first evaluation</w:t>
            </w:r>
          </w:p>
        </w:tc>
      </w:tr>
      <w:tr w:rsidR="006D667A" w:rsidRPr="00A7082A" w14:paraId="78FBFF50" w14:textId="77777777" w:rsidTr="00620F0B">
        <w:trPr>
          <w:trHeight w:val="57"/>
          <w:jc w:val="right"/>
        </w:trPr>
        <w:tc>
          <w:tcPr>
            <w:tcW w:w="1806" w:type="dxa"/>
            <w:tcBorders>
              <w:top w:val="nil"/>
              <w:left w:val="nil"/>
              <w:bottom w:val="single" w:sz="12" w:space="0" w:color="000000" w:themeColor="text1"/>
              <w:right w:val="nil"/>
            </w:tcBorders>
            <w:shd w:val="clear" w:color="auto" w:fill="auto"/>
            <w:tcMar>
              <w:top w:w="80" w:type="dxa"/>
              <w:left w:w="80" w:type="dxa"/>
              <w:bottom w:w="80" w:type="dxa"/>
              <w:right w:w="80" w:type="dxa"/>
            </w:tcMar>
          </w:tcPr>
          <w:p w14:paraId="10E6130F" w14:textId="77777777" w:rsidR="006D667A" w:rsidRPr="00A7082A" w:rsidRDefault="006D667A" w:rsidP="00620F0B">
            <w:pPr>
              <w:rPr>
                <w:sz w:val="18"/>
                <w:szCs w:val="18"/>
              </w:rPr>
            </w:pPr>
            <w:r w:rsidRPr="00A7082A">
              <w:rPr>
                <w:b/>
                <w:bCs/>
                <w:sz w:val="18"/>
                <w:szCs w:val="18"/>
              </w:rPr>
              <w:t>Notes</w:t>
            </w:r>
          </w:p>
        </w:tc>
        <w:tc>
          <w:tcPr>
            <w:tcW w:w="6501" w:type="dxa"/>
            <w:gridSpan w:val="3"/>
            <w:tcBorders>
              <w:top w:val="nil"/>
              <w:left w:val="nil"/>
              <w:bottom w:val="single" w:sz="12" w:space="0" w:color="000000" w:themeColor="text1"/>
              <w:right w:val="nil"/>
            </w:tcBorders>
            <w:shd w:val="clear" w:color="auto" w:fill="auto"/>
            <w:tcMar>
              <w:top w:w="80" w:type="dxa"/>
              <w:left w:w="80" w:type="dxa"/>
              <w:bottom w:w="80" w:type="dxa"/>
              <w:right w:w="80" w:type="dxa"/>
            </w:tcMar>
          </w:tcPr>
          <w:p w14:paraId="6575F319" w14:textId="77777777" w:rsidR="006D667A" w:rsidRPr="00A7082A" w:rsidRDefault="006D667A" w:rsidP="00620F0B">
            <w:pPr>
              <w:numPr>
                <w:ilvl w:val="0"/>
                <w:numId w:val="51"/>
              </w:numPr>
              <w:rPr>
                <w:sz w:val="18"/>
                <w:szCs w:val="18"/>
              </w:rPr>
            </w:pPr>
            <w:r w:rsidRPr="00A7082A">
              <w:rPr>
                <w:sz w:val="18"/>
                <w:szCs w:val="18"/>
              </w:rPr>
              <w:t>Data from non-parties could also be important in some instances.</w:t>
            </w:r>
          </w:p>
        </w:tc>
      </w:tr>
    </w:tbl>
    <w:p w14:paraId="723BE96E" w14:textId="77777777" w:rsidR="006D667A" w:rsidRPr="00A7082A" w:rsidRDefault="006D667A" w:rsidP="00620F0B">
      <w:pPr>
        <w:pStyle w:val="Normal-pool"/>
      </w:pPr>
    </w:p>
    <w:tbl>
      <w:tblPr>
        <w:tblW w:w="8307" w:type="dxa"/>
        <w:jc w:val="right"/>
        <w:tblLayout w:type="fixed"/>
        <w:tblLook w:val="04A0" w:firstRow="1" w:lastRow="0" w:firstColumn="1" w:lastColumn="0" w:noHBand="0" w:noVBand="1"/>
      </w:tblPr>
      <w:tblGrid>
        <w:gridCol w:w="1884"/>
        <w:gridCol w:w="3122"/>
        <w:gridCol w:w="1715"/>
        <w:gridCol w:w="1586"/>
      </w:tblGrid>
      <w:tr w:rsidR="006D667A" w:rsidRPr="00A7082A" w14:paraId="5DF53AEA" w14:textId="77777777" w:rsidTr="00620F0B">
        <w:trPr>
          <w:trHeight w:val="57"/>
          <w:jc w:val="right"/>
        </w:trPr>
        <w:tc>
          <w:tcPr>
            <w:tcW w:w="5645" w:type="dxa"/>
            <w:gridSpan w:val="2"/>
            <w:tcBorders>
              <w:top w:val="single" w:sz="4" w:space="0" w:color="000000" w:themeColor="text1"/>
              <w:bottom w:val="single" w:sz="12" w:space="0" w:color="000000" w:themeColor="text1"/>
            </w:tcBorders>
            <w:shd w:val="clear" w:color="auto" w:fill="auto"/>
            <w:tcMar>
              <w:top w:w="80" w:type="dxa"/>
              <w:left w:w="80" w:type="dxa"/>
              <w:bottom w:w="80" w:type="dxa"/>
              <w:right w:w="80" w:type="dxa"/>
            </w:tcMar>
          </w:tcPr>
          <w:p w14:paraId="7F77201C" w14:textId="77777777" w:rsidR="006D667A" w:rsidRPr="00A7082A" w:rsidRDefault="006D667A" w:rsidP="00AC30F5">
            <w:pPr>
              <w:spacing w:after="120"/>
              <w:rPr>
                <w:bCs/>
                <w:i/>
                <w:sz w:val="18"/>
                <w:szCs w:val="18"/>
              </w:rPr>
            </w:pPr>
            <w:r w:rsidRPr="00A7082A">
              <w:rPr>
                <w:bCs/>
                <w:i/>
                <w:sz w:val="18"/>
                <w:szCs w:val="18"/>
              </w:rPr>
              <w:lastRenderedPageBreak/>
              <w:t xml:space="preserve">C: Demand cluster </w:t>
            </w:r>
          </w:p>
          <w:p w14:paraId="1817DBD1" w14:textId="13E39ACC" w:rsidR="006D667A" w:rsidRPr="00A7082A" w:rsidRDefault="006D667A" w:rsidP="006D667A">
            <w:pPr>
              <w:rPr>
                <w:i/>
                <w:sz w:val="18"/>
                <w:szCs w:val="18"/>
              </w:rPr>
            </w:pPr>
            <w:r w:rsidRPr="00A7082A">
              <w:rPr>
                <w:bCs/>
                <w:i/>
                <w:sz w:val="18"/>
                <w:szCs w:val="18"/>
              </w:rPr>
              <w:t xml:space="preserve">Article 4 (mercury-added products); article 5 (manufacturing processes in which mercury or mercury compounds are used); article 7 (artisanal and </w:t>
            </w:r>
            <w:r w:rsidR="00073984" w:rsidRPr="00A7082A">
              <w:rPr>
                <w:bCs/>
                <w:i/>
                <w:sz w:val="18"/>
                <w:szCs w:val="18"/>
              </w:rPr>
              <w:t>small</w:t>
            </w:r>
            <w:r w:rsidR="00073984" w:rsidRPr="00A7082A">
              <w:rPr>
                <w:bCs/>
                <w:i/>
                <w:sz w:val="18"/>
                <w:szCs w:val="18"/>
              </w:rPr>
              <w:noBreakHyphen/>
              <w:t>scale</w:t>
            </w:r>
            <w:r w:rsidRPr="00A7082A">
              <w:rPr>
                <w:bCs/>
                <w:i/>
                <w:sz w:val="18"/>
                <w:szCs w:val="18"/>
              </w:rPr>
              <w:t xml:space="preserve"> gold mining) </w:t>
            </w:r>
          </w:p>
        </w:tc>
        <w:tc>
          <w:tcPr>
            <w:tcW w:w="1926" w:type="dxa"/>
            <w:tcBorders>
              <w:top w:val="single" w:sz="4" w:space="0" w:color="000000" w:themeColor="text1"/>
              <w:bottom w:val="single" w:sz="12" w:space="0" w:color="000000" w:themeColor="text1"/>
            </w:tcBorders>
            <w:shd w:val="clear" w:color="auto" w:fill="auto"/>
            <w:tcMar>
              <w:top w:w="80" w:type="dxa"/>
              <w:left w:w="80" w:type="dxa"/>
              <w:bottom w:w="80" w:type="dxa"/>
              <w:right w:w="80" w:type="dxa"/>
            </w:tcMar>
          </w:tcPr>
          <w:p w14:paraId="6658AE53" w14:textId="77777777" w:rsidR="006D667A" w:rsidRPr="00A7082A" w:rsidRDefault="006D667A" w:rsidP="006D667A">
            <w:pPr>
              <w:rPr>
                <w:i/>
                <w:sz w:val="18"/>
                <w:szCs w:val="18"/>
              </w:rPr>
            </w:pPr>
            <w:r w:rsidRPr="00A7082A">
              <w:rPr>
                <w:i/>
                <w:sz w:val="18"/>
                <w:szCs w:val="18"/>
              </w:rPr>
              <w:t>Source of information on the indicator</w:t>
            </w:r>
          </w:p>
        </w:tc>
        <w:tc>
          <w:tcPr>
            <w:tcW w:w="1779" w:type="dxa"/>
            <w:tcBorders>
              <w:top w:val="single" w:sz="4" w:space="0" w:color="000000" w:themeColor="text1"/>
              <w:bottom w:val="single" w:sz="12" w:space="0" w:color="000000" w:themeColor="text1"/>
            </w:tcBorders>
            <w:shd w:val="clear" w:color="auto" w:fill="auto"/>
            <w:tcMar>
              <w:top w:w="80" w:type="dxa"/>
              <w:left w:w="80" w:type="dxa"/>
              <w:bottom w:w="80" w:type="dxa"/>
              <w:right w:w="80" w:type="dxa"/>
            </w:tcMar>
          </w:tcPr>
          <w:p w14:paraId="73249857" w14:textId="77777777" w:rsidR="006D667A" w:rsidRPr="00A7082A" w:rsidRDefault="006D667A" w:rsidP="006D667A">
            <w:pPr>
              <w:rPr>
                <w:i/>
                <w:sz w:val="18"/>
                <w:szCs w:val="18"/>
              </w:rPr>
            </w:pPr>
            <w:r w:rsidRPr="00A7082A">
              <w:rPr>
                <w:i/>
                <w:sz w:val="18"/>
                <w:szCs w:val="18"/>
              </w:rPr>
              <w:t>Baseline for the indicator</w:t>
            </w:r>
          </w:p>
        </w:tc>
      </w:tr>
      <w:tr w:rsidR="006D667A" w:rsidRPr="00A7082A" w14:paraId="4150B19E" w14:textId="77777777" w:rsidTr="00620F0B">
        <w:trPr>
          <w:trHeight w:val="57"/>
          <w:jc w:val="right"/>
        </w:trPr>
        <w:tc>
          <w:tcPr>
            <w:tcW w:w="2119" w:type="dxa"/>
            <w:tcBorders>
              <w:top w:val="single" w:sz="12" w:space="0" w:color="000000" w:themeColor="text1"/>
            </w:tcBorders>
            <w:shd w:val="clear" w:color="auto" w:fill="auto"/>
            <w:tcMar>
              <w:top w:w="80" w:type="dxa"/>
              <w:left w:w="80" w:type="dxa"/>
              <w:bottom w:w="80" w:type="dxa"/>
              <w:right w:w="80" w:type="dxa"/>
            </w:tcMar>
          </w:tcPr>
          <w:p w14:paraId="23E1FFD9" w14:textId="399381E1" w:rsidR="006D667A" w:rsidRPr="00A7082A" w:rsidRDefault="006D667A" w:rsidP="006D667A">
            <w:pPr>
              <w:rPr>
                <w:sz w:val="18"/>
                <w:szCs w:val="18"/>
              </w:rPr>
            </w:pPr>
            <w:r w:rsidRPr="00A7082A">
              <w:rPr>
                <w:sz w:val="18"/>
                <w:szCs w:val="18"/>
              </w:rPr>
              <w:t>C1. Cross</w:t>
            </w:r>
            <w:r w:rsidR="00660CBD" w:rsidRPr="00A7082A">
              <w:rPr>
                <w:sz w:val="18"/>
                <w:szCs w:val="18"/>
              </w:rPr>
              <w:t>-</w:t>
            </w:r>
            <w:r w:rsidRPr="00A7082A">
              <w:rPr>
                <w:sz w:val="18"/>
                <w:szCs w:val="18"/>
              </w:rPr>
              <w:t>cutting process indicator for articles 4, 5 and 7</w:t>
            </w:r>
          </w:p>
        </w:tc>
        <w:tc>
          <w:tcPr>
            <w:tcW w:w="3526" w:type="dxa"/>
            <w:tcBorders>
              <w:top w:val="single" w:sz="12" w:space="0" w:color="000000" w:themeColor="text1"/>
            </w:tcBorders>
            <w:shd w:val="clear" w:color="auto" w:fill="auto"/>
            <w:tcMar>
              <w:top w:w="80" w:type="dxa"/>
              <w:left w:w="80" w:type="dxa"/>
              <w:bottom w:w="80" w:type="dxa"/>
              <w:right w:w="80" w:type="dxa"/>
            </w:tcMar>
          </w:tcPr>
          <w:p w14:paraId="3020DD55" w14:textId="77777777" w:rsidR="006D667A" w:rsidRPr="00A7082A" w:rsidRDefault="006D667A" w:rsidP="006D667A">
            <w:pPr>
              <w:rPr>
                <w:sz w:val="18"/>
                <w:szCs w:val="18"/>
              </w:rPr>
            </w:pPr>
            <w:r w:rsidRPr="00A7082A">
              <w:rPr>
                <w:sz w:val="18"/>
                <w:szCs w:val="18"/>
              </w:rPr>
              <w:t>Proportion of parties that have implemented key provisions under this cluster</w:t>
            </w:r>
          </w:p>
        </w:tc>
        <w:tc>
          <w:tcPr>
            <w:tcW w:w="1926" w:type="dxa"/>
            <w:tcBorders>
              <w:top w:val="single" w:sz="12" w:space="0" w:color="000000" w:themeColor="text1"/>
            </w:tcBorders>
            <w:shd w:val="clear" w:color="auto" w:fill="auto"/>
            <w:tcMar>
              <w:top w:w="80" w:type="dxa"/>
              <w:left w:w="80" w:type="dxa"/>
              <w:bottom w:w="80" w:type="dxa"/>
              <w:right w:w="80" w:type="dxa"/>
            </w:tcMar>
          </w:tcPr>
          <w:p w14:paraId="77D7D3E0" w14:textId="77777777" w:rsidR="006D667A" w:rsidRPr="00A7082A" w:rsidRDefault="006D667A" w:rsidP="006D667A">
            <w:pPr>
              <w:rPr>
                <w:sz w:val="18"/>
                <w:szCs w:val="18"/>
              </w:rPr>
            </w:pPr>
            <w:r w:rsidRPr="00A7082A">
              <w:rPr>
                <w:sz w:val="18"/>
                <w:szCs w:val="18"/>
              </w:rPr>
              <w:t>- Synthesized information from individual indicators for articles 4, 5 and 7</w:t>
            </w:r>
          </w:p>
        </w:tc>
        <w:tc>
          <w:tcPr>
            <w:tcW w:w="1779" w:type="dxa"/>
            <w:tcBorders>
              <w:top w:val="single" w:sz="12" w:space="0" w:color="000000" w:themeColor="text1"/>
            </w:tcBorders>
            <w:shd w:val="clear" w:color="auto" w:fill="auto"/>
            <w:tcMar>
              <w:top w:w="80" w:type="dxa"/>
              <w:left w:w="80" w:type="dxa"/>
              <w:bottom w:w="80" w:type="dxa"/>
              <w:right w:w="80" w:type="dxa"/>
            </w:tcMar>
          </w:tcPr>
          <w:p w14:paraId="2DE83BF3" w14:textId="77777777" w:rsidR="006D667A" w:rsidRPr="00A7082A" w:rsidRDefault="006D667A" w:rsidP="006D667A">
            <w:pPr>
              <w:rPr>
                <w:sz w:val="18"/>
                <w:szCs w:val="18"/>
              </w:rPr>
            </w:pPr>
            <w:r w:rsidRPr="00A7082A">
              <w:rPr>
                <w:sz w:val="18"/>
                <w:szCs w:val="18"/>
              </w:rPr>
              <w:t>Percentage in the first evaluation</w:t>
            </w:r>
          </w:p>
        </w:tc>
      </w:tr>
      <w:tr w:rsidR="006D667A" w:rsidRPr="00A7082A" w14:paraId="4D0295B9" w14:textId="77777777" w:rsidTr="00620F0B">
        <w:trPr>
          <w:trHeight w:val="57"/>
          <w:jc w:val="right"/>
        </w:trPr>
        <w:tc>
          <w:tcPr>
            <w:tcW w:w="2119" w:type="dxa"/>
            <w:tcBorders>
              <w:bottom w:val="single" w:sz="4" w:space="0" w:color="000000" w:themeColor="text1"/>
            </w:tcBorders>
            <w:shd w:val="clear" w:color="auto" w:fill="auto"/>
            <w:tcMar>
              <w:top w:w="80" w:type="dxa"/>
              <w:left w:w="80" w:type="dxa"/>
              <w:bottom w:w="80" w:type="dxa"/>
              <w:right w:w="80" w:type="dxa"/>
            </w:tcMar>
          </w:tcPr>
          <w:p w14:paraId="4FBADA28" w14:textId="6AEA5DA4" w:rsidR="006D667A" w:rsidRPr="00A7082A" w:rsidRDefault="006D667A" w:rsidP="006D667A">
            <w:pPr>
              <w:rPr>
                <w:sz w:val="18"/>
                <w:szCs w:val="18"/>
              </w:rPr>
            </w:pPr>
            <w:r w:rsidRPr="00A7082A">
              <w:rPr>
                <w:sz w:val="18"/>
                <w:szCs w:val="18"/>
              </w:rPr>
              <w:t>C2. Cross</w:t>
            </w:r>
            <w:r w:rsidR="00660CBD" w:rsidRPr="00A7082A">
              <w:rPr>
                <w:sz w:val="18"/>
                <w:szCs w:val="18"/>
              </w:rPr>
              <w:t>-</w:t>
            </w:r>
            <w:r w:rsidRPr="00A7082A">
              <w:rPr>
                <w:sz w:val="18"/>
                <w:szCs w:val="18"/>
              </w:rPr>
              <w:t>cutting outcome indicator for articles 4, 5 and 7</w:t>
            </w:r>
          </w:p>
        </w:tc>
        <w:tc>
          <w:tcPr>
            <w:tcW w:w="3526" w:type="dxa"/>
            <w:tcBorders>
              <w:bottom w:val="single" w:sz="4" w:space="0" w:color="000000" w:themeColor="text1"/>
            </w:tcBorders>
            <w:shd w:val="clear" w:color="auto" w:fill="auto"/>
            <w:tcMar>
              <w:top w:w="80" w:type="dxa"/>
              <w:left w:w="80" w:type="dxa"/>
              <w:bottom w:w="80" w:type="dxa"/>
              <w:right w:w="80" w:type="dxa"/>
            </w:tcMar>
          </w:tcPr>
          <w:p w14:paraId="4E500F9D" w14:textId="77777777" w:rsidR="006D667A" w:rsidRPr="00A7082A" w:rsidRDefault="006D667A" w:rsidP="006D667A">
            <w:pPr>
              <w:rPr>
                <w:sz w:val="18"/>
                <w:szCs w:val="18"/>
              </w:rPr>
            </w:pPr>
            <w:r w:rsidRPr="00A7082A">
              <w:rPr>
                <w:sz w:val="18"/>
                <w:szCs w:val="18"/>
              </w:rPr>
              <w:t xml:space="preserve">Global use of mercury in the manufacturing of products or processes, in tonnes per application </w:t>
            </w:r>
          </w:p>
        </w:tc>
        <w:tc>
          <w:tcPr>
            <w:tcW w:w="1926" w:type="dxa"/>
            <w:tcBorders>
              <w:bottom w:val="single" w:sz="4" w:space="0" w:color="000000" w:themeColor="text1"/>
            </w:tcBorders>
            <w:shd w:val="clear" w:color="auto" w:fill="auto"/>
            <w:tcMar>
              <w:top w:w="80" w:type="dxa"/>
              <w:left w:w="80" w:type="dxa"/>
              <w:bottom w:w="80" w:type="dxa"/>
              <w:right w:w="80" w:type="dxa"/>
            </w:tcMar>
          </w:tcPr>
          <w:p w14:paraId="7073E721" w14:textId="77777777" w:rsidR="006D667A" w:rsidRPr="00A7082A" w:rsidRDefault="006D667A" w:rsidP="006D667A">
            <w:pPr>
              <w:rPr>
                <w:sz w:val="18"/>
                <w:szCs w:val="18"/>
              </w:rPr>
            </w:pPr>
            <w:r w:rsidRPr="00A7082A">
              <w:rPr>
                <w:sz w:val="18"/>
                <w:szCs w:val="18"/>
              </w:rPr>
              <w:t>- Information from industry sources</w:t>
            </w:r>
          </w:p>
        </w:tc>
        <w:tc>
          <w:tcPr>
            <w:tcW w:w="1779" w:type="dxa"/>
            <w:tcBorders>
              <w:bottom w:val="single" w:sz="4" w:space="0" w:color="000000" w:themeColor="text1"/>
            </w:tcBorders>
            <w:shd w:val="clear" w:color="auto" w:fill="auto"/>
            <w:tcMar>
              <w:top w:w="80" w:type="dxa"/>
              <w:left w:w="80" w:type="dxa"/>
              <w:bottom w:w="80" w:type="dxa"/>
              <w:right w:w="80" w:type="dxa"/>
            </w:tcMar>
          </w:tcPr>
          <w:p w14:paraId="2976C8D0" w14:textId="77777777" w:rsidR="006D667A" w:rsidRPr="00A7082A" w:rsidRDefault="006D667A" w:rsidP="006D667A">
            <w:pPr>
              <w:rPr>
                <w:sz w:val="18"/>
                <w:szCs w:val="18"/>
              </w:rPr>
            </w:pPr>
            <w:r w:rsidRPr="00A7082A">
              <w:rPr>
                <w:sz w:val="18"/>
                <w:szCs w:val="18"/>
              </w:rPr>
              <w:t>Amount in the first evaluation</w:t>
            </w:r>
          </w:p>
        </w:tc>
      </w:tr>
      <w:tr w:rsidR="006D667A" w:rsidRPr="00A7082A" w14:paraId="333BF4D1" w14:textId="77777777" w:rsidTr="00620F0B">
        <w:trPr>
          <w:trHeight w:val="57"/>
          <w:jc w:val="right"/>
        </w:trPr>
        <w:tc>
          <w:tcPr>
            <w:tcW w:w="2119"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7736C2F4" w14:textId="77777777" w:rsidR="006D667A" w:rsidRPr="00A7082A" w:rsidRDefault="006D667A" w:rsidP="006D667A">
            <w:pPr>
              <w:rPr>
                <w:sz w:val="18"/>
                <w:szCs w:val="18"/>
              </w:rPr>
            </w:pPr>
            <w:r w:rsidRPr="00A7082A">
              <w:rPr>
                <w:b/>
                <w:bCs/>
                <w:sz w:val="18"/>
                <w:szCs w:val="18"/>
              </w:rPr>
              <w:t>Article 4</w:t>
            </w:r>
          </w:p>
        </w:tc>
        <w:tc>
          <w:tcPr>
            <w:tcW w:w="3526"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0AE2084D" w14:textId="77777777" w:rsidR="006D667A" w:rsidRPr="00A7082A" w:rsidRDefault="006D667A" w:rsidP="006D667A">
            <w:pPr>
              <w:rPr>
                <w:sz w:val="18"/>
                <w:szCs w:val="18"/>
              </w:rPr>
            </w:pPr>
          </w:p>
        </w:tc>
        <w:tc>
          <w:tcPr>
            <w:tcW w:w="1926"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1C65169D" w14:textId="77777777" w:rsidR="006D667A" w:rsidRPr="00A7082A" w:rsidRDefault="006D667A" w:rsidP="006D667A">
            <w:pPr>
              <w:rPr>
                <w:sz w:val="18"/>
                <w:szCs w:val="18"/>
              </w:rPr>
            </w:pPr>
          </w:p>
        </w:tc>
        <w:tc>
          <w:tcPr>
            <w:tcW w:w="1779"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6D21580E" w14:textId="77777777" w:rsidR="006D667A" w:rsidRPr="00A7082A" w:rsidRDefault="006D667A" w:rsidP="006D667A">
            <w:pPr>
              <w:rPr>
                <w:sz w:val="18"/>
                <w:szCs w:val="18"/>
              </w:rPr>
            </w:pPr>
          </w:p>
        </w:tc>
      </w:tr>
      <w:tr w:rsidR="006D667A" w:rsidRPr="00A7082A" w14:paraId="01CBD570" w14:textId="77777777" w:rsidTr="00620F0B">
        <w:trPr>
          <w:trHeight w:val="57"/>
          <w:jc w:val="right"/>
        </w:trPr>
        <w:tc>
          <w:tcPr>
            <w:tcW w:w="2119" w:type="dxa"/>
            <w:tcBorders>
              <w:top w:val="single" w:sz="4" w:space="0" w:color="000000" w:themeColor="text1"/>
            </w:tcBorders>
            <w:shd w:val="clear" w:color="auto" w:fill="auto"/>
            <w:tcMar>
              <w:top w:w="80" w:type="dxa"/>
              <w:left w:w="80" w:type="dxa"/>
              <w:bottom w:w="80" w:type="dxa"/>
              <w:right w:w="80" w:type="dxa"/>
            </w:tcMar>
          </w:tcPr>
          <w:p w14:paraId="1E2BC6C7" w14:textId="77777777" w:rsidR="006D667A" w:rsidRPr="00A7082A" w:rsidRDefault="006D667A" w:rsidP="006D667A">
            <w:pPr>
              <w:rPr>
                <w:sz w:val="18"/>
                <w:szCs w:val="18"/>
              </w:rPr>
            </w:pPr>
            <w:r w:rsidRPr="00A7082A">
              <w:rPr>
                <w:sz w:val="18"/>
                <w:szCs w:val="18"/>
              </w:rPr>
              <w:t>C3. Process indicator for article 4</w:t>
            </w:r>
          </w:p>
        </w:tc>
        <w:tc>
          <w:tcPr>
            <w:tcW w:w="3526" w:type="dxa"/>
            <w:tcBorders>
              <w:top w:val="single" w:sz="4" w:space="0" w:color="000000" w:themeColor="text1"/>
            </w:tcBorders>
            <w:shd w:val="clear" w:color="auto" w:fill="auto"/>
            <w:tcMar>
              <w:top w:w="80" w:type="dxa"/>
              <w:left w:w="80" w:type="dxa"/>
              <w:bottom w:w="80" w:type="dxa"/>
              <w:right w:w="80" w:type="dxa"/>
            </w:tcMar>
          </w:tcPr>
          <w:p w14:paraId="10757366" w14:textId="77777777" w:rsidR="006D667A" w:rsidRPr="00A7082A" w:rsidRDefault="006D667A" w:rsidP="006D667A">
            <w:pPr>
              <w:rPr>
                <w:sz w:val="18"/>
                <w:szCs w:val="18"/>
              </w:rPr>
            </w:pPr>
            <w:r w:rsidRPr="00A7082A">
              <w:rPr>
                <w:sz w:val="18"/>
                <w:szCs w:val="18"/>
              </w:rPr>
              <w:t>Number of parties having appropriate measures to prevent the manufacture, export or import of mercury-added products listed in part I of annex A</w:t>
            </w:r>
          </w:p>
        </w:tc>
        <w:tc>
          <w:tcPr>
            <w:tcW w:w="1926" w:type="dxa"/>
            <w:tcBorders>
              <w:top w:val="single" w:sz="4" w:space="0" w:color="000000" w:themeColor="text1"/>
            </w:tcBorders>
            <w:shd w:val="clear" w:color="auto" w:fill="auto"/>
            <w:tcMar>
              <w:top w:w="80" w:type="dxa"/>
              <w:left w:w="80" w:type="dxa"/>
              <w:bottom w:w="80" w:type="dxa"/>
              <w:right w:w="80" w:type="dxa"/>
            </w:tcMar>
          </w:tcPr>
          <w:p w14:paraId="04D8BEE4" w14:textId="77777777" w:rsidR="006D667A" w:rsidRPr="00A7082A" w:rsidRDefault="006D667A" w:rsidP="006D667A">
            <w:pPr>
              <w:rPr>
                <w:sz w:val="18"/>
                <w:szCs w:val="18"/>
              </w:rPr>
            </w:pPr>
            <w:r w:rsidRPr="00A7082A">
              <w:rPr>
                <w:sz w:val="18"/>
                <w:szCs w:val="18"/>
              </w:rPr>
              <w:t>- Article 21 reporting</w:t>
            </w:r>
          </w:p>
        </w:tc>
        <w:tc>
          <w:tcPr>
            <w:tcW w:w="1779" w:type="dxa"/>
            <w:tcBorders>
              <w:top w:val="single" w:sz="4" w:space="0" w:color="000000" w:themeColor="text1"/>
            </w:tcBorders>
            <w:shd w:val="clear" w:color="auto" w:fill="auto"/>
            <w:tcMar>
              <w:top w:w="80" w:type="dxa"/>
              <w:left w:w="80" w:type="dxa"/>
              <w:bottom w:w="80" w:type="dxa"/>
              <w:right w:w="80" w:type="dxa"/>
            </w:tcMar>
          </w:tcPr>
          <w:p w14:paraId="0A1FD21A" w14:textId="77777777" w:rsidR="006D667A" w:rsidRPr="00A7082A" w:rsidRDefault="006D667A" w:rsidP="006D667A">
            <w:pPr>
              <w:rPr>
                <w:sz w:val="18"/>
                <w:szCs w:val="18"/>
              </w:rPr>
            </w:pPr>
            <w:r w:rsidRPr="00A7082A">
              <w:rPr>
                <w:sz w:val="18"/>
                <w:szCs w:val="18"/>
              </w:rPr>
              <w:t>Number in the first evaluation</w:t>
            </w:r>
          </w:p>
        </w:tc>
      </w:tr>
      <w:tr w:rsidR="006D667A" w:rsidRPr="00A7082A" w14:paraId="32EBD9A0" w14:textId="77777777" w:rsidTr="00620F0B">
        <w:trPr>
          <w:trHeight w:val="57"/>
          <w:jc w:val="right"/>
        </w:trPr>
        <w:tc>
          <w:tcPr>
            <w:tcW w:w="2119" w:type="dxa"/>
            <w:shd w:val="clear" w:color="auto" w:fill="auto"/>
            <w:tcMar>
              <w:top w:w="80" w:type="dxa"/>
              <w:left w:w="80" w:type="dxa"/>
              <w:bottom w:w="80" w:type="dxa"/>
              <w:right w:w="80" w:type="dxa"/>
            </w:tcMar>
          </w:tcPr>
          <w:p w14:paraId="03C7E0B0" w14:textId="77777777" w:rsidR="006D667A" w:rsidRPr="00A7082A" w:rsidRDefault="006D667A" w:rsidP="006D667A">
            <w:pPr>
              <w:rPr>
                <w:sz w:val="18"/>
                <w:szCs w:val="18"/>
              </w:rPr>
            </w:pPr>
            <w:r w:rsidRPr="00A7082A">
              <w:rPr>
                <w:sz w:val="18"/>
                <w:szCs w:val="18"/>
              </w:rPr>
              <w:t>C4. Process indicator for article 4</w:t>
            </w:r>
          </w:p>
        </w:tc>
        <w:tc>
          <w:tcPr>
            <w:tcW w:w="3526" w:type="dxa"/>
            <w:shd w:val="clear" w:color="auto" w:fill="auto"/>
            <w:tcMar>
              <w:top w:w="80" w:type="dxa"/>
              <w:left w:w="80" w:type="dxa"/>
              <w:bottom w:w="80" w:type="dxa"/>
              <w:right w:w="80" w:type="dxa"/>
            </w:tcMar>
          </w:tcPr>
          <w:p w14:paraId="26037FDB" w14:textId="77777777" w:rsidR="006D667A" w:rsidRPr="00A7082A" w:rsidRDefault="006D667A" w:rsidP="006D667A">
            <w:pPr>
              <w:rPr>
                <w:sz w:val="18"/>
                <w:szCs w:val="18"/>
              </w:rPr>
            </w:pPr>
            <w:r w:rsidRPr="00A7082A">
              <w:rPr>
                <w:sz w:val="18"/>
                <w:szCs w:val="18"/>
              </w:rPr>
              <w:t>Number of exemptions per product category that are still valid</w:t>
            </w:r>
          </w:p>
        </w:tc>
        <w:tc>
          <w:tcPr>
            <w:tcW w:w="1926" w:type="dxa"/>
            <w:shd w:val="clear" w:color="auto" w:fill="auto"/>
            <w:tcMar>
              <w:top w:w="80" w:type="dxa"/>
              <w:left w:w="80" w:type="dxa"/>
              <w:bottom w:w="80" w:type="dxa"/>
              <w:right w:w="80" w:type="dxa"/>
            </w:tcMar>
          </w:tcPr>
          <w:p w14:paraId="6F4CBCB4" w14:textId="77777777" w:rsidR="006D667A" w:rsidRPr="00A7082A" w:rsidRDefault="006D667A" w:rsidP="006D667A">
            <w:pPr>
              <w:rPr>
                <w:sz w:val="18"/>
                <w:szCs w:val="18"/>
              </w:rPr>
            </w:pPr>
            <w:r w:rsidRPr="00A7082A">
              <w:rPr>
                <w:sz w:val="18"/>
                <w:szCs w:val="18"/>
              </w:rPr>
              <w:t>- Registry of exemptions</w:t>
            </w:r>
          </w:p>
        </w:tc>
        <w:tc>
          <w:tcPr>
            <w:tcW w:w="1779" w:type="dxa"/>
            <w:shd w:val="clear" w:color="auto" w:fill="auto"/>
            <w:tcMar>
              <w:top w:w="80" w:type="dxa"/>
              <w:left w:w="80" w:type="dxa"/>
              <w:bottom w:w="80" w:type="dxa"/>
              <w:right w:w="80" w:type="dxa"/>
            </w:tcMar>
          </w:tcPr>
          <w:p w14:paraId="6DF03345" w14:textId="77777777" w:rsidR="006D667A" w:rsidRPr="00A7082A" w:rsidRDefault="006D667A" w:rsidP="006D667A">
            <w:pPr>
              <w:rPr>
                <w:sz w:val="18"/>
                <w:szCs w:val="18"/>
              </w:rPr>
            </w:pPr>
            <w:r w:rsidRPr="00A7082A">
              <w:rPr>
                <w:sz w:val="18"/>
                <w:szCs w:val="18"/>
              </w:rPr>
              <w:t>Number in the first evaluation</w:t>
            </w:r>
          </w:p>
        </w:tc>
      </w:tr>
      <w:tr w:rsidR="006D667A" w:rsidRPr="00A7082A" w14:paraId="4EB8E9EC" w14:textId="77777777" w:rsidTr="00620F0B">
        <w:trPr>
          <w:trHeight w:val="57"/>
          <w:jc w:val="right"/>
        </w:trPr>
        <w:tc>
          <w:tcPr>
            <w:tcW w:w="2119" w:type="dxa"/>
            <w:shd w:val="clear" w:color="auto" w:fill="auto"/>
            <w:tcMar>
              <w:top w:w="80" w:type="dxa"/>
              <w:left w:w="80" w:type="dxa"/>
              <w:bottom w:w="80" w:type="dxa"/>
              <w:right w:w="80" w:type="dxa"/>
            </w:tcMar>
          </w:tcPr>
          <w:p w14:paraId="1D0896D5" w14:textId="77777777" w:rsidR="006D667A" w:rsidRPr="00A7082A" w:rsidRDefault="006D667A" w:rsidP="006D667A">
            <w:pPr>
              <w:rPr>
                <w:sz w:val="18"/>
                <w:szCs w:val="18"/>
              </w:rPr>
            </w:pPr>
            <w:r w:rsidRPr="00A7082A">
              <w:rPr>
                <w:sz w:val="18"/>
                <w:szCs w:val="18"/>
              </w:rPr>
              <w:t>C5. Process indicator for article 4</w:t>
            </w:r>
          </w:p>
        </w:tc>
        <w:tc>
          <w:tcPr>
            <w:tcW w:w="3526" w:type="dxa"/>
            <w:shd w:val="clear" w:color="auto" w:fill="auto"/>
            <w:tcMar>
              <w:top w:w="80" w:type="dxa"/>
              <w:left w:w="80" w:type="dxa"/>
              <w:bottom w:w="80" w:type="dxa"/>
              <w:right w:w="80" w:type="dxa"/>
            </w:tcMar>
          </w:tcPr>
          <w:p w14:paraId="6D8F3CB2" w14:textId="77777777" w:rsidR="006D667A" w:rsidRPr="00A7082A" w:rsidRDefault="006D667A" w:rsidP="006D667A">
            <w:pPr>
              <w:rPr>
                <w:sz w:val="18"/>
                <w:szCs w:val="18"/>
              </w:rPr>
            </w:pPr>
            <w:r w:rsidRPr="00A7082A">
              <w:rPr>
                <w:sz w:val="18"/>
                <w:szCs w:val="18"/>
              </w:rPr>
              <w:t>Number of parties that have taken two or more measures for the mercury-added products listed in part II of annex A</w:t>
            </w:r>
          </w:p>
        </w:tc>
        <w:tc>
          <w:tcPr>
            <w:tcW w:w="1926" w:type="dxa"/>
            <w:shd w:val="clear" w:color="auto" w:fill="auto"/>
            <w:tcMar>
              <w:top w:w="80" w:type="dxa"/>
              <w:left w:w="80" w:type="dxa"/>
              <w:bottom w:w="80" w:type="dxa"/>
              <w:right w:w="80" w:type="dxa"/>
            </w:tcMar>
          </w:tcPr>
          <w:p w14:paraId="2B187845" w14:textId="77777777" w:rsidR="006D667A" w:rsidRPr="00A7082A" w:rsidRDefault="006D667A" w:rsidP="006D667A">
            <w:pPr>
              <w:rPr>
                <w:sz w:val="18"/>
                <w:szCs w:val="18"/>
              </w:rPr>
            </w:pPr>
            <w:r w:rsidRPr="00A7082A">
              <w:rPr>
                <w:sz w:val="18"/>
                <w:szCs w:val="18"/>
              </w:rPr>
              <w:t>- Article 21 reporting</w:t>
            </w:r>
          </w:p>
        </w:tc>
        <w:tc>
          <w:tcPr>
            <w:tcW w:w="1779" w:type="dxa"/>
            <w:shd w:val="clear" w:color="auto" w:fill="auto"/>
            <w:tcMar>
              <w:top w:w="80" w:type="dxa"/>
              <w:left w:w="80" w:type="dxa"/>
              <w:bottom w:w="80" w:type="dxa"/>
              <w:right w:w="80" w:type="dxa"/>
            </w:tcMar>
          </w:tcPr>
          <w:p w14:paraId="64CAAF6E" w14:textId="77777777" w:rsidR="006D667A" w:rsidRPr="00A7082A" w:rsidRDefault="006D667A" w:rsidP="006D667A">
            <w:pPr>
              <w:rPr>
                <w:sz w:val="18"/>
                <w:szCs w:val="18"/>
              </w:rPr>
            </w:pPr>
            <w:r w:rsidRPr="00A7082A">
              <w:rPr>
                <w:sz w:val="18"/>
                <w:szCs w:val="18"/>
              </w:rPr>
              <w:t>Number in the first evaluation</w:t>
            </w:r>
          </w:p>
        </w:tc>
      </w:tr>
      <w:tr w:rsidR="006D667A" w:rsidRPr="00A7082A" w14:paraId="0FD5F264" w14:textId="77777777" w:rsidTr="00620F0B">
        <w:trPr>
          <w:trHeight w:val="57"/>
          <w:jc w:val="right"/>
        </w:trPr>
        <w:tc>
          <w:tcPr>
            <w:tcW w:w="2119" w:type="dxa"/>
            <w:tcBorders>
              <w:bottom w:val="single" w:sz="4" w:space="0" w:color="000000" w:themeColor="text1"/>
            </w:tcBorders>
            <w:shd w:val="clear" w:color="auto" w:fill="auto"/>
            <w:tcMar>
              <w:top w:w="80" w:type="dxa"/>
              <w:left w:w="80" w:type="dxa"/>
              <w:bottom w:w="80" w:type="dxa"/>
              <w:right w:w="80" w:type="dxa"/>
            </w:tcMar>
          </w:tcPr>
          <w:p w14:paraId="26F2F035" w14:textId="77777777" w:rsidR="006D667A" w:rsidRPr="00A7082A" w:rsidRDefault="006D667A" w:rsidP="006D667A">
            <w:pPr>
              <w:tabs>
                <w:tab w:val="left" w:pos="1163"/>
              </w:tabs>
              <w:rPr>
                <w:sz w:val="18"/>
                <w:szCs w:val="18"/>
              </w:rPr>
            </w:pPr>
            <w:r w:rsidRPr="00A7082A">
              <w:rPr>
                <w:sz w:val="18"/>
                <w:szCs w:val="18"/>
              </w:rPr>
              <w:t>C6. Additional outcome indicator for article 4</w:t>
            </w:r>
          </w:p>
        </w:tc>
        <w:tc>
          <w:tcPr>
            <w:tcW w:w="3526" w:type="dxa"/>
            <w:tcBorders>
              <w:bottom w:val="single" w:sz="4" w:space="0" w:color="000000" w:themeColor="text1"/>
            </w:tcBorders>
            <w:shd w:val="clear" w:color="auto" w:fill="auto"/>
            <w:tcMar>
              <w:top w:w="80" w:type="dxa"/>
              <w:left w:w="80" w:type="dxa"/>
              <w:bottom w:w="80" w:type="dxa"/>
              <w:right w:w="80" w:type="dxa"/>
            </w:tcMar>
          </w:tcPr>
          <w:p w14:paraId="50F5E331" w14:textId="77777777" w:rsidR="006D667A" w:rsidRPr="00A7082A" w:rsidRDefault="006D667A" w:rsidP="006D667A">
            <w:pPr>
              <w:tabs>
                <w:tab w:val="left" w:pos="1163"/>
              </w:tabs>
              <w:rPr>
                <w:sz w:val="18"/>
                <w:szCs w:val="18"/>
              </w:rPr>
            </w:pPr>
            <w:r w:rsidRPr="00A7082A">
              <w:rPr>
                <w:sz w:val="18"/>
                <w:szCs w:val="18"/>
              </w:rPr>
              <w:t>Volume, in tonnes of mercury-added products (a) imported and (b) exported, in units per year, for each product category in part I of annex A.</w:t>
            </w:r>
          </w:p>
        </w:tc>
        <w:tc>
          <w:tcPr>
            <w:tcW w:w="1926" w:type="dxa"/>
            <w:tcBorders>
              <w:bottom w:val="single" w:sz="4" w:space="0" w:color="000000" w:themeColor="text1"/>
            </w:tcBorders>
            <w:shd w:val="clear" w:color="auto" w:fill="auto"/>
            <w:tcMar>
              <w:top w:w="80" w:type="dxa"/>
              <w:left w:w="80" w:type="dxa"/>
              <w:bottom w:w="80" w:type="dxa"/>
              <w:right w:w="80" w:type="dxa"/>
            </w:tcMar>
          </w:tcPr>
          <w:p w14:paraId="0419A2A6" w14:textId="77777777" w:rsidR="006D667A" w:rsidRPr="00A7082A" w:rsidRDefault="006D667A" w:rsidP="006D667A">
            <w:pPr>
              <w:tabs>
                <w:tab w:val="left" w:pos="1163"/>
              </w:tabs>
              <w:rPr>
                <w:sz w:val="18"/>
                <w:szCs w:val="18"/>
              </w:rPr>
            </w:pPr>
            <w:r w:rsidRPr="00A7082A">
              <w:rPr>
                <w:sz w:val="18"/>
                <w:szCs w:val="18"/>
              </w:rPr>
              <w:t>- Trade and customs data</w:t>
            </w:r>
          </w:p>
        </w:tc>
        <w:tc>
          <w:tcPr>
            <w:tcW w:w="1779" w:type="dxa"/>
            <w:tcBorders>
              <w:bottom w:val="single" w:sz="4" w:space="0" w:color="000000" w:themeColor="text1"/>
            </w:tcBorders>
            <w:shd w:val="clear" w:color="auto" w:fill="auto"/>
            <w:tcMar>
              <w:top w:w="80" w:type="dxa"/>
              <w:left w:w="80" w:type="dxa"/>
              <w:bottom w:w="80" w:type="dxa"/>
              <w:right w:w="80" w:type="dxa"/>
            </w:tcMar>
          </w:tcPr>
          <w:p w14:paraId="66817798" w14:textId="77777777" w:rsidR="006D667A" w:rsidRPr="00A7082A" w:rsidRDefault="006D667A" w:rsidP="006D667A">
            <w:pPr>
              <w:tabs>
                <w:tab w:val="left" w:pos="1163"/>
              </w:tabs>
              <w:rPr>
                <w:sz w:val="18"/>
                <w:szCs w:val="18"/>
              </w:rPr>
            </w:pPr>
            <w:r w:rsidRPr="00A7082A">
              <w:rPr>
                <w:sz w:val="18"/>
                <w:szCs w:val="18"/>
              </w:rPr>
              <w:t>Amount in the first evaluation</w:t>
            </w:r>
          </w:p>
        </w:tc>
      </w:tr>
      <w:tr w:rsidR="006D667A" w:rsidRPr="00A7082A" w14:paraId="3C2FA366" w14:textId="77777777" w:rsidTr="00620F0B">
        <w:trPr>
          <w:trHeight w:val="57"/>
          <w:jc w:val="right"/>
        </w:trPr>
        <w:tc>
          <w:tcPr>
            <w:tcW w:w="2119"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1DC09696" w14:textId="77777777" w:rsidR="006D667A" w:rsidRPr="00A7082A" w:rsidRDefault="006D667A" w:rsidP="006D667A">
            <w:pPr>
              <w:tabs>
                <w:tab w:val="left" w:pos="1163"/>
              </w:tabs>
              <w:rPr>
                <w:sz w:val="18"/>
                <w:szCs w:val="18"/>
              </w:rPr>
            </w:pPr>
            <w:r w:rsidRPr="00A7082A">
              <w:rPr>
                <w:b/>
                <w:bCs/>
                <w:sz w:val="18"/>
                <w:szCs w:val="18"/>
              </w:rPr>
              <w:t>Article 5</w:t>
            </w:r>
          </w:p>
        </w:tc>
        <w:tc>
          <w:tcPr>
            <w:tcW w:w="3526"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005DAB13" w14:textId="77777777" w:rsidR="006D667A" w:rsidRPr="00A7082A" w:rsidRDefault="006D667A" w:rsidP="006D667A">
            <w:pPr>
              <w:rPr>
                <w:sz w:val="18"/>
                <w:szCs w:val="18"/>
              </w:rPr>
            </w:pPr>
          </w:p>
        </w:tc>
        <w:tc>
          <w:tcPr>
            <w:tcW w:w="1926"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24789C52" w14:textId="77777777" w:rsidR="006D667A" w:rsidRPr="00A7082A" w:rsidRDefault="006D667A" w:rsidP="006D667A">
            <w:pPr>
              <w:rPr>
                <w:sz w:val="18"/>
                <w:szCs w:val="18"/>
              </w:rPr>
            </w:pPr>
          </w:p>
        </w:tc>
        <w:tc>
          <w:tcPr>
            <w:tcW w:w="1779"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4211B3E8" w14:textId="77777777" w:rsidR="006D667A" w:rsidRPr="00A7082A" w:rsidRDefault="006D667A" w:rsidP="006D667A">
            <w:pPr>
              <w:rPr>
                <w:sz w:val="18"/>
                <w:szCs w:val="18"/>
              </w:rPr>
            </w:pPr>
          </w:p>
        </w:tc>
      </w:tr>
      <w:tr w:rsidR="006D667A" w:rsidRPr="00A7082A" w14:paraId="2B9C93DB" w14:textId="77777777" w:rsidTr="00620F0B">
        <w:trPr>
          <w:trHeight w:val="57"/>
          <w:jc w:val="right"/>
        </w:trPr>
        <w:tc>
          <w:tcPr>
            <w:tcW w:w="2119" w:type="dxa"/>
            <w:tcBorders>
              <w:top w:val="single" w:sz="4" w:space="0" w:color="000000" w:themeColor="text1"/>
            </w:tcBorders>
            <w:shd w:val="clear" w:color="auto" w:fill="auto"/>
            <w:tcMar>
              <w:top w:w="80" w:type="dxa"/>
              <w:left w:w="80" w:type="dxa"/>
              <w:bottom w:w="80" w:type="dxa"/>
              <w:right w:w="80" w:type="dxa"/>
            </w:tcMar>
          </w:tcPr>
          <w:p w14:paraId="0A9C4AE9" w14:textId="77777777" w:rsidR="006D667A" w:rsidRPr="00A7082A" w:rsidRDefault="006D667A" w:rsidP="006D667A">
            <w:pPr>
              <w:tabs>
                <w:tab w:val="left" w:pos="1163"/>
              </w:tabs>
              <w:rPr>
                <w:sz w:val="18"/>
                <w:szCs w:val="18"/>
              </w:rPr>
            </w:pPr>
            <w:r w:rsidRPr="00A7082A">
              <w:rPr>
                <w:sz w:val="18"/>
                <w:szCs w:val="18"/>
              </w:rPr>
              <w:t>C7. Process indicator for article 5</w:t>
            </w:r>
          </w:p>
        </w:tc>
        <w:tc>
          <w:tcPr>
            <w:tcW w:w="3526" w:type="dxa"/>
            <w:tcBorders>
              <w:top w:val="single" w:sz="4" w:space="0" w:color="000000" w:themeColor="text1"/>
            </w:tcBorders>
            <w:shd w:val="clear" w:color="auto" w:fill="auto"/>
            <w:tcMar>
              <w:top w:w="80" w:type="dxa"/>
              <w:left w:w="80" w:type="dxa"/>
              <w:bottom w:w="80" w:type="dxa"/>
              <w:right w:w="80" w:type="dxa"/>
            </w:tcMar>
          </w:tcPr>
          <w:p w14:paraId="28F291BB" w14:textId="77777777" w:rsidR="006D667A" w:rsidRPr="00A7082A" w:rsidRDefault="006D667A" w:rsidP="006D667A">
            <w:pPr>
              <w:tabs>
                <w:tab w:val="left" w:pos="1163"/>
              </w:tabs>
              <w:rPr>
                <w:sz w:val="18"/>
                <w:szCs w:val="18"/>
              </w:rPr>
            </w:pPr>
            <w:r w:rsidRPr="00A7082A">
              <w:rPr>
                <w:sz w:val="18"/>
                <w:szCs w:val="18"/>
              </w:rPr>
              <w:t>Number of parties with exemptions for annex B, part I, processes that are still valid</w:t>
            </w:r>
          </w:p>
        </w:tc>
        <w:tc>
          <w:tcPr>
            <w:tcW w:w="1926" w:type="dxa"/>
            <w:tcBorders>
              <w:top w:val="single" w:sz="4" w:space="0" w:color="000000" w:themeColor="text1"/>
            </w:tcBorders>
            <w:shd w:val="clear" w:color="auto" w:fill="auto"/>
            <w:tcMar>
              <w:top w:w="80" w:type="dxa"/>
              <w:left w:w="80" w:type="dxa"/>
              <w:bottom w:w="80" w:type="dxa"/>
              <w:right w:w="80" w:type="dxa"/>
            </w:tcMar>
          </w:tcPr>
          <w:p w14:paraId="7CCD788A" w14:textId="77777777" w:rsidR="006D667A" w:rsidRPr="00A7082A" w:rsidRDefault="006D667A" w:rsidP="006D667A">
            <w:pPr>
              <w:tabs>
                <w:tab w:val="left" w:pos="1163"/>
              </w:tabs>
              <w:rPr>
                <w:sz w:val="18"/>
                <w:szCs w:val="18"/>
              </w:rPr>
            </w:pPr>
            <w:r w:rsidRPr="00A7082A">
              <w:rPr>
                <w:sz w:val="18"/>
                <w:szCs w:val="18"/>
              </w:rPr>
              <w:t>- Registry of exemptions</w:t>
            </w:r>
          </w:p>
        </w:tc>
        <w:tc>
          <w:tcPr>
            <w:tcW w:w="1779" w:type="dxa"/>
            <w:tcBorders>
              <w:top w:val="single" w:sz="4" w:space="0" w:color="000000" w:themeColor="text1"/>
            </w:tcBorders>
            <w:shd w:val="clear" w:color="auto" w:fill="auto"/>
            <w:tcMar>
              <w:top w:w="80" w:type="dxa"/>
              <w:left w:w="80" w:type="dxa"/>
              <w:bottom w:w="80" w:type="dxa"/>
              <w:right w:w="80" w:type="dxa"/>
            </w:tcMar>
          </w:tcPr>
          <w:p w14:paraId="71963C84" w14:textId="77777777" w:rsidR="006D667A" w:rsidRPr="00A7082A" w:rsidRDefault="006D667A" w:rsidP="006D667A">
            <w:pPr>
              <w:tabs>
                <w:tab w:val="left" w:pos="1163"/>
              </w:tabs>
              <w:rPr>
                <w:sz w:val="18"/>
                <w:szCs w:val="18"/>
              </w:rPr>
            </w:pPr>
            <w:r w:rsidRPr="00A7082A">
              <w:rPr>
                <w:sz w:val="18"/>
                <w:szCs w:val="18"/>
              </w:rPr>
              <w:t>Number in the first evaluation</w:t>
            </w:r>
          </w:p>
        </w:tc>
      </w:tr>
      <w:tr w:rsidR="006D667A" w:rsidRPr="00A7082A" w14:paraId="7A5649C7" w14:textId="77777777" w:rsidTr="00620F0B">
        <w:trPr>
          <w:trHeight w:val="57"/>
          <w:jc w:val="right"/>
        </w:trPr>
        <w:tc>
          <w:tcPr>
            <w:tcW w:w="2119" w:type="dxa"/>
            <w:shd w:val="clear" w:color="auto" w:fill="auto"/>
            <w:tcMar>
              <w:top w:w="80" w:type="dxa"/>
              <w:left w:w="80" w:type="dxa"/>
              <w:bottom w:w="80" w:type="dxa"/>
              <w:right w:w="80" w:type="dxa"/>
            </w:tcMar>
          </w:tcPr>
          <w:p w14:paraId="30E114CC" w14:textId="77777777" w:rsidR="006D667A" w:rsidRPr="00A7082A" w:rsidRDefault="006D667A" w:rsidP="006D667A">
            <w:pPr>
              <w:tabs>
                <w:tab w:val="left" w:pos="1163"/>
              </w:tabs>
              <w:rPr>
                <w:sz w:val="18"/>
                <w:szCs w:val="18"/>
              </w:rPr>
            </w:pPr>
            <w:r w:rsidRPr="00A7082A">
              <w:rPr>
                <w:sz w:val="18"/>
                <w:szCs w:val="18"/>
              </w:rPr>
              <w:t>C8. Process indicator for article 5</w:t>
            </w:r>
          </w:p>
        </w:tc>
        <w:tc>
          <w:tcPr>
            <w:tcW w:w="3526" w:type="dxa"/>
            <w:shd w:val="clear" w:color="auto" w:fill="auto"/>
            <w:tcMar>
              <w:top w:w="80" w:type="dxa"/>
              <w:left w:w="80" w:type="dxa"/>
              <w:bottom w:w="80" w:type="dxa"/>
              <w:right w:w="80" w:type="dxa"/>
            </w:tcMar>
          </w:tcPr>
          <w:p w14:paraId="45E7A097" w14:textId="77777777" w:rsidR="006D667A" w:rsidRPr="00A7082A" w:rsidRDefault="006D667A" w:rsidP="006D667A">
            <w:pPr>
              <w:tabs>
                <w:tab w:val="left" w:pos="1163"/>
              </w:tabs>
              <w:rPr>
                <w:sz w:val="18"/>
                <w:szCs w:val="18"/>
              </w:rPr>
            </w:pPr>
            <w:r w:rsidRPr="00A7082A">
              <w:rPr>
                <w:sz w:val="18"/>
                <w:szCs w:val="18"/>
              </w:rPr>
              <w:t>Number of parties having measures in place to not allow the use of mercury or mercury compounds in manufacturing processes listed in part I of annex B</w:t>
            </w:r>
          </w:p>
        </w:tc>
        <w:tc>
          <w:tcPr>
            <w:tcW w:w="1926" w:type="dxa"/>
            <w:shd w:val="clear" w:color="auto" w:fill="auto"/>
            <w:tcMar>
              <w:top w:w="80" w:type="dxa"/>
              <w:left w:w="80" w:type="dxa"/>
              <w:bottom w:w="80" w:type="dxa"/>
              <w:right w:w="80" w:type="dxa"/>
            </w:tcMar>
          </w:tcPr>
          <w:p w14:paraId="62088976" w14:textId="77777777" w:rsidR="006D667A" w:rsidRPr="00A7082A" w:rsidRDefault="006D667A" w:rsidP="006D667A">
            <w:pPr>
              <w:tabs>
                <w:tab w:val="left" w:pos="1163"/>
              </w:tabs>
              <w:rPr>
                <w:sz w:val="18"/>
                <w:szCs w:val="18"/>
              </w:rPr>
            </w:pPr>
            <w:r w:rsidRPr="00A7082A">
              <w:rPr>
                <w:sz w:val="18"/>
                <w:szCs w:val="18"/>
              </w:rPr>
              <w:t>- Article 21 reporting</w:t>
            </w:r>
          </w:p>
        </w:tc>
        <w:tc>
          <w:tcPr>
            <w:tcW w:w="1779" w:type="dxa"/>
            <w:shd w:val="clear" w:color="auto" w:fill="auto"/>
            <w:tcMar>
              <w:top w:w="80" w:type="dxa"/>
              <w:left w:w="80" w:type="dxa"/>
              <w:bottom w:w="80" w:type="dxa"/>
              <w:right w:w="80" w:type="dxa"/>
            </w:tcMar>
          </w:tcPr>
          <w:p w14:paraId="7C8E4E14" w14:textId="77777777" w:rsidR="006D667A" w:rsidRPr="00A7082A" w:rsidRDefault="006D667A" w:rsidP="006D667A">
            <w:pPr>
              <w:tabs>
                <w:tab w:val="left" w:pos="1163"/>
              </w:tabs>
              <w:rPr>
                <w:sz w:val="18"/>
                <w:szCs w:val="18"/>
              </w:rPr>
            </w:pPr>
            <w:r w:rsidRPr="00A7082A">
              <w:rPr>
                <w:sz w:val="18"/>
                <w:szCs w:val="18"/>
              </w:rPr>
              <w:t>Number in the first evaluation</w:t>
            </w:r>
          </w:p>
        </w:tc>
      </w:tr>
      <w:tr w:rsidR="006D667A" w:rsidRPr="00A7082A" w14:paraId="01399745" w14:textId="77777777" w:rsidTr="00620F0B">
        <w:trPr>
          <w:trHeight w:val="57"/>
          <w:jc w:val="right"/>
        </w:trPr>
        <w:tc>
          <w:tcPr>
            <w:tcW w:w="2119" w:type="dxa"/>
            <w:tcBorders>
              <w:bottom w:val="single" w:sz="4" w:space="0" w:color="000000" w:themeColor="text1"/>
            </w:tcBorders>
            <w:shd w:val="clear" w:color="auto" w:fill="auto"/>
            <w:tcMar>
              <w:top w:w="80" w:type="dxa"/>
              <w:left w:w="80" w:type="dxa"/>
              <w:bottom w:w="80" w:type="dxa"/>
              <w:right w:w="80" w:type="dxa"/>
            </w:tcMar>
          </w:tcPr>
          <w:p w14:paraId="5B594284" w14:textId="77777777" w:rsidR="006D667A" w:rsidRPr="00A7082A" w:rsidRDefault="006D667A" w:rsidP="006D667A">
            <w:pPr>
              <w:tabs>
                <w:tab w:val="left" w:pos="1163"/>
              </w:tabs>
              <w:rPr>
                <w:sz w:val="18"/>
                <w:szCs w:val="18"/>
              </w:rPr>
            </w:pPr>
            <w:r w:rsidRPr="00A7082A">
              <w:rPr>
                <w:sz w:val="18"/>
                <w:szCs w:val="18"/>
              </w:rPr>
              <w:t>C9. Process indicator for article 5</w:t>
            </w:r>
          </w:p>
        </w:tc>
        <w:tc>
          <w:tcPr>
            <w:tcW w:w="3526" w:type="dxa"/>
            <w:tcBorders>
              <w:bottom w:val="single" w:sz="4" w:space="0" w:color="000000" w:themeColor="text1"/>
            </w:tcBorders>
            <w:shd w:val="clear" w:color="auto" w:fill="auto"/>
            <w:tcMar>
              <w:top w:w="80" w:type="dxa"/>
              <w:left w:w="80" w:type="dxa"/>
              <w:bottom w:w="80" w:type="dxa"/>
              <w:right w:w="80" w:type="dxa"/>
            </w:tcMar>
          </w:tcPr>
          <w:p w14:paraId="0A599919" w14:textId="26130FCD" w:rsidR="006D667A" w:rsidRPr="00A7082A" w:rsidRDefault="006D667A" w:rsidP="006D667A">
            <w:pPr>
              <w:tabs>
                <w:tab w:val="left" w:pos="1163"/>
              </w:tabs>
              <w:rPr>
                <w:sz w:val="18"/>
                <w:szCs w:val="18"/>
              </w:rPr>
            </w:pPr>
            <w:r w:rsidRPr="00A7082A">
              <w:rPr>
                <w:sz w:val="18"/>
                <w:szCs w:val="18"/>
              </w:rPr>
              <w:t>Proportion of parties that have processes subject to art</w:t>
            </w:r>
            <w:r w:rsidR="0005743F" w:rsidRPr="00A7082A">
              <w:rPr>
                <w:sz w:val="18"/>
                <w:szCs w:val="18"/>
              </w:rPr>
              <w:t>icle</w:t>
            </w:r>
            <w:r w:rsidRPr="00A7082A">
              <w:rPr>
                <w:sz w:val="18"/>
                <w:szCs w:val="18"/>
              </w:rPr>
              <w:t xml:space="preserve"> 5, para. 3, that have taken all measures for the respective processes listed in annex B, part II</w:t>
            </w:r>
          </w:p>
        </w:tc>
        <w:tc>
          <w:tcPr>
            <w:tcW w:w="1926" w:type="dxa"/>
            <w:tcBorders>
              <w:bottom w:val="single" w:sz="4" w:space="0" w:color="000000" w:themeColor="text1"/>
            </w:tcBorders>
            <w:shd w:val="clear" w:color="auto" w:fill="auto"/>
            <w:tcMar>
              <w:top w:w="80" w:type="dxa"/>
              <w:left w:w="80" w:type="dxa"/>
              <w:bottom w:w="80" w:type="dxa"/>
              <w:right w:w="80" w:type="dxa"/>
            </w:tcMar>
          </w:tcPr>
          <w:p w14:paraId="2A531113" w14:textId="77777777" w:rsidR="006D667A" w:rsidRPr="00A7082A" w:rsidRDefault="006D667A" w:rsidP="006D667A">
            <w:pPr>
              <w:tabs>
                <w:tab w:val="left" w:pos="1163"/>
              </w:tabs>
              <w:rPr>
                <w:sz w:val="18"/>
                <w:szCs w:val="18"/>
              </w:rPr>
            </w:pPr>
            <w:r w:rsidRPr="00A7082A">
              <w:rPr>
                <w:sz w:val="18"/>
                <w:szCs w:val="18"/>
              </w:rPr>
              <w:t>- Article 21 reporting</w:t>
            </w:r>
          </w:p>
        </w:tc>
        <w:tc>
          <w:tcPr>
            <w:tcW w:w="1779" w:type="dxa"/>
            <w:tcBorders>
              <w:bottom w:val="single" w:sz="4" w:space="0" w:color="000000" w:themeColor="text1"/>
            </w:tcBorders>
            <w:shd w:val="clear" w:color="auto" w:fill="auto"/>
            <w:tcMar>
              <w:top w:w="80" w:type="dxa"/>
              <w:left w:w="80" w:type="dxa"/>
              <w:bottom w:w="80" w:type="dxa"/>
              <w:right w:w="80" w:type="dxa"/>
            </w:tcMar>
          </w:tcPr>
          <w:p w14:paraId="4FC2DA32" w14:textId="77777777" w:rsidR="006D667A" w:rsidRPr="00A7082A" w:rsidRDefault="006D667A" w:rsidP="006D667A">
            <w:pPr>
              <w:tabs>
                <w:tab w:val="left" w:pos="1163"/>
              </w:tabs>
              <w:rPr>
                <w:sz w:val="18"/>
                <w:szCs w:val="18"/>
              </w:rPr>
            </w:pPr>
            <w:r w:rsidRPr="00A7082A">
              <w:rPr>
                <w:sz w:val="18"/>
                <w:szCs w:val="18"/>
              </w:rPr>
              <w:t>Percentage in the first evaluation</w:t>
            </w:r>
          </w:p>
        </w:tc>
      </w:tr>
      <w:tr w:rsidR="006D667A" w:rsidRPr="00A7082A" w14:paraId="7C944016" w14:textId="77777777" w:rsidTr="00620F0B">
        <w:trPr>
          <w:trHeight w:val="57"/>
          <w:jc w:val="right"/>
        </w:trPr>
        <w:tc>
          <w:tcPr>
            <w:tcW w:w="2119"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196CE326" w14:textId="77777777" w:rsidR="006D667A" w:rsidRPr="00A7082A" w:rsidRDefault="006D667A" w:rsidP="006D667A">
            <w:pPr>
              <w:tabs>
                <w:tab w:val="left" w:pos="1163"/>
              </w:tabs>
              <w:rPr>
                <w:sz w:val="18"/>
                <w:szCs w:val="18"/>
              </w:rPr>
            </w:pPr>
            <w:r w:rsidRPr="00A7082A">
              <w:rPr>
                <w:b/>
                <w:bCs/>
                <w:sz w:val="18"/>
                <w:szCs w:val="18"/>
              </w:rPr>
              <w:t>Article 7</w:t>
            </w:r>
          </w:p>
        </w:tc>
        <w:tc>
          <w:tcPr>
            <w:tcW w:w="3526"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0152DB50" w14:textId="77777777" w:rsidR="006D667A" w:rsidRPr="00A7082A" w:rsidRDefault="006D667A" w:rsidP="006D667A">
            <w:pPr>
              <w:rPr>
                <w:sz w:val="18"/>
                <w:szCs w:val="18"/>
              </w:rPr>
            </w:pPr>
          </w:p>
        </w:tc>
        <w:tc>
          <w:tcPr>
            <w:tcW w:w="1926"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62B43502" w14:textId="77777777" w:rsidR="006D667A" w:rsidRPr="00A7082A" w:rsidRDefault="006D667A" w:rsidP="006D667A">
            <w:pPr>
              <w:rPr>
                <w:sz w:val="18"/>
                <w:szCs w:val="18"/>
              </w:rPr>
            </w:pPr>
          </w:p>
        </w:tc>
        <w:tc>
          <w:tcPr>
            <w:tcW w:w="1779"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366284FA" w14:textId="77777777" w:rsidR="006D667A" w:rsidRPr="00A7082A" w:rsidRDefault="006D667A" w:rsidP="006D667A">
            <w:pPr>
              <w:rPr>
                <w:sz w:val="18"/>
                <w:szCs w:val="18"/>
              </w:rPr>
            </w:pPr>
          </w:p>
        </w:tc>
      </w:tr>
      <w:tr w:rsidR="006D667A" w:rsidRPr="00A7082A" w14:paraId="1E7404F2" w14:textId="77777777" w:rsidTr="00620F0B">
        <w:trPr>
          <w:trHeight w:val="57"/>
          <w:jc w:val="right"/>
        </w:trPr>
        <w:tc>
          <w:tcPr>
            <w:tcW w:w="2119" w:type="dxa"/>
            <w:tcBorders>
              <w:top w:val="single" w:sz="4" w:space="0" w:color="000000" w:themeColor="text1"/>
            </w:tcBorders>
            <w:shd w:val="clear" w:color="auto" w:fill="auto"/>
            <w:tcMar>
              <w:top w:w="80" w:type="dxa"/>
              <w:left w:w="80" w:type="dxa"/>
              <w:bottom w:w="80" w:type="dxa"/>
              <w:right w:w="80" w:type="dxa"/>
            </w:tcMar>
          </w:tcPr>
          <w:p w14:paraId="5E6B80F4" w14:textId="77777777" w:rsidR="006D667A" w:rsidRPr="00A7082A" w:rsidRDefault="006D667A" w:rsidP="006D667A">
            <w:pPr>
              <w:tabs>
                <w:tab w:val="left" w:pos="1163"/>
              </w:tabs>
              <w:rPr>
                <w:sz w:val="18"/>
                <w:szCs w:val="18"/>
              </w:rPr>
            </w:pPr>
            <w:r w:rsidRPr="00A7082A">
              <w:rPr>
                <w:sz w:val="18"/>
                <w:szCs w:val="18"/>
              </w:rPr>
              <w:t>C10. Outcome indicator for article 7</w:t>
            </w:r>
          </w:p>
        </w:tc>
        <w:tc>
          <w:tcPr>
            <w:tcW w:w="3526" w:type="dxa"/>
            <w:tcBorders>
              <w:top w:val="single" w:sz="4" w:space="0" w:color="000000" w:themeColor="text1"/>
            </w:tcBorders>
            <w:shd w:val="clear" w:color="auto" w:fill="auto"/>
            <w:tcMar>
              <w:top w:w="80" w:type="dxa"/>
              <w:left w:w="80" w:type="dxa"/>
              <w:bottom w:w="80" w:type="dxa"/>
              <w:right w:w="80" w:type="dxa"/>
            </w:tcMar>
          </w:tcPr>
          <w:p w14:paraId="5D3EFF4F" w14:textId="77777777" w:rsidR="006D667A" w:rsidRPr="00A7082A" w:rsidRDefault="006D667A" w:rsidP="006D667A">
            <w:pPr>
              <w:tabs>
                <w:tab w:val="left" w:pos="1163"/>
              </w:tabs>
              <w:rPr>
                <w:sz w:val="18"/>
                <w:szCs w:val="18"/>
              </w:rPr>
            </w:pPr>
            <w:r w:rsidRPr="00A7082A">
              <w:rPr>
                <w:sz w:val="18"/>
                <w:szCs w:val="18"/>
              </w:rPr>
              <w:t xml:space="preserve">Total amount of mercury used in ASGM globally, in tonnes per year </w:t>
            </w:r>
          </w:p>
        </w:tc>
        <w:tc>
          <w:tcPr>
            <w:tcW w:w="1926" w:type="dxa"/>
            <w:tcBorders>
              <w:top w:val="single" w:sz="4" w:space="0" w:color="000000" w:themeColor="text1"/>
            </w:tcBorders>
            <w:shd w:val="clear" w:color="auto" w:fill="auto"/>
            <w:tcMar>
              <w:top w:w="80" w:type="dxa"/>
              <w:left w:w="80" w:type="dxa"/>
              <w:bottom w:w="80" w:type="dxa"/>
              <w:right w:w="80" w:type="dxa"/>
            </w:tcMar>
          </w:tcPr>
          <w:p w14:paraId="54D55E67" w14:textId="77777777" w:rsidR="006D667A" w:rsidRPr="00A7082A" w:rsidRDefault="006D667A" w:rsidP="006D667A">
            <w:pPr>
              <w:tabs>
                <w:tab w:val="left" w:pos="1163"/>
              </w:tabs>
              <w:rPr>
                <w:sz w:val="18"/>
                <w:szCs w:val="18"/>
              </w:rPr>
            </w:pPr>
            <w:r w:rsidRPr="00A7082A">
              <w:rPr>
                <w:sz w:val="18"/>
                <w:szCs w:val="18"/>
              </w:rPr>
              <w:t>- Article 21 reporting</w:t>
            </w:r>
          </w:p>
          <w:p w14:paraId="1893740E" w14:textId="77777777" w:rsidR="006D667A" w:rsidRPr="00A7082A" w:rsidRDefault="006D667A" w:rsidP="006D667A">
            <w:pPr>
              <w:tabs>
                <w:tab w:val="left" w:pos="1163"/>
              </w:tabs>
              <w:rPr>
                <w:sz w:val="18"/>
                <w:szCs w:val="18"/>
              </w:rPr>
            </w:pPr>
            <w:r w:rsidRPr="00A7082A">
              <w:rPr>
                <w:sz w:val="18"/>
                <w:szCs w:val="18"/>
              </w:rPr>
              <w:t>- ASGM national action plans and reviews thereof</w:t>
            </w:r>
          </w:p>
          <w:p w14:paraId="6BD8005F" w14:textId="77777777" w:rsidR="006D667A" w:rsidRPr="00A7082A" w:rsidRDefault="006D667A" w:rsidP="006D667A">
            <w:pPr>
              <w:tabs>
                <w:tab w:val="left" w:pos="1163"/>
              </w:tabs>
              <w:rPr>
                <w:sz w:val="18"/>
                <w:szCs w:val="18"/>
              </w:rPr>
            </w:pPr>
            <w:r w:rsidRPr="00A7082A">
              <w:rPr>
                <w:sz w:val="18"/>
                <w:szCs w:val="18"/>
              </w:rPr>
              <w:t>- Notifications</w:t>
            </w:r>
          </w:p>
        </w:tc>
        <w:tc>
          <w:tcPr>
            <w:tcW w:w="1779" w:type="dxa"/>
            <w:tcBorders>
              <w:top w:val="single" w:sz="4" w:space="0" w:color="000000" w:themeColor="text1"/>
            </w:tcBorders>
            <w:shd w:val="clear" w:color="auto" w:fill="auto"/>
            <w:tcMar>
              <w:top w:w="80" w:type="dxa"/>
              <w:left w:w="80" w:type="dxa"/>
              <w:bottom w:w="80" w:type="dxa"/>
              <w:right w:w="80" w:type="dxa"/>
            </w:tcMar>
          </w:tcPr>
          <w:p w14:paraId="58931AB2" w14:textId="77777777" w:rsidR="006D667A" w:rsidRPr="00A7082A" w:rsidRDefault="006D667A" w:rsidP="006D667A">
            <w:pPr>
              <w:tabs>
                <w:tab w:val="left" w:pos="1163"/>
              </w:tabs>
              <w:rPr>
                <w:sz w:val="18"/>
                <w:szCs w:val="18"/>
              </w:rPr>
            </w:pPr>
            <w:r w:rsidRPr="00A7082A">
              <w:rPr>
                <w:sz w:val="18"/>
                <w:szCs w:val="18"/>
              </w:rPr>
              <w:t>Amount in the first evaluation</w:t>
            </w:r>
          </w:p>
        </w:tc>
      </w:tr>
      <w:tr w:rsidR="006D667A" w:rsidRPr="00A7082A" w14:paraId="543522E6" w14:textId="77777777" w:rsidTr="00620F0B">
        <w:trPr>
          <w:trHeight w:val="57"/>
          <w:jc w:val="right"/>
        </w:trPr>
        <w:tc>
          <w:tcPr>
            <w:tcW w:w="2119" w:type="dxa"/>
            <w:shd w:val="clear" w:color="auto" w:fill="auto"/>
            <w:tcMar>
              <w:top w:w="80" w:type="dxa"/>
              <w:left w:w="80" w:type="dxa"/>
              <w:bottom w:w="80" w:type="dxa"/>
              <w:right w:w="80" w:type="dxa"/>
            </w:tcMar>
          </w:tcPr>
          <w:p w14:paraId="63EE6911" w14:textId="77777777" w:rsidR="006D667A" w:rsidRPr="00A7082A" w:rsidRDefault="006D667A" w:rsidP="006D667A">
            <w:pPr>
              <w:tabs>
                <w:tab w:val="left" w:pos="1163"/>
              </w:tabs>
              <w:rPr>
                <w:sz w:val="18"/>
                <w:szCs w:val="18"/>
              </w:rPr>
            </w:pPr>
            <w:r w:rsidRPr="00A7082A">
              <w:rPr>
                <w:sz w:val="18"/>
                <w:szCs w:val="18"/>
              </w:rPr>
              <w:t>C11. Process indicator for article 7</w:t>
            </w:r>
          </w:p>
        </w:tc>
        <w:tc>
          <w:tcPr>
            <w:tcW w:w="3526" w:type="dxa"/>
            <w:shd w:val="clear" w:color="auto" w:fill="auto"/>
            <w:tcMar>
              <w:top w:w="80" w:type="dxa"/>
              <w:left w:w="80" w:type="dxa"/>
              <w:bottom w:w="80" w:type="dxa"/>
              <w:right w:w="80" w:type="dxa"/>
            </w:tcMar>
          </w:tcPr>
          <w:p w14:paraId="4C419102" w14:textId="77777777" w:rsidR="006D667A" w:rsidRPr="00A7082A" w:rsidRDefault="006D667A" w:rsidP="006D667A">
            <w:pPr>
              <w:tabs>
                <w:tab w:val="left" w:pos="1163"/>
              </w:tabs>
              <w:rPr>
                <w:sz w:val="18"/>
                <w:szCs w:val="18"/>
              </w:rPr>
            </w:pPr>
            <w:r w:rsidRPr="00A7082A">
              <w:rPr>
                <w:sz w:val="18"/>
                <w:szCs w:val="18"/>
              </w:rPr>
              <w:t>Proportion of parties declaring more than insignificant ASGM that have submitted a national action plan</w:t>
            </w:r>
          </w:p>
        </w:tc>
        <w:tc>
          <w:tcPr>
            <w:tcW w:w="1926" w:type="dxa"/>
            <w:shd w:val="clear" w:color="auto" w:fill="auto"/>
            <w:tcMar>
              <w:top w:w="80" w:type="dxa"/>
              <w:left w:w="80" w:type="dxa"/>
              <w:bottom w:w="80" w:type="dxa"/>
              <w:right w:w="80" w:type="dxa"/>
            </w:tcMar>
          </w:tcPr>
          <w:p w14:paraId="0A64DFC8" w14:textId="77777777" w:rsidR="006D667A" w:rsidRPr="00A7082A" w:rsidRDefault="006D667A" w:rsidP="006D667A">
            <w:pPr>
              <w:tabs>
                <w:tab w:val="left" w:pos="1163"/>
              </w:tabs>
              <w:rPr>
                <w:sz w:val="18"/>
                <w:szCs w:val="18"/>
              </w:rPr>
            </w:pPr>
            <w:r w:rsidRPr="00A7082A">
              <w:rPr>
                <w:sz w:val="18"/>
                <w:szCs w:val="18"/>
              </w:rPr>
              <w:t>- Notifications</w:t>
            </w:r>
          </w:p>
        </w:tc>
        <w:tc>
          <w:tcPr>
            <w:tcW w:w="1779" w:type="dxa"/>
            <w:shd w:val="clear" w:color="auto" w:fill="auto"/>
            <w:tcMar>
              <w:top w:w="80" w:type="dxa"/>
              <w:left w:w="80" w:type="dxa"/>
              <w:bottom w:w="80" w:type="dxa"/>
              <w:right w:w="80" w:type="dxa"/>
            </w:tcMar>
          </w:tcPr>
          <w:p w14:paraId="5AE9BE44" w14:textId="77777777" w:rsidR="006D667A" w:rsidRPr="00A7082A" w:rsidRDefault="006D667A" w:rsidP="006D667A">
            <w:pPr>
              <w:tabs>
                <w:tab w:val="left" w:pos="1163"/>
              </w:tabs>
              <w:rPr>
                <w:sz w:val="18"/>
                <w:szCs w:val="18"/>
              </w:rPr>
            </w:pPr>
            <w:r w:rsidRPr="00A7082A">
              <w:rPr>
                <w:sz w:val="18"/>
                <w:szCs w:val="18"/>
              </w:rPr>
              <w:t>Percentage in the first evaluation</w:t>
            </w:r>
          </w:p>
        </w:tc>
      </w:tr>
      <w:tr w:rsidR="006D667A" w:rsidRPr="00A7082A" w14:paraId="1DFA61C5" w14:textId="77777777" w:rsidTr="00417FE2">
        <w:trPr>
          <w:trHeight w:val="57"/>
          <w:jc w:val="right"/>
        </w:trPr>
        <w:tc>
          <w:tcPr>
            <w:tcW w:w="2119" w:type="dxa"/>
            <w:shd w:val="clear" w:color="auto" w:fill="auto"/>
            <w:tcMar>
              <w:top w:w="80" w:type="dxa"/>
              <w:left w:w="80" w:type="dxa"/>
              <w:bottom w:w="80" w:type="dxa"/>
              <w:right w:w="80" w:type="dxa"/>
            </w:tcMar>
          </w:tcPr>
          <w:p w14:paraId="1588B67C" w14:textId="77777777" w:rsidR="006D667A" w:rsidRPr="00A7082A" w:rsidRDefault="006D667A" w:rsidP="006D667A">
            <w:pPr>
              <w:tabs>
                <w:tab w:val="left" w:pos="1163"/>
              </w:tabs>
              <w:rPr>
                <w:sz w:val="18"/>
                <w:szCs w:val="18"/>
              </w:rPr>
            </w:pPr>
            <w:r w:rsidRPr="00A7082A">
              <w:rPr>
                <w:sz w:val="18"/>
                <w:szCs w:val="18"/>
              </w:rPr>
              <w:t>C12. Process indicator for article 7</w:t>
            </w:r>
          </w:p>
        </w:tc>
        <w:tc>
          <w:tcPr>
            <w:tcW w:w="3526" w:type="dxa"/>
            <w:shd w:val="clear" w:color="auto" w:fill="auto"/>
            <w:tcMar>
              <w:top w:w="80" w:type="dxa"/>
              <w:left w:w="80" w:type="dxa"/>
              <w:bottom w:w="80" w:type="dxa"/>
              <w:right w:w="80" w:type="dxa"/>
            </w:tcMar>
          </w:tcPr>
          <w:p w14:paraId="38CD8039" w14:textId="77777777" w:rsidR="006D667A" w:rsidRPr="00A7082A" w:rsidRDefault="006D667A" w:rsidP="006D667A">
            <w:pPr>
              <w:tabs>
                <w:tab w:val="left" w:pos="1163"/>
              </w:tabs>
              <w:rPr>
                <w:sz w:val="18"/>
                <w:szCs w:val="18"/>
              </w:rPr>
            </w:pPr>
            <w:r w:rsidRPr="00A7082A">
              <w:rPr>
                <w:sz w:val="18"/>
                <w:szCs w:val="18"/>
              </w:rPr>
              <w:t>Proportion of parties that have submitted a national action plan and have reviewed it</w:t>
            </w:r>
          </w:p>
        </w:tc>
        <w:tc>
          <w:tcPr>
            <w:tcW w:w="1926" w:type="dxa"/>
            <w:shd w:val="clear" w:color="auto" w:fill="auto"/>
            <w:tcMar>
              <w:top w:w="80" w:type="dxa"/>
              <w:left w:w="80" w:type="dxa"/>
              <w:bottom w:w="80" w:type="dxa"/>
              <w:right w:w="80" w:type="dxa"/>
            </w:tcMar>
          </w:tcPr>
          <w:p w14:paraId="3EBCE7FE" w14:textId="77777777" w:rsidR="006D667A" w:rsidRPr="00A7082A" w:rsidRDefault="006D667A" w:rsidP="006D667A">
            <w:pPr>
              <w:tabs>
                <w:tab w:val="left" w:pos="1163"/>
              </w:tabs>
              <w:rPr>
                <w:sz w:val="18"/>
                <w:szCs w:val="18"/>
              </w:rPr>
            </w:pPr>
            <w:r w:rsidRPr="00A7082A">
              <w:rPr>
                <w:sz w:val="18"/>
                <w:szCs w:val="18"/>
              </w:rPr>
              <w:t>- Article 7 reviews</w:t>
            </w:r>
          </w:p>
        </w:tc>
        <w:tc>
          <w:tcPr>
            <w:tcW w:w="1779" w:type="dxa"/>
            <w:shd w:val="clear" w:color="auto" w:fill="auto"/>
            <w:tcMar>
              <w:top w:w="80" w:type="dxa"/>
              <w:left w:w="80" w:type="dxa"/>
              <w:bottom w:w="80" w:type="dxa"/>
              <w:right w:w="80" w:type="dxa"/>
            </w:tcMar>
          </w:tcPr>
          <w:p w14:paraId="701CDA94" w14:textId="77777777" w:rsidR="006D667A" w:rsidRPr="00A7082A" w:rsidRDefault="006D667A" w:rsidP="006D667A">
            <w:pPr>
              <w:tabs>
                <w:tab w:val="left" w:pos="1163"/>
              </w:tabs>
              <w:rPr>
                <w:sz w:val="18"/>
                <w:szCs w:val="18"/>
              </w:rPr>
            </w:pPr>
            <w:r w:rsidRPr="00A7082A">
              <w:rPr>
                <w:sz w:val="18"/>
                <w:szCs w:val="18"/>
              </w:rPr>
              <w:t>Percentage in the first evaluation</w:t>
            </w:r>
          </w:p>
        </w:tc>
      </w:tr>
      <w:tr w:rsidR="006D667A" w:rsidRPr="00A7082A" w14:paraId="7DE0CA33" w14:textId="77777777" w:rsidTr="00417FE2">
        <w:trPr>
          <w:trHeight w:val="57"/>
          <w:jc w:val="right"/>
        </w:trPr>
        <w:tc>
          <w:tcPr>
            <w:tcW w:w="2119" w:type="dxa"/>
            <w:tcBorders>
              <w:bottom w:val="single" w:sz="12" w:space="0" w:color="auto"/>
            </w:tcBorders>
            <w:shd w:val="clear" w:color="auto" w:fill="auto"/>
            <w:tcMar>
              <w:top w:w="80" w:type="dxa"/>
              <w:left w:w="80" w:type="dxa"/>
              <w:bottom w:w="80" w:type="dxa"/>
              <w:right w:w="80" w:type="dxa"/>
            </w:tcMar>
          </w:tcPr>
          <w:p w14:paraId="29857BBD" w14:textId="77777777" w:rsidR="006D667A" w:rsidRPr="00A7082A" w:rsidRDefault="006D667A" w:rsidP="006D667A">
            <w:pPr>
              <w:rPr>
                <w:sz w:val="18"/>
                <w:szCs w:val="18"/>
              </w:rPr>
            </w:pPr>
            <w:r w:rsidRPr="00A7082A">
              <w:rPr>
                <w:b/>
                <w:bCs/>
                <w:sz w:val="18"/>
                <w:szCs w:val="18"/>
              </w:rPr>
              <w:t>Notes</w:t>
            </w:r>
          </w:p>
        </w:tc>
        <w:tc>
          <w:tcPr>
            <w:tcW w:w="7231" w:type="dxa"/>
            <w:gridSpan w:val="3"/>
            <w:tcBorders>
              <w:bottom w:val="single" w:sz="12" w:space="0" w:color="auto"/>
            </w:tcBorders>
            <w:shd w:val="clear" w:color="auto" w:fill="auto"/>
            <w:tcMar>
              <w:top w:w="80" w:type="dxa"/>
              <w:left w:w="80" w:type="dxa"/>
              <w:bottom w:w="80" w:type="dxa"/>
              <w:right w:w="80" w:type="dxa"/>
            </w:tcMar>
          </w:tcPr>
          <w:p w14:paraId="00E8CBD8" w14:textId="77777777" w:rsidR="006D667A" w:rsidRPr="00A7082A" w:rsidRDefault="006D667A" w:rsidP="006D667A">
            <w:pPr>
              <w:numPr>
                <w:ilvl w:val="0"/>
                <w:numId w:val="52"/>
              </w:numPr>
              <w:rPr>
                <w:sz w:val="18"/>
                <w:szCs w:val="18"/>
              </w:rPr>
            </w:pPr>
            <w:r w:rsidRPr="00A7082A">
              <w:rPr>
                <w:sz w:val="18"/>
                <w:szCs w:val="18"/>
              </w:rPr>
              <w:t>Some data on products may not be easily obtainable.</w:t>
            </w:r>
          </w:p>
        </w:tc>
      </w:tr>
    </w:tbl>
    <w:p w14:paraId="33B9F13A" w14:textId="77777777" w:rsidR="006D667A" w:rsidRPr="00A7082A" w:rsidRDefault="006D667A" w:rsidP="006D667A">
      <w:pPr>
        <w:widowControl w:val="0"/>
        <w:jc w:val="right"/>
        <w:rPr>
          <w:sz w:val="12"/>
          <w:szCs w:val="12"/>
        </w:rPr>
      </w:pPr>
    </w:p>
    <w:p w14:paraId="7F681642" w14:textId="77777777" w:rsidR="006D667A" w:rsidRPr="00A7082A" w:rsidRDefault="006D667A" w:rsidP="006D667A"/>
    <w:tbl>
      <w:tblPr>
        <w:tblW w:w="8307" w:type="dxa"/>
        <w:jc w:val="right"/>
        <w:tblLayout w:type="fixed"/>
        <w:tblLook w:val="04A0" w:firstRow="1" w:lastRow="0" w:firstColumn="1" w:lastColumn="0" w:noHBand="0" w:noVBand="1"/>
      </w:tblPr>
      <w:tblGrid>
        <w:gridCol w:w="1890"/>
        <w:gridCol w:w="3106"/>
        <w:gridCol w:w="1718"/>
        <w:gridCol w:w="1593"/>
      </w:tblGrid>
      <w:tr w:rsidR="006D667A" w:rsidRPr="00A7082A" w14:paraId="72DD73D8" w14:textId="77777777" w:rsidTr="00620F0B">
        <w:trPr>
          <w:trHeight w:val="57"/>
          <w:jc w:val="right"/>
        </w:trPr>
        <w:tc>
          <w:tcPr>
            <w:tcW w:w="5640" w:type="dxa"/>
            <w:gridSpan w:val="2"/>
            <w:tcBorders>
              <w:top w:val="single" w:sz="4" w:space="0" w:color="000000" w:themeColor="text1"/>
              <w:bottom w:val="single" w:sz="12" w:space="0" w:color="000000" w:themeColor="text1"/>
            </w:tcBorders>
            <w:shd w:val="clear" w:color="auto" w:fill="auto"/>
            <w:tcMar>
              <w:top w:w="80" w:type="dxa"/>
              <w:left w:w="80" w:type="dxa"/>
              <w:bottom w:w="80" w:type="dxa"/>
              <w:right w:w="80" w:type="dxa"/>
            </w:tcMar>
          </w:tcPr>
          <w:p w14:paraId="572ADA29" w14:textId="77777777" w:rsidR="006D667A" w:rsidRPr="00A7082A" w:rsidRDefault="006D667A" w:rsidP="00AC30F5">
            <w:pPr>
              <w:spacing w:after="120"/>
              <w:rPr>
                <w:bCs/>
                <w:i/>
                <w:sz w:val="18"/>
                <w:szCs w:val="18"/>
              </w:rPr>
            </w:pPr>
            <w:r w:rsidRPr="00A7082A">
              <w:rPr>
                <w:bCs/>
                <w:i/>
                <w:sz w:val="18"/>
                <w:szCs w:val="18"/>
              </w:rPr>
              <w:t xml:space="preserve">D: Pressure cluster </w:t>
            </w:r>
          </w:p>
          <w:p w14:paraId="22003E39" w14:textId="77777777" w:rsidR="006D667A" w:rsidRPr="00A7082A" w:rsidRDefault="006D667A" w:rsidP="006D667A">
            <w:pPr>
              <w:rPr>
                <w:i/>
                <w:sz w:val="18"/>
                <w:szCs w:val="18"/>
              </w:rPr>
            </w:pPr>
            <w:r w:rsidRPr="00A7082A">
              <w:rPr>
                <w:bCs/>
                <w:i/>
                <w:sz w:val="18"/>
                <w:szCs w:val="18"/>
              </w:rPr>
              <w:lastRenderedPageBreak/>
              <w:t xml:space="preserve">Article 8 (emissions); article 9 (releases); article 12 (contaminated sites) </w:t>
            </w:r>
          </w:p>
        </w:tc>
        <w:tc>
          <w:tcPr>
            <w:tcW w:w="1931" w:type="dxa"/>
            <w:tcBorders>
              <w:top w:val="single" w:sz="4" w:space="0" w:color="000000" w:themeColor="text1"/>
              <w:bottom w:val="single" w:sz="12" w:space="0" w:color="000000" w:themeColor="text1"/>
            </w:tcBorders>
            <w:shd w:val="clear" w:color="auto" w:fill="auto"/>
            <w:tcMar>
              <w:top w:w="80" w:type="dxa"/>
              <w:left w:w="80" w:type="dxa"/>
              <w:bottom w:w="80" w:type="dxa"/>
              <w:right w:w="80" w:type="dxa"/>
            </w:tcMar>
          </w:tcPr>
          <w:p w14:paraId="7E5FD6B0" w14:textId="77777777" w:rsidR="006D667A" w:rsidRPr="00A7082A" w:rsidRDefault="006D667A" w:rsidP="006D667A">
            <w:pPr>
              <w:rPr>
                <w:i/>
                <w:sz w:val="18"/>
                <w:szCs w:val="18"/>
              </w:rPr>
            </w:pPr>
            <w:r w:rsidRPr="00A7082A">
              <w:rPr>
                <w:i/>
                <w:sz w:val="18"/>
                <w:szCs w:val="18"/>
              </w:rPr>
              <w:lastRenderedPageBreak/>
              <w:t>Source of information on the indicator</w:t>
            </w:r>
          </w:p>
        </w:tc>
        <w:tc>
          <w:tcPr>
            <w:tcW w:w="1788" w:type="dxa"/>
            <w:tcBorders>
              <w:top w:val="single" w:sz="4" w:space="0" w:color="000000" w:themeColor="text1"/>
              <w:bottom w:val="single" w:sz="12" w:space="0" w:color="000000" w:themeColor="text1"/>
            </w:tcBorders>
            <w:shd w:val="clear" w:color="auto" w:fill="auto"/>
            <w:tcMar>
              <w:top w:w="80" w:type="dxa"/>
              <w:left w:w="80" w:type="dxa"/>
              <w:bottom w:w="80" w:type="dxa"/>
              <w:right w:w="80" w:type="dxa"/>
            </w:tcMar>
          </w:tcPr>
          <w:p w14:paraId="3DBC10CE" w14:textId="77777777" w:rsidR="006D667A" w:rsidRPr="00A7082A" w:rsidRDefault="006D667A" w:rsidP="006D667A">
            <w:pPr>
              <w:rPr>
                <w:i/>
                <w:sz w:val="18"/>
                <w:szCs w:val="18"/>
              </w:rPr>
            </w:pPr>
            <w:r w:rsidRPr="00A7082A">
              <w:rPr>
                <w:i/>
                <w:sz w:val="18"/>
                <w:szCs w:val="18"/>
              </w:rPr>
              <w:t>Baseline for the indicator</w:t>
            </w:r>
          </w:p>
        </w:tc>
      </w:tr>
      <w:tr w:rsidR="006D667A" w:rsidRPr="00A7082A" w14:paraId="185BE12D" w14:textId="77777777" w:rsidTr="00620F0B">
        <w:trPr>
          <w:trHeight w:val="57"/>
          <w:jc w:val="right"/>
        </w:trPr>
        <w:tc>
          <w:tcPr>
            <w:tcW w:w="2128" w:type="dxa"/>
            <w:tcBorders>
              <w:top w:val="single" w:sz="12" w:space="0" w:color="000000" w:themeColor="text1"/>
            </w:tcBorders>
            <w:shd w:val="clear" w:color="auto" w:fill="auto"/>
            <w:tcMar>
              <w:top w:w="80" w:type="dxa"/>
              <w:left w:w="80" w:type="dxa"/>
              <w:bottom w:w="80" w:type="dxa"/>
              <w:right w:w="80" w:type="dxa"/>
            </w:tcMar>
          </w:tcPr>
          <w:p w14:paraId="34B20A79" w14:textId="77777777" w:rsidR="006D667A" w:rsidRPr="00A7082A" w:rsidRDefault="006D667A" w:rsidP="006D667A">
            <w:pPr>
              <w:rPr>
                <w:sz w:val="18"/>
                <w:szCs w:val="18"/>
              </w:rPr>
            </w:pPr>
            <w:r w:rsidRPr="00A7082A">
              <w:rPr>
                <w:sz w:val="18"/>
                <w:szCs w:val="18"/>
              </w:rPr>
              <w:t>D1. Overall process indicator for articles 8, 9 and 12</w:t>
            </w:r>
          </w:p>
        </w:tc>
        <w:tc>
          <w:tcPr>
            <w:tcW w:w="3511" w:type="dxa"/>
            <w:tcBorders>
              <w:top w:val="single" w:sz="12" w:space="0" w:color="000000" w:themeColor="text1"/>
            </w:tcBorders>
            <w:shd w:val="clear" w:color="auto" w:fill="auto"/>
            <w:tcMar>
              <w:top w:w="80" w:type="dxa"/>
              <w:left w:w="80" w:type="dxa"/>
              <w:bottom w:w="80" w:type="dxa"/>
              <w:right w:w="80" w:type="dxa"/>
            </w:tcMar>
          </w:tcPr>
          <w:p w14:paraId="2D48981A" w14:textId="77777777" w:rsidR="006D667A" w:rsidRPr="00A7082A" w:rsidRDefault="006D667A" w:rsidP="006D667A">
            <w:pPr>
              <w:rPr>
                <w:sz w:val="18"/>
                <w:szCs w:val="18"/>
              </w:rPr>
            </w:pPr>
            <w:r w:rsidRPr="00A7082A">
              <w:rPr>
                <w:sz w:val="18"/>
                <w:szCs w:val="18"/>
              </w:rPr>
              <w:t>Share of parties that have implemented key provisions under this cluster</w:t>
            </w:r>
          </w:p>
        </w:tc>
        <w:tc>
          <w:tcPr>
            <w:tcW w:w="1931" w:type="dxa"/>
            <w:tcBorders>
              <w:top w:val="single" w:sz="12" w:space="0" w:color="000000" w:themeColor="text1"/>
            </w:tcBorders>
            <w:shd w:val="clear" w:color="auto" w:fill="auto"/>
            <w:tcMar>
              <w:top w:w="80" w:type="dxa"/>
              <w:left w:w="80" w:type="dxa"/>
              <w:bottom w:w="80" w:type="dxa"/>
              <w:right w:w="80" w:type="dxa"/>
            </w:tcMar>
          </w:tcPr>
          <w:p w14:paraId="54FFF69C" w14:textId="77777777" w:rsidR="006D667A" w:rsidRPr="00A7082A" w:rsidRDefault="006D667A" w:rsidP="006D667A">
            <w:pPr>
              <w:tabs>
                <w:tab w:val="left" w:pos="1163"/>
              </w:tabs>
              <w:rPr>
                <w:sz w:val="18"/>
                <w:szCs w:val="18"/>
              </w:rPr>
            </w:pPr>
            <w:r w:rsidRPr="00A7082A">
              <w:rPr>
                <w:sz w:val="18"/>
                <w:szCs w:val="18"/>
              </w:rPr>
              <w:t>- Article 21 reporting</w:t>
            </w:r>
          </w:p>
        </w:tc>
        <w:tc>
          <w:tcPr>
            <w:tcW w:w="1788" w:type="dxa"/>
            <w:tcBorders>
              <w:top w:val="single" w:sz="12" w:space="0" w:color="000000" w:themeColor="text1"/>
            </w:tcBorders>
            <w:shd w:val="clear" w:color="auto" w:fill="auto"/>
            <w:tcMar>
              <w:top w:w="80" w:type="dxa"/>
              <w:left w:w="80" w:type="dxa"/>
              <w:bottom w:w="80" w:type="dxa"/>
              <w:right w:w="80" w:type="dxa"/>
            </w:tcMar>
          </w:tcPr>
          <w:p w14:paraId="7AA49E5A" w14:textId="77777777" w:rsidR="006D667A" w:rsidRPr="00A7082A" w:rsidRDefault="006D667A" w:rsidP="006D667A">
            <w:pPr>
              <w:rPr>
                <w:sz w:val="18"/>
                <w:szCs w:val="18"/>
              </w:rPr>
            </w:pPr>
            <w:r w:rsidRPr="00A7082A">
              <w:rPr>
                <w:sz w:val="18"/>
                <w:szCs w:val="18"/>
              </w:rPr>
              <w:t>Percentage in the first evaluation</w:t>
            </w:r>
          </w:p>
        </w:tc>
      </w:tr>
      <w:tr w:rsidR="006D667A" w:rsidRPr="00A7082A" w14:paraId="3F163B0B" w14:textId="77777777" w:rsidTr="00620F0B">
        <w:trPr>
          <w:trHeight w:val="57"/>
          <w:jc w:val="right"/>
        </w:trPr>
        <w:tc>
          <w:tcPr>
            <w:tcW w:w="2128" w:type="dxa"/>
            <w:tcBorders>
              <w:bottom w:val="single" w:sz="4" w:space="0" w:color="000000" w:themeColor="text1"/>
            </w:tcBorders>
            <w:shd w:val="clear" w:color="auto" w:fill="auto"/>
            <w:tcMar>
              <w:top w:w="80" w:type="dxa"/>
              <w:left w:w="80" w:type="dxa"/>
              <w:bottom w:w="80" w:type="dxa"/>
              <w:right w:w="80" w:type="dxa"/>
            </w:tcMar>
          </w:tcPr>
          <w:p w14:paraId="17DA4634" w14:textId="77777777" w:rsidR="006D667A" w:rsidRPr="00A7082A" w:rsidRDefault="006D667A" w:rsidP="006D667A">
            <w:pPr>
              <w:rPr>
                <w:sz w:val="18"/>
                <w:szCs w:val="18"/>
              </w:rPr>
            </w:pPr>
            <w:r w:rsidRPr="00A7082A">
              <w:rPr>
                <w:sz w:val="18"/>
                <w:szCs w:val="18"/>
              </w:rPr>
              <w:t>D2. Crosscutting outcome indicator for articles 8, 9 and 12</w:t>
            </w:r>
          </w:p>
        </w:tc>
        <w:tc>
          <w:tcPr>
            <w:tcW w:w="3511" w:type="dxa"/>
            <w:tcBorders>
              <w:bottom w:val="single" w:sz="4" w:space="0" w:color="000000" w:themeColor="text1"/>
            </w:tcBorders>
            <w:shd w:val="clear" w:color="auto" w:fill="auto"/>
            <w:tcMar>
              <w:top w:w="80" w:type="dxa"/>
              <w:left w:w="80" w:type="dxa"/>
              <w:bottom w:w="80" w:type="dxa"/>
              <w:right w:w="80" w:type="dxa"/>
            </w:tcMar>
          </w:tcPr>
          <w:p w14:paraId="2BC3FDFA" w14:textId="77777777" w:rsidR="006D667A" w:rsidRPr="00A7082A" w:rsidRDefault="006D667A" w:rsidP="006D667A">
            <w:pPr>
              <w:rPr>
                <w:sz w:val="18"/>
                <w:szCs w:val="18"/>
              </w:rPr>
            </w:pPr>
            <w:r w:rsidRPr="00A7082A">
              <w:rPr>
                <w:sz w:val="18"/>
                <w:szCs w:val="18"/>
              </w:rPr>
              <w:t xml:space="preserve">Total amount of mercury emitted and released </w:t>
            </w:r>
          </w:p>
        </w:tc>
        <w:tc>
          <w:tcPr>
            <w:tcW w:w="1931" w:type="dxa"/>
            <w:tcBorders>
              <w:bottom w:val="single" w:sz="4" w:space="0" w:color="000000" w:themeColor="text1"/>
            </w:tcBorders>
            <w:shd w:val="clear" w:color="auto" w:fill="auto"/>
            <w:tcMar>
              <w:top w:w="80" w:type="dxa"/>
              <w:left w:w="80" w:type="dxa"/>
              <w:bottom w:w="80" w:type="dxa"/>
              <w:right w:w="80" w:type="dxa"/>
            </w:tcMar>
          </w:tcPr>
          <w:p w14:paraId="18F3256E" w14:textId="77777777" w:rsidR="006D667A" w:rsidRPr="00A7082A" w:rsidRDefault="006D667A" w:rsidP="006D667A">
            <w:pPr>
              <w:rPr>
                <w:sz w:val="18"/>
                <w:szCs w:val="18"/>
              </w:rPr>
            </w:pPr>
            <w:r w:rsidRPr="00A7082A">
              <w:rPr>
                <w:sz w:val="18"/>
                <w:szCs w:val="18"/>
              </w:rPr>
              <w:t>- Global Mercury Assessment 2018</w:t>
            </w:r>
          </w:p>
          <w:p w14:paraId="42EFBCFC" w14:textId="77777777" w:rsidR="006D667A" w:rsidRPr="00A7082A" w:rsidRDefault="006D667A" w:rsidP="006D667A">
            <w:pPr>
              <w:rPr>
                <w:sz w:val="18"/>
                <w:szCs w:val="18"/>
              </w:rPr>
            </w:pPr>
            <w:r w:rsidRPr="00A7082A">
              <w:rPr>
                <w:sz w:val="18"/>
                <w:szCs w:val="18"/>
              </w:rPr>
              <w:t>- Inventories</w:t>
            </w:r>
          </w:p>
          <w:p w14:paraId="0231E917" w14:textId="77777777" w:rsidR="006D667A" w:rsidRPr="00A7082A" w:rsidRDefault="006D667A" w:rsidP="006D667A">
            <w:pPr>
              <w:rPr>
                <w:sz w:val="18"/>
                <w:szCs w:val="18"/>
              </w:rPr>
            </w:pPr>
            <w:r w:rsidRPr="00A7082A">
              <w:rPr>
                <w:sz w:val="18"/>
                <w:szCs w:val="18"/>
              </w:rPr>
              <w:t>- Minamata Convention initial assessments</w:t>
            </w:r>
          </w:p>
        </w:tc>
        <w:tc>
          <w:tcPr>
            <w:tcW w:w="1788" w:type="dxa"/>
            <w:tcBorders>
              <w:bottom w:val="single" w:sz="4" w:space="0" w:color="000000" w:themeColor="text1"/>
            </w:tcBorders>
            <w:shd w:val="clear" w:color="auto" w:fill="auto"/>
            <w:tcMar>
              <w:top w:w="80" w:type="dxa"/>
              <w:left w:w="80" w:type="dxa"/>
              <w:bottom w:w="80" w:type="dxa"/>
              <w:right w:w="80" w:type="dxa"/>
            </w:tcMar>
          </w:tcPr>
          <w:p w14:paraId="4FC7CD27" w14:textId="77777777" w:rsidR="006D667A" w:rsidRPr="00A7082A" w:rsidRDefault="006D667A" w:rsidP="006D667A">
            <w:pPr>
              <w:rPr>
                <w:sz w:val="18"/>
                <w:szCs w:val="18"/>
              </w:rPr>
            </w:pPr>
            <w:r w:rsidRPr="00A7082A">
              <w:rPr>
                <w:sz w:val="18"/>
                <w:szCs w:val="18"/>
              </w:rPr>
              <w:t>Amount in the first evaluation</w:t>
            </w:r>
          </w:p>
        </w:tc>
      </w:tr>
      <w:tr w:rsidR="006D667A" w:rsidRPr="00A7082A" w14:paraId="0EC9C859" w14:textId="77777777" w:rsidTr="00620F0B">
        <w:trPr>
          <w:trHeight w:val="57"/>
          <w:jc w:val="right"/>
        </w:trPr>
        <w:tc>
          <w:tcPr>
            <w:tcW w:w="9360" w:type="dxa"/>
            <w:gridSpan w:val="4"/>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52E3F8BA" w14:textId="71A0E5D4" w:rsidR="006D667A" w:rsidRPr="00A7082A" w:rsidRDefault="006D667A" w:rsidP="006D667A">
            <w:pPr>
              <w:tabs>
                <w:tab w:val="clear" w:pos="1247"/>
                <w:tab w:val="left" w:pos="1248"/>
                <w:tab w:val="left" w:pos="1872"/>
              </w:tabs>
              <w:rPr>
                <w:sz w:val="18"/>
                <w:szCs w:val="18"/>
              </w:rPr>
            </w:pPr>
            <w:r w:rsidRPr="00A7082A">
              <w:rPr>
                <w:b/>
                <w:bCs/>
                <w:sz w:val="18"/>
                <w:szCs w:val="18"/>
              </w:rPr>
              <w:t xml:space="preserve">Article 8 </w:t>
            </w:r>
            <w:r w:rsidRPr="00A7082A">
              <w:rPr>
                <w:sz w:val="18"/>
                <w:szCs w:val="18"/>
              </w:rPr>
              <w:t>(The indicators for article 8 are to be read with the relevant monitoring indicators in table 4.)</w:t>
            </w:r>
          </w:p>
        </w:tc>
      </w:tr>
      <w:tr w:rsidR="006D667A" w:rsidRPr="00A7082A" w14:paraId="626BF8E2" w14:textId="77777777" w:rsidTr="00620F0B">
        <w:trPr>
          <w:trHeight w:val="57"/>
          <w:jc w:val="right"/>
        </w:trPr>
        <w:tc>
          <w:tcPr>
            <w:tcW w:w="2128" w:type="dxa"/>
            <w:tcBorders>
              <w:top w:val="single" w:sz="4" w:space="0" w:color="000000" w:themeColor="text1"/>
            </w:tcBorders>
            <w:shd w:val="clear" w:color="auto" w:fill="auto"/>
            <w:tcMar>
              <w:top w:w="80" w:type="dxa"/>
              <w:left w:w="80" w:type="dxa"/>
              <w:bottom w:w="80" w:type="dxa"/>
              <w:right w:w="80" w:type="dxa"/>
            </w:tcMar>
          </w:tcPr>
          <w:p w14:paraId="6E17AA76" w14:textId="77777777" w:rsidR="006D667A" w:rsidRPr="00A7082A" w:rsidRDefault="006D667A" w:rsidP="006D667A">
            <w:pPr>
              <w:rPr>
                <w:sz w:val="18"/>
                <w:szCs w:val="18"/>
              </w:rPr>
            </w:pPr>
            <w:r w:rsidRPr="00A7082A">
              <w:rPr>
                <w:sz w:val="18"/>
                <w:szCs w:val="18"/>
              </w:rPr>
              <w:t>D3. Outcome indicator for article 8</w:t>
            </w:r>
          </w:p>
        </w:tc>
        <w:tc>
          <w:tcPr>
            <w:tcW w:w="3511" w:type="dxa"/>
            <w:tcBorders>
              <w:top w:val="single" w:sz="4" w:space="0" w:color="000000" w:themeColor="text1"/>
            </w:tcBorders>
            <w:shd w:val="clear" w:color="auto" w:fill="auto"/>
            <w:tcMar>
              <w:top w:w="80" w:type="dxa"/>
              <w:left w:w="80" w:type="dxa"/>
              <w:bottom w:w="80" w:type="dxa"/>
              <w:right w:w="80" w:type="dxa"/>
            </w:tcMar>
          </w:tcPr>
          <w:p w14:paraId="1CF3708C" w14:textId="77777777" w:rsidR="006D667A" w:rsidRPr="00A7082A" w:rsidRDefault="006D667A" w:rsidP="006D667A">
            <w:pPr>
              <w:rPr>
                <w:sz w:val="18"/>
                <w:szCs w:val="18"/>
              </w:rPr>
            </w:pPr>
            <w:r w:rsidRPr="00A7082A">
              <w:rPr>
                <w:sz w:val="18"/>
                <w:szCs w:val="18"/>
              </w:rPr>
              <w:t xml:space="preserve">Total amount of mercury emitted for each point source category in annex D </w:t>
            </w:r>
          </w:p>
        </w:tc>
        <w:tc>
          <w:tcPr>
            <w:tcW w:w="1931" w:type="dxa"/>
            <w:tcBorders>
              <w:top w:val="single" w:sz="4" w:space="0" w:color="000000" w:themeColor="text1"/>
            </w:tcBorders>
            <w:shd w:val="clear" w:color="auto" w:fill="auto"/>
            <w:tcMar>
              <w:top w:w="80" w:type="dxa"/>
              <w:left w:w="80" w:type="dxa"/>
              <w:bottom w:w="80" w:type="dxa"/>
              <w:right w:w="80" w:type="dxa"/>
            </w:tcMar>
          </w:tcPr>
          <w:p w14:paraId="4231721E" w14:textId="77777777" w:rsidR="006D667A" w:rsidRPr="00A7082A" w:rsidRDefault="006D667A" w:rsidP="006D667A">
            <w:pPr>
              <w:tabs>
                <w:tab w:val="left" w:pos="1163"/>
              </w:tabs>
              <w:rPr>
                <w:sz w:val="18"/>
                <w:szCs w:val="18"/>
              </w:rPr>
            </w:pPr>
            <w:r w:rsidRPr="00A7082A">
              <w:rPr>
                <w:sz w:val="18"/>
                <w:szCs w:val="18"/>
              </w:rPr>
              <w:t>- Article 21 reporting</w:t>
            </w:r>
          </w:p>
          <w:p w14:paraId="7DF3B8C5" w14:textId="77777777" w:rsidR="006D667A" w:rsidRPr="00A7082A" w:rsidRDefault="006D667A" w:rsidP="006D667A">
            <w:pPr>
              <w:tabs>
                <w:tab w:val="left" w:pos="1163"/>
              </w:tabs>
              <w:rPr>
                <w:sz w:val="18"/>
                <w:szCs w:val="18"/>
              </w:rPr>
            </w:pPr>
            <w:r w:rsidRPr="00A7082A">
              <w:rPr>
                <w:sz w:val="18"/>
                <w:szCs w:val="18"/>
              </w:rPr>
              <w:t>- Inventories</w:t>
            </w:r>
          </w:p>
        </w:tc>
        <w:tc>
          <w:tcPr>
            <w:tcW w:w="1788" w:type="dxa"/>
            <w:tcBorders>
              <w:top w:val="single" w:sz="4" w:space="0" w:color="000000" w:themeColor="text1"/>
            </w:tcBorders>
            <w:shd w:val="clear" w:color="auto" w:fill="auto"/>
            <w:tcMar>
              <w:top w:w="80" w:type="dxa"/>
              <w:left w:w="80" w:type="dxa"/>
              <w:bottom w:w="80" w:type="dxa"/>
              <w:right w:w="80" w:type="dxa"/>
            </w:tcMar>
          </w:tcPr>
          <w:p w14:paraId="0A044F89" w14:textId="77777777" w:rsidR="006D667A" w:rsidRPr="00A7082A" w:rsidRDefault="006D667A" w:rsidP="006D667A">
            <w:pPr>
              <w:rPr>
                <w:sz w:val="18"/>
                <w:szCs w:val="18"/>
              </w:rPr>
            </w:pPr>
            <w:r w:rsidRPr="00A7082A">
              <w:rPr>
                <w:sz w:val="18"/>
                <w:szCs w:val="18"/>
              </w:rPr>
              <w:t>Number in the first evaluation</w:t>
            </w:r>
          </w:p>
        </w:tc>
      </w:tr>
      <w:tr w:rsidR="006D667A" w:rsidRPr="00A7082A" w14:paraId="54CEA5C9" w14:textId="77777777" w:rsidTr="00620F0B">
        <w:trPr>
          <w:trHeight w:val="57"/>
          <w:jc w:val="right"/>
        </w:trPr>
        <w:tc>
          <w:tcPr>
            <w:tcW w:w="2128" w:type="dxa"/>
            <w:shd w:val="clear" w:color="auto" w:fill="auto"/>
            <w:tcMar>
              <w:top w:w="80" w:type="dxa"/>
              <w:left w:w="80" w:type="dxa"/>
              <w:bottom w:w="80" w:type="dxa"/>
              <w:right w:w="80" w:type="dxa"/>
            </w:tcMar>
          </w:tcPr>
          <w:p w14:paraId="6337E631" w14:textId="77777777" w:rsidR="006D667A" w:rsidRPr="00A7082A" w:rsidRDefault="006D667A" w:rsidP="006D667A">
            <w:pPr>
              <w:rPr>
                <w:sz w:val="18"/>
                <w:szCs w:val="18"/>
              </w:rPr>
            </w:pPr>
            <w:r w:rsidRPr="00A7082A">
              <w:rPr>
                <w:sz w:val="18"/>
                <w:szCs w:val="18"/>
              </w:rPr>
              <w:t>D4. Process indicator for article 8</w:t>
            </w:r>
          </w:p>
        </w:tc>
        <w:tc>
          <w:tcPr>
            <w:tcW w:w="3511" w:type="dxa"/>
            <w:shd w:val="clear" w:color="auto" w:fill="auto"/>
            <w:tcMar>
              <w:top w:w="80" w:type="dxa"/>
              <w:left w:w="80" w:type="dxa"/>
              <w:bottom w:w="80" w:type="dxa"/>
              <w:right w:w="80" w:type="dxa"/>
            </w:tcMar>
          </w:tcPr>
          <w:p w14:paraId="7286DBCF" w14:textId="77777777" w:rsidR="006D667A" w:rsidRPr="00A7082A" w:rsidRDefault="006D667A" w:rsidP="006D667A">
            <w:pPr>
              <w:tabs>
                <w:tab w:val="left" w:pos="1163"/>
              </w:tabs>
              <w:rPr>
                <w:sz w:val="18"/>
                <w:szCs w:val="18"/>
              </w:rPr>
            </w:pPr>
            <w:r w:rsidRPr="00A7082A">
              <w:rPr>
                <w:sz w:val="18"/>
                <w:szCs w:val="18"/>
              </w:rPr>
              <w:t>Number of parties that require BAT/BEP or emission limit values consistent with the application of BAT</w:t>
            </w:r>
          </w:p>
        </w:tc>
        <w:tc>
          <w:tcPr>
            <w:tcW w:w="1931" w:type="dxa"/>
            <w:shd w:val="clear" w:color="auto" w:fill="auto"/>
            <w:tcMar>
              <w:top w:w="80" w:type="dxa"/>
              <w:left w:w="80" w:type="dxa"/>
              <w:bottom w:w="80" w:type="dxa"/>
              <w:right w:w="80" w:type="dxa"/>
            </w:tcMar>
          </w:tcPr>
          <w:p w14:paraId="3AAB97A0" w14:textId="77777777" w:rsidR="006D667A" w:rsidRPr="00A7082A" w:rsidRDefault="006D667A" w:rsidP="006D667A">
            <w:pPr>
              <w:tabs>
                <w:tab w:val="left" w:pos="1163"/>
              </w:tabs>
              <w:rPr>
                <w:sz w:val="18"/>
                <w:szCs w:val="18"/>
              </w:rPr>
            </w:pPr>
            <w:r w:rsidRPr="00A7082A">
              <w:rPr>
                <w:sz w:val="18"/>
                <w:szCs w:val="18"/>
              </w:rPr>
              <w:t>- Article 21 reporting</w:t>
            </w:r>
          </w:p>
        </w:tc>
        <w:tc>
          <w:tcPr>
            <w:tcW w:w="1788" w:type="dxa"/>
            <w:shd w:val="clear" w:color="auto" w:fill="auto"/>
            <w:tcMar>
              <w:top w:w="80" w:type="dxa"/>
              <w:left w:w="80" w:type="dxa"/>
              <w:bottom w:w="80" w:type="dxa"/>
              <w:right w:w="80" w:type="dxa"/>
            </w:tcMar>
          </w:tcPr>
          <w:p w14:paraId="63E49FAD" w14:textId="77777777" w:rsidR="006D667A" w:rsidRPr="00A7082A" w:rsidRDefault="006D667A" w:rsidP="006D667A">
            <w:pPr>
              <w:tabs>
                <w:tab w:val="left" w:pos="1163"/>
              </w:tabs>
              <w:rPr>
                <w:sz w:val="18"/>
                <w:szCs w:val="18"/>
              </w:rPr>
            </w:pPr>
            <w:r w:rsidRPr="00A7082A">
              <w:rPr>
                <w:sz w:val="18"/>
                <w:szCs w:val="18"/>
              </w:rPr>
              <w:t>Number in the first evaluation</w:t>
            </w:r>
          </w:p>
        </w:tc>
      </w:tr>
      <w:tr w:rsidR="006D667A" w:rsidRPr="00A7082A" w14:paraId="611AAEDB" w14:textId="77777777" w:rsidTr="00620F0B">
        <w:trPr>
          <w:trHeight w:val="57"/>
          <w:jc w:val="right"/>
        </w:trPr>
        <w:tc>
          <w:tcPr>
            <w:tcW w:w="2128" w:type="dxa"/>
            <w:shd w:val="clear" w:color="auto" w:fill="auto"/>
            <w:tcMar>
              <w:top w:w="80" w:type="dxa"/>
              <w:left w:w="80" w:type="dxa"/>
              <w:bottom w:w="80" w:type="dxa"/>
              <w:right w:w="80" w:type="dxa"/>
            </w:tcMar>
          </w:tcPr>
          <w:p w14:paraId="16BAE61D" w14:textId="77777777" w:rsidR="006D667A" w:rsidRPr="00A7082A" w:rsidRDefault="006D667A" w:rsidP="006D667A">
            <w:pPr>
              <w:rPr>
                <w:sz w:val="18"/>
                <w:szCs w:val="18"/>
              </w:rPr>
            </w:pPr>
            <w:r w:rsidRPr="00A7082A">
              <w:rPr>
                <w:sz w:val="18"/>
                <w:szCs w:val="18"/>
              </w:rPr>
              <w:t>D5. Process indicator for article 8</w:t>
            </w:r>
          </w:p>
        </w:tc>
        <w:tc>
          <w:tcPr>
            <w:tcW w:w="3511" w:type="dxa"/>
            <w:shd w:val="clear" w:color="auto" w:fill="auto"/>
            <w:tcMar>
              <w:top w:w="80" w:type="dxa"/>
              <w:left w:w="80" w:type="dxa"/>
              <w:bottom w:w="80" w:type="dxa"/>
              <w:right w:w="80" w:type="dxa"/>
            </w:tcMar>
          </w:tcPr>
          <w:p w14:paraId="1B1AB510" w14:textId="77777777" w:rsidR="006D667A" w:rsidRPr="00A7082A" w:rsidRDefault="006D667A" w:rsidP="006D667A">
            <w:pPr>
              <w:rPr>
                <w:sz w:val="18"/>
                <w:szCs w:val="18"/>
              </w:rPr>
            </w:pPr>
            <w:r w:rsidRPr="00A7082A">
              <w:rPr>
                <w:sz w:val="18"/>
                <w:szCs w:val="18"/>
              </w:rPr>
              <w:t>Number of parties that have put in place control measures for existing sources (per each of the measures set out in article 8, para. 5)</w:t>
            </w:r>
          </w:p>
        </w:tc>
        <w:tc>
          <w:tcPr>
            <w:tcW w:w="1931" w:type="dxa"/>
            <w:shd w:val="clear" w:color="auto" w:fill="auto"/>
            <w:tcMar>
              <w:top w:w="80" w:type="dxa"/>
              <w:left w:w="80" w:type="dxa"/>
              <w:bottom w:w="80" w:type="dxa"/>
              <w:right w:w="80" w:type="dxa"/>
            </w:tcMar>
          </w:tcPr>
          <w:p w14:paraId="6AA0E813" w14:textId="77777777" w:rsidR="006D667A" w:rsidRPr="00A7082A" w:rsidRDefault="006D667A" w:rsidP="006D667A">
            <w:pPr>
              <w:rPr>
                <w:sz w:val="18"/>
                <w:szCs w:val="18"/>
              </w:rPr>
            </w:pPr>
            <w:r w:rsidRPr="00A7082A">
              <w:rPr>
                <w:sz w:val="18"/>
                <w:szCs w:val="18"/>
              </w:rPr>
              <w:t>- Article 21 reporting</w:t>
            </w:r>
          </w:p>
        </w:tc>
        <w:tc>
          <w:tcPr>
            <w:tcW w:w="1788" w:type="dxa"/>
            <w:shd w:val="clear" w:color="auto" w:fill="auto"/>
            <w:tcMar>
              <w:top w:w="80" w:type="dxa"/>
              <w:left w:w="80" w:type="dxa"/>
              <w:bottom w:w="80" w:type="dxa"/>
              <w:right w:w="80" w:type="dxa"/>
            </w:tcMar>
          </w:tcPr>
          <w:p w14:paraId="39F402C2" w14:textId="77777777" w:rsidR="006D667A" w:rsidRPr="00A7082A" w:rsidRDefault="006D667A" w:rsidP="006D667A">
            <w:pPr>
              <w:rPr>
                <w:sz w:val="18"/>
                <w:szCs w:val="18"/>
              </w:rPr>
            </w:pPr>
            <w:r w:rsidRPr="00A7082A">
              <w:rPr>
                <w:sz w:val="18"/>
                <w:szCs w:val="18"/>
              </w:rPr>
              <w:t>Number in the first evaluation</w:t>
            </w:r>
          </w:p>
        </w:tc>
      </w:tr>
      <w:tr w:rsidR="006D667A" w:rsidRPr="00A7082A" w14:paraId="2EC33554" w14:textId="77777777" w:rsidTr="00620F0B">
        <w:trPr>
          <w:trHeight w:val="57"/>
          <w:jc w:val="right"/>
        </w:trPr>
        <w:tc>
          <w:tcPr>
            <w:tcW w:w="2128" w:type="dxa"/>
            <w:tcBorders>
              <w:bottom w:val="single" w:sz="4" w:space="0" w:color="000000" w:themeColor="text1"/>
            </w:tcBorders>
            <w:shd w:val="clear" w:color="auto" w:fill="auto"/>
            <w:tcMar>
              <w:top w:w="80" w:type="dxa"/>
              <w:left w:w="80" w:type="dxa"/>
              <w:bottom w:w="80" w:type="dxa"/>
              <w:right w:w="80" w:type="dxa"/>
            </w:tcMar>
          </w:tcPr>
          <w:p w14:paraId="57B2F45A" w14:textId="77777777" w:rsidR="006D667A" w:rsidRPr="00A7082A" w:rsidRDefault="006D667A" w:rsidP="006D667A">
            <w:pPr>
              <w:rPr>
                <w:sz w:val="18"/>
                <w:szCs w:val="18"/>
              </w:rPr>
            </w:pPr>
            <w:r w:rsidRPr="00A7082A">
              <w:rPr>
                <w:sz w:val="18"/>
                <w:szCs w:val="18"/>
              </w:rPr>
              <w:t>D6. Process indicator for article 8</w:t>
            </w:r>
          </w:p>
        </w:tc>
        <w:tc>
          <w:tcPr>
            <w:tcW w:w="3511" w:type="dxa"/>
            <w:tcBorders>
              <w:bottom w:val="single" w:sz="4" w:space="0" w:color="000000" w:themeColor="text1"/>
            </w:tcBorders>
            <w:shd w:val="clear" w:color="auto" w:fill="auto"/>
            <w:tcMar>
              <w:top w:w="80" w:type="dxa"/>
              <w:left w:w="80" w:type="dxa"/>
              <w:bottom w:w="80" w:type="dxa"/>
              <w:right w:w="80" w:type="dxa"/>
            </w:tcMar>
          </w:tcPr>
          <w:p w14:paraId="07551703" w14:textId="77777777" w:rsidR="006D667A" w:rsidRPr="00A7082A" w:rsidRDefault="006D667A" w:rsidP="006D667A">
            <w:pPr>
              <w:rPr>
                <w:sz w:val="18"/>
                <w:szCs w:val="18"/>
              </w:rPr>
            </w:pPr>
            <w:r w:rsidRPr="00A7082A">
              <w:rPr>
                <w:sz w:val="18"/>
                <w:szCs w:val="18"/>
              </w:rPr>
              <w:t xml:space="preserve">Number of parties that have established and maintained an inventory of emissions </w:t>
            </w:r>
          </w:p>
        </w:tc>
        <w:tc>
          <w:tcPr>
            <w:tcW w:w="1931" w:type="dxa"/>
            <w:tcBorders>
              <w:bottom w:val="single" w:sz="4" w:space="0" w:color="000000" w:themeColor="text1"/>
            </w:tcBorders>
            <w:shd w:val="clear" w:color="auto" w:fill="auto"/>
            <w:tcMar>
              <w:top w:w="80" w:type="dxa"/>
              <w:left w:w="80" w:type="dxa"/>
              <w:bottom w:w="80" w:type="dxa"/>
              <w:right w:w="80" w:type="dxa"/>
            </w:tcMar>
          </w:tcPr>
          <w:p w14:paraId="66607A4C" w14:textId="77777777" w:rsidR="006D667A" w:rsidRPr="00A7082A" w:rsidRDefault="006D667A" w:rsidP="006D667A">
            <w:pPr>
              <w:rPr>
                <w:sz w:val="18"/>
                <w:szCs w:val="18"/>
              </w:rPr>
            </w:pPr>
            <w:r w:rsidRPr="00A7082A">
              <w:rPr>
                <w:sz w:val="18"/>
                <w:szCs w:val="18"/>
              </w:rPr>
              <w:t>- Article 21 reporting</w:t>
            </w:r>
          </w:p>
        </w:tc>
        <w:tc>
          <w:tcPr>
            <w:tcW w:w="1788" w:type="dxa"/>
            <w:tcBorders>
              <w:bottom w:val="single" w:sz="4" w:space="0" w:color="000000" w:themeColor="text1"/>
            </w:tcBorders>
            <w:shd w:val="clear" w:color="auto" w:fill="auto"/>
            <w:tcMar>
              <w:top w:w="80" w:type="dxa"/>
              <w:left w:w="80" w:type="dxa"/>
              <w:bottom w:w="80" w:type="dxa"/>
              <w:right w:w="80" w:type="dxa"/>
            </w:tcMar>
          </w:tcPr>
          <w:p w14:paraId="1E4095E5" w14:textId="77777777" w:rsidR="006D667A" w:rsidRPr="00A7082A" w:rsidRDefault="006D667A" w:rsidP="006D667A">
            <w:pPr>
              <w:rPr>
                <w:sz w:val="18"/>
                <w:szCs w:val="18"/>
              </w:rPr>
            </w:pPr>
            <w:r w:rsidRPr="00A7082A">
              <w:rPr>
                <w:sz w:val="18"/>
                <w:szCs w:val="18"/>
              </w:rPr>
              <w:t>Number in the first evaluation</w:t>
            </w:r>
          </w:p>
        </w:tc>
      </w:tr>
      <w:tr w:rsidR="006D667A" w:rsidRPr="00A7082A" w14:paraId="18EDD249" w14:textId="77777777" w:rsidTr="00620F0B">
        <w:trPr>
          <w:trHeight w:val="57"/>
          <w:jc w:val="right"/>
        </w:trPr>
        <w:tc>
          <w:tcPr>
            <w:tcW w:w="9360" w:type="dxa"/>
            <w:gridSpan w:val="4"/>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11E1A7C4" w14:textId="77777777" w:rsidR="006D667A" w:rsidRPr="00A7082A" w:rsidRDefault="006D667A" w:rsidP="006D667A">
            <w:pPr>
              <w:tabs>
                <w:tab w:val="left" w:pos="1872"/>
              </w:tabs>
              <w:rPr>
                <w:sz w:val="18"/>
                <w:szCs w:val="18"/>
              </w:rPr>
            </w:pPr>
            <w:r w:rsidRPr="00A7082A">
              <w:rPr>
                <w:b/>
                <w:bCs/>
                <w:sz w:val="18"/>
                <w:szCs w:val="18"/>
              </w:rPr>
              <w:t xml:space="preserve">Article 9 </w:t>
            </w:r>
            <w:r w:rsidRPr="00A7082A">
              <w:rPr>
                <w:sz w:val="18"/>
                <w:szCs w:val="18"/>
              </w:rPr>
              <w:t>(The indicators for article 9 are to be read with the relevant monitoring indicators in table 4.)</w:t>
            </w:r>
          </w:p>
        </w:tc>
      </w:tr>
      <w:tr w:rsidR="006D667A" w:rsidRPr="00A7082A" w14:paraId="2FD858B7" w14:textId="77777777" w:rsidTr="00620F0B">
        <w:trPr>
          <w:trHeight w:val="57"/>
          <w:jc w:val="right"/>
        </w:trPr>
        <w:tc>
          <w:tcPr>
            <w:tcW w:w="2128" w:type="dxa"/>
            <w:tcBorders>
              <w:top w:val="single" w:sz="4" w:space="0" w:color="000000" w:themeColor="text1"/>
            </w:tcBorders>
            <w:shd w:val="clear" w:color="auto" w:fill="auto"/>
            <w:tcMar>
              <w:top w:w="80" w:type="dxa"/>
              <w:left w:w="80" w:type="dxa"/>
              <w:bottom w:w="80" w:type="dxa"/>
              <w:right w:w="80" w:type="dxa"/>
            </w:tcMar>
          </w:tcPr>
          <w:p w14:paraId="76A90A51" w14:textId="77777777" w:rsidR="006D667A" w:rsidRPr="00A7082A" w:rsidRDefault="006D667A" w:rsidP="006D667A">
            <w:pPr>
              <w:tabs>
                <w:tab w:val="left" w:pos="1163"/>
              </w:tabs>
              <w:rPr>
                <w:sz w:val="18"/>
                <w:szCs w:val="18"/>
              </w:rPr>
            </w:pPr>
            <w:r w:rsidRPr="00A7082A">
              <w:rPr>
                <w:sz w:val="18"/>
                <w:szCs w:val="18"/>
              </w:rPr>
              <w:t>D7. Outcome indicator for article 9</w:t>
            </w:r>
          </w:p>
        </w:tc>
        <w:tc>
          <w:tcPr>
            <w:tcW w:w="3511" w:type="dxa"/>
            <w:tcBorders>
              <w:top w:val="single" w:sz="4" w:space="0" w:color="000000" w:themeColor="text1"/>
            </w:tcBorders>
            <w:shd w:val="clear" w:color="auto" w:fill="auto"/>
            <w:tcMar>
              <w:top w:w="80" w:type="dxa"/>
              <w:left w:w="80" w:type="dxa"/>
              <w:bottom w:w="80" w:type="dxa"/>
              <w:right w:w="80" w:type="dxa"/>
            </w:tcMar>
          </w:tcPr>
          <w:p w14:paraId="4DFDB06C" w14:textId="77777777" w:rsidR="006D667A" w:rsidRPr="00A7082A" w:rsidRDefault="006D667A" w:rsidP="006D667A">
            <w:pPr>
              <w:rPr>
                <w:sz w:val="18"/>
                <w:szCs w:val="18"/>
              </w:rPr>
            </w:pPr>
            <w:r w:rsidRPr="00A7082A">
              <w:rPr>
                <w:sz w:val="18"/>
                <w:szCs w:val="18"/>
              </w:rPr>
              <w:t xml:space="preserve">Total amount of mercury releases in the inventory from relevant sources </w:t>
            </w:r>
          </w:p>
        </w:tc>
        <w:tc>
          <w:tcPr>
            <w:tcW w:w="1931" w:type="dxa"/>
            <w:tcBorders>
              <w:top w:val="single" w:sz="4" w:space="0" w:color="000000" w:themeColor="text1"/>
            </w:tcBorders>
            <w:shd w:val="clear" w:color="auto" w:fill="auto"/>
            <w:tcMar>
              <w:top w:w="80" w:type="dxa"/>
              <w:left w:w="80" w:type="dxa"/>
              <w:bottom w:w="80" w:type="dxa"/>
              <w:right w:w="80" w:type="dxa"/>
            </w:tcMar>
          </w:tcPr>
          <w:p w14:paraId="186607C3" w14:textId="77777777" w:rsidR="006D667A" w:rsidRPr="00A7082A" w:rsidRDefault="006D667A" w:rsidP="006D667A">
            <w:pPr>
              <w:tabs>
                <w:tab w:val="left" w:pos="1163"/>
              </w:tabs>
              <w:rPr>
                <w:sz w:val="18"/>
                <w:szCs w:val="18"/>
              </w:rPr>
            </w:pPr>
            <w:r w:rsidRPr="00A7082A">
              <w:rPr>
                <w:sz w:val="18"/>
                <w:szCs w:val="18"/>
              </w:rPr>
              <w:t>- Article 21 reporting</w:t>
            </w:r>
          </w:p>
          <w:p w14:paraId="1D44863B" w14:textId="77777777" w:rsidR="006D667A" w:rsidRPr="00A7082A" w:rsidRDefault="006D667A" w:rsidP="006D667A">
            <w:pPr>
              <w:rPr>
                <w:sz w:val="18"/>
                <w:szCs w:val="18"/>
              </w:rPr>
            </w:pPr>
            <w:r w:rsidRPr="00A7082A">
              <w:rPr>
                <w:sz w:val="18"/>
                <w:szCs w:val="18"/>
              </w:rPr>
              <w:t>- Inventories</w:t>
            </w:r>
          </w:p>
        </w:tc>
        <w:tc>
          <w:tcPr>
            <w:tcW w:w="1788" w:type="dxa"/>
            <w:tcBorders>
              <w:top w:val="single" w:sz="4" w:space="0" w:color="000000" w:themeColor="text1"/>
            </w:tcBorders>
            <w:shd w:val="clear" w:color="auto" w:fill="auto"/>
            <w:tcMar>
              <w:top w:w="80" w:type="dxa"/>
              <w:left w:w="80" w:type="dxa"/>
              <w:bottom w:w="80" w:type="dxa"/>
              <w:right w:w="80" w:type="dxa"/>
            </w:tcMar>
          </w:tcPr>
          <w:p w14:paraId="68DE365C" w14:textId="5473526C" w:rsidR="006D667A" w:rsidRPr="00A7082A" w:rsidRDefault="002D7BCA" w:rsidP="006D667A">
            <w:pPr>
              <w:rPr>
                <w:sz w:val="18"/>
                <w:szCs w:val="18"/>
              </w:rPr>
            </w:pPr>
            <w:r w:rsidRPr="00A7082A">
              <w:rPr>
                <w:sz w:val="18"/>
                <w:szCs w:val="18"/>
              </w:rPr>
              <w:t xml:space="preserve">Amount </w:t>
            </w:r>
            <w:r w:rsidR="006D667A" w:rsidRPr="00A7082A">
              <w:rPr>
                <w:sz w:val="18"/>
                <w:szCs w:val="18"/>
              </w:rPr>
              <w:t>in the first evaluation</w:t>
            </w:r>
          </w:p>
        </w:tc>
      </w:tr>
      <w:tr w:rsidR="006D667A" w:rsidRPr="00A7082A" w14:paraId="5C0F61BF" w14:textId="77777777" w:rsidTr="00620F0B">
        <w:trPr>
          <w:trHeight w:val="57"/>
          <w:jc w:val="right"/>
        </w:trPr>
        <w:tc>
          <w:tcPr>
            <w:tcW w:w="2128" w:type="dxa"/>
            <w:shd w:val="clear" w:color="auto" w:fill="auto"/>
            <w:tcMar>
              <w:top w:w="80" w:type="dxa"/>
              <w:left w:w="80" w:type="dxa"/>
              <w:bottom w:w="80" w:type="dxa"/>
              <w:right w:w="80" w:type="dxa"/>
            </w:tcMar>
          </w:tcPr>
          <w:p w14:paraId="19D03089" w14:textId="77777777" w:rsidR="006D667A" w:rsidRPr="00A7082A" w:rsidRDefault="006D667A" w:rsidP="006D667A">
            <w:pPr>
              <w:tabs>
                <w:tab w:val="left" w:pos="1163"/>
              </w:tabs>
              <w:rPr>
                <w:sz w:val="18"/>
                <w:szCs w:val="18"/>
              </w:rPr>
            </w:pPr>
            <w:r w:rsidRPr="00A7082A">
              <w:rPr>
                <w:sz w:val="18"/>
                <w:szCs w:val="18"/>
              </w:rPr>
              <w:t>D8. Process indicator for article 9</w:t>
            </w:r>
          </w:p>
        </w:tc>
        <w:tc>
          <w:tcPr>
            <w:tcW w:w="3511" w:type="dxa"/>
            <w:shd w:val="clear" w:color="auto" w:fill="auto"/>
            <w:tcMar>
              <w:top w:w="80" w:type="dxa"/>
              <w:left w:w="80" w:type="dxa"/>
              <w:bottom w:w="80" w:type="dxa"/>
              <w:right w:w="80" w:type="dxa"/>
            </w:tcMar>
          </w:tcPr>
          <w:p w14:paraId="62E2B941" w14:textId="77777777" w:rsidR="006D667A" w:rsidRPr="00A7082A" w:rsidRDefault="006D667A" w:rsidP="006D667A">
            <w:pPr>
              <w:rPr>
                <w:sz w:val="18"/>
                <w:szCs w:val="18"/>
              </w:rPr>
            </w:pPr>
            <w:r w:rsidRPr="00A7082A">
              <w:rPr>
                <w:sz w:val="18"/>
                <w:szCs w:val="18"/>
              </w:rPr>
              <w:t>Number of parties that have identified relevant sources</w:t>
            </w:r>
          </w:p>
        </w:tc>
        <w:tc>
          <w:tcPr>
            <w:tcW w:w="1931" w:type="dxa"/>
            <w:shd w:val="clear" w:color="auto" w:fill="auto"/>
            <w:tcMar>
              <w:top w:w="80" w:type="dxa"/>
              <w:left w:w="80" w:type="dxa"/>
              <w:bottom w:w="80" w:type="dxa"/>
              <w:right w:w="80" w:type="dxa"/>
            </w:tcMar>
          </w:tcPr>
          <w:p w14:paraId="2EE9E960" w14:textId="77777777" w:rsidR="006D667A" w:rsidRPr="00A7082A" w:rsidRDefault="006D667A" w:rsidP="006D667A">
            <w:pPr>
              <w:rPr>
                <w:sz w:val="18"/>
                <w:szCs w:val="18"/>
              </w:rPr>
            </w:pPr>
            <w:r w:rsidRPr="00A7082A">
              <w:rPr>
                <w:sz w:val="18"/>
                <w:szCs w:val="18"/>
              </w:rPr>
              <w:t>- Article 21 reporting</w:t>
            </w:r>
          </w:p>
        </w:tc>
        <w:tc>
          <w:tcPr>
            <w:tcW w:w="1788" w:type="dxa"/>
            <w:shd w:val="clear" w:color="auto" w:fill="auto"/>
            <w:tcMar>
              <w:top w:w="80" w:type="dxa"/>
              <w:left w:w="80" w:type="dxa"/>
              <w:bottom w:w="80" w:type="dxa"/>
              <w:right w:w="80" w:type="dxa"/>
            </w:tcMar>
          </w:tcPr>
          <w:p w14:paraId="5EAADDE4" w14:textId="77777777" w:rsidR="006D667A" w:rsidRPr="00A7082A" w:rsidRDefault="006D667A" w:rsidP="006D667A">
            <w:pPr>
              <w:rPr>
                <w:sz w:val="18"/>
                <w:szCs w:val="18"/>
              </w:rPr>
            </w:pPr>
            <w:r w:rsidRPr="00A7082A">
              <w:rPr>
                <w:sz w:val="18"/>
                <w:szCs w:val="18"/>
              </w:rPr>
              <w:t>Number in the first evaluation</w:t>
            </w:r>
          </w:p>
        </w:tc>
      </w:tr>
      <w:tr w:rsidR="006D667A" w:rsidRPr="00A7082A" w14:paraId="54D87B3D" w14:textId="77777777" w:rsidTr="00620F0B">
        <w:trPr>
          <w:trHeight w:val="57"/>
          <w:jc w:val="right"/>
        </w:trPr>
        <w:tc>
          <w:tcPr>
            <w:tcW w:w="2128" w:type="dxa"/>
            <w:tcBorders>
              <w:bottom w:val="single" w:sz="4" w:space="0" w:color="000000" w:themeColor="text1"/>
            </w:tcBorders>
            <w:shd w:val="clear" w:color="auto" w:fill="auto"/>
            <w:tcMar>
              <w:top w:w="80" w:type="dxa"/>
              <w:left w:w="80" w:type="dxa"/>
              <w:bottom w:w="80" w:type="dxa"/>
              <w:right w:w="80" w:type="dxa"/>
            </w:tcMar>
          </w:tcPr>
          <w:p w14:paraId="5525C822" w14:textId="77777777" w:rsidR="006D667A" w:rsidRPr="00A7082A" w:rsidRDefault="006D667A" w:rsidP="006D667A">
            <w:pPr>
              <w:tabs>
                <w:tab w:val="left" w:pos="1163"/>
              </w:tabs>
              <w:rPr>
                <w:sz w:val="18"/>
                <w:szCs w:val="18"/>
              </w:rPr>
            </w:pPr>
            <w:r w:rsidRPr="00A7082A">
              <w:rPr>
                <w:sz w:val="18"/>
                <w:szCs w:val="18"/>
              </w:rPr>
              <w:t>D9. Process indicator for article 9</w:t>
            </w:r>
          </w:p>
        </w:tc>
        <w:tc>
          <w:tcPr>
            <w:tcW w:w="3511" w:type="dxa"/>
            <w:tcBorders>
              <w:bottom w:val="single" w:sz="4" w:space="0" w:color="000000" w:themeColor="text1"/>
            </w:tcBorders>
            <w:shd w:val="clear" w:color="auto" w:fill="auto"/>
            <w:tcMar>
              <w:top w:w="80" w:type="dxa"/>
              <w:left w:w="80" w:type="dxa"/>
              <w:bottom w:w="80" w:type="dxa"/>
              <w:right w:w="80" w:type="dxa"/>
            </w:tcMar>
          </w:tcPr>
          <w:p w14:paraId="257BA1D6" w14:textId="77777777" w:rsidR="006D667A" w:rsidRPr="00A7082A" w:rsidRDefault="006D667A" w:rsidP="006D667A">
            <w:pPr>
              <w:rPr>
                <w:sz w:val="18"/>
                <w:szCs w:val="18"/>
              </w:rPr>
            </w:pPr>
            <w:r w:rsidRPr="00A7082A">
              <w:rPr>
                <w:sz w:val="18"/>
                <w:szCs w:val="18"/>
              </w:rPr>
              <w:t>Number of parties that have established and maintained an inventory of releases from relevant sources</w:t>
            </w:r>
          </w:p>
        </w:tc>
        <w:tc>
          <w:tcPr>
            <w:tcW w:w="1931" w:type="dxa"/>
            <w:tcBorders>
              <w:bottom w:val="single" w:sz="4" w:space="0" w:color="000000" w:themeColor="text1"/>
            </w:tcBorders>
            <w:shd w:val="clear" w:color="auto" w:fill="auto"/>
            <w:tcMar>
              <w:top w:w="80" w:type="dxa"/>
              <w:left w:w="80" w:type="dxa"/>
              <w:bottom w:w="80" w:type="dxa"/>
              <w:right w:w="80" w:type="dxa"/>
            </w:tcMar>
          </w:tcPr>
          <w:p w14:paraId="12FC4E49" w14:textId="77777777" w:rsidR="006D667A" w:rsidRPr="00A7082A" w:rsidRDefault="006D667A" w:rsidP="006D667A">
            <w:pPr>
              <w:rPr>
                <w:sz w:val="18"/>
                <w:szCs w:val="18"/>
              </w:rPr>
            </w:pPr>
            <w:r w:rsidRPr="00A7082A">
              <w:rPr>
                <w:sz w:val="18"/>
                <w:szCs w:val="18"/>
              </w:rPr>
              <w:t>- Article 21 reporting</w:t>
            </w:r>
          </w:p>
        </w:tc>
        <w:tc>
          <w:tcPr>
            <w:tcW w:w="1788" w:type="dxa"/>
            <w:tcBorders>
              <w:bottom w:val="single" w:sz="4" w:space="0" w:color="000000" w:themeColor="text1"/>
            </w:tcBorders>
            <w:shd w:val="clear" w:color="auto" w:fill="auto"/>
            <w:tcMar>
              <w:top w:w="80" w:type="dxa"/>
              <w:left w:w="80" w:type="dxa"/>
              <w:bottom w:w="80" w:type="dxa"/>
              <w:right w:w="80" w:type="dxa"/>
            </w:tcMar>
          </w:tcPr>
          <w:p w14:paraId="7453FB31" w14:textId="77777777" w:rsidR="006D667A" w:rsidRPr="00A7082A" w:rsidRDefault="006D667A" w:rsidP="006D667A">
            <w:pPr>
              <w:rPr>
                <w:sz w:val="18"/>
                <w:szCs w:val="18"/>
              </w:rPr>
            </w:pPr>
            <w:r w:rsidRPr="00A7082A">
              <w:rPr>
                <w:sz w:val="18"/>
                <w:szCs w:val="18"/>
              </w:rPr>
              <w:t>Number in the first evaluation</w:t>
            </w:r>
          </w:p>
        </w:tc>
      </w:tr>
      <w:tr w:rsidR="006D667A" w:rsidRPr="00A7082A" w14:paraId="1731333B" w14:textId="77777777" w:rsidTr="00620F0B">
        <w:trPr>
          <w:trHeight w:val="57"/>
          <w:jc w:val="right"/>
        </w:trPr>
        <w:tc>
          <w:tcPr>
            <w:tcW w:w="2128"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0FFCB77E" w14:textId="77777777" w:rsidR="006D667A" w:rsidRPr="00A7082A" w:rsidRDefault="006D667A" w:rsidP="006D667A">
            <w:pPr>
              <w:tabs>
                <w:tab w:val="left" w:pos="1163"/>
              </w:tabs>
              <w:rPr>
                <w:sz w:val="18"/>
                <w:szCs w:val="18"/>
              </w:rPr>
            </w:pPr>
            <w:r w:rsidRPr="00A7082A">
              <w:rPr>
                <w:b/>
                <w:bCs/>
                <w:sz w:val="18"/>
                <w:szCs w:val="18"/>
              </w:rPr>
              <w:t>Article 12</w:t>
            </w:r>
          </w:p>
        </w:tc>
        <w:tc>
          <w:tcPr>
            <w:tcW w:w="3511"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6D181890" w14:textId="77777777" w:rsidR="006D667A" w:rsidRPr="00A7082A" w:rsidRDefault="006D667A" w:rsidP="006D667A">
            <w:pPr>
              <w:rPr>
                <w:sz w:val="18"/>
                <w:szCs w:val="18"/>
              </w:rPr>
            </w:pPr>
          </w:p>
        </w:tc>
        <w:tc>
          <w:tcPr>
            <w:tcW w:w="1931"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50734A91" w14:textId="77777777" w:rsidR="006D667A" w:rsidRPr="00A7082A" w:rsidRDefault="006D667A" w:rsidP="006D667A">
            <w:pPr>
              <w:rPr>
                <w:sz w:val="18"/>
                <w:szCs w:val="18"/>
              </w:rPr>
            </w:pPr>
          </w:p>
        </w:tc>
        <w:tc>
          <w:tcPr>
            <w:tcW w:w="1788"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7200790F" w14:textId="77777777" w:rsidR="006D667A" w:rsidRPr="00A7082A" w:rsidRDefault="006D667A" w:rsidP="006D667A">
            <w:pPr>
              <w:rPr>
                <w:sz w:val="18"/>
                <w:szCs w:val="18"/>
              </w:rPr>
            </w:pPr>
          </w:p>
        </w:tc>
      </w:tr>
      <w:tr w:rsidR="006D667A" w:rsidRPr="00A7082A" w14:paraId="497F6063" w14:textId="77777777" w:rsidTr="00620F0B">
        <w:trPr>
          <w:trHeight w:val="57"/>
          <w:jc w:val="right"/>
        </w:trPr>
        <w:tc>
          <w:tcPr>
            <w:tcW w:w="2128" w:type="dxa"/>
            <w:tcBorders>
              <w:top w:val="single" w:sz="4" w:space="0" w:color="000000" w:themeColor="text1"/>
            </w:tcBorders>
            <w:shd w:val="clear" w:color="auto" w:fill="auto"/>
            <w:tcMar>
              <w:top w:w="80" w:type="dxa"/>
              <w:left w:w="80" w:type="dxa"/>
              <w:bottom w:w="80" w:type="dxa"/>
              <w:right w:w="80" w:type="dxa"/>
            </w:tcMar>
          </w:tcPr>
          <w:p w14:paraId="55871ECC" w14:textId="77777777" w:rsidR="006D667A" w:rsidRPr="00A7082A" w:rsidRDefault="006D667A" w:rsidP="006D667A">
            <w:pPr>
              <w:tabs>
                <w:tab w:val="left" w:pos="1163"/>
              </w:tabs>
              <w:rPr>
                <w:sz w:val="18"/>
                <w:szCs w:val="18"/>
              </w:rPr>
            </w:pPr>
            <w:r w:rsidRPr="00A7082A">
              <w:rPr>
                <w:sz w:val="18"/>
                <w:szCs w:val="18"/>
              </w:rPr>
              <w:t>D10. Process indicator for article 12</w:t>
            </w:r>
          </w:p>
        </w:tc>
        <w:tc>
          <w:tcPr>
            <w:tcW w:w="3511" w:type="dxa"/>
            <w:tcBorders>
              <w:top w:val="single" w:sz="4" w:space="0" w:color="000000" w:themeColor="text1"/>
            </w:tcBorders>
            <w:shd w:val="clear" w:color="auto" w:fill="auto"/>
            <w:tcMar>
              <w:top w:w="80" w:type="dxa"/>
              <w:left w:w="80" w:type="dxa"/>
              <w:bottom w:w="80" w:type="dxa"/>
              <w:right w:w="80" w:type="dxa"/>
            </w:tcMar>
          </w:tcPr>
          <w:p w14:paraId="3BB55313" w14:textId="77777777" w:rsidR="006D667A" w:rsidRPr="00A7082A" w:rsidRDefault="006D667A" w:rsidP="006D667A">
            <w:pPr>
              <w:rPr>
                <w:sz w:val="18"/>
                <w:szCs w:val="18"/>
              </w:rPr>
            </w:pPr>
            <w:r w:rsidRPr="00A7082A">
              <w:rPr>
                <w:sz w:val="18"/>
                <w:szCs w:val="18"/>
              </w:rPr>
              <w:t>Number of parties that have developed strategies for identifying and assessing sites contaminated by mercury or mercury compounds</w:t>
            </w:r>
          </w:p>
        </w:tc>
        <w:tc>
          <w:tcPr>
            <w:tcW w:w="1931" w:type="dxa"/>
            <w:tcBorders>
              <w:top w:val="single" w:sz="4" w:space="0" w:color="000000" w:themeColor="text1"/>
            </w:tcBorders>
            <w:shd w:val="clear" w:color="auto" w:fill="auto"/>
            <w:tcMar>
              <w:top w:w="80" w:type="dxa"/>
              <w:left w:w="80" w:type="dxa"/>
              <w:bottom w:w="80" w:type="dxa"/>
              <w:right w:w="80" w:type="dxa"/>
            </w:tcMar>
          </w:tcPr>
          <w:p w14:paraId="3640C703" w14:textId="77777777" w:rsidR="006D667A" w:rsidRPr="00A7082A" w:rsidRDefault="006D667A" w:rsidP="006D667A">
            <w:pPr>
              <w:rPr>
                <w:sz w:val="18"/>
                <w:szCs w:val="18"/>
              </w:rPr>
            </w:pPr>
            <w:r w:rsidRPr="00A7082A">
              <w:rPr>
                <w:sz w:val="18"/>
                <w:szCs w:val="18"/>
              </w:rPr>
              <w:t>- Article 21 reporting</w:t>
            </w:r>
          </w:p>
        </w:tc>
        <w:tc>
          <w:tcPr>
            <w:tcW w:w="1788" w:type="dxa"/>
            <w:tcBorders>
              <w:top w:val="single" w:sz="4" w:space="0" w:color="000000" w:themeColor="text1"/>
            </w:tcBorders>
            <w:shd w:val="clear" w:color="auto" w:fill="auto"/>
            <w:tcMar>
              <w:top w:w="80" w:type="dxa"/>
              <w:left w:w="80" w:type="dxa"/>
              <w:bottom w:w="80" w:type="dxa"/>
              <w:right w:w="80" w:type="dxa"/>
            </w:tcMar>
          </w:tcPr>
          <w:p w14:paraId="6E1F8006" w14:textId="77777777" w:rsidR="006D667A" w:rsidRPr="00A7082A" w:rsidRDefault="006D667A" w:rsidP="006D667A">
            <w:pPr>
              <w:rPr>
                <w:sz w:val="18"/>
                <w:szCs w:val="18"/>
              </w:rPr>
            </w:pPr>
            <w:r w:rsidRPr="00A7082A">
              <w:rPr>
                <w:sz w:val="18"/>
                <w:szCs w:val="18"/>
              </w:rPr>
              <w:t>Number in the first evaluation</w:t>
            </w:r>
          </w:p>
        </w:tc>
      </w:tr>
      <w:tr w:rsidR="006D667A" w:rsidRPr="00A7082A" w14:paraId="56C88474" w14:textId="77777777" w:rsidTr="00620F0B">
        <w:trPr>
          <w:trHeight w:val="57"/>
          <w:jc w:val="right"/>
        </w:trPr>
        <w:tc>
          <w:tcPr>
            <w:tcW w:w="2128" w:type="dxa"/>
            <w:shd w:val="clear" w:color="auto" w:fill="auto"/>
            <w:tcMar>
              <w:top w:w="80" w:type="dxa"/>
              <w:left w:w="80" w:type="dxa"/>
              <w:bottom w:w="80" w:type="dxa"/>
              <w:right w:w="80" w:type="dxa"/>
            </w:tcMar>
          </w:tcPr>
          <w:p w14:paraId="36A199B2" w14:textId="77777777" w:rsidR="006D667A" w:rsidRPr="00A7082A" w:rsidRDefault="006D667A" w:rsidP="006D667A">
            <w:pPr>
              <w:tabs>
                <w:tab w:val="left" w:pos="1163"/>
              </w:tabs>
              <w:rPr>
                <w:sz w:val="18"/>
                <w:szCs w:val="18"/>
              </w:rPr>
            </w:pPr>
            <w:r w:rsidRPr="00A7082A">
              <w:rPr>
                <w:sz w:val="18"/>
                <w:szCs w:val="18"/>
              </w:rPr>
              <w:t>D11. Process indicator for article 12</w:t>
            </w:r>
          </w:p>
        </w:tc>
        <w:tc>
          <w:tcPr>
            <w:tcW w:w="3511" w:type="dxa"/>
            <w:shd w:val="clear" w:color="auto" w:fill="auto"/>
            <w:tcMar>
              <w:top w:w="80" w:type="dxa"/>
              <w:left w:w="80" w:type="dxa"/>
              <w:bottom w:w="80" w:type="dxa"/>
              <w:right w:w="80" w:type="dxa"/>
            </w:tcMar>
          </w:tcPr>
          <w:p w14:paraId="7092126F" w14:textId="77777777" w:rsidR="006D667A" w:rsidRPr="00A7082A" w:rsidRDefault="006D667A" w:rsidP="006D667A">
            <w:pPr>
              <w:tabs>
                <w:tab w:val="left" w:pos="1163"/>
              </w:tabs>
              <w:rPr>
                <w:sz w:val="18"/>
                <w:szCs w:val="18"/>
              </w:rPr>
            </w:pPr>
            <w:r w:rsidRPr="00A7082A">
              <w:rPr>
                <w:spacing w:val="-2"/>
                <w:sz w:val="18"/>
                <w:szCs w:val="18"/>
              </w:rPr>
              <w:t>Number of parties that have developed an inventory of contaminated sites</w:t>
            </w:r>
          </w:p>
        </w:tc>
        <w:tc>
          <w:tcPr>
            <w:tcW w:w="1931" w:type="dxa"/>
            <w:shd w:val="clear" w:color="auto" w:fill="auto"/>
            <w:tcMar>
              <w:top w:w="80" w:type="dxa"/>
              <w:left w:w="80" w:type="dxa"/>
              <w:bottom w:w="80" w:type="dxa"/>
              <w:right w:w="80" w:type="dxa"/>
            </w:tcMar>
          </w:tcPr>
          <w:p w14:paraId="2EDA252F" w14:textId="77777777" w:rsidR="006D667A" w:rsidRPr="00A7082A" w:rsidRDefault="006D667A" w:rsidP="006D667A">
            <w:pPr>
              <w:tabs>
                <w:tab w:val="left" w:pos="1163"/>
              </w:tabs>
              <w:rPr>
                <w:sz w:val="18"/>
                <w:szCs w:val="18"/>
              </w:rPr>
            </w:pPr>
            <w:r w:rsidRPr="00A7082A">
              <w:rPr>
                <w:sz w:val="18"/>
                <w:szCs w:val="18"/>
              </w:rPr>
              <w:t>- Article 21 reporting</w:t>
            </w:r>
          </w:p>
        </w:tc>
        <w:tc>
          <w:tcPr>
            <w:tcW w:w="1788" w:type="dxa"/>
            <w:shd w:val="clear" w:color="auto" w:fill="auto"/>
            <w:tcMar>
              <w:top w:w="80" w:type="dxa"/>
              <w:left w:w="80" w:type="dxa"/>
              <w:bottom w:w="80" w:type="dxa"/>
              <w:right w:w="80" w:type="dxa"/>
            </w:tcMar>
          </w:tcPr>
          <w:p w14:paraId="01D15578" w14:textId="77777777" w:rsidR="006D667A" w:rsidRPr="00A7082A" w:rsidRDefault="006D667A" w:rsidP="006D667A">
            <w:pPr>
              <w:tabs>
                <w:tab w:val="left" w:pos="1163"/>
              </w:tabs>
              <w:rPr>
                <w:sz w:val="18"/>
                <w:szCs w:val="18"/>
              </w:rPr>
            </w:pPr>
            <w:r w:rsidRPr="00A7082A">
              <w:rPr>
                <w:sz w:val="18"/>
                <w:szCs w:val="18"/>
              </w:rPr>
              <w:t>Number in the first evaluation</w:t>
            </w:r>
          </w:p>
        </w:tc>
      </w:tr>
      <w:tr w:rsidR="006D667A" w:rsidRPr="00A7082A" w14:paraId="53BA04D2" w14:textId="77777777" w:rsidTr="00620F0B">
        <w:trPr>
          <w:trHeight w:val="57"/>
          <w:jc w:val="right"/>
        </w:trPr>
        <w:tc>
          <w:tcPr>
            <w:tcW w:w="2128" w:type="dxa"/>
            <w:tcBorders>
              <w:bottom w:val="single" w:sz="12" w:space="0" w:color="000000" w:themeColor="text1"/>
            </w:tcBorders>
            <w:shd w:val="clear" w:color="auto" w:fill="auto"/>
            <w:tcMar>
              <w:top w:w="80" w:type="dxa"/>
              <w:left w:w="80" w:type="dxa"/>
              <w:bottom w:w="80" w:type="dxa"/>
              <w:right w:w="80" w:type="dxa"/>
            </w:tcMar>
          </w:tcPr>
          <w:p w14:paraId="658E4842" w14:textId="77777777" w:rsidR="006D667A" w:rsidRPr="00A7082A" w:rsidRDefault="006D667A" w:rsidP="006D667A">
            <w:pPr>
              <w:rPr>
                <w:sz w:val="18"/>
                <w:szCs w:val="18"/>
              </w:rPr>
            </w:pPr>
            <w:r w:rsidRPr="00A7082A">
              <w:rPr>
                <w:b/>
                <w:bCs/>
                <w:sz w:val="18"/>
                <w:szCs w:val="18"/>
              </w:rPr>
              <w:t>Notes</w:t>
            </w:r>
          </w:p>
        </w:tc>
        <w:tc>
          <w:tcPr>
            <w:tcW w:w="7231" w:type="dxa"/>
            <w:gridSpan w:val="3"/>
            <w:tcBorders>
              <w:bottom w:val="single" w:sz="12" w:space="0" w:color="000000" w:themeColor="text1"/>
            </w:tcBorders>
            <w:shd w:val="clear" w:color="auto" w:fill="auto"/>
            <w:tcMar>
              <w:top w:w="80" w:type="dxa"/>
              <w:left w:w="80" w:type="dxa"/>
              <w:bottom w:w="80" w:type="dxa"/>
              <w:right w:w="80" w:type="dxa"/>
            </w:tcMar>
          </w:tcPr>
          <w:p w14:paraId="1E76EEF6" w14:textId="77777777" w:rsidR="006D667A" w:rsidRPr="00A7082A" w:rsidRDefault="006D667A" w:rsidP="006D667A">
            <w:pPr>
              <w:numPr>
                <w:ilvl w:val="0"/>
                <w:numId w:val="53"/>
              </w:numPr>
              <w:rPr>
                <w:sz w:val="18"/>
                <w:szCs w:val="18"/>
              </w:rPr>
            </w:pPr>
            <w:r w:rsidRPr="00A7082A">
              <w:rPr>
                <w:sz w:val="18"/>
                <w:szCs w:val="18"/>
              </w:rPr>
              <w:t>There may be some data gaps, as parties are not obliged to share the information collected as part of their inventory.</w:t>
            </w:r>
          </w:p>
        </w:tc>
      </w:tr>
    </w:tbl>
    <w:p w14:paraId="2257C1A2" w14:textId="77777777" w:rsidR="006D667A" w:rsidRPr="00A7082A" w:rsidRDefault="006D667A" w:rsidP="006D667A">
      <w:pPr>
        <w:widowControl w:val="0"/>
        <w:jc w:val="right"/>
      </w:pPr>
    </w:p>
    <w:p w14:paraId="1BAC396C" w14:textId="77777777" w:rsidR="006D667A" w:rsidRPr="00A7082A" w:rsidRDefault="006D667A" w:rsidP="006D667A">
      <w:pPr>
        <w:rPr>
          <w:sz w:val="12"/>
          <w:szCs w:val="12"/>
        </w:rPr>
      </w:pPr>
    </w:p>
    <w:tbl>
      <w:tblPr>
        <w:tblW w:w="8307" w:type="dxa"/>
        <w:jc w:val="right"/>
        <w:tblLayout w:type="fixed"/>
        <w:tblLook w:val="04A0" w:firstRow="1" w:lastRow="0" w:firstColumn="1" w:lastColumn="0" w:noHBand="0" w:noVBand="1"/>
      </w:tblPr>
      <w:tblGrid>
        <w:gridCol w:w="1808"/>
        <w:gridCol w:w="3184"/>
        <w:gridCol w:w="1748"/>
        <w:gridCol w:w="1567"/>
      </w:tblGrid>
      <w:tr w:rsidR="006D667A" w:rsidRPr="00A7082A" w14:paraId="39A82834" w14:textId="77777777" w:rsidTr="00417FE2">
        <w:trPr>
          <w:trHeight w:val="57"/>
          <w:jc w:val="right"/>
        </w:trPr>
        <w:tc>
          <w:tcPr>
            <w:tcW w:w="5629" w:type="dxa"/>
            <w:gridSpan w:val="2"/>
            <w:tcBorders>
              <w:top w:val="single" w:sz="4" w:space="0" w:color="000000" w:themeColor="text1"/>
              <w:bottom w:val="single" w:sz="12" w:space="0" w:color="auto"/>
            </w:tcBorders>
            <w:shd w:val="clear" w:color="auto" w:fill="auto"/>
            <w:tcMar>
              <w:top w:w="80" w:type="dxa"/>
              <w:left w:w="80" w:type="dxa"/>
              <w:bottom w:w="80" w:type="dxa"/>
              <w:right w:w="80" w:type="dxa"/>
            </w:tcMar>
          </w:tcPr>
          <w:p w14:paraId="3923A858" w14:textId="77777777" w:rsidR="006D667A" w:rsidRPr="00A7082A" w:rsidRDefault="006D667A" w:rsidP="00AC30F5">
            <w:pPr>
              <w:keepNext/>
              <w:keepLines/>
              <w:spacing w:after="120"/>
              <w:rPr>
                <w:bCs/>
                <w:i/>
                <w:sz w:val="18"/>
                <w:szCs w:val="18"/>
              </w:rPr>
            </w:pPr>
            <w:r w:rsidRPr="00A7082A">
              <w:rPr>
                <w:bCs/>
                <w:i/>
                <w:sz w:val="18"/>
                <w:szCs w:val="18"/>
              </w:rPr>
              <w:lastRenderedPageBreak/>
              <w:t xml:space="preserve">E: Support cluster </w:t>
            </w:r>
          </w:p>
          <w:p w14:paraId="27FE1615" w14:textId="65E62EEE" w:rsidR="006D667A" w:rsidRPr="00A7082A" w:rsidRDefault="006D667A" w:rsidP="00620F0B">
            <w:pPr>
              <w:keepNext/>
              <w:keepLines/>
              <w:rPr>
                <w:i/>
                <w:sz w:val="18"/>
                <w:szCs w:val="18"/>
              </w:rPr>
            </w:pPr>
            <w:r w:rsidRPr="00A7082A">
              <w:rPr>
                <w:bCs/>
                <w:i/>
                <w:sz w:val="18"/>
                <w:szCs w:val="18"/>
              </w:rPr>
              <w:t>Article 13 (financial resources and mechanism); article 14 (</w:t>
            </w:r>
            <w:r w:rsidR="00F22310" w:rsidRPr="00A7082A">
              <w:rPr>
                <w:bCs/>
                <w:i/>
                <w:sz w:val="18"/>
                <w:szCs w:val="18"/>
              </w:rPr>
              <w:t>capacity</w:t>
            </w:r>
            <w:r w:rsidR="00F22310" w:rsidRPr="00A7082A">
              <w:rPr>
                <w:bCs/>
                <w:i/>
                <w:sz w:val="18"/>
                <w:szCs w:val="18"/>
              </w:rPr>
              <w:noBreakHyphen/>
              <w:t>building</w:t>
            </w:r>
            <w:r w:rsidRPr="00A7082A">
              <w:rPr>
                <w:bCs/>
                <w:i/>
                <w:sz w:val="18"/>
                <w:szCs w:val="18"/>
              </w:rPr>
              <w:t xml:space="preserve">, technical assistance and technology transfer) </w:t>
            </w:r>
          </w:p>
        </w:tc>
        <w:tc>
          <w:tcPr>
            <w:tcW w:w="1963" w:type="dxa"/>
            <w:tcBorders>
              <w:top w:val="single" w:sz="4" w:space="0" w:color="000000" w:themeColor="text1"/>
              <w:bottom w:val="single" w:sz="12" w:space="0" w:color="auto"/>
            </w:tcBorders>
            <w:shd w:val="clear" w:color="auto" w:fill="auto"/>
            <w:tcMar>
              <w:top w:w="80" w:type="dxa"/>
              <w:left w:w="80" w:type="dxa"/>
              <w:bottom w:w="80" w:type="dxa"/>
              <w:right w:w="80" w:type="dxa"/>
            </w:tcMar>
          </w:tcPr>
          <w:p w14:paraId="59A1DC80" w14:textId="77777777" w:rsidR="006D667A" w:rsidRPr="00A7082A" w:rsidRDefault="006D667A" w:rsidP="00620F0B">
            <w:pPr>
              <w:keepNext/>
              <w:keepLines/>
              <w:rPr>
                <w:i/>
                <w:sz w:val="18"/>
                <w:szCs w:val="18"/>
              </w:rPr>
            </w:pPr>
            <w:r w:rsidRPr="00A7082A">
              <w:rPr>
                <w:i/>
                <w:sz w:val="18"/>
                <w:szCs w:val="18"/>
              </w:rPr>
              <w:t>Source of information on the indicator</w:t>
            </w:r>
          </w:p>
        </w:tc>
        <w:tc>
          <w:tcPr>
            <w:tcW w:w="1758" w:type="dxa"/>
            <w:tcBorders>
              <w:top w:val="single" w:sz="4" w:space="0" w:color="000000" w:themeColor="text1"/>
              <w:bottom w:val="single" w:sz="12" w:space="0" w:color="auto"/>
            </w:tcBorders>
            <w:shd w:val="clear" w:color="auto" w:fill="auto"/>
            <w:tcMar>
              <w:top w:w="80" w:type="dxa"/>
              <w:left w:w="80" w:type="dxa"/>
              <w:bottom w:w="80" w:type="dxa"/>
              <w:right w:w="80" w:type="dxa"/>
            </w:tcMar>
          </w:tcPr>
          <w:p w14:paraId="3194EF2C" w14:textId="77777777" w:rsidR="006D667A" w:rsidRPr="00A7082A" w:rsidRDefault="006D667A" w:rsidP="00620F0B">
            <w:pPr>
              <w:keepNext/>
              <w:keepLines/>
              <w:rPr>
                <w:i/>
                <w:sz w:val="18"/>
                <w:szCs w:val="18"/>
              </w:rPr>
            </w:pPr>
            <w:r w:rsidRPr="00A7082A">
              <w:rPr>
                <w:i/>
                <w:sz w:val="18"/>
                <w:szCs w:val="18"/>
              </w:rPr>
              <w:t>Baseline for the indicator</w:t>
            </w:r>
          </w:p>
        </w:tc>
      </w:tr>
      <w:tr w:rsidR="006D667A" w:rsidRPr="00A7082A" w14:paraId="25F34262" w14:textId="77777777" w:rsidTr="009557F8">
        <w:trPr>
          <w:trHeight w:val="57"/>
          <w:jc w:val="right"/>
        </w:trPr>
        <w:tc>
          <w:tcPr>
            <w:tcW w:w="2032" w:type="dxa"/>
            <w:tcBorders>
              <w:top w:val="single" w:sz="12" w:space="0" w:color="auto"/>
            </w:tcBorders>
            <w:shd w:val="clear" w:color="auto" w:fill="auto"/>
            <w:tcMar>
              <w:top w:w="80" w:type="dxa"/>
              <w:left w:w="80" w:type="dxa"/>
              <w:bottom w:w="80" w:type="dxa"/>
              <w:right w:w="80" w:type="dxa"/>
            </w:tcMar>
          </w:tcPr>
          <w:p w14:paraId="031B15BB" w14:textId="2F977CC3" w:rsidR="006D667A" w:rsidRPr="00A7082A" w:rsidRDefault="006D667A" w:rsidP="009557F8">
            <w:pPr>
              <w:keepNext/>
              <w:keepLines/>
              <w:rPr>
                <w:sz w:val="18"/>
                <w:szCs w:val="18"/>
              </w:rPr>
            </w:pPr>
            <w:r w:rsidRPr="00A7082A">
              <w:rPr>
                <w:b/>
                <w:bCs/>
                <w:sz w:val="18"/>
                <w:szCs w:val="18"/>
              </w:rPr>
              <w:t>Article 13</w:t>
            </w:r>
            <w:r w:rsidR="00F528E0" w:rsidRPr="00A7082A">
              <w:rPr>
                <w:b/>
                <w:bCs/>
                <w:sz w:val="18"/>
                <w:szCs w:val="18"/>
              </w:rPr>
              <w:t xml:space="preserve"> </w:t>
            </w:r>
          </w:p>
        </w:tc>
        <w:tc>
          <w:tcPr>
            <w:tcW w:w="3597" w:type="dxa"/>
            <w:tcBorders>
              <w:top w:val="single" w:sz="12" w:space="0" w:color="auto"/>
              <w:bottom w:val="single" w:sz="4" w:space="0" w:color="auto"/>
            </w:tcBorders>
            <w:shd w:val="clear" w:color="auto" w:fill="auto"/>
            <w:tcMar>
              <w:top w:w="80" w:type="dxa"/>
              <w:left w:w="80" w:type="dxa"/>
              <w:bottom w:w="80" w:type="dxa"/>
              <w:right w:w="80" w:type="dxa"/>
            </w:tcMar>
          </w:tcPr>
          <w:p w14:paraId="411D5B4F" w14:textId="77777777" w:rsidR="006D667A" w:rsidRPr="00A7082A" w:rsidRDefault="006D667A" w:rsidP="00620F0B">
            <w:pPr>
              <w:keepNext/>
              <w:keepLines/>
              <w:rPr>
                <w:sz w:val="18"/>
                <w:szCs w:val="18"/>
              </w:rPr>
            </w:pPr>
          </w:p>
        </w:tc>
        <w:tc>
          <w:tcPr>
            <w:tcW w:w="1963" w:type="dxa"/>
            <w:tcBorders>
              <w:top w:val="single" w:sz="12" w:space="0" w:color="auto"/>
              <w:bottom w:val="single" w:sz="4" w:space="0" w:color="auto"/>
            </w:tcBorders>
            <w:shd w:val="clear" w:color="auto" w:fill="auto"/>
            <w:tcMar>
              <w:top w:w="80" w:type="dxa"/>
              <w:left w:w="80" w:type="dxa"/>
              <w:bottom w:w="80" w:type="dxa"/>
              <w:right w:w="80" w:type="dxa"/>
            </w:tcMar>
          </w:tcPr>
          <w:p w14:paraId="1E44BE45" w14:textId="77777777" w:rsidR="006D667A" w:rsidRPr="00A7082A" w:rsidRDefault="006D667A" w:rsidP="00620F0B">
            <w:pPr>
              <w:keepNext/>
              <w:keepLines/>
              <w:rPr>
                <w:sz w:val="18"/>
                <w:szCs w:val="18"/>
              </w:rPr>
            </w:pPr>
          </w:p>
        </w:tc>
        <w:tc>
          <w:tcPr>
            <w:tcW w:w="1758" w:type="dxa"/>
            <w:tcBorders>
              <w:top w:val="single" w:sz="12" w:space="0" w:color="auto"/>
              <w:bottom w:val="single" w:sz="4" w:space="0" w:color="auto"/>
            </w:tcBorders>
            <w:shd w:val="clear" w:color="auto" w:fill="auto"/>
            <w:tcMar>
              <w:top w:w="80" w:type="dxa"/>
              <w:left w:w="80" w:type="dxa"/>
              <w:bottom w:w="80" w:type="dxa"/>
              <w:right w:w="80" w:type="dxa"/>
            </w:tcMar>
          </w:tcPr>
          <w:p w14:paraId="4E441C01" w14:textId="77777777" w:rsidR="006D667A" w:rsidRPr="00A7082A" w:rsidRDefault="006D667A" w:rsidP="00620F0B">
            <w:pPr>
              <w:keepNext/>
              <w:keepLines/>
              <w:rPr>
                <w:sz w:val="18"/>
                <w:szCs w:val="18"/>
              </w:rPr>
            </w:pPr>
          </w:p>
        </w:tc>
      </w:tr>
      <w:tr w:rsidR="006D667A" w:rsidRPr="00A7082A" w14:paraId="4E24CFA3" w14:textId="77777777" w:rsidTr="009557F8">
        <w:trPr>
          <w:trHeight w:val="57"/>
          <w:jc w:val="right"/>
        </w:trPr>
        <w:tc>
          <w:tcPr>
            <w:tcW w:w="2032" w:type="dxa"/>
            <w:tcBorders>
              <w:top w:val="single" w:sz="4" w:space="0" w:color="auto"/>
            </w:tcBorders>
            <w:shd w:val="clear" w:color="auto" w:fill="auto"/>
            <w:tcMar>
              <w:top w:w="80" w:type="dxa"/>
              <w:left w:w="80" w:type="dxa"/>
              <w:bottom w:w="80" w:type="dxa"/>
              <w:right w:w="80" w:type="dxa"/>
            </w:tcMar>
          </w:tcPr>
          <w:p w14:paraId="00467249" w14:textId="77777777" w:rsidR="006D667A" w:rsidRPr="00A7082A" w:rsidRDefault="006D667A" w:rsidP="009557F8">
            <w:pPr>
              <w:keepNext/>
              <w:keepLines/>
              <w:rPr>
                <w:sz w:val="18"/>
                <w:szCs w:val="18"/>
              </w:rPr>
            </w:pPr>
            <w:r w:rsidRPr="00A7082A">
              <w:rPr>
                <w:sz w:val="18"/>
                <w:szCs w:val="18"/>
              </w:rPr>
              <w:t>E1. Process indicator for article 13</w:t>
            </w:r>
          </w:p>
        </w:tc>
        <w:tc>
          <w:tcPr>
            <w:tcW w:w="3597" w:type="dxa"/>
            <w:tcBorders>
              <w:top w:val="single" w:sz="4" w:space="0" w:color="auto"/>
            </w:tcBorders>
            <w:shd w:val="clear" w:color="auto" w:fill="auto"/>
            <w:tcMar>
              <w:top w:w="80" w:type="dxa"/>
              <w:left w:w="80" w:type="dxa"/>
              <w:bottom w:w="80" w:type="dxa"/>
              <w:right w:w="80" w:type="dxa"/>
            </w:tcMar>
          </w:tcPr>
          <w:p w14:paraId="299B1557" w14:textId="77777777" w:rsidR="006D667A" w:rsidRPr="00A7082A" w:rsidRDefault="006D667A" w:rsidP="00620F0B">
            <w:pPr>
              <w:keepNext/>
              <w:keepLines/>
              <w:tabs>
                <w:tab w:val="left" w:pos="1163"/>
              </w:tabs>
              <w:rPr>
                <w:sz w:val="18"/>
                <w:szCs w:val="18"/>
              </w:rPr>
            </w:pPr>
            <w:r w:rsidRPr="00A7082A">
              <w:rPr>
                <w:sz w:val="18"/>
                <w:szCs w:val="18"/>
              </w:rPr>
              <w:t xml:space="preserve">Number of parties that have: </w:t>
            </w:r>
          </w:p>
          <w:p w14:paraId="3D8E74A3" w14:textId="16D348F1" w:rsidR="006D667A" w:rsidRPr="00A7082A" w:rsidRDefault="006D667A" w:rsidP="00620F0B">
            <w:pPr>
              <w:keepNext/>
              <w:keepLines/>
              <w:numPr>
                <w:ilvl w:val="0"/>
                <w:numId w:val="54"/>
              </w:numPr>
              <w:rPr>
                <w:sz w:val="18"/>
                <w:szCs w:val="18"/>
              </w:rPr>
            </w:pPr>
            <w:r w:rsidRPr="00A7082A">
              <w:rPr>
                <w:sz w:val="18"/>
                <w:szCs w:val="18"/>
              </w:rPr>
              <w:t>Contributed to the financial mechanism referred to in art</w:t>
            </w:r>
            <w:r w:rsidR="0005743F" w:rsidRPr="00A7082A">
              <w:rPr>
                <w:sz w:val="18"/>
                <w:szCs w:val="18"/>
              </w:rPr>
              <w:t>icle</w:t>
            </w:r>
            <w:r w:rsidRPr="00A7082A">
              <w:rPr>
                <w:sz w:val="18"/>
                <w:szCs w:val="18"/>
              </w:rPr>
              <w:t xml:space="preserve"> 13, para. 5 </w:t>
            </w:r>
          </w:p>
          <w:p w14:paraId="1D1D64C3" w14:textId="77777777" w:rsidR="006D667A" w:rsidRPr="00A7082A" w:rsidRDefault="006D667A" w:rsidP="00620F0B">
            <w:pPr>
              <w:keepNext/>
              <w:keepLines/>
              <w:numPr>
                <w:ilvl w:val="0"/>
                <w:numId w:val="54"/>
              </w:numPr>
              <w:rPr>
                <w:sz w:val="18"/>
                <w:szCs w:val="18"/>
              </w:rPr>
            </w:pPr>
            <w:r w:rsidRPr="00A7082A">
              <w:rPr>
                <w:sz w:val="18"/>
                <w:szCs w:val="18"/>
              </w:rPr>
              <w:t>Received Global Environment Facility resources</w:t>
            </w:r>
          </w:p>
          <w:p w14:paraId="0BAF54A0" w14:textId="77777777" w:rsidR="006D667A" w:rsidRPr="00A7082A" w:rsidRDefault="006D667A" w:rsidP="00620F0B">
            <w:pPr>
              <w:keepNext/>
              <w:keepLines/>
              <w:numPr>
                <w:ilvl w:val="0"/>
                <w:numId w:val="54"/>
              </w:numPr>
              <w:rPr>
                <w:sz w:val="18"/>
                <w:szCs w:val="18"/>
              </w:rPr>
            </w:pPr>
            <w:r w:rsidRPr="00A7082A">
              <w:rPr>
                <w:sz w:val="18"/>
                <w:szCs w:val="18"/>
              </w:rPr>
              <w:t>Received SIP resources</w:t>
            </w:r>
          </w:p>
          <w:p w14:paraId="32E2F1D8" w14:textId="619A0A5F" w:rsidR="006D667A" w:rsidRPr="00A7082A" w:rsidRDefault="006D667A" w:rsidP="009557F8">
            <w:pPr>
              <w:keepNext/>
              <w:keepLines/>
              <w:numPr>
                <w:ilvl w:val="0"/>
                <w:numId w:val="55"/>
              </w:numPr>
              <w:rPr>
                <w:sz w:val="18"/>
                <w:szCs w:val="18"/>
              </w:rPr>
            </w:pPr>
            <w:r w:rsidRPr="00A7082A">
              <w:rPr>
                <w:sz w:val="18"/>
                <w:szCs w:val="18"/>
              </w:rPr>
              <w:t>Mobilized national resources for implementing the Convention</w:t>
            </w:r>
            <w:r w:rsidR="00425504" w:rsidRPr="00A7082A">
              <w:rPr>
                <w:sz w:val="18"/>
                <w:szCs w:val="18"/>
              </w:rPr>
              <w:t xml:space="preserve"> </w:t>
            </w:r>
            <w:r w:rsidRPr="00A7082A">
              <w:rPr>
                <w:sz w:val="18"/>
                <w:szCs w:val="18"/>
              </w:rPr>
              <w:t>within the reporting period</w:t>
            </w:r>
          </w:p>
        </w:tc>
        <w:tc>
          <w:tcPr>
            <w:tcW w:w="1963" w:type="dxa"/>
            <w:tcBorders>
              <w:top w:val="single" w:sz="4" w:space="0" w:color="auto"/>
            </w:tcBorders>
            <w:shd w:val="clear" w:color="auto" w:fill="auto"/>
            <w:tcMar>
              <w:top w:w="80" w:type="dxa"/>
              <w:left w:w="80" w:type="dxa"/>
              <w:bottom w:w="80" w:type="dxa"/>
              <w:right w:w="80" w:type="dxa"/>
            </w:tcMar>
          </w:tcPr>
          <w:p w14:paraId="4764AC22" w14:textId="77777777" w:rsidR="006D667A" w:rsidRPr="00A7082A" w:rsidRDefault="006D667A" w:rsidP="00620F0B">
            <w:pPr>
              <w:keepNext/>
              <w:keepLines/>
              <w:tabs>
                <w:tab w:val="left" w:pos="1163"/>
              </w:tabs>
              <w:rPr>
                <w:sz w:val="18"/>
                <w:szCs w:val="18"/>
              </w:rPr>
            </w:pPr>
            <w:r w:rsidRPr="00A7082A">
              <w:rPr>
                <w:sz w:val="18"/>
                <w:szCs w:val="18"/>
              </w:rPr>
              <w:t>- Article 21 reporting</w:t>
            </w:r>
          </w:p>
        </w:tc>
        <w:tc>
          <w:tcPr>
            <w:tcW w:w="1758" w:type="dxa"/>
            <w:tcBorders>
              <w:top w:val="single" w:sz="4" w:space="0" w:color="auto"/>
            </w:tcBorders>
            <w:shd w:val="clear" w:color="auto" w:fill="auto"/>
            <w:tcMar>
              <w:top w:w="80" w:type="dxa"/>
              <w:left w:w="80" w:type="dxa"/>
              <w:bottom w:w="80" w:type="dxa"/>
              <w:right w:w="80" w:type="dxa"/>
            </w:tcMar>
          </w:tcPr>
          <w:p w14:paraId="7C2C64D2" w14:textId="77777777" w:rsidR="006D667A" w:rsidRPr="00A7082A" w:rsidRDefault="006D667A" w:rsidP="00620F0B">
            <w:pPr>
              <w:keepNext/>
              <w:keepLines/>
              <w:tabs>
                <w:tab w:val="left" w:pos="1163"/>
              </w:tabs>
              <w:rPr>
                <w:sz w:val="18"/>
                <w:szCs w:val="18"/>
              </w:rPr>
            </w:pPr>
            <w:r w:rsidRPr="00A7082A">
              <w:rPr>
                <w:sz w:val="18"/>
                <w:szCs w:val="18"/>
              </w:rPr>
              <w:t>Number in the first evaluation</w:t>
            </w:r>
          </w:p>
        </w:tc>
      </w:tr>
      <w:tr w:rsidR="006D667A" w:rsidRPr="00A7082A" w14:paraId="2ED65347" w14:textId="77777777" w:rsidTr="00620F0B">
        <w:trPr>
          <w:trHeight w:val="57"/>
          <w:jc w:val="right"/>
        </w:trPr>
        <w:tc>
          <w:tcPr>
            <w:tcW w:w="2032" w:type="dxa"/>
            <w:shd w:val="clear" w:color="auto" w:fill="auto"/>
            <w:tcMar>
              <w:top w:w="80" w:type="dxa"/>
              <w:left w:w="80" w:type="dxa"/>
              <w:bottom w:w="80" w:type="dxa"/>
              <w:right w:w="80" w:type="dxa"/>
            </w:tcMar>
          </w:tcPr>
          <w:p w14:paraId="753E8A16" w14:textId="77777777" w:rsidR="006D667A" w:rsidRPr="00A7082A" w:rsidRDefault="006D667A" w:rsidP="006D667A">
            <w:pPr>
              <w:rPr>
                <w:sz w:val="18"/>
                <w:szCs w:val="18"/>
              </w:rPr>
            </w:pPr>
            <w:r w:rsidRPr="00A7082A">
              <w:rPr>
                <w:sz w:val="18"/>
                <w:szCs w:val="18"/>
              </w:rPr>
              <w:t>E2. Process indicator for article 13</w:t>
            </w:r>
          </w:p>
        </w:tc>
        <w:tc>
          <w:tcPr>
            <w:tcW w:w="3597" w:type="dxa"/>
            <w:shd w:val="clear" w:color="auto" w:fill="auto"/>
            <w:tcMar>
              <w:top w:w="80" w:type="dxa"/>
              <w:left w:w="80" w:type="dxa"/>
              <w:bottom w:w="80" w:type="dxa"/>
              <w:right w:w="80" w:type="dxa"/>
            </w:tcMar>
          </w:tcPr>
          <w:p w14:paraId="7B446114" w14:textId="77777777" w:rsidR="006D667A" w:rsidRPr="00A7082A" w:rsidRDefault="006D667A" w:rsidP="006D667A">
            <w:pPr>
              <w:tabs>
                <w:tab w:val="left" w:pos="1163"/>
              </w:tabs>
              <w:rPr>
                <w:sz w:val="18"/>
                <w:szCs w:val="18"/>
              </w:rPr>
            </w:pPr>
            <w:r w:rsidRPr="00A7082A">
              <w:rPr>
                <w:sz w:val="18"/>
                <w:szCs w:val="18"/>
              </w:rPr>
              <w:t xml:space="preserve">Amount of resources provided by: </w:t>
            </w:r>
          </w:p>
          <w:p w14:paraId="094D3C79" w14:textId="77777777" w:rsidR="006D667A" w:rsidRPr="00A7082A" w:rsidRDefault="006D667A" w:rsidP="006D667A">
            <w:pPr>
              <w:numPr>
                <w:ilvl w:val="0"/>
                <w:numId w:val="56"/>
              </w:numPr>
              <w:rPr>
                <w:sz w:val="18"/>
                <w:szCs w:val="18"/>
              </w:rPr>
            </w:pPr>
            <w:r w:rsidRPr="00A7082A">
              <w:rPr>
                <w:sz w:val="18"/>
                <w:szCs w:val="18"/>
              </w:rPr>
              <w:t>Global Environment Facility</w:t>
            </w:r>
          </w:p>
          <w:p w14:paraId="73159956" w14:textId="77777777" w:rsidR="006D667A" w:rsidRPr="00A7082A" w:rsidRDefault="006D667A" w:rsidP="006D667A">
            <w:pPr>
              <w:numPr>
                <w:ilvl w:val="0"/>
                <w:numId w:val="56"/>
              </w:numPr>
              <w:rPr>
                <w:sz w:val="18"/>
                <w:szCs w:val="18"/>
              </w:rPr>
            </w:pPr>
            <w:r w:rsidRPr="00A7082A">
              <w:rPr>
                <w:sz w:val="18"/>
                <w:szCs w:val="18"/>
              </w:rPr>
              <w:t>SIP</w:t>
            </w:r>
          </w:p>
          <w:p w14:paraId="1EA87EF7" w14:textId="77777777" w:rsidR="006D667A" w:rsidRPr="00A7082A" w:rsidRDefault="006D667A" w:rsidP="006D667A">
            <w:pPr>
              <w:numPr>
                <w:ilvl w:val="0"/>
                <w:numId w:val="56"/>
              </w:numPr>
              <w:rPr>
                <w:sz w:val="18"/>
                <w:szCs w:val="18"/>
              </w:rPr>
            </w:pPr>
            <w:r w:rsidRPr="00A7082A">
              <w:rPr>
                <w:sz w:val="18"/>
                <w:szCs w:val="18"/>
              </w:rPr>
              <w:t>Bilateral support within the reporting period</w:t>
            </w:r>
          </w:p>
        </w:tc>
        <w:tc>
          <w:tcPr>
            <w:tcW w:w="1963" w:type="dxa"/>
            <w:shd w:val="clear" w:color="auto" w:fill="auto"/>
            <w:tcMar>
              <w:top w:w="80" w:type="dxa"/>
              <w:left w:w="80" w:type="dxa"/>
              <w:bottom w:w="80" w:type="dxa"/>
              <w:right w:w="80" w:type="dxa"/>
            </w:tcMar>
          </w:tcPr>
          <w:p w14:paraId="411B93FC" w14:textId="77777777" w:rsidR="006D667A" w:rsidRPr="00A7082A" w:rsidRDefault="006D667A" w:rsidP="006D667A">
            <w:pPr>
              <w:tabs>
                <w:tab w:val="left" w:pos="1163"/>
              </w:tabs>
              <w:rPr>
                <w:sz w:val="18"/>
                <w:szCs w:val="18"/>
              </w:rPr>
            </w:pPr>
            <w:r w:rsidRPr="00A7082A">
              <w:rPr>
                <w:sz w:val="18"/>
                <w:szCs w:val="18"/>
              </w:rPr>
              <w:t>- Article 21 reporting</w:t>
            </w:r>
          </w:p>
          <w:p w14:paraId="5A09049C" w14:textId="77777777" w:rsidR="006D667A" w:rsidRPr="00A7082A" w:rsidRDefault="006D667A" w:rsidP="006D667A">
            <w:pPr>
              <w:tabs>
                <w:tab w:val="left" w:pos="1163"/>
              </w:tabs>
              <w:rPr>
                <w:sz w:val="18"/>
                <w:szCs w:val="18"/>
              </w:rPr>
            </w:pPr>
            <w:r w:rsidRPr="00A7082A">
              <w:rPr>
                <w:sz w:val="18"/>
                <w:szCs w:val="18"/>
              </w:rPr>
              <w:t>- Other public sources</w:t>
            </w:r>
          </w:p>
        </w:tc>
        <w:tc>
          <w:tcPr>
            <w:tcW w:w="1758" w:type="dxa"/>
            <w:shd w:val="clear" w:color="auto" w:fill="auto"/>
            <w:tcMar>
              <w:top w:w="80" w:type="dxa"/>
              <w:left w:w="80" w:type="dxa"/>
              <w:bottom w:w="80" w:type="dxa"/>
              <w:right w:w="80" w:type="dxa"/>
            </w:tcMar>
          </w:tcPr>
          <w:p w14:paraId="2702BB40" w14:textId="6D8CCDED" w:rsidR="006D667A" w:rsidRPr="00A7082A" w:rsidRDefault="002D7BCA" w:rsidP="006D667A">
            <w:pPr>
              <w:tabs>
                <w:tab w:val="left" w:pos="1163"/>
              </w:tabs>
              <w:rPr>
                <w:sz w:val="18"/>
                <w:szCs w:val="18"/>
              </w:rPr>
            </w:pPr>
            <w:r w:rsidRPr="00A7082A">
              <w:rPr>
                <w:sz w:val="18"/>
                <w:szCs w:val="18"/>
              </w:rPr>
              <w:t xml:space="preserve">Amount </w:t>
            </w:r>
            <w:r w:rsidR="006D667A" w:rsidRPr="00A7082A">
              <w:rPr>
                <w:sz w:val="18"/>
                <w:szCs w:val="18"/>
              </w:rPr>
              <w:t>in the first evaluation</w:t>
            </w:r>
          </w:p>
        </w:tc>
      </w:tr>
      <w:tr w:rsidR="006D667A" w:rsidRPr="00A7082A" w14:paraId="4F43F114" w14:textId="77777777" w:rsidTr="00620F0B">
        <w:trPr>
          <w:trHeight w:val="57"/>
          <w:jc w:val="right"/>
        </w:trPr>
        <w:tc>
          <w:tcPr>
            <w:tcW w:w="2032" w:type="dxa"/>
            <w:tcBorders>
              <w:bottom w:val="single" w:sz="4" w:space="0" w:color="000000" w:themeColor="text1"/>
            </w:tcBorders>
            <w:shd w:val="clear" w:color="auto" w:fill="auto"/>
            <w:tcMar>
              <w:top w:w="80" w:type="dxa"/>
              <w:left w:w="80" w:type="dxa"/>
              <w:bottom w:w="80" w:type="dxa"/>
              <w:right w:w="80" w:type="dxa"/>
            </w:tcMar>
          </w:tcPr>
          <w:p w14:paraId="6F459A24" w14:textId="77777777" w:rsidR="006D667A" w:rsidRPr="00A7082A" w:rsidRDefault="006D667A" w:rsidP="006D667A">
            <w:pPr>
              <w:tabs>
                <w:tab w:val="left" w:pos="1163"/>
              </w:tabs>
              <w:rPr>
                <w:sz w:val="18"/>
                <w:szCs w:val="18"/>
              </w:rPr>
            </w:pPr>
            <w:r w:rsidRPr="00A7082A">
              <w:rPr>
                <w:sz w:val="18"/>
                <w:szCs w:val="18"/>
              </w:rPr>
              <w:t>E3. Additional process indicator for article 13</w:t>
            </w:r>
          </w:p>
        </w:tc>
        <w:tc>
          <w:tcPr>
            <w:tcW w:w="3597" w:type="dxa"/>
            <w:tcBorders>
              <w:bottom w:val="single" w:sz="4" w:space="0" w:color="000000" w:themeColor="text1"/>
            </w:tcBorders>
            <w:shd w:val="clear" w:color="auto" w:fill="auto"/>
            <w:tcMar>
              <w:top w:w="80" w:type="dxa"/>
              <w:left w:w="80" w:type="dxa"/>
              <w:bottom w:w="80" w:type="dxa"/>
              <w:right w:w="80" w:type="dxa"/>
            </w:tcMar>
          </w:tcPr>
          <w:p w14:paraId="5C373EA1" w14:textId="77777777" w:rsidR="006D667A" w:rsidRPr="00A7082A" w:rsidRDefault="006D667A" w:rsidP="006D667A">
            <w:pPr>
              <w:rPr>
                <w:sz w:val="18"/>
                <w:szCs w:val="18"/>
              </w:rPr>
            </w:pPr>
            <w:r w:rsidRPr="00A7082A">
              <w:rPr>
                <w:sz w:val="18"/>
                <w:szCs w:val="18"/>
              </w:rPr>
              <w:t>Number of recommendations from the financial review reflected in the Global Environment Facility/SIP policy documents</w:t>
            </w:r>
          </w:p>
        </w:tc>
        <w:tc>
          <w:tcPr>
            <w:tcW w:w="1963" w:type="dxa"/>
            <w:tcBorders>
              <w:bottom w:val="single" w:sz="4" w:space="0" w:color="000000" w:themeColor="text1"/>
            </w:tcBorders>
            <w:shd w:val="clear" w:color="auto" w:fill="auto"/>
            <w:tcMar>
              <w:top w:w="80" w:type="dxa"/>
              <w:left w:w="80" w:type="dxa"/>
              <w:bottom w:w="80" w:type="dxa"/>
              <w:right w:w="80" w:type="dxa"/>
            </w:tcMar>
          </w:tcPr>
          <w:p w14:paraId="4E6A8187" w14:textId="77777777" w:rsidR="006D667A" w:rsidRPr="00A7082A" w:rsidRDefault="006D667A" w:rsidP="006D667A">
            <w:pPr>
              <w:rPr>
                <w:sz w:val="18"/>
                <w:szCs w:val="18"/>
              </w:rPr>
            </w:pPr>
            <w:r w:rsidRPr="00A7082A">
              <w:rPr>
                <w:sz w:val="18"/>
                <w:szCs w:val="18"/>
              </w:rPr>
              <w:t>- Information from policy documents</w:t>
            </w:r>
          </w:p>
        </w:tc>
        <w:tc>
          <w:tcPr>
            <w:tcW w:w="1758" w:type="dxa"/>
            <w:tcBorders>
              <w:bottom w:val="single" w:sz="4" w:space="0" w:color="000000" w:themeColor="text1"/>
            </w:tcBorders>
            <w:shd w:val="clear" w:color="auto" w:fill="auto"/>
            <w:tcMar>
              <w:top w:w="80" w:type="dxa"/>
              <w:left w:w="80" w:type="dxa"/>
              <w:bottom w:w="80" w:type="dxa"/>
              <w:right w:w="80" w:type="dxa"/>
            </w:tcMar>
          </w:tcPr>
          <w:p w14:paraId="66F7E61E" w14:textId="77777777" w:rsidR="006D667A" w:rsidRPr="00A7082A" w:rsidRDefault="006D667A" w:rsidP="006D667A">
            <w:pPr>
              <w:rPr>
                <w:sz w:val="18"/>
                <w:szCs w:val="18"/>
              </w:rPr>
            </w:pPr>
            <w:r w:rsidRPr="00A7082A">
              <w:rPr>
                <w:sz w:val="18"/>
                <w:szCs w:val="18"/>
              </w:rPr>
              <w:t>Zero</w:t>
            </w:r>
          </w:p>
        </w:tc>
      </w:tr>
      <w:tr w:rsidR="006D667A" w:rsidRPr="00A7082A" w14:paraId="638AB8D3" w14:textId="77777777" w:rsidTr="00620F0B">
        <w:trPr>
          <w:trHeight w:val="57"/>
          <w:jc w:val="right"/>
        </w:trPr>
        <w:tc>
          <w:tcPr>
            <w:tcW w:w="2032"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7C84607B" w14:textId="77777777" w:rsidR="006D667A" w:rsidRPr="00A7082A" w:rsidRDefault="006D667A" w:rsidP="006D667A">
            <w:pPr>
              <w:keepNext/>
              <w:tabs>
                <w:tab w:val="left" w:pos="1163"/>
              </w:tabs>
              <w:rPr>
                <w:sz w:val="18"/>
                <w:szCs w:val="18"/>
              </w:rPr>
            </w:pPr>
            <w:r w:rsidRPr="00A7082A">
              <w:rPr>
                <w:b/>
                <w:bCs/>
                <w:sz w:val="18"/>
                <w:szCs w:val="18"/>
              </w:rPr>
              <w:t>Article 14</w:t>
            </w:r>
          </w:p>
        </w:tc>
        <w:tc>
          <w:tcPr>
            <w:tcW w:w="3597"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7D76552D" w14:textId="77777777" w:rsidR="006D667A" w:rsidRPr="00A7082A" w:rsidRDefault="006D667A" w:rsidP="006D667A">
            <w:pPr>
              <w:rPr>
                <w:sz w:val="18"/>
                <w:szCs w:val="18"/>
              </w:rPr>
            </w:pPr>
          </w:p>
        </w:tc>
        <w:tc>
          <w:tcPr>
            <w:tcW w:w="1963"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3FAEA159" w14:textId="77777777" w:rsidR="006D667A" w:rsidRPr="00A7082A" w:rsidRDefault="006D667A" w:rsidP="006D667A">
            <w:pPr>
              <w:rPr>
                <w:sz w:val="18"/>
                <w:szCs w:val="18"/>
              </w:rPr>
            </w:pPr>
          </w:p>
        </w:tc>
        <w:tc>
          <w:tcPr>
            <w:tcW w:w="1758"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2970B2DE" w14:textId="77777777" w:rsidR="006D667A" w:rsidRPr="00A7082A" w:rsidRDefault="006D667A" w:rsidP="006D667A">
            <w:pPr>
              <w:rPr>
                <w:sz w:val="18"/>
                <w:szCs w:val="18"/>
              </w:rPr>
            </w:pPr>
          </w:p>
        </w:tc>
      </w:tr>
      <w:tr w:rsidR="006D667A" w:rsidRPr="00A7082A" w14:paraId="4C3F42FA" w14:textId="77777777" w:rsidTr="00620F0B">
        <w:trPr>
          <w:trHeight w:val="57"/>
          <w:jc w:val="right"/>
        </w:trPr>
        <w:tc>
          <w:tcPr>
            <w:tcW w:w="2032" w:type="dxa"/>
            <w:tcBorders>
              <w:top w:val="single" w:sz="4" w:space="0" w:color="000000" w:themeColor="text1"/>
            </w:tcBorders>
            <w:shd w:val="clear" w:color="auto" w:fill="auto"/>
            <w:tcMar>
              <w:top w:w="80" w:type="dxa"/>
              <w:left w:w="80" w:type="dxa"/>
              <w:bottom w:w="80" w:type="dxa"/>
              <w:right w:w="80" w:type="dxa"/>
            </w:tcMar>
          </w:tcPr>
          <w:p w14:paraId="5BE1701C" w14:textId="77777777" w:rsidR="006D667A" w:rsidRPr="00A7082A" w:rsidRDefault="006D667A" w:rsidP="006D667A">
            <w:pPr>
              <w:tabs>
                <w:tab w:val="left" w:pos="1163"/>
              </w:tabs>
              <w:rPr>
                <w:sz w:val="18"/>
                <w:szCs w:val="18"/>
              </w:rPr>
            </w:pPr>
            <w:r w:rsidRPr="00A7082A">
              <w:rPr>
                <w:sz w:val="18"/>
                <w:szCs w:val="18"/>
              </w:rPr>
              <w:t>E4. Process indicator for article 14</w:t>
            </w:r>
          </w:p>
        </w:tc>
        <w:tc>
          <w:tcPr>
            <w:tcW w:w="3597" w:type="dxa"/>
            <w:tcBorders>
              <w:top w:val="single" w:sz="4" w:space="0" w:color="000000" w:themeColor="text1"/>
            </w:tcBorders>
            <w:shd w:val="clear" w:color="auto" w:fill="auto"/>
            <w:tcMar>
              <w:top w:w="80" w:type="dxa"/>
              <w:left w:w="80" w:type="dxa"/>
              <w:bottom w:w="80" w:type="dxa"/>
              <w:right w:w="80" w:type="dxa"/>
            </w:tcMar>
          </w:tcPr>
          <w:p w14:paraId="7296CCDE" w14:textId="77777777" w:rsidR="006D667A" w:rsidRPr="00A7082A" w:rsidRDefault="006D667A" w:rsidP="006D667A">
            <w:pPr>
              <w:tabs>
                <w:tab w:val="left" w:pos="1163"/>
              </w:tabs>
              <w:rPr>
                <w:sz w:val="18"/>
                <w:szCs w:val="18"/>
              </w:rPr>
            </w:pPr>
            <w:r w:rsidRPr="00A7082A">
              <w:rPr>
                <w:sz w:val="18"/>
                <w:szCs w:val="18"/>
              </w:rPr>
              <w:t>Number of parties that have:</w:t>
            </w:r>
          </w:p>
          <w:p w14:paraId="1E3E53AA" w14:textId="747EBC71" w:rsidR="006D667A" w:rsidRPr="00A7082A" w:rsidRDefault="006D667A" w:rsidP="006D667A">
            <w:pPr>
              <w:numPr>
                <w:ilvl w:val="0"/>
                <w:numId w:val="57"/>
              </w:numPr>
              <w:rPr>
                <w:sz w:val="18"/>
                <w:szCs w:val="18"/>
              </w:rPr>
            </w:pPr>
            <w:r w:rsidRPr="00A7082A">
              <w:rPr>
                <w:sz w:val="18"/>
                <w:szCs w:val="18"/>
              </w:rPr>
              <w:t xml:space="preserve">Cooperated in providing </w:t>
            </w:r>
            <w:r w:rsidR="00F22310" w:rsidRPr="00A7082A">
              <w:rPr>
                <w:sz w:val="18"/>
                <w:szCs w:val="18"/>
              </w:rPr>
              <w:t>capacity</w:t>
            </w:r>
            <w:r w:rsidR="00F22310" w:rsidRPr="00A7082A">
              <w:rPr>
                <w:sz w:val="18"/>
                <w:szCs w:val="18"/>
              </w:rPr>
              <w:noBreakHyphen/>
              <w:t>building</w:t>
            </w:r>
            <w:r w:rsidRPr="00A7082A">
              <w:rPr>
                <w:sz w:val="18"/>
                <w:szCs w:val="18"/>
              </w:rPr>
              <w:t xml:space="preserve"> and technical assistance to another party</w:t>
            </w:r>
          </w:p>
          <w:p w14:paraId="581C73B4" w14:textId="77777777" w:rsidR="006D667A" w:rsidRPr="00A7082A" w:rsidRDefault="006D667A" w:rsidP="006D667A">
            <w:pPr>
              <w:numPr>
                <w:ilvl w:val="0"/>
                <w:numId w:val="57"/>
              </w:numPr>
              <w:rPr>
                <w:sz w:val="18"/>
                <w:szCs w:val="18"/>
              </w:rPr>
            </w:pPr>
            <w:r w:rsidRPr="00A7082A">
              <w:rPr>
                <w:sz w:val="18"/>
                <w:szCs w:val="18"/>
              </w:rPr>
              <w:t>Requested technical assistance</w:t>
            </w:r>
          </w:p>
          <w:p w14:paraId="568F9D27" w14:textId="31063239" w:rsidR="006D667A" w:rsidRPr="00A7082A" w:rsidRDefault="006D667A" w:rsidP="006D667A">
            <w:pPr>
              <w:numPr>
                <w:ilvl w:val="0"/>
                <w:numId w:val="57"/>
              </w:numPr>
              <w:rPr>
                <w:sz w:val="18"/>
                <w:szCs w:val="18"/>
              </w:rPr>
            </w:pPr>
            <w:r w:rsidRPr="00A7082A">
              <w:rPr>
                <w:sz w:val="18"/>
                <w:szCs w:val="18"/>
              </w:rPr>
              <w:t xml:space="preserve">Received </w:t>
            </w:r>
            <w:r w:rsidR="00F22310" w:rsidRPr="00A7082A">
              <w:rPr>
                <w:sz w:val="18"/>
                <w:szCs w:val="18"/>
              </w:rPr>
              <w:t>capacity</w:t>
            </w:r>
            <w:r w:rsidR="00F22310" w:rsidRPr="00A7082A">
              <w:rPr>
                <w:sz w:val="18"/>
                <w:szCs w:val="18"/>
              </w:rPr>
              <w:noBreakHyphen/>
              <w:t>building</w:t>
            </w:r>
            <w:r w:rsidRPr="00A7082A">
              <w:rPr>
                <w:sz w:val="18"/>
                <w:szCs w:val="18"/>
              </w:rPr>
              <w:t xml:space="preserve"> or technical assistance</w:t>
            </w:r>
          </w:p>
          <w:p w14:paraId="5E8CB60F" w14:textId="77777777" w:rsidR="006D667A" w:rsidRPr="00A7082A" w:rsidRDefault="006D667A" w:rsidP="006D667A">
            <w:pPr>
              <w:numPr>
                <w:ilvl w:val="0"/>
                <w:numId w:val="57"/>
              </w:numPr>
              <w:rPr>
                <w:sz w:val="18"/>
                <w:szCs w:val="18"/>
              </w:rPr>
            </w:pPr>
            <w:r w:rsidRPr="00A7082A">
              <w:rPr>
                <w:sz w:val="18"/>
                <w:szCs w:val="18"/>
              </w:rPr>
              <w:t xml:space="preserve">Promoted or facilitated technology transfer </w:t>
            </w:r>
          </w:p>
        </w:tc>
        <w:tc>
          <w:tcPr>
            <w:tcW w:w="1963" w:type="dxa"/>
            <w:tcBorders>
              <w:top w:val="single" w:sz="4" w:space="0" w:color="000000" w:themeColor="text1"/>
            </w:tcBorders>
            <w:shd w:val="clear" w:color="auto" w:fill="auto"/>
            <w:tcMar>
              <w:top w:w="80" w:type="dxa"/>
              <w:left w:w="80" w:type="dxa"/>
              <w:bottom w:w="80" w:type="dxa"/>
              <w:right w:w="80" w:type="dxa"/>
            </w:tcMar>
          </w:tcPr>
          <w:p w14:paraId="573155EF" w14:textId="77777777" w:rsidR="006D667A" w:rsidRPr="00A7082A" w:rsidRDefault="006D667A" w:rsidP="006D667A">
            <w:pPr>
              <w:tabs>
                <w:tab w:val="left" w:pos="1163"/>
              </w:tabs>
              <w:rPr>
                <w:sz w:val="18"/>
                <w:szCs w:val="18"/>
              </w:rPr>
            </w:pPr>
            <w:r w:rsidRPr="00A7082A">
              <w:rPr>
                <w:sz w:val="18"/>
                <w:szCs w:val="18"/>
              </w:rPr>
              <w:t>- Article 21 reporting</w:t>
            </w:r>
          </w:p>
          <w:p w14:paraId="1ABA8EAA" w14:textId="77777777" w:rsidR="006D667A" w:rsidRPr="00A7082A" w:rsidRDefault="006D667A" w:rsidP="006D667A">
            <w:pPr>
              <w:tabs>
                <w:tab w:val="left" w:pos="1163"/>
              </w:tabs>
              <w:rPr>
                <w:sz w:val="18"/>
                <w:szCs w:val="18"/>
              </w:rPr>
            </w:pPr>
            <w:r w:rsidRPr="00A7082A">
              <w:rPr>
                <w:sz w:val="18"/>
                <w:szCs w:val="18"/>
              </w:rPr>
              <w:t>- Other public sources</w:t>
            </w:r>
          </w:p>
        </w:tc>
        <w:tc>
          <w:tcPr>
            <w:tcW w:w="1758" w:type="dxa"/>
            <w:tcBorders>
              <w:top w:val="single" w:sz="4" w:space="0" w:color="000000" w:themeColor="text1"/>
            </w:tcBorders>
            <w:shd w:val="clear" w:color="auto" w:fill="auto"/>
            <w:tcMar>
              <w:top w:w="80" w:type="dxa"/>
              <w:left w:w="80" w:type="dxa"/>
              <w:bottom w:w="80" w:type="dxa"/>
              <w:right w:w="80" w:type="dxa"/>
            </w:tcMar>
          </w:tcPr>
          <w:p w14:paraId="01FFC543" w14:textId="77777777" w:rsidR="006D667A" w:rsidRPr="00A7082A" w:rsidRDefault="006D667A" w:rsidP="006D667A">
            <w:pPr>
              <w:tabs>
                <w:tab w:val="left" w:pos="1163"/>
              </w:tabs>
              <w:rPr>
                <w:sz w:val="18"/>
                <w:szCs w:val="18"/>
              </w:rPr>
            </w:pPr>
            <w:r w:rsidRPr="00A7082A">
              <w:rPr>
                <w:sz w:val="18"/>
                <w:szCs w:val="18"/>
              </w:rPr>
              <w:t>Number in the first evaluation</w:t>
            </w:r>
          </w:p>
        </w:tc>
      </w:tr>
      <w:tr w:rsidR="006D667A" w:rsidRPr="00A7082A" w14:paraId="5A85CE75" w14:textId="77777777" w:rsidTr="00620F0B">
        <w:trPr>
          <w:trHeight w:val="57"/>
          <w:jc w:val="right"/>
        </w:trPr>
        <w:tc>
          <w:tcPr>
            <w:tcW w:w="2032" w:type="dxa"/>
            <w:tcBorders>
              <w:bottom w:val="single" w:sz="12" w:space="0" w:color="000000" w:themeColor="text1"/>
            </w:tcBorders>
            <w:shd w:val="clear" w:color="auto" w:fill="auto"/>
            <w:tcMar>
              <w:top w:w="80" w:type="dxa"/>
              <w:left w:w="80" w:type="dxa"/>
              <w:bottom w:w="80" w:type="dxa"/>
              <w:right w:w="80" w:type="dxa"/>
            </w:tcMar>
          </w:tcPr>
          <w:p w14:paraId="31F94E09" w14:textId="77777777" w:rsidR="006D667A" w:rsidRPr="00A7082A" w:rsidRDefault="006D667A" w:rsidP="006D667A">
            <w:pPr>
              <w:rPr>
                <w:sz w:val="18"/>
                <w:szCs w:val="18"/>
              </w:rPr>
            </w:pPr>
            <w:r w:rsidRPr="00A7082A">
              <w:rPr>
                <w:b/>
                <w:bCs/>
                <w:sz w:val="18"/>
                <w:szCs w:val="18"/>
              </w:rPr>
              <w:t>Notes</w:t>
            </w:r>
          </w:p>
        </w:tc>
        <w:tc>
          <w:tcPr>
            <w:tcW w:w="7318" w:type="dxa"/>
            <w:gridSpan w:val="3"/>
            <w:tcBorders>
              <w:bottom w:val="single" w:sz="12" w:space="0" w:color="000000" w:themeColor="text1"/>
            </w:tcBorders>
            <w:shd w:val="clear" w:color="auto" w:fill="auto"/>
            <w:tcMar>
              <w:top w:w="80" w:type="dxa"/>
              <w:left w:w="80" w:type="dxa"/>
              <w:bottom w:w="80" w:type="dxa"/>
              <w:right w:w="80" w:type="dxa"/>
            </w:tcMar>
          </w:tcPr>
          <w:p w14:paraId="44337840" w14:textId="77777777" w:rsidR="006D667A" w:rsidRPr="00A7082A" w:rsidRDefault="006D667A" w:rsidP="006D667A">
            <w:pPr>
              <w:numPr>
                <w:ilvl w:val="0"/>
                <w:numId w:val="58"/>
              </w:numPr>
              <w:rPr>
                <w:sz w:val="18"/>
                <w:szCs w:val="18"/>
              </w:rPr>
            </w:pPr>
            <w:r w:rsidRPr="00A7082A">
              <w:rPr>
                <w:sz w:val="18"/>
                <w:szCs w:val="18"/>
              </w:rPr>
              <w:t xml:space="preserve">The cycle of review of the financial mechanism may well not align with the effectiveness evaluation cycle. </w:t>
            </w:r>
          </w:p>
          <w:p w14:paraId="059905F2" w14:textId="77777777" w:rsidR="006D667A" w:rsidRPr="00A7082A" w:rsidRDefault="006D667A" w:rsidP="006D667A">
            <w:pPr>
              <w:numPr>
                <w:ilvl w:val="0"/>
                <w:numId w:val="58"/>
              </w:numPr>
              <w:rPr>
                <w:sz w:val="18"/>
                <w:szCs w:val="18"/>
              </w:rPr>
            </w:pPr>
            <w:r w:rsidRPr="00A7082A">
              <w:rPr>
                <w:sz w:val="18"/>
                <w:szCs w:val="18"/>
              </w:rPr>
              <w:t xml:space="preserve">As the reporting format does not request dollar values for resources provided, other public sources may need to be consulted. </w:t>
            </w:r>
          </w:p>
        </w:tc>
      </w:tr>
    </w:tbl>
    <w:p w14:paraId="5A4E4B86" w14:textId="77777777" w:rsidR="006D667A" w:rsidRPr="00A7082A" w:rsidRDefault="006D667A" w:rsidP="006D667A">
      <w:pPr>
        <w:widowControl w:val="0"/>
        <w:jc w:val="right"/>
        <w:rPr>
          <w:sz w:val="12"/>
          <w:szCs w:val="12"/>
        </w:rPr>
      </w:pPr>
    </w:p>
    <w:p w14:paraId="08B43889" w14:textId="77777777" w:rsidR="006D667A" w:rsidRPr="00A7082A" w:rsidRDefault="006D667A" w:rsidP="006D667A">
      <w:pPr>
        <w:rPr>
          <w:sz w:val="12"/>
          <w:szCs w:val="12"/>
        </w:rPr>
      </w:pPr>
    </w:p>
    <w:tbl>
      <w:tblPr>
        <w:tblW w:w="8307" w:type="dxa"/>
        <w:jc w:val="right"/>
        <w:tblLayout w:type="fixed"/>
        <w:tblLook w:val="04A0" w:firstRow="1" w:lastRow="0" w:firstColumn="1" w:lastColumn="0" w:noHBand="0" w:noVBand="1"/>
      </w:tblPr>
      <w:tblGrid>
        <w:gridCol w:w="1768"/>
        <w:gridCol w:w="3204"/>
        <w:gridCol w:w="1740"/>
        <w:gridCol w:w="1595"/>
      </w:tblGrid>
      <w:tr w:rsidR="006D667A" w:rsidRPr="00A7082A" w14:paraId="7339A685" w14:textId="77777777" w:rsidTr="00AC30F5">
        <w:trPr>
          <w:trHeight w:val="57"/>
          <w:jc w:val="right"/>
        </w:trPr>
        <w:tc>
          <w:tcPr>
            <w:tcW w:w="5606" w:type="dxa"/>
            <w:gridSpan w:val="2"/>
            <w:tcBorders>
              <w:top w:val="single" w:sz="4" w:space="0" w:color="000000" w:themeColor="text1"/>
              <w:bottom w:val="single" w:sz="12" w:space="0" w:color="000000" w:themeColor="text1"/>
            </w:tcBorders>
            <w:shd w:val="clear" w:color="auto" w:fill="auto"/>
            <w:tcMar>
              <w:top w:w="80" w:type="dxa"/>
              <w:left w:w="80" w:type="dxa"/>
              <w:bottom w:w="80" w:type="dxa"/>
              <w:right w:w="80" w:type="dxa"/>
            </w:tcMar>
          </w:tcPr>
          <w:p w14:paraId="04E9A5FB" w14:textId="77777777" w:rsidR="006D667A" w:rsidRPr="00A7082A" w:rsidRDefault="006D667A" w:rsidP="006D667A">
            <w:pPr>
              <w:rPr>
                <w:i/>
              </w:rPr>
            </w:pPr>
            <w:r w:rsidRPr="00A7082A">
              <w:rPr>
                <w:bCs/>
                <w:i/>
                <w:sz w:val="18"/>
                <w:szCs w:val="18"/>
              </w:rPr>
              <w:t>F: Article 15 (Implementation and Compliance Committee)</w:t>
            </w:r>
          </w:p>
        </w:tc>
        <w:tc>
          <w:tcPr>
            <w:tcW w:w="1955" w:type="dxa"/>
            <w:tcBorders>
              <w:top w:val="single" w:sz="4" w:space="0" w:color="000000" w:themeColor="text1"/>
              <w:bottom w:val="single" w:sz="12" w:space="0" w:color="000000" w:themeColor="text1"/>
            </w:tcBorders>
            <w:shd w:val="clear" w:color="auto" w:fill="auto"/>
            <w:tcMar>
              <w:top w:w="80" w:type="dxa"/>
              <w:left w:w="80" w:type="dxa"/>
              <w:bottom w:w="80" w:type="dxa"/>
              <w:right w:w="80" w:type="dxa"/>
            </w:tcMar>
          </w:tcPr>
          <w:p w14:paraId="1291493B" w14:textId="77777777" w:rsidR="006D667A" w:rsidRPr="00A7082A" w:rsidRDefault="006D667A" w:rsidP="006D667A">
            <w:pPr>
              <w:rPr>
                <w:i/>
              </w:rPr>
            </w:pPr>
            <w:r w:rsidRPr="00A7082A">
              <w:rPr>
                <w:bCs/>
                <w:i/>
                <w:sz w:val="18"/>
                <w:szCs w:val="18"/>
              </w:rPr>
              <w:t>Source of information on the indicator</w:t>
            </w:r>
          </w:p>
        </w:tc>
        <w:tc>
          <w:tcPr>
            <w:tcW w:w="1789" w:type="dxa"/>
            <w:tcBorders>
              <w:top w:val="single" w:sz="4" w:space="0" w:color="000000" w:themeColor="text1"/>
              <w:bottom w:val="single" w:sz="12" w:space="0" w:color="000000" w:themeColor="text1"/>
            </w:tcBorders>
            <w:shd w:val="clear" w:color="auto" w:fill="auto"/>
            <w:tcMar>
              <w:top w:w="80" w:type="dxa"/>
              <w:left w:w="80" w:type="dxa"/>
              <w:bottom w:w="80" w:type="dxa"/>
              <w:right w:w="80" w:type="dxa"/>
            </w:tcMar>
          </w:tcPr>
          <w:p w14:paraId="6AB31501" w14:textId="77777777" w:rsidR="006D667A" w:rsidRPr="00A7082A" w:rsidRDefault="006D667A" w:rsidP="006D667A">
            <w:pPr>
              <w:rPr>
                <w:i/>
              </w:rPr>
            </w:pPr>
            <w:r w:rsidRPr="00A7082A">
              <w:rPr>
                <w:bCs/>
                <w:i/>
                <w:sz w:val="18"/>
                <w:szCs w:val="18"/>
              </w:rPr>
              <w:t>Baseline for the indicator</w:t>
            </w:r>
          </w:p>
        </w:tc>
      </w:tr>
      <w:tr w:rsidR="006D667A" w:rsidRPr="00A7082A" w14:paraId="391940B5" w14:textId="77777777" w:rsidTr="00417FE2">
        <w:trPr>
          <w:trHeight w:val="57"/>
          <w:jc w:val="right"/>
        </w:trPr>
        <w:tc>
          <w:tcPr>
            <w:tcW w:w="1986" w:type="dxa"/>
            <w:tcBorders>
              <w:top w:val="single" w:sz="12" w:space="0" w:color="000000" w:themeColor="text1"/>
              <w:bottom w:val="single" w:sz="4" w:space="0" w:color="000000" w:themeColor="text1"/>
            </w:tcBorders>
            <w:shd w:val="clear" w:color="auto" w:fill="auto"/>
            <w:tcMar>
              <w:top w:w="80" w:type="dxa"/>
              <w:left w:w="80" w:type="dxa"/>
              <w:bottom w:w="80" w:type="dxa"/>
              <w:right w:w="80" w:type="dxa"/>
            </w:tcMar>
          </w:tcPr>
          <w:p w14:paraId="05B63062" w14:textId="77777777" w:rsidR="006D667A" w:rsidRPr="00A7082A" w:rsidRDefault="006D667A" w:rsidP="006D667A">
            <w:r w:rsidRPr="00A7082A">
              <w:rPr>
                <w:sz w:val="18"/>
                <w:szCs w:val="18"/>
              </w:rPr>
              <w:t>F1. Process indicator</w:t>
            </w:r>
          </w:p>
        </w:tc>
        <w:tc>
          <w:tcPr>
            <w:tcW w:w="3620" w:type="dxa"/>
            <w:tcBorders>
              <w:top w:val="single" w:sz="12" w:space="0" w:color="000000" w:themeColor="text1"/>
              <w:bottom w:val="single" w:sz="4" w:space="0" w:color="000000" w:themeColor="text1"/>
            </w:tcBorders>
            <w:shd w:val="clear" w:color="auto" w:fill="auto"/>
            <w:tcMar>
              <w:top w:w="80" w:type="dxa"/>
              <w:left w:w="80" w:type="dxa"/>
              <w:bottom w:w="80" w:type="dxa"/>
              <w:right w:w="80" w:type="dxa"/>
            </w:tcMar>
          </w:tcPr>
          <w:p w14:paraId="396AE104" w14:textId="77777777" w:rsidR="006D667A" w:rsidRPr="00A7082A" w:rsidRDefault="006D667A" w:rsidP="006D667A">
            <w:r w:rsidRPr="00A7082A">
              <w:rPr>
                <w:sz w:val="18"/>
                <w:szCs w:val="18"/>
              </w:rPr>
              <w:t>Proportion of issues that the Implementation and Compliance Committee was able to resolve, including indications of systemic issues, if any</w:t>
            </w:r>
          </w:p>
        </w:tc>
        <w:tc>
          <w:tcPr>
            <w:tcW w:w="1955" w:type="dxa"/>
            <w:tcBorders>
              <w:top w:val="single" w:sz="12" w:space="0" w:color="000000" w:themeColor="text1"/>
              <w:bottom w:val="single" w:sz="4" w:space="0" w:color="000000" w:themeColor="text1"/>
            </w:tcBorders>
            <w:shd w:val="clear" w:color="auto" w:fill="auto"/>
            <w:tcMar>
              <w:top w:w="80" w:type="dxa"/>
              <w:left w:w="80" w:type="dxa"/>
              <w:bottom w:w="80" w:type="dxa"/>
              <w:right w:w="80" w:type="dxa"/>
            </w:tcMar>
          </w:tcPr>
          <w:p w14:paraId="54471FE2" w14:textId="77777777" w:rsidR="006D667A" w:rsidRPr="00A7082A" w:rsidRDefault="006D667A" w:rsidP="006D667A">
            <w:r w:rsidRPr="00A7082A">
              <w:rPr>
                <w:sz w:val="18"/>
                <w:szCs w:val="18"/>
              </w:rPr>
              <w:t>- Implementation and Compliance Committee report, as referred to in article 21</w:t>
            </w:r>
          </w:p>
        </w:tc>
        <w:tc>
          <w:tcPr>
            <w:tcW w:w="1789" w:type="dxa"/>
            <w:tcBorders>
              <w:top w:val="single" w:sz="12" w:space="0" w:color="000000" w:themeColor="text1"/>
              <w:bottom w:val="single" w:sz="4" w:space="0" w:color="000000" w:themeColor="text1"/>
            </w:tcBorders>
            <w:shd w:val="clear" w:color="auto" w:fill="auto"/>
            <w:tcMar>
              <w:top w:w="80" w:type="dxa"/>
              <w:left w:w="80" w:type="dxa"/>
              <w:bottom w:w="80" w:type="dxa"/>
              <w:right w:w="80" w:type="dxa"/>
            </w:tcMar>
          </w:tcPr>
          <w:p w14:paraId="479EFB3D" w14:textId="4DC5011F" w:rsidR="006D667A" w:rsidRPr="00A7082A" w:rsidRDefault="002D7BCA" w:rsidP="006D667A">
            <w:r w:rsidRPr="00A7082A">
              <w:rPr>
                <w:sz w:val="18"/>
                <w:szCs w:val="18"/>
              </w:rPr>
              <w:t xml:space="preserve">Percentage </w:t>
            </w:r>
            <w:r w:rsidR="006D667A" w:rsidRPr="00A7082A">
              <w:rPr>
                <w:sz w:val="18"/>
                <w:szCs w:val="18"/>
              </w:rPr>
              <w:t>in the first evaluation</w:t>
            </w:r>
          </w:p>
        </w:tc>
      </w:tr>
      <w:tr w:rsidR="006D667A" w:rsidRPr="00A7082A" w14:paraId="193981EE" w14:textId="77777777" w:rsidTr="00417FE2">
        <w:trPr>
          <w:trHeight w:val="57"/>
          <w:jc w:val="right"/>
        </w:trPr>
        <w:tc>
          <w:tcPr>
            <w:tcW w:w="1986" w:type="dxa"/>
            <w:tcBorders>
              <w:top w:val="single" w:sz="4" w:space="0" w:color="000000" w:themeColor="text1"/>
              <w:bottom w:val="single" w:sz="12" w:space="0" w:color="auto"/>
            </w:tcBorders>
            <w:shd w:val="clear" w:color="auto" w:fill="auto"/>
            <w:tcMar>
              <w:top w:w="80" w:type="dxa"/>
              <w:left w:w="80" w:type="dxa"/>
              <w:bottom w:w="80" w:type="dxa"/>
              <w:right w:w="80" w:type="dxa"/>
            </w:tcMar>
          </w:tcPr>
          <w:p w14:paraId="18D428A9" w14:textId="77777777" w:rsidR="006D667A" w:rsidRPr="00A7082A" w:rsidRDefault="006D667A" w:rsidP="006D667A">
            <w:r w:rsidRPr="00A7082A">
              <w:rPr>
                <w:b/>
                <w:bCs/>
                <w:sz w:val="18"/>
                <w:szCs w:val="18"/>
              </w:rPr>
              <w:t>Notes</w:t>
            </w:r>
          </w:p>
        </w:tc>
        <w:tc>
          <w:tcPr>
            <w:tcW w:w="7364" w:type="dxa"/>
            <w:gridSpan w:val="3"/>
            <w:tcBorders>
              <w:top w:val="single" w:sz="4" w:space="0" w:color="000000" w:themeColor="text1"/>
              <w:bottom w:val="single" w:sz="12" w:space="0" w:color="auto"/>
            </w:tcBorders>
            <w:shd w:val="clear" w:color="auto" w:fill="auto"/>
            <w:tcMar>
              <w:top w:w="80" w:type="dxa"/>
              <w:left w:w="80" w:type="dxa"/>
              <w:bottom w:w="80" w:type="dxa"/>
              <w:right w:w="80" w:type="dxa"/>
            </w:tcMar>
          </w:tcPr>
          <w:p w14:paraId="1E28AB1F" w14:textId="77777777" w:rsidR="006D667A" w:rsidRPr="00A7082A" w:rsidRDefault="006D667A" w:rsidP="006D667A">
            <w:pPr>
              <w:numPr>
                <w:ilvl w:val="0"/>
                <w:numId w:val="59"/>
              </w:numPr>
              <w:rPr>
                <w:spacing w:val="-2"/>
                <w:sz w:val="18"/>
                <w:szCs w:val="18"/>
              </w:rPr>
            </w:pPr>
            <w:r w:rsidRPr="00A7082A">
              <w:rPr>
                <w:spacing w:val="-2"/>
                <w:sz w:val="18"/>
                <w:szCs w:val="18"/>
              </w:rPr>
              <w:t>The Conference of the Parties is to consider the terms of reference of the Implementation and Compliance Committee at its third meeting.</w:t>
            </w:r>
          </w:p>
        </w:tc>
      </w:tr>
    </w:tbl>
    <w:p w14:paraId="4E3A4DBE" w14:textId="77777777" w:rsidR="006D667A" w:rsidRPr="00A7082A" w:rsidRDefault="006D667A" w:rsidP="006D667A">
      <w:pPr>
        <w:widowControl w:val="0"/>
        <w:jc w:val="right"/>
        <w:rPr>
          <w:sz w:val="12"/>
          <w:szCs w:val="12"/>
        </w:rPr>
      </w:pPr>
    </w:p>
    <w:p w14:paraId="2DC55A66" w14:textId="77777777" w:rsidR="006D667A" w:rsidRPr="00A7082A" w:rsidRDefault="006D667A" w:rsidP="006D667A">
      <w:pPr>
        <w:rPr>
          <w:sz w:val="12"/>
          <w:szCs w:val="12"/>
        </w:rPr>
      </w:pPr>
    </w:p>
    <w:tbl>
      <w:tblPr>
        <w:tblW w:w="8307" w:type="dxa"/>
        <w:jc w:val="right"/>
        <w:tblLayout w:type="fixed"/>
        <w:tblLook w:val="04A0" w:firstRow="1" w:lastRow="0" w:firstColumn="1" w:lastColumn="0" w:noHBand="0" w:noVBand="1"/>
      </w:tblPr>
      <w:tblGrid>
        <w:gridCol w:w="1848"/>
        <w:gridCol w:w="3155"/>
        <w:gridCol w:w="1716"/>
        <w:gridCol w:w="1588"/>
      </w:tblGrid>
      <w:tr w:rsidR="006D667A" w:rsidRPr="00A7082A" w14:paraId="2B73F032" w14:textId="77777777" w:rsidTr="00AC30F5">
        <w:trPr>
          <w:trHeight w:val="57"/>
          <w:jc w:val="right"/>
        </w:trPr>
        <w:tc>
          <w:tcPr>
            <w:tcW w:w="5641" w:type="dxa"/>
            <w:gridSpan w:val="2"/>
            <w:tcBorders>
              <w:top w:val="single" w:sz="4" w:space="0" w:color="000000" w:themeColor="text1"/>
              <w:bottom w:val="single" w:sz="12" w:space="0" w:color="000000" w:themeColor="text1"/>
            </w:tcBorders>
            <w:shd w:val="clear" w:color="auto" w:fill="auto"/>
            <w:tcMar>
              <w:top w:w="80" w:type="dxa"/>
              <w:left w:w="80" w:type="dxa"/>
              <w:bottom w:w="80" w:type="dxa"/>
              <w:right w:w="80" w:type="dxa"/>
            </w:tcMar>
          </w:tcPr>
          <w:p w14:paraId="0729D5DF" w14:textId="77777777" w:rsidR="006D667A" w:rsidRPr="00A7082A" w:rsidRDefault="006D667A" w:rsidP="00AC30F5">
            <w:pPr>
              <w:keepNext/>
              <w:keepLines/>
              <w:spacing w:after="120"/>
              <w:rPr>
                <w:bCs/>
                <w:i/>
                <w:sz w:val="18"/>
                <w:szCs w:val="18"/>
              </w:rPr>
            </w:pPr>
            <w:r w:rsidRPr="00A7082A">
              <w:rPr>
                <w:bCs/>
                <w:i/>
                <w:sz w:val="18"/>
                <w:szCs w:val="18"/>
              </w:rPr>
              <w:lastRenderedPageBreak/>
              <w:t xml:space="preserve">G: Article 16 (Health aspects) </w:t>
            </w:r>
          </w:p>
          <w:p w14:paraId="6AFE852E" w14:textId="77777777" w:rsidR="006D667A" w:rsidRPr="00A7082A" w:rsidRDefault="006D667A" w:rsidP="006D667A">
            <w:pPr>
              <w:keepNext/>
              <w:keepLines/>
            </w:pPr>
            <w:r w:rsidRPr="00A7082A">
              <w:rPr>
                <w:sz w:val="18"/>
                <w:szCs w:val="18"/>
              </w:rPr>
              <w:t>(The indicator for article 16 is to be read with the relevant monitoring indicators indicated in table 4)</w:t>
            </w:r>
          </w:p>
        </w:tc>
        <w:tc>
          <w:tcPr>
            <w:tcW w:w="1927" w:type="dxa"/>
            <w:tcBorders>
              <w:top w:val="single" w:sz="4" w:space="0" w:color="000000" w:themeColor="text1"/>
              <w:bottom w:val="single" w:sz="12" w:space="0" w:color="000000" w:themeColor="text1"/>
            </w:tcBorders>
            <w:shd w:val="clear" w:color="auto" w:fill="auto"/>
            <w:tcMar>
              <w:top w:w="80" w:type="dxa"/>
              <w:left w:w="80" w:type="dxa"/>
              <w:bottom w:w="80" w:type="dxa"/>
              <w:right w:w="80" w:type="dxa"/>
            </w:tcMar>
          </w:tcPr>
          <w:p w14:paraId="41482641" w14:textId="77777777" w:rsidR="006D667A" w:rsidRPr="00A7082A" w:rsidRDefault="006D667A" w:rsidP="006D667A">
            <w:pPr>
              <w:keepNext/>
              <w:keepLines/>
              <w:rPr>
                <w:i/>
              </w:rPr>
            </w:pPr>
            <w:r w:rsidRPr="00A7082A">
              <w:rPr>
                <w:bCs/>
                <w:i/>
                <w:sz w:val="18"/>
                <w:szCs w:val="18"/>
              </w:rPr>
              <w:t>Source of information on t</w:t>
            </w:r>
            <w:r w:rsidRPr="00A7082A">
              <w:rPr>
                <w:bCs/>
                <w:i/>
              </w:rPr>
              <w:t xml:space="preserve">he </w:t>
            </w:r>
            <w:r w:rsidRPr="00A7082A">
              <w:rPr>
                <w:bCs/>
                <w:i/>
                <w:sz w:val="18"/>
                <w:szCs w:val="18"/>
              </w:rPr>
              <w:t>indicator</w:t>
            </w:r>
          </w:p>
        </w:tc>
        <w:tc>
          <w:tcPr>
            <w:tcW w:w="1782" w:type="dxa"/>
            <w:tcBorders>
              <w:top w:val="single" w:sz="4" w:space="0" w:color="000000" w:themeColor="text1"/>
              <w:bottom w:val="single" w:sz="12" w:space="0" w:color="000000" w:themeColor="text1"/>
            </w:tcBorders>
            <w:shd w:val="clear" w:color="auto" w:fill="auto"/>
            <w:tcMar>
              <w:top w:w="80" w:type="dxa"/>
              <w:left w:w="80" w:type="dxa"/>
              <w:bottom w:w="80" w:type="dxa"/>
              <w:right w:w="80" w:type="dxa"/>
            </w:tcMar>
          </w:tcPr>
          <w:p w14:paraId="07F05EDD" w14:textId="77777777" w:rsidR="006D667A" w:rsidRPr="00A7082A" w:rsidRDefault="006D667A" w:rsidP="006D667A">
            <w:pPr>
              <w:keepNext/>
              <w:keepLines/>
              <w:rPr>
                <w:i/>
              </w:rPr>
            </w:pPr>
            <w:r w:rsidRPr="00A7082A">
              <w:rPr>
                <w:bCs/>
                <w:i/>
                <w:sz w:val="18"/>
                <w:szCs w:val="18"/>
              </w:rPr>
              <w:t>Baseline for the indicator</w:t>
            </w:r>
          </w:p>
        </w:tc>
      </w:tr>
      <w:tr w:rsidR="006D667A" w:rsidRPr="00A7082A" w14:paraId="1ADD22FC" w14:textId="77777777" w:rsidTr="00AC30F5">
        <w:trPr>
          <w:trHeight w:val="57"/>
          <w:jc w:val="right"/>
        </w:trPr>
        <w:tc>
          <w:tcPr>
            <w:tcW w:w="2077" w:type="dxa"/>
            <w:tcBorders>
              <w:top w:val="single" w:sz="12" w:space="0" w:color="000000" w:themeColor="text1"/>
            </w:tcBorders>
            <w:shd w:val="clear" w:color="auto" w:fill="auto"/>
            <w:tcMar>
              <w:top w:w="80" w:type="dxa"/>
              <w:left w:w="80" w:type="dxa"/>
              <w:bottom w:w="80" w:type="dxa"/>
              <w:right w:w="80" w:type="dxa"/>
            </w:tcMar>
          </w:tcPr>
          <w:p w14:paraId="19D27294" w14:textId="77777777" w:rsidR="006D667A" w:rsidRPr="00A7082A" w:rsidRDefault="006D667A" w:rsidP="006D667A">
            <w:pPr>
              <w:keepNext/>
              <w:keepLines/>
            </w:pPr>
            <w:r w:rsidRPr="00A7082A">
              <w:rPr>
                <w:sz w:val="18"/>
                <w:szCs w:val="18"/>
              </w:rPr>
              <w:t>G1. Monitoring indicator</w:t>
            </w:r>
          </w:p>
        </w:tc>
        <w:tc>
          <w:tcPr>
            <w:tcW w:w="3564" w:type="dxa"/>
            <w:tcBorders>
              <w:top w:val="single" w:sz="12" w:space="0" w:color="000000" w:themeColor="text1"/>
            </w:tcBorders>
            <w:shd w:val="clear" w:color="auto" w:fill="auto"/>
            <w:tcMar>
              <w:top w:w="80" w:type="dxa"/>
              <w:left w:w="80" w:type="dxa"/>
              <w:bottom w:w="80" w:type="dxa"/>
              <w:right w:w="80" w:type="dxa"/>
            </w:tcMar>
          </w:tcPr>
          <w:p w14:paraId="39824506" w14:textId="77777777" w:rsidR="006D667A" w:rsidRPr="00A7082A" w:rsidRDefault="006D667A" w:rsidP="006D667A">
            <w:pPr>
              <w:keepNext/>
              <w:keepLines/>
            </w:pPr>
            <w:r w:rsidRPr="00A7082A">
              <w:rPr>
                <w:sz w:val="18"/>
                <w:szCs w:val="18"/>
              </w:rPr>
              <w:t>Mercury levels in selected human populations (as defined by the monitoring arrangements)</w:t>
            </w:r>
          </w:p>
        </w:tc>
        <w:tc>
          <w:tcPr>
            <w:tcW w:w="1927" w:type="dxa"/>
            <w:tcBorders>
              <w:top w:val="single" w:sz="12" w:space="0" w:color="000000" w:themeColor="text1"/>
            </w:tcBorders>
            <w:shd w:val="clear" w:color="auto" w:fill="auto"/>
            <w:tcMar>
              <w:top w:w="80" w:type="dxa"/>
              <w:left w:w="80" w:type="dxa"/>
              <w:bottom w:w="80" w:type="dxa"/>
              <w:right w:w="80" w:type="dxa"/>
            </w:tcMar>
          </w:tcPr>
          <w:p w14:paraId="559EC5EE" w14:textId="77777777" w:rsidR="006D667A" w:rsidRPr="00A7082A" w:rsidRDefault="006D667A" w:rsidP="006D667A">
            <w:pPr>
              <w:keepNext/>
              <w:keepLines/>
            </w:pPr>
            <w:r w:rsidRPr="00A7082A">
              <w:rPr>
                <w:sz w:val="18"/>
                <w:szCs w:val="18"/>
              </w:rPr>
              <w:t>- Existing monitoring data and activities</w:t>
            </w:r>
          </w:p>
        </w:tc>
        <w:tc>
          <w:tcPr>
            <w:tcW w:w="1782" w:type="dxa"/>
            <w:tcBorders>
              <w:top w:val="single" w:sz="12" w:space="0" w:color="000000" w:themeColor="text1"/>
            </w:tcBorders>
            <w:shd w:val="clear" w:color="auto" w:fill="auto"/>
            <w:tcMar>
              <w:top w:w="80" w:type="dxa"/>
              <w:left w:w="80" w:type="dxa"/>
              <w:bottom w:w="80" w:type="dxa"/>
              <w:right w:w="80" w:type="dxa"/>
            </w:tcMar>
          </w:tcPr>
          <w:p w14:paraId="471C11A1" w14:textId="77777777" w:rsidR="006D667A" w:rsidRPr="00A7082A" w:rsidRDefault="006D667A" w:rsidP="006D667A">
            <w:pPr>
              <w:keepNext/>
              <w:keepLines/>
            </w:pPr>
            <w:r w:rsidRPr="00A7082A">
              <w:rPr>
                <w:sz w:val="18"/>
                <w:szCs w:val="18"/>
              </w:rPr>
              <w:t>Number in the first evaluation</w:t>
            </w:r>
          </w:p>
        </w:tc>
      </w:tr>
      <w:tr w:rsidR="006D667A" w:rsidRPr="00A7082A" w14:paraId="4CE7E532" w14:textId="77777777" w:rsidTr="00AC30F5">
        <w:trPr>
          <w:trHeight w:val="57"/>
          <w:jc w:val="right"/>
        </w:trPr>
        <w:tc>
          <w:tcPr>
            <w:tcW w:w="2077" w:type="dxa"/>
            <w:shd w:val="clear" w:color="auto" w:fill="auto"/>
            <w:tcMar>
              <w:top w:w="80" w:type="dxa"/>
              <w:left w:w="80" w:type="dxa"/>
              <w:bottom w:w="80" w:type="dxa"/>
              <w:right w:w="80" w:type="dxa"/>
            </w:tcMar>
          </w:tcPr>
          <w:p w14:paraId="3093DAB1" w14:textId="77777777" w:rsidR="006D667A" w:rsidRPr="00A7082A" w:rsidRDefault="006D667A" w:rsidP="006D667A">
            <w:pPr>
              <w:keepNext/>
              <w:keepLines/>
            </w:pPr>
            <w:r w:rsidRPr="00A7082A">
              <w:rPr>
                <w:sz w:val="18"/>
                <w:szCs w:val="18"/>
              </w:rPr>
              <w:t>G2. Process indicator</w:t>
            </w:r>
          </w:p>
        </w:tc>
        <w:tc>
          <w:tcPr>
            <w:tcW w:w="3564" w:type="dxa"/>
            <w:shd w:val="clear" w:color="auto" w:fill="auto"/>
            <w:tcMar>
              <w:top w:w="80" w:type="dxa"/>
              <w:left w:w="80" w:type="dxa"/>
              <w:bottom w:w="80" w:type="dxa"/>
              <w:right w:w="80" w:type="dxa"/>
            </w:tcMar>
          </w:tcPr>
          <w:p w14:paraId="3339742B" w14:textId="77777777" w:rsidR="006D667A" w:rsidRPr="00A7082A" w:rsidRDefault="006D667A" w:rsidP="006D667A">
            <w:pPr>
              <w:keepNext/>
              <w:keepLines/>
            </w:pPr>
            <w:r w:rsidRPr="00A7082A">
              <w:rPr>
                <w:sz w:val="18"/>
                <w:szCs w:val="18"/>
              </w:rPr>
              <w:t>Number of parties that have taken measures, such as fish advisories, to provide information to the public on exposure to mercury, in accordance with paragraph 1 of article 16</w:t>
            </w:r>
          </w:p>
        </w:tc>
        <w:tc>
          <w:tcPr>
            <w:tcW w:w="1927" w:type="dxa"/>
            <w:shd w:val="clear" w:color="auto" w:fill="auto"/>
            <w:tcMar>
              <w:top w:w="80" w:type="dxa"/>
              <w:left w:w="80" w:type="dxa"/>
              <w:bottom w:w="80" w:type="dxa"/>
              <w:right w:w="80" w:type="dxa"/>
            </w:tcMar>
          </w:tcPr>
          <w:p w14:paraId="3E2A747B" w14:textId="77777777" w:rsidR="006D667A" w:rsidRPr="00A7082A" w:rsidRDefault="006D667A" w:rsidP="006D667A">
            <w:pPr>
              <w:keepNext/>
              <w:keepLines/>
            </w:pPr>
            <w:r w:rsidRPr="00A7082A">
              <w:rPr>
                <w:sz w:val="18"/>
                <w:szCs w:val="18"/>
              </w:rPr>
              <w:t>- Article 21 reporting</w:t>
            </w:r>
          </w:p>
        </w:tc>
        <w:tc>
          <w:tcPr>
            <w:tcW w:w="1782" w:type="dxa"/>
            <w:shd w:val="clear" w:color="auto" w:fill="auto"/>
            <w:tcMar>
              <w:top w:w="80" w:type="dxa"/>
              <w:left w:w="80" w:type="dxa"/>
              <w:bottom w:w="80" w:type="dxa"/>
              <w:right w:w="80" w:type="dxa"/>
            </w:tcMar>
          </w:tcPr>
          <w:p w14:paraId="7DC36ADF" w14:textId="77777777" w:rsidR="006D667A" w:rsidRPr="00A7082A" w:rsidRDefault="006D667A" w:rsidP="006D667A">
            <w:pPr>
              <w:keepNext/>
              <w:keepLines/>
            </w:pPr>
            <w:r w:rsidRPr="00A7082A">
              <w:rPr>
                <w:sz w:val="18"/>
                <w:szCs w:val="18"/>
              </w:rPr>
              <w:t>Number in the first evaluation</w:t>
            </w:r>
          </w:p>
        </w:tc>
      </w:tr>
      <w:tr w:rsidR="006D667A" w:rsidRPr="00A7082A" w14:paraId="45B5327F" w14:textId="77777777" w:rsidTr="00AC30F5">
        <w:trPr>
          <w:trHeight w:val="57"/>
          <w:jc w:val="right"/>
        </w:trPr>
        <w:tc>
          <w:tcPr>
            <w:tcW w:w="2077" w:type="dxa"/>
            <w:shd w:val="clear" w:color="auto" w:fill="auto"/>
            <w:tcMar>
              <w:top w:w="80" w:type="dxa"/>
              <w:left w:w="80" w:type="dxa"/>
              <w:bottom w:w="80" w:type="dxa"/>
              <w:right w:w="80" w:type="dxa"/>
            </w:tcMar>
          </w:tcPr>
          <w:p w14:paraId="7750967D" w14:textId="77777777" w:rsidR="006D667A" w:rsidRPr="00A7082A" w:rsidRDefault="006D667A" w:rsidP="006D667A">
            <w:pPr>
              <w:keepNext/>
              <w:keepLines/>
            </w:pPr>
            <w:r w:rsidRPr="00A7082A">
              <w:rPr>
                <w:sz w:val="18"/>
                <w:szCs w:val="18"/>
              </w:rPr>
              <w:t>G3. Process indicator</w:t>
            </w:r>
          </w:p>
        </w:tc>
        <w:tc>
          <w:tcPr>
            <w:tcW w:w="3564" w:type="dxa"/>
            <w:shd w:val="clear" w:color="auto" w:fill="auto"/>
            <w:tcMar>
              <w:top w:w="80" w:type="dxa"/>
              <w:left w:w="80" w:type="dxa"/>
              <w:bottom w:w="80" w:type="dxa"/>
              <w:right w:w="80" w:type="dxa"/>
            </w:tcMar>
          </w:tcPr>
          <w:p w14:paraId="69AA25C1" w14:textId="77777777" w:rsidR="006D667A" w:rsidRPr="00A7082A" w:rsidRDefault="006D667A" w:rsidP="006D667A">
            <w:pPr>
              <w:keepNext/>
              <w:keepLines/>
            </w:pPr>
            <w:r w:rsidRPr="00A7082A">
              <w:rPr>
                <w:sz w:val="18"/>
                <w:szCs w:val="18"/>
              </w:rPr>
              <w:t>Number of parties that have taken measures to protect human health, in accordance with article 16</w:t>
            </w:r>
          </w:p>
        </w:tc>
        <w:tc>
          <w:tcPr>
            <w:tcW w:w="1927" w:type="dxa"/>
            <w:shd w:val="clear" w:color="auto" w:fill="auto"/>
            <w:tcMar>
              <w:top w:w="80" w:type="dxa"/>
              <w:left w:w="80" w:type="dxa"/>
              <w:bottom w:w="80" w:type="dxa"/>
              <w:right w:w="80" w:type="dxa"/>
            </w:tcMar>
          </w:tcPr>
          <w:p w14:paraId="3F775021" w14:textId="77777777" w:rsidR="006D667A" w:rsidRPr="00A7082A" w:rsidRDefault="006D667A" w:rsidP="006D667A">
            <w:pPr>
              <w:keepNext/>
              <w:keepLines/>
              <w:rPr>
                <w:sz w:val="18"/>
                <w:szCs w:val="18"/>
              </w:rPr>
            </w:pPr>
            <w:r w:rsidRPr="00A7082A">
              <w:rPr>
                <w:sz w:val="18"/>
                <w:szCs w:val="18"/>
              </w:rPr>
              <w:t>- Article 21 reporting</w:t>
            </w:r>
          </w:p>
          <w:p w14:paraId="5F49D4DB" w14:textId="77777777" w:rsidR="006D667A" w:rsidRPr="00A7082A" w:rsidRDefault="006D667A" w:rsidP="006D667A">
            <w:pPr>
              <w:keepNext/>
              <w:keepLines/>
            </w:pPr>
            <w:r w:rsidRPr="00A7082A">
              <w:rPr>
                <w:sz w:val="18"/>
                <w:szCs w:val="18"/>
              </w:rPr>
              <w:t>- Submissions to the secretariat</w:t>
            </w:r>
          </w:p>
        </w:tc>
        <w:tc>
          <w:tcPr>
            <w:tcW w:w="1782" w:type="dxa"/>
            <w:shd w:val="clear" w:color="auto" w:fill="auto"/>
            <w:tcMar>
              <w:top w:w="80" w:type="dxa"/>
              <w:left w:w="80" w:type="dxa"/>
              <w:bottom w:w="80" w:type="dxa"/>
              <w:right w:w="80" w:type="dxa"/>
            </w:tcMar>
          </w:tcPr>
          <w:p w14:paraId="2E77D1B7" w14:textId="77777777" w:rsidR="006D667A" w:rsidRPr="00A7082A" w:rsidRDefault="006D667A" w:rsidP="006D667A">
            <w:pPr>
              <w:keepNext/>
              <w:keepLines/>
            </w:pPr>
            <w:r w:rsidRPr="00A7082A">
              <w:rPr>
                <w:sz w:val="18"/>
                <w:szCs w:val="18"/>
              </w:rPr>
              <w:t>Number in the first evaluation</w:t>
            </w:r>
          </w:p>
        </w:tc>
      </w:tr>
      <w:tr w:rsidR="006D667A" w:rsidRPr="00A7082A" w14:paraId="431DD9F9" w14:textId="77777777" w:rsidTr="00AC30F5">
        <w:trPr>
          <w:trHeight w:val="57"/>
          <w:jc w:val="right"/>
        </w:trPr>
        <w:tc>
          <w:tcPr>
            <w:tcW w:w="2077" w:type="dxa"/>
            <w:tcBorders>
              <w:bottom w:val="single" w:sz="12" w:space="0" w:color="000000" w:themeColor="text1"/>
            </w:tcBorders>
            <w:shd w:val="clear" w:color="auto" w:fill="auto"/>
            <w:tcMar>
              <w:top w:w="80" w:type="dxa"/>
              <w:left w:w="80" w:type="dxa"/>
              <w:bottom w:w="80" w:type="dxa"/>
              <w:right w:w="80" w:type="dxa"/>
            </w:tcMar>
          </w:tcPr>
          <w:p w14:paraId="535F03E2" w14:textId="77777777" w:rsidR="006D667A" w:rsidRPr="00A7082A" w:rsidRDefault="006D667A" w:rsidP="006D667A">
            <w:r w:rsidRPr="00A7082A">
              <w:rPr>
                <w:b/>
                <w:bCs/>
                <w:sz w:val="18"/>
                <w:szCs w:val="18"/>
              </w:rPr>
              <w:t>Notes</w:t>
            </w:r>
          </w:p>
        </w:tc>
        <w:tc>
          <w:tcPr>
            <w:tcW w:w="7273" w:type="dxa"/>
            <w:gridSpan w:val="3"/>
            <w:tcBorders>
              <w:bottom w:val="single" w:sz="12" w:space="0" w:color="000000" w:themeColor="text1"/>
            </w:tcBorders>
            <w:shd w:val="clear" w:color="auto" w:fill="auto"/>
            <w:tcMar>
              <w:top w:w="80" w:type="dxa"/>
              <w:left w:w="80" w:type="dxa"/>
              <w:bottom w:w="80" w:type="dxa"/>
              <w:right w:w="80" w:type="dxa"/>
            </w:tcMar>
          </w:tcPr>
          <w:p w14:paraId="7F24D575" w14:textId="77777777" w:rsidR="006D667A" w:rsidRPr="00A7082A" w:rsidRDefault="006D667A" w:rsidP="006D667A">
            <w:pPr>
              <w:numPr>
                <w:ilvl w:val="0"/>
                <w:numId w:val="60"/>
              </w:numPr>
              <w:rPr>
                <w:sz w:val="18"/>
                <w:szCs w:val="18"/>
              </w:rPr>
            </w:pPr>
            <w:r w:rsidRPr="00A7082A">
              <w:rPr>
                <w:sz w:val="18"/>
                <w:szCs w:val="18"/>
              </w:rPr>
              <w:t xml:space="preserve">Mercury levels in biota are also to be considered. </w:t>
            </w:r>
          </w:p>
        </w:tc>
      </w:tr>
    </w:tbl>
    <w:p w14:paraId="6B3FF1A8" w14:textId="77777777" w:rsidR="006D667A" w:rsidRPr="00A7082A" w:rsidRDefault="006D667A" w:rsidP="006D667A">
      <w:pPr>
        <w:widowControl w:val="0"/>
        <w:jc w:val="right"/>
        <w:rPr>
          <w:sz w:val="12"/>
          <w:szCs w:val="12"/>
        </w:rPr>
      </w:pPr>
    </w:p>
    <w:p w14:paraId="0F26AFD2" w14:textId="77777777" w:rsidR="006D667A" w:rsidRPr="00A7082A" w:rsidRDefault="006D667A" w:rsidP="006D667A">
      <w:pPr>
        <w:rPr>
          <w:sz w:val="12"/>
          <w:szCs w:val="12"/>
        </w:rPr>
      </w:pPr>
    </w:p>
    <w:tbl>
      <w:tblPr>
        <w:tblW w:w="8307" w:type="dxa"/>
        <w:jc w:val="right"/>
        <w:tblLayout w:type="fixed"/>
        <w:tblLook w:val="04A0" w:firstRow="1" w:lastRow="0" w:firstColumn="1" w:lastColumn="0" w:noHBand="0" w:noVBand="1"/>
      </w:tblPr>
      <w:tblGrid>
        <w:gridCol w:w="1823"/>
        <w:gridCol w:w="3178"/>
        <w:gridCol w:w="1732"/>
        <w:gridCol w:w="1574"/>
      </w:tblGrid>
      <w:tr w:rsidR="006D667A" w:rsidRPr="00A7082A" w14:paraId="563C1A8E" w14:textId="77777777" w:rsidTr="00AC30F5">
        <w:trPr>
          <w:trHeight w:val="57"/>
          <w:jc w:val="right"/>
        </w:trPr>
        <w:tc>
          <w:tcPr>
            <w:tcW w:w="5639" w:type="dxa"/>
            <w:gridSpan w:val="2"/>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5A33D372" w14:textId="77777777" w:rsidR="006D667A" w:rsidRPr="00A7082A" w:rsidRDefault="006D667A" w:rsidP="00AC30F5">
            <w:pPr>
              <w:spacing w:after="120"/>
              <w:rPr>
                <w:bCs/>
                <w:i/>
                <w:sz w:val="18"/>
                <w:szCs w:val="18"/>
              </w:rPr>
            </w:pPr>
            <w:r w:rsidRPr="00A7082A">
              <w:rPr>
                <w:bCs/>
                <w:i/>
                <w:sz w:val="18"/>
                <w:szCs w:val="18"/>
              </w:rPr>
              <w:t xml:space="preserve">H: Information and research cluster </w:t>
            </w:r>
          </w:p>
          <w:p w14:paraId="1143932F" w14:textId="19C8DE34" w:rsidR="006D667A" w:rsidRPr="00A7082A" w:rsidRDefault="006D667A" w:rsidP="006D667A">
            <w:pPr>
              <w:rPr>
                <w:sz w:val="18"/>
                <w:szCs w:val="18"/>
              </w:rPr>
            </w:pPr>
            <w:r w:rsidRPr="00A7082A">
              <w:rPr>
                <w:bCs/>
                <w:i/>
                <w:sz w:val="18"/>
                <w:szCs w:val="18"/>
              </w:rPr>
              <w:t>Article 17 (information exchange); article 18 (public information, awareness and education); article 19 (research, development and monitoring)</w:t>
            </w:r>
            <w:r w:rsidR="00F55A86" w:rsidRPr="00A7082A">
              <w:rPr>
                <w:b/>
                <w:bCs/>
                <w:sz w:val="18"/>
                <w:szCs w:val="18"/>
              </w:rPr>
              <w:t xml:space="preserve"> </w:t>
            </w:r>
          </w:p>
        </w:tc>
        <w:tc>
          <w:tcPr>
            <w:tcW w:w="1945"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68723296" w14:textId="77777777" w:rsidR="006D667A" w:rsidRPr="00A7082A" w:rsidRDefault="006D667A" w:rsidP="006D667A">
            <w:pPr>
              <w:rPr>
                <w:i/>
                <w:sz w:val="18"/>
                <w:szCs w:val="18"/>
              </w:rPr>
            </w:pPr>
            <w:r w:rsidRPr="00A7082A">
              <w:rPr>
                <w:i/>
                <w:sz w:val="18"/>
                <w:szCs w:val="18"/>
              </w:rPr>
              <w:t>Source of information on the indicator</w:t>
            </w:r>
          </w:p>
        </w:tc>
        <w:tc>
          <w:tcPr>
            <w:tcW w:w="1766"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000B8D65" w14:textId="77777777" w:rsidR="006D667A" w:rsidRPr="00A7082A" w:rsidRDefault="006D667A" w:rsidP="006D667A">
            <w:pPr>
              <w:rPr>
                <w:i/>
                <w:sz w:val="18"/>
                <w:szCs w:val="18"/>
              </w:rPr>
            </w:pPr>
            <w:r w:rsidRPr="00A7082A">
              <w:rPr>
                <w:i/>
                <w:sz w:val="18"/>
                <w:szCs w:val="18"/>
              </w:rPr>
              <w:t>Baseline for the indicator</w:t>
            </w:r>
          </w:p>
        </w:tc>
      </w:tr>
      <w:tr w:rsidR="006D667A" w:rsidRPr="00A7082A" w14:paraId="5D4C5292" w14:textId="77777777" w:rsidTr="00AC30F5">
        <w:trPr>
          <w:trHeight w:val="57"/>
          <w:jc w:val="right"/>
        </w:trPr>
        <w:tc>
          <w:tcPr>
            <w:tcW w:w="2049"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5AD3A2A3" w14:textId="77777777" w:rsidR="006D667A" w:rsidRPr="00A7082A" w:rsidRDefault="006D667A" w:rsidP="006D667A">
            <w:pPr>
              <w:rPr>
                <w:sz w:val="18"/>
                <w:szCs w:val="18"/>
              </w:rPr>
            </w:pPr>
            <w:r w:rsidRPr="00A7082A">
              <w:rPr>
                <w:b/>
                <w:bCs/>
                <w:sz w:val="18"/>
                <w:szCs w:val="18"/>
              </w:rPr>
              <w:t>Article 17</w:t>
            </w:r>
          </w:p>
        </w:tc>
        <w:tc>
          <w:tcPr>
            <w:tcW w:w="3590"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041321A8" w14:textId="77777777" w:rsidR="006D667A" w:rsidRPr="00A7082A" w:rsidRDefault="006D667A" w:rsidP="006D667A">
            <w:pPr>
              <w:rPr>
                <w:sz w:val="18"/>
                <w:szCs w:val="18"/>
              </w:rPr>
            </w:pPr>
          </w:p>
        </w:tc>
        <w:tc>
          <w:tcPr>
            <w:tcW w:w="1945"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6CFEE6B9" w14:textId="77777777" w:rsidR="006D667A" w:rsidRPr="00A7082A" w:rsidRDefault="006D667A" w:rsidP="006D667A">
            <w:pPr>
              <w:rPr>
                <w:sz w:val="18"/>
                <w:szCs w:val="18"/>
              </w:rPr>
            </w:pPr>
          </w:p>
        </w:tc>
        <w:tc>
          <w:tcPr>
            <w:tcW w:w="1766"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09E625FF" w14:textId="77777777" w:rsidR="006D667A" w:rsidRPr="00A7082A" w:rsidRDefault="006D667A" w:rsidP="006D667A">
            <w:pPr>
              <w:rPr>
                <w:sz w:val="18"/>
                <w:szCs w:val="18"/>
              </w:rPr>
            </w:pPr>
          </w:p>
        </w:tc>
      </w:tr>
      <w:tr w:rsidR="006D667A" w:rsidRPr="00A7082A" w14:paraId="5D21CF84" w14:textId="77777777" w:rsidTr="00AC30F5">
        <w:trPr>
          <w:trHeight w:val="57"/>
          <w:jc w:val="right"/>
        </w:trPr>
        <w:tc>
          <w:tcPr>
            <w:tcW w:w="2049" w:type="dxa"/>
            <w:tcBorders>
              <w:top w:val="single" w:sz="4" w:space="0" w:color="000000" w:themeColor="text1"/>
            </w:tcBorders>
            <w:shd w:val="clear" w:color="auto" w:fill="auto"/>
            <w:tcMar>
              <w:top w:w="80" w:type="dxa"/>
              <w:left w:w="80" w:type="dxa"/>
              <w:bottom w:w="80" w:type="dxa"/>
              <w:right w:w="80" w:type="dxa"/>
            </w:tcMar>
          </w:tcPr>
          <w:p w14:paraId="540887F3" w14:textId="77777777" w:rsidR="006D667A" w:rsidRPr="00A7082A" w:rsidRDefault="006D667A" w:rsidP="006D667A">
            <w:pPr>
              <w:rPr>
                <w:sz w:val="18"/>
                <w:szCs w:val="18"/>
              </w:rPr>
            </w:pPr>
            <w:r w:rsidRPr="00A7082A">
              <w:rPr>
                <w:sz w:val="18"/>
                <w:szCs w:val="18"/>
              </w:rPr>
              <w:t>H1. Process indicator for article 17</w:t>
            </w:r>
          </w:p>
        </w:tc>
        <w:tc>
          <w:tcPr>
            <w:tcW w:w="3590" w:type="dxa"/>
            <w:tcBorders>
              <w:top w:val="single" w:sz="4" w:space="0" w:color="000000" w:themeColor="text1"/>
            </w:tcBorders>
            <w:shd w:val="clear" w:color="auto" w:fill="auto"/>
            <w:tcMar>
              <w:top w:w="80" w:type="dxa"/>
              <w:left w:w="80" w:type="dxa"/>
              <w:bottom w:w="80" w:type="dxa"/>
              <w:right w:w="80" w:type="dxa"/>
            </w:tcMar>
          </w:tcPr>
          <w:p w14:paraId="6654581B" w14:textId="77777777" w:rsidR="006D667A" w:rsidRPr="00A7082A" w:rsidRDefault="006D667A" w:rsidP="006D667A">
            <w:pPr>
              <w:rPr>
                <w:sz w:val="18"/>
                <w:szCs w:val="18"/>
              </w:rPr>
            </w:pPr>
            <w:r w:rsidRPr="00A7082A">
              <w:rPr>
                <w:sz w:val="18"/>
                <w:szCs w:val="18"/>
              </w:rPr>
              <w:t>Number of parties with designated national focal points</w:t>
            </w:r>
          </w:p>
        </w:tc>
        <w:tc>
          <w:tcPr>
            <w:tcW w:w="1945" w:type="dxa"/>
            <w:tcBorders>
              <w:top w:val="single" w:sz="4" w:space="0" w:color="000000" w:themeColor="text1"/>
            </w:tcBorders>
            <w:shd w:val="clear" w:color="auto" w:fill="auto"/>
            <w:tcMar>
              <w:top w:w="80" w:type="dxa"/>
              <w:left w:w="80" w:type="dxa"/>
              <w:bottom w:w="80" w:type="dxa"/>
              <w:right w:w="80" w:type="dxa"/>
            </w:tcMar>
          </w:tcPr>
          <w:p w14:paraId="4CC4F40D" w14:textId="77777777" w:rsidR="006D667A" w:rsidRPr="00A7082A" w:rsidRDefault="006D667A" w:rsidP="006D667A">
            <w:pPr>
              <w:rPr>
                <w:sz w:val="18"/>
                <w:szCs w:val="18"/>
              </w:rPr>
            </w:pPr>
            <w:r w:rsidRPr="00A7082A">
              <w:rPr>
                <w:sz w:val="18"/>
                <w:szCs w:val="18"/>
              </w:rPr>
              <w:t>- Article 21 reporting</w:t>
            </w:r>
          </w:p>
        </w:tc>
        <w:tc>
          <w:tcPr>
            <w:tcW w:w="1766" w:type="dxa"/>
            <w:tcBorders>
              <w:top w:val="single" w:sz="4" w:space="0" w:color="000000" w:themeColor="text1"/>
            </w:tcBorders>
            <w:shd w:val="clear" w:color="auto" w:fill="auto"/>
            <w:tcMar>
              <w:top w:w="80" w:type="dxa"/>
              <w:left w:w="80" w:type="dxa"/>
              <w:bottom w:w="80" w:type="dxa"/>
              <w:right w:w="80" w:type="dxa"/>
            </w:tcMar>
          </w:tcPr>
          <w:p w14:paraId="3AD3744F" w14:textId="77777777" w:rsidR="006D667A" w:rsidRPr="00A7082A" w:rsidRDefault="006D667A" w:rsidP="006D667A">
            <w:pPr>
              <w:rPr>
                <w:sz w:val="18"/>
                <w:szCs w:val="18"/>
              </w:rPr>
            </w:pPr>
            <w:r w:rsidRPr="00A7082A">
              <w:rPr>
                <w:sz w:val="18"/>
                <w:szCs w:val="18"/>
              </w:rPr>
              <w:t>Number in the first evaluation</w:t>
            </w:r>
          </w:p>
        </w:tc>
      </w:tr>
      <w:tr w:rsidR="006D667A" w:rsidRPr="00A7082A" w14:paraId="575861D0" w14:textId="77777777" w:rsidTr="00AC30F5">
        <w:trPr>
          <w:trHeight w:val="57"/>
          <w:jc w:val="right"/>
        </w:trPr>
        <w:tc>
          <w:tcPr>
            <w:tcW w:w="2049" w:type="dxa"/>
            <w:tcBorders>
              <w:bottom w:val="single" w:sz="4" w:space="0" w:color="000000" w:themeColor="text1"/>
            </w:tcBorders>
            <w:shd w:val="clear" w:color="auto" w:fill="auto"/>
            <w:tcMar>
              <w:top w:w="80" w:type="dxa"/>
              <w:left w:w="80" w:type="dxa"/>
              <w:bottom w:w="80" w:type="dxa"/>
              <w:right w:w="80" w:type="dxa"/>
            </w:tcMar>
          </w:tcPr>
          <w:p w14:paraId="7522EC77" w14:textId="77777777" w:rsidR="006D667A" w:rsidRPr="00A7082A" w:rsidRDefault="006D667A" w:rsidP="006D667A">
            <w:pPr>
              <w:rPr>
                <w:sz w:val="18"/>
                <w:szCs w:val="18"/>
              </w:rPr>
            </w:pPr>
            <w:r w:rsidRPr="00A7082A">
              <w:rPr>
                <w:sz w:val="18"/>
                <w:szCs w:val="18"/>
              </w:rPr>
              <w:t>H2. Process indicator for article 17</w:t>
            </w:r>
          </w:p>
        </w:tc>
        <w:tc>
          <w:tcPr>
            <w:tcW w:w="3590" w:type="dxa"/>
            <w:tcBorders>
              <w:bottom w:val="single" w:sz="4" w:space="0" w:color="000000" w:themeColor="text1"/>
            </w:tcBorders>
            <w:shd w:val="clear" w:color="auto" w:fill="auto"/>
            <w:tcMar>
              <w:top w:w="80" w:type="dxa"/>
              <w:left w:w="80" w:type="dxa"/>
              <w:bottom w:w="80" w:type="dxa"/>
              <w:right w:w="80" w:type="dxa"/>
            </w:tcMar>
          </w:tcPr>
          <w:p w14:paraId="57D6988D" w14:textId="77777777" w:rsidR="006D667A" w:rsidRPr="00A7082A" w:rsidRDefault="006D667A" w:rsidP="006D667A">
            <w:pPr>
              <w:rPr>
                <w:sz w:val="18"/>
                <w:szCs w:val="18"/>
              </w:rPr>
            </w:pPr>
            <w:r w:rsidRPr="00A7082A">
              <w:rPr>
                <w:sz w:val="18"/>
                <w:szCs w:val="18"/>
              </w:rPr>
              <w:t xml:space="preserve">Number of parties that have facilitated the exchange of information related to mercury </w:t>
            </w:r>
          </w:p>
        </w:tc>
        <w:tc>
          <w:tcPr>
            <w:tcW w:w="1945" w:type="dxa"/>
            <w:tcBorders>
              <w:bottom w:val="single" w:sz="4" w:space="0" w:color="000000" w:themeColor="text1"/>
            </w:tcBorders>
            <w:shd w:val="clear" w:color="auto" w:fill="auto"/>
            <w:tcMar>
              <w:top w:w="80" w:type="dxa"/>
              <w:left w:w="80" w:type="dxa"/>
              <w:bottom w:w="80" w:type="dxa"/>
              <w:right w:w="80" w:type="dxa"/>
            </w:tcMar>
          </w:tcPr>
          <w:p w14:paraId="5EA734DC" w14:textId="77777777" w:rsidR="006D667A" w:rsidRPr="00A7082A" w:rsidRDefault="006D667A" w:rsidP="006D667A">
            <w:pPr>
              <w:rPr>
                <w:sz w:val="18"/>
                <w:szCs w:val="18"/>
              </w:rPr>
            </w:pPr>
            <w:r w:rsidRPr="00A7082A">
              <w:rPr>
                <w:sz w:val="18"/>
                <w:szCs w:val="18"/>
              </w:rPr>
              <w:t>- Article 21 reporting</w:t>
            </w:r>
          </w:p>
        </w:tc>
        <w:tc>
          <w:tcPr>
            <w:tcW w:w="1766" w:type="dxa"/>
            <w:tcBorders>
              <w:bottom w:val="single" w:sz="4" w:space="0" w:color="000000" w:themeColor="text1"/>
            </w:tcBorders>
            <w:shd w:val="clear" w:color="auto" w:fill="auto"/>
            <w:tcMar>
              <w:top w:w="80" w:type="dxa"/>
              <w:left w:w="80" w:type="dxa"/>
              <w:bottom w:w="80" w:type="dxa"/>
              <w:right w:w="80" w:type="dxa"/>
            </w:tcMar>
          </w:tcPr>
          <w:p w14:paraId="4FA3BB61" w14:textId="77777777" w:rsidR="006D667A" w:rsidRPr="00A7082A" w:rsidRDefault="006D667A" w:rsidP="006D667A">
            <w:pPr>
              <w:rPr>
                <w:sz w:val="18"/>
                <w:szCs w:val="18"/>
              </w:rPr>
            </w:pPr>
            <w:r w:rsidRPr="00A7082A">
              <w:rPr>
                <w:sz w:val="18"/>
                <w:szCs w:val="18"/>
              </w:rPr>
              <w:t>Number in the first evaluation</w:t>
            </w:r>
          </w:p>
        </w:tc>
      </w:tr>
      <w:tr w:rsidR="006D667A" w:rsidRPr="00A7082A" w14:paraId="4627EDC3" w14:textId="77777777" w:rsidTr="00AC30F5">
        <w:trPr>
          <w:trHeight w:val="57"/>
          <w:jc w:val="right"/>
        </w:trPr>
        <w:tc>
          <w:tcPr>
            <w:tcW w:w="2049"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74AD3FC7" w14:textId="77777777" w:rsidR="006D667A" w:rsidRPr="00A7082A" w:rsidRDefault="006D667A" w:rsidP="006D667A">
            <w:pPr>
              <w:tabs>
                <w:tab w:val="left" w:pos="1163"/>
              </w:tabs>
              <w:rPr>
                <w:sz w:val="18"/>
                <w:szCs w:val="18"/>
              </w:rPr>
            </w:pPr>
            <w:r w:rsidRPr="00A7082A">
              <w:rPr>
                <w:b/>
                <w:bCs/>
                <w:sz w:val="18"/>
                <w:szCs w:val="18"/>
              </w:rPr>
              <w:t>Article 18</w:t>
            </w:r>
          </w:p>
        </w:tc>
        <w:tc>
          <w:tcPr>
            <w:tcW w:w="3590"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35749F9E" w14:textId="77777777" w:rsidR="006D667A" w:rsidRPr="00A7082A" w:rsidRDefault="006D667A" w:rsidP="006D667A">
            <w:pPr>
              <w:rPr>
                <w:sz w:val="18"/>
                <w:szCs w:val="18"/>
              </w:rPr>
            </w:pPr>
          </w:p>
        </w:tc>
        <w:tc>
          <w:tcPr>
            <w:tcW w:w="1945"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561C40A5" w14:textId="77777777" w:rsidR="006D667A" w:rsidRPr="00A7082A" w:rsidRDefault="006D667A" w:rsidP="006D667A">
            <w:pPr>
              <w:rPr>
                <w:sz w:val="18"/>
                <w:szCs w:val="18"/>
              </w:rPr>
            </w:pPr>
          </w:p>
        </w:tc>
        <w:tc>
          <w:tcPr>
            <w:tcW w:w="1766"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14E8E863" w14:textId="77777777" w:rsidR="006D667A" w:rsidRPr="00A7082A" w:rsidRDefault="006D667A" w:rsidP="006D667A">
            <w:pPr>
              <w:rPr>
                <w:sz w:val="18"/>
                <w:szCs w:val="18"/>
              </w:rPr>
            </w:pPr>
          </w:p>
        </w:tc>
      </w:tr>
      <w:tr w:rsidR="006D667A" w:rsidRPr="00A7082A" w14:paraId="00D4A142" w14:textId="77777777" w:rsidTr="00AC30F5">
        <w:trPr>
          <w:trHeight w:val="57"/>
          <w:jc w:val="right"/>
        </w:trPr>
        <w:tc>
          <w:tcPr>
            <w:tcW w:w="2049" w:type="dxa"/>
            <w:tcBorders>
              <w:top w:val="single" w:sz="4" w:space="0" w:color="000000" w:themeColor="text1"/>
            </w:tcBorders>
            <w:shd w:val="clear" w:color="auto" w:fill="auto"/>
            <w:tcMar>
              <w:top w:w="80" w:type="dxa"/>
              <w:left w:w="80" w:type="dxa"/>
              <w:bottom w:w="80" w:type="dxa"/>
              <w:right w:w="80" w:type="dxa"/>
            </w:tcMar>
          </w:tcPr>
          <w:p w14:paraId="04D93CD7" w14:textId="77777777" w:rsidR="006D667A" w:rsidRPr="00A7082A" w:rsidRDefault="006D667A" w:rsidP="006D667A">
            <w:pPr>
              <w:tabs>
                <w:tab w:val="left" w:pos="1163"/>
              </w:tabs>
              <w:rPr>
                <w:sz w:val="18"/>
                <w:szCs w:val="18"/>
              </w:rPr>
            </w:pPr>
            <w:r w:rsidRPr="00A7082A">
              <w:rPr>
                <w:sz w:val="18"/>
                <w:szCs w:val="18"/>
              </w:rPr>
              <w:t>H3. Process indicator for article 18</w:t>
            </w:r>
          </w:p>
        </w:tc>
        <w:tc>
          <w:tcPr>
            <w:tcW w:w="3590" w:type="dxa"/>
            <w:tcBorders>
              <w:top w:val="single" w:sz="4" w:space="0" w:color="000000" w:themeColor="text1"/>
            </w:tcBorders>
            <w:shd w:val="clear" w:color="auto" w:fill="auto"/>
            <w:tcMar>
              <w:top w:w="80" w:type="dxa"/>
              <w:left w:w="80" w:type="dxa"/>
              <w:bottom w:w="80" w:type="dxa"/>
              <w:right w:w="80" w:type="dxa"/>
            </w:tcMar>
          </w:tcPr>
          <w:p w14:paraId="1CFFC645" w14:textId="77777777" w:rsidR="006D667A" w:rsidRPr="00A7082A" w:rsidRDefault="006D667A" w:rsidP="006D667A">
            <w:pPr>
              <w:rPr>
                <w:sz w:val="18"/>
                <w:szCs w:val="18"/>
              </w:rPr>
            </w:pPr>
            <w:r w:rsidRPr="00A7082A">
              <w:rPr>
                <w:sz w:val="18"/>
                <w:szCs w:val="18"/>
              </w:rPr>
              <w:t>Number of parties that have taken measures to implement article 18</w:t>
            </w:r>
          </w:p>
        </w:tc>
        <w:tc>
          <w:tcPr>
            <w:tcW w:w="1945" w:type="dxa"/>
            <w:tcBorders>
              <w:top w:val="single" w:sz="4" w:space="0" w:color="000000" w:themeColor="text1"/>
            </w:tcBorders>
            <w:shd w:val="clear" w:color="auto" w:fill="auto"/>
            <w:tcMar>
              <w:top w:w="80" w:type="dxa"/>
              <w:left w:w="80" w:type="dxa"/>
              <w:bottom w:w="80" w:type="dxa"/>
              <w:right w:w="80" w:type="dxa"/>
            </w:tcMar>
          </w:tcPr>
          <w:p w14:paraId="1B660775" w14:textId="77777777" w:rsidR="006D667A" w:rsidRPr="00A7082A" w:rsidRDefault="006D667A" w:rsidP="006D667A">
            <w:pPr>
              <w:rPr>
                <w:sz w:val="18"/>
                <w:szCs w:val="18"/>
              </w:rPr>
            </w:pPr>
            <w:r w:rsidRPr="00A7082A">
              <w:rPr>
                <w:sz w:val="18"/>
                <w:szCs w:val="18"/>
              </w:rPr>
              <w:t>- Article 21 reporting</w:t>
            </w:r>
          </w:p>
        </w:tc>
        <w:tc>
          <w:tcPr>
            <w:tcW w:w="1766" w:type="dxa"/>
            <w:tcBorders>
              <w:top w:val="single" w:sz="4" w:space="0" w:color="000000" w:themeColor="text1"/>
            </w:tcBorders>
            <w:shd w:val="clear" w:color="auto" w:fill="auto"/>
            <w:tcMar>
              <w:top w:w="80" w:type="dxa"/>
              <w:left w:w="80" w:type="dxa"/>
              <w:bottom w:w="80" w:type="dxa"/>
              <w:right w:w="80" w:type="dxa"/>
            </w:tcMar>
          </w:tcPr>
          <w:p w14:paraId="3438C46F" w14:textId="77777777" w:rsidR="006D667A" w:rsidRPr="00A7082A" w:rsidRDefault="006D667A" w:rsidP="006D667A">
            <w:pPr>
              <w:rPr>
                <w:sz w:val="18"/>
                <w:szCs w:val="18"/>
              </w:rPr>
            </w:pPr>
            <w:r w:rsidRPr="00A7082A">
              <w:rPr>
                <w:sz w:val="18"/>
                <w:szCs w:val="18"/>
              </w:rPr>
              <w:t>Number in the first evaluation</w:t>
            </w:r>
          </w:p>
        </w:tc>
      </w:tr>
      <w:tr w:rsidR="006D667A" w:rsidRPr="00A7082A" w14:paraId="490B94AB" w14:textId="77777777" w:rsidTr="00AC30F5">
        <w:trPr>
          <w:trHeight w:val="57"/>
          <w:jc w:val="right"/>
        </w:trPr>
        <w:tc>
          <w:tcPr>
            <w:tcW w:w="2049" w:type="dxa"/>
            <w:shd w:val="clear" w:color="auto" w:fill="auto"/>
            <w:tcMar>
              <w:top w:w="80" w:type="dxa"/>
              <w:left w:w="80" w:type="dxa"/>
              <w:bottom w:w="80" w:type="dxa"/>
              <w:right w:w="80" w:type="dxa"/>
            </w:tcMar>
          </w:tcPr>
          <w:p w14:paraId="783B06AA" w14:textId="77777777" w:rsidR="006D667A" w:rsidRPr="00A7082A" w:rsidRDefault="006D667A" w:rsidP="006D667A">
            <w:pPr>
              <w:tabs>
                <w:tab w:val="left" w:pos="1163"/>
              </w:tabs>
              <w:rPr>
                <w:sz w:val="18"/>
                <w:szCs w:val="18"/>
              </w:rPr>
            </w:pPr>
            <w:r w:rsidRPr="00A7082A">
              <w:rPr>
                <w:sz w:val="18"/>
                <w:szCs w:val="18"/>
              </w:rPr>
              <w:t>H4. Process indicator for article 18</w:t>
            </w:r>
          </w:p>
        </w:tc>
        <w:tc>
          <w:tcPr>
            <w:tcW w:w="3590" w:type="dxa"/>
            <w:shd w:val="clear" w:color="auto" w:fill="auto"/>
            <w:tcMar>
              <w:top w:w="80" w:type="dxa"/>
              <w:left w:w="80" w:type="dxa"/>
              <w:bottom w:w="80" w:type="dxa"/>
              <w:right w:w="80" w:type="dxa"/>
            </w:tcMar>
          </w:tcPr>
          <w:p w14:paraId="0B7B8F9D" w14:textId="77777777" w:rsidR="006D667A" w:rsidRPr="00A7082A" w:rsidRDefault="006D667A" w:rsidP="006D667A">
            <w:pPr>
              <w:rPr>
                <w:sz w:val="18"/>
                <w:szCs w:val="18"/>
              </w:rPr>
            </w:pPr>
            <w:r w:rsidRPr="00A7082A">
              <w:rPr>
                <w:sz w:val="18"/>
                <w:szCs w:val="18"/>
              </w:rPr>
              <w:t>Average number of measures under paragraph 1 of article 18 that are being implemented by parties</w:t>
            </w:r>
          </w:p>
        </w:tc>
        <w:tc>
          <w:tcPr>
            <w:tcW w:w="1945" w:type="dxa"/>
            <w:shd w:val="clear" w:color="auto" w:fill="auto"/>
            <w:tcMar>
              <w:top w:w="80" w:type="dxa"/>
              <w:left w:w="80" w:type="dxa"/>
              <w:bottom w:w="80" w:type="dxa"/>
              <w:right w:w="80" w:type="dxa"/>
            </w:tcMar>
          </w:tcPr>
          <w:p w14:paraId="1E412F9C" w14:textId="77777777" w:rsidR="006D667A" w:rsidRPr="00A7082A" w:rsidRDefault="006D667A" w:rsidP="006D667A">
            <w:pPr>
              <w:rPr>
                <w:sz w:val="18"/>
                <w:szCs w:val="18"/>
              </w:rPr>
            </w:pPr>
            <w:r w:rsidRPr="00A7082A">
              <w:rPr>
                <w:sz w:val="18"/>
                <w:szCs w:val="18"/>
              </w:rPr>
              <w:t>- Derived from article 21 reporting</w:t>
            </w:r>
          </w:p>
        </w:tc>
        <w:tc>
          <w:tcPr>
            <w:tcW w:w="1766" w:type="dxa"/>
            <w:shd w:val="clear" w:color="auto" w:fill="auto"/>
            <w:tcMar>
              <w:top w:w="80" w:type="dxa"/>
              <w:left w:w="80" w:type="dxa"/>
              <w:bottom w:w="80" w:type="dxa"/>
              <w:right w:w="80" w:type="dxa"/>
            </w:tcMar>
          </w:tcPr>
          <w:p w14:paraId="45CC48A4" w14:textId="77777777" w:rsidR="006D667A" w:rsidRPr="00A7082A" w:rsidRDefault="006D667A" w:rsidP="006D667A">
            <w:pPr>
              <w:rPr>
                <w:sz w:val="18"/>
                <w:szCs w:val="18"/>
              </w:rPr>
            </w:pPr>
            <w:r w:rsidRPr="00A7082A">
              <w:rPr>
                <w:sz w:val="18"/>
                <w:szCs w:val="18"/>
              </w:rPr>
              <w:t>Number in the first evaluation</w:t>
            </w:r>
          </w:p>
        </w:tc>
      </w:tr>
      <w:tr w:rsidR="006D667A" w:rsidRPr="00A7082A" w14:paraId="648B4E62" w14:textId="77777777" w:rsidTr="00AC30F5">
        <w:trPr>
          <w:trHeight w:val="57"/>
          <w:jc w:val="right"/>
        </w:trPr>
        <w:tc>
          <w:tcPr>
            <w:tcW w:w="2049" w:type="dxa"/>
            <w:shd w:val="clear" w:color="auto" w:fill="auto"/>
            <w:tcMar>
              <w:top w:w="80" w:type="dxa"/>
              <w:left w:w="80" w:type="dxa"/>
              <w:bottom w:w="80" w:type="dxa"/>
              <w:right w:w="80" w:type="dxa"/>
            </w:tcMar>
          </w:tcPr>
          <w:p w14:paraId="5C533CD6" w14:textId="77777777" w:rsidR="006D667A" w:rsidRPr="00A7082A" w:rsidRDefault="006D667A" w:rsidP="006D667A">
            <w:pPr>
              <w:tabs>
                <w:tab w:val="left" w:pos="1163"/>
              </w:tabs>
              <w:rPr>
                <w:sz w:val="18"/>
                <w:szCs w:val="18"/>
              </w:rPr>
            </w:pPr>
            <w:r w:rsidRPr="00A7082A">
              <w:rPr>
                <w:sz w:val="18"/>
                <w:szCs w:val="18"/>
              </w:rPr>
              <w:t>H5. Process indicator for article 18</w:t>
            </w:r>
          </w:p>
        </w:tc>
        <w:tc>
          <w:tcPr>
            <w:tcW w:w="3590" w:type="dxa"/>
            <w:shd w:val="clear" w:color="auto" w:fill="auto"/>
            <w:tcMar>
              <w:top w:w="80" w:type="dxa"/>
              <w:left w:w="80" w:type="dxa"/>
              <w:bottom w:w="80" w:type="dxa"/>
              <w:right w:w="80" w:type="dxa"/>
            </w:tcMar>
          </w:tcPr>
          <w:p w14:paraId="0051B9FC" w14:textId="77777777" w:rsidR="006D667A" w:rsidRPr="00A7082A" w:rsidRDefault="006D667A" w:rsidP="006D667A">
            <w:pPr>
              <w:rPr>
                <w:sz w:val="18"/>
                <w:szCs w:val="18"/>
              </w:rPr>
            </w:pPr>
            <w:r w:rsidRPr="00A7082A">
              <w:rPr>
                <w:sz w:val="18"/>
                <w:szCs w:val="18"/>
              </w:rPr>
              <w:t>Number of parties that have public information on mercury levels in air, humans and biota within their territory</w:t>
            </w:r>
          </w:p>
        </w:tc>
        <w:tc>
          <w:tcPr>
            <w:tcW w:w="1945" w:type="dxa"/>
            <w:shd w:val="clear" w:color="auto" w:fill="auto"/>
            <w:tcMar>
              <w:top w:w="80" w:type="dxa"/>
              <w:left w:w="80" w:type="dxa"/>
              <w:bottom w:w="80" w:type="dxa"/>
              <w:right w:w="80" w:type="dxa"/>
            </w:tcMar>
          </w:tcPr>
          <w:p w14:paraId="5A589CA9" w14:textId="77777777" w:rsidR="006D667A" w:rsidRPr="00A7082A" w:rsidRDefault="006D667A" w:rsidP="006D667A">
            <w:pPr>
              <w:rPr>
                <w:sz w:val="18"/>
                <w:szCs w:val="18"/>
              </w:rPr>
            </w:pPr>
            <w:r w:rsidRPr="00A7082A">
              <w:rPr>
                <w:sz w:val="18"/>
                <w:szCs w:val="18"/>
              </w:rPr>
              <w:t>- Article 21 reporting</w:t>
            </w:r>
          </w:p>
        </w:tc>
        <w:tc>
          <w:tcPr>
            <w:tcW w:w="1766" w:type="dxa"/>
            <w:shd w:val="clear" w:color="auto" w:fill="auto"/>
            <w:tcMar>
              <w:top w:w="80" w:type="dxa"/>
              <w:left w:w="80" w:type="dxa"/>
              <w:bottom w:w="80" w:type="dxa"/>
              <w:right w:w="80" w:type="dxa"/>
            </w:tcMar>
          </w:tcPr>
          <w:p w14:paraId="147EEE5E" w14:textId="77777777" w:rsidR="006D667A" w:rsidRPr="00A7082A" w:rsidRDefault="006D667A" w:rsidP="006D667A">
            <w:pPr>
              <w:rPr>
                <w:sz w:val="18"/>
                <w:szCs w:val="18"/>
              </w:rPr>
            </w:pPr>
            <w:r w:rsidRPr="00A7082A">
              <w:rPr>
                <w:sz w:val="18"/>
                <w:szCs w:val="18"/>
              </w:rPr>
              <w:t>Number in the first evaluation</w:t>
            </w:r>
          </w:p>
        </w:tc>
      </w:tr>
      <w:tr w:rsidR="006D667A" w:rsidRPr="00A7082A" w14:paraId="4A70D8B3" w14:textId="77777777" w:rsidTr="00AC30F5">
        <w:trPr>
          <w:trHeight w:val="57"/>
          <w:jc w:val="right"/>
        </w:trPr>
        <w:tc>
          <w:tcPr>
            <w:tcW w:w="2049" w:type="dxa"/>
            <w:tcBorders>
              <w:bottom w:val="single" w:sz="4" w:space="0" w:color="000000" w:themeColor="text1"/>
            </w:tcBorders>
            <w:shd w:val="clear" w:color="auto" w:fill="auto"/>
            <w:tcMar>
              <w:top w:w="80" w:type="dxa"/>
              <w:left w:w="80" w:type="dxa"/>
              <w:bottom w:w="80" w:type="dxa"/>
              <w:right w:w="80" w:type="dxa"/>
            </w:tcMar>
          </w:tcPr>
          <w:p w14:paraId="4F4AF552" w14:textId="4A011F7F" w:rsidR="006D667A" w:rsidRPr="00A7082A" w:rsidRDefault="006D667A" w:rsidP="006D667A">
            <w:pPr>
              <w:tabs>
                <w:tab w:val="left" w:pos="1163"/>
              </w:tabs>
              <w:rPr>
                <w:sz w:val="18"/>
                <w:szCs w:val="18"/>
              </w:rPr>
            </w:pPr>
            <w:r w:rsidRPr="00A7082A">
              <w:rPr>
                <w:sz w:val="18"/>
                <w:szCs w:val="18"/>
              </w:rPr>
              <w:t>H6.</w:t>
            </w:r>
            <w:r w:rsidR="00F55A86" w:rsidRPr="00A7082A">
              <w:rPr>
                <w:sz w:val="18"/>
                <w:szCs w:val="18"/>
              </w:rPr>
              <w:t xml:space="preserve"> </w:t>
            </w:r>
            <w:r w:rsidRPr="00A7082A">
              <w:rPr>
                <w:sz w:val="18"/>
                <w:szCs w:val="18"/>
              </w:rPr>
              <w:t>Process indicator for article 18</w:t>
            </w:r>
          </w:p>
        </w:tc>
        <w:tc>
          <w:tcPr>
            <w:tcW w:w="3590" w:type="dxa"/>
            <w:tcBorders>
              <w:bottom w:val="single" w:sz="4" w:space="0" w:color="000000" w:themeColor="text1"/>
            </w:tcBorders>
            <w:shd w:val="clear" w:color="auto" w:fill="auto"/>
            <w:tcMar>
              <w:top w:w="80" w:type="dxa"/>
              <w:left w:w="80" w:type="dxa"/>
              <w:bottom w:w="80" w:type="dxa"/>
              <w:right w:w="80" w:type="dxa"/>
            </w:tcMar>
          </w:tcPr>
          <w:p w14:paraId="09B21DF7" w14:textId="77777777" w:rsidR="006D667A" w:rsidRPr="00A7082A" w:rsidRDefault="006D667A" w:rsidP="006D667A">
            <w:pPr>
              <w:tabs>
                <w:tab w:val="left" w:pos="1163"/>
              </w:tabs>
              <w:rPr>
                <w:sz w:val="18"/>
                <w:szCs w:val="18"/>
              </w:rPr>
            </w:pPr>
            <w:r w:rsidRPr="00A7082A">
              <w:rPr>
                <w:sz w:val="18"/>
                <w:szCs w:val="18"/>
              </w:rPr>
              <w:t>Number of parties undertaking risk communication relating to mercury intake through food and water consumption within their territory</w:t>
            </w:r>
          </w:p>
        </w:tc>
        <w:tc>
          <w:tcPr>
            <w:tcW w:w="1945" w:type="dxa"/>
            <w:tcBorders>
              <w:bottom w:val="single" w:sz="4" w:space="0" w:color="000000" w:themeColor="text1"/>
            </w:tcBorders>
            <w:shd w:val="clear" w:color="auto" w:fill="auto"/>
            <w:tcMar>
              <w:top w:w="80" w:type="dxa"/>
              <w:left w:w="80" w:type="dxa"/>
              <w:bottom w:w="80" w:type="dxa"/>
              <w:right w:w="80" w:type="dxa"/>
            </w:tcMar>
          </w:tcPr>
          <w:p w14:paraId="113431AC" w14:textId="77777777" w:rsidR="006D667A" w:rsidRPr="00A7082A" w:rsidRDefault="006D667A" w:rsidP="006D667A">
            <w:pPr>
              <w:tabs>
                <w:tab w:val="left" w:pos="1163"/>
              </w:tabs>
              <w:rPr>
                <w:sz w:val="18"/>
                <w:szCs w:val="18"/>
              </w:rPr>
            </w:pPr>
            <w:r w:rsidRPr="00A7082A">
              <w:rPr>
                <w:sz w:val="18"/>
                <w:szCs w:val="18"/>
              </w:rPr>
              <w:t>- Article 21 reporting</w:t>
            </w:r>
          </w:p>
        </w:tc>
        <w:tc>
          <w:tcPr>
            <w:tcW w:w="1766" w:type="dxa"/>
            <w:tcBorders>
              <w:bottom w:val="single" w:sz="4" w:space="0" w:color="000000" w:themeColor="text1"/>
            </w:tcBorders>
            <w:shd w:val="clear" w:color="auto" w:fill="auto"/>
            <w:tcMar>
              <w:top w:w="80" w:type="dxa"/>
              <w:left w:w="80" w:type="dxa"/>
              <w:bottom w:w="80" w:type="dxa"/>
              <w:right w:w="80" w:type="dxa"/>
            </w:tcMar>
          </w:tcPr>
          <w:p w14:paraId="1A625C05" w14:textId="77777777" w:rsidR="006D667A" w:rsidRPr="00A7082A" w:rsidRDefault="006D667A" w:rsidP="006D667A">
            <w:pPr>
              <w:tabs>
                <w:tab w:val="left" w:pos="1163"/>
              </w:tabs>
              <w:rPr>
                <w:sz w:val="18"/>
                <w:szCs w:val="18"/>
              </w:rPr>
            </w:pPr>
            <w:r w:rsidRPr="00A7082A">
              <w:rPr>
                <w:sz w:val="18"/>
                <w:szCs w:val="18"/>
              </w:rPr>
              <w:t>Number in the first evaluation</w:t>
            </w:r>
          </w:p>
        </w:tc>
      </w:tr>
      <w:tr w:rsidR="006D667A" w:rsidRPr="00A7082A" w14:paraId="18A8C1AD" w14:textId="77777777" w:rsidTr="00AC30F5">
        <w:trPr>
          <w:trHeight w:val="57"/>
          <w:jc w:val="right"/>
        </w:trPr>
        <w:tc>
          <w:tcPr>
            <w:tcW w:w="2049"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66361D4C" w14:textId="77777777" w:rsidR="006D667A" w:rsidRPr="00A7082A" w:rsidRDefault="006D667A" w:rsidP="006D667A">
            <w:pPr>
              <w:keepNext/>
              <w:tabs>
                <w:tab w:val="left" w:pos="1163"/>
              </w:tabs>
              <w:rPr>
                <w:sz w:val="18"/>
                <w:szCs w:val="18"/>
              </w:rPr>
            </w:pPr>
            <w:r w:rsidRPr="00A7082A">
              <w:rPr>
                <w:b/>
                <w:bCs/>
                <w:sz w:val="18"/>
                <w:szCs w:val="18"/>
              </w:rPr>
              <w:t>Article 19</w:t>
            </w:r>
          </w:p>
        </w:tc>
        <w:tc>
          <w:tcPr>
            <w:tcW w:w="3590"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450ED762" w14:textId="77777777" w:rsidR="006D667A" w:rsidRPr="00A7082A" w:rsidRDefault="006D667A" w:rsidP="006D667A">
            <w:pPr>
              <w:rPr>
                <w:sz w:val="18"/>
                <w:szCs w:val="18"/>
              </w:rPr>
            </w:pPr>
          </w:p>
        </w:tc>
        <w:tc>
          <w:tcPr>
            <w:tcW w:w="1945"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65699E38" w14:textId="77777777" w:rsidR="006D667A" w:rsidRPr="00A7082A" w:rsidRDefault="006D667A" w:rsidP="006D667A">
            <w:pPr>
              <w:rPr>
                <w:sz w:val="18"/>
                <w:szCs w:val="18"/>
              </w:rPr>
            </w:pPr>
          </w:p>
        </w:tc>
        <w:tc>
          <w:tcPr>
            <w:tcW w:w="1766" w:type="dxa"/>
            <w:tcBorders>
              <w:top w:val="single" w:sz="4" w:space="0" w:color="000000" w:themeColor="text1"/>
              <w:bottom w:val="single" w:sz="4" w:space="0" w:color="000000" w:themeColor="text1"/>
            </w:tcBorders>
            <w:shd w:val="clear" w:color="auto" w:fill="auto"/>
            <w:tcMar>
              <w:top w:w="80" w:type="dxa"/>
              <w:left w:w="80" w:type="dxa"/>
              <w:bottom w:w="80" w:type="dxa"/>
              <w:right w:w="80" w:type="dxa"/>
            </w:tcMar>
          </w:tcPr>
          <w:p w14:paraId="1FE7BF75" w14:textId="77777777" w:rsidR="006D667A" w:rsidRPr="00A7082A" w:rsidRDefault="006D667A" w:rsidP="006D667A">
            <w:pPr>
              <w:rPr>
                <w:sz w:val="18"/>
                <w:szCs w:val="18"/>
              </w:rPr>
            </w:pPr>
          </w:p>
        </w:tc>
      </w:tr>
      <w:tr w:rsidR="006D667A" w:rsidRPr="00A7082A" w14:paraId="40C4790F" w14:textId="77777777" w:rsidTr="00AC30F5">
        <w:trPr>
          <w:trHeight w:val="57"/>
          <w:jc w:val="right"/>
        </w:trPr>
        <w:tc>
          <w:tcPr>
            <w:tcW w:w="2049" w:type="dxa"/>
            <w:tcBorders>
              <w:top w:val="single" w:sz="4" w:space="0" w:color="000000" w:themeColor="text1"/>
            </w:tcBorders>
            <w:shd w:val="clear" w:color="auto" w:fill="auto"/>
            <w:tcMar>
              <w:top w:w="80" w:type="dxa"/>
              <w:left w:w="80" w:type="dxa"/>
              <w:bottom w:w="80" w:type="dxa"/>
              <w:right w:w="80" w:type="dxa"/>
            </w:tcMar>
          </w:tcPr>
          <w:p w14:paraId="1D1AB8FB" w14:textId="77777777" w:rsidR="006D667A" w:rsidRPr="00A7082A" w:rsidRDefault="006D667A" w:rsidP="006D667A">
            <w:pPr>
              <w:tabs>
                <w:tab w:val="left" w:pos="1163"/>
              </w:tabs>
              <w:rPr>
                <w:sz w:val="18"/>
                <w:szCs w:val="18"/>
              </w:rPr>
            </w:pPr>
            <w:r w:rsidRPr="00A7082A">
              <w:rPr>
                <w:sz w:val="18"/>
                <w:szCs w:val="18"/>
              </w:rPr>
              <w:t>H7. Process indicator for article 19</w:t>
            </w:r>
          </w:p>
        </w:tc>
        <w:tc>
          <w:tcPr>
            <w:tcW w:w="3590" w:type="dxa"/>
            <w:tcBorders>
              <w:top w:val="single" w:sz="4" w:space="0" w:color="000000" w:themeColor="text1"/>
            </w:tcBorders>
            <w:shd w:val="clear" w:color="auto" w:fill="auto"/>
            <w:tcMar>
              <w:top w:w="80" w:type="dxa"/>
              <w:left w:w="80" w:type="dxa"/>
              <w:bottom w:w="80" w:type="dxa"/>
              <w:right w:w="80" w:type="dxa"/>
            </w:tcMar>
          </w:tcPr>
          <w:p w14:paraId="25373254" w14:textId="77777777" w:rsidR="006D667A" w:rsidRPr="00A7082A" w:rsidRDefault="006D667A" w:rsidP="006D667A">
            <w:pPr>
              <w:rPr>
                <w:sz w:val="18"/>
                <w:szCs w:val="18"/>
              </w:rPr>
            </w:pPr>
            <w:r w:rsidRPr="00A7082A">
              <w:rPr>
                <w:sz w:val="18"/>
                <w:szCs w:val="18"/>
              </w:rPr>
              <w:t xml:space="preserve">Number of parties that have undertaken research, development and monitoring, in accordance with paragraph 1 of article 19 </w:t>
            </w:r>
          </w:p>
        </w:tc>
        <w:tc>
          <w:tcPr>
            <w:tcW w:w="1945" w:type="dxa"/>
            <w:tcBorders>
              <w:top w:val="single" w:sz="4" w:space="0" w:color="000000" w:themeColor="text1"/>
            </w:tcBorders>
            <w:shd w:val="clear" w:color="auto" w:fill="auto"/>
            <w:tcMar>
              <w:top w:w="80" w:type="dxa"/>
              <w:left w:w="80" w:type="dxa"/>
              <w:bottom w:w="80" w:type="dxa"/>
              <w:right w:w="80" w:type="dxa"/>
            </w:tcMar>
          </w:tcPr>
          <w:p w14:paraId="51927C62" w14:textId="77777777" w:rsidR="006D667A" w:rsidRPr="00A7082A" w:rsidRDefault="006D667A" w:rsidP="006D667A">
            <w:pPr>
              <w:rPr>
                <w:sz w:val="18"/>
                <w:szCs w:val="18"/>
              </w:rPr>
            </w:pPr>
            <w:r w:rsidRPr="00A7082A">
              <w:rPr>
                <w:sz w:val="18"/>
                <w:szCs w:val="18"/>
              </w:rPr>
              <w:t>- Article 21 reporting</w:t>
            </w:r>
          </w:p>
        </w:tc>
        <w:tc>
          <w:tcPr>
            <w:tcW w:w="1766" w:type="dxa"/>
            <w:tcBorders>
              <w:top w:val="single" w:sz="4" w:space="0" w:color="000000" w:themeColor="text1"/>
            </w:tcBorders>
            <w:shd w:val="clear" w:color="auto" w:fill="auto"/>
            <w:tcMar>
              <w:top w:w="80" w:type="dxa"/>
              <w:left w:w="80" w:type="dxa"/>
              <w:bottom w:w="80" w:type="dxa"/>
              <w:right w:w="80" w:type="dxa"/>
            </w:tcMar>
          </w:tcPr>
          <w:p w14:paraId="7BBA9A75" w14:textId="77777777" w:rsidR="006D667A" w:rsidRPr="00A7082A" w:rsidRDefault="006D667A" w:rsidP="006D667A">
            <w:pPr>
              <w:rPr>
                <w:sz w:val="18"/>
                <w:szCs w:val="18"/>
              </w:rPr>
            </w:pPr>
            <w:r w:rsidRPr="00A7082A">
              <w:rPr>
                <w:sz w:val="18"/>
                <w:szCs w:val="18"/>
              </w:rPr>
              <w:t>Number in the first evaluation</w:t>
            </w:r>
          </w:p>
        </w:tc>
      </w:tr>
      <w:tr w:rsidR="006D667A" w:rsidRPr="00A7082A" w14:paraId="473B9200" w14:textId="77777777" w:rsidTr="00AC30F5">
        <w:trPr>
          <w:trHeight w:val="57"/>
          <w:jc w:val="right"/>
        </w:trPr>
        <w:tc>
          <w:tcPr>
            <w:tcW w:w="2049" w:type="dxa"/>
            <w:shd w:val="clear" w:color="auto" w:fill="auto"/>
            <w:tcMar>
              <w:top w:w="80" w:type="dxa"/>
              <w:left w:w="80" w:type="dxa"/>
              <w:bottom w:w="80" w:type="dxa"/>
              <w:right w:w="80" w:type="dxa"/>
            </w:tcMar>
          </w:tcPr>
          <w:p w14:paraId="4C650658" w14:textId="77777777" w:rsidR="006D667A" w:rsidRPr="00A7082A" w:rsidRDefault="006D667A" w:rsidP="006D667A">
            <w:pPr>
              <w:tabs>
                <w:tab w:val="left" w:pos="1163"/>
              </w:tabs>
              <w:rPr>
                <w:sz w:val="18"/>
                <w:szCs w:val="18"/>
              </w:rPr>
            </w:pPr>
            <w:r w:rsidRPr="00A7082A">
              <w:rPr>
                <w:sz w:val="18"/>
                <w:szCs w:val="18"/>
              </w:rPr>
              <w:t>H8. Process indicator for article 19</w:t>
            </w:r>
          </w:p>
        </w:tc>
        <w:tc>
          <w:tcPr>
            <w:tcW w:w="3590" w:type="dxa"/>
            <w:shd w:val="clear" w:color="auto" w:fill="auto"/>
            <w:tcMar>
              <w:top w:w="80" w:type="dxa"/>
              <w:left w:w="80" w:type="dxa"/>
              <w:bottom w:w="80" w:type="dxa"/>
              <w:right w:w="80" w:type="dxa"/>
            </w:tcMar>
          </w:tcPr>
          <w:p w14:paraId="5AB14C43" w14:textId="77777777" w:rsidR="006D667A" w:rsidRPr="00A7082A" w:rsidRDefault="006D667A" w:rsidP="006D667A">
            <w:pPr>
              <w:rPr>
                <w:sz w:val="18"/>
                <w:szCs w:val="18"/>
              </w:rPr>
            </w:pPr>
            <w:r w:rsidRPr="00A7082A">
              <w:rPr>
                <w:sz w:val="18"/>
                <w:szCs w:val="18"/>
              </w:rPr>
              <w:t>Number of parties contributing data and knowledge to integrated assessments</w:t>
            </w:r>
          </w:p>
        </w:tc>
        <w:tc>
          <w:tcPr>
            <w:tcW w:w="1945" w:type="dxa"/>
            <w:shd w:val="clear" w:color="auto" w:fill="auto"/>
            <w:tcMar>
              <w:top w:w="80" w:type="dxa"/>
              <w:left w:w="80" w:type="dxa"/>
              <w:bottom w:w="80" w:type="dxa"/>
              <w:right w:w="80" w:type="dxa"/>
            </w:tcMar>
          </w:tcPr>
          <w:p w14:paraId="5EC78E90" w14:textId="77777777" w:rsidR="006D667A" w:rsidRPr="00A7082A" w:rsidRDefault="006D667A" w:rsidP="006D667A">
            <w:pPr>
              <w:rPr>
                <w:sz w:val="18"/>
                <w:szCs w:val="18"/>
              </w:rPr>
            </w:pPr>
            <w:r w:rsidRPr="00A7082A">
              <w:rPr>
                <w:sz w:val="18"/>
                <w:szCs w:val="18"/>
              </w:rPr>
              <w:t>- Existing monitoring networks, databases, scientific data and literature</w:t>
            </w:r>
          </w:p>
        </w:tc>
        <w:tc>
          <w:tcPr>
            <w:tcW w:w="1766" w:type="dxa"/>
            <w:shd w:val="clear" w:color="auto" w:fill="auto"/>
            <w:tcMar>
              <w:top w:w="80" w:type="dxa"/>
              <w:left w:w="80" w:type="dxa"/>
              <w:bottom w:w="80" w:type="dxa"/>
              <w:right w:w="80" w:type="dxa"/>
            </w:tcMar>
          </w:tcPr>
          <w:p w14:paraId="28B51D8E" w14:textId="77777777" w:rsidR="006D667A" w:rsidRPr="00A7082A" w:rsidRDefault="006D667A" w:rsidP="006D667A">
            <w:pPr>
              <w:rPr>
                <w:sz w:val="18"/>
                <w:szCs w:val="18"/>
              </w:rPr>
            </w:pPr>
            <w:r w:rsidRPr="00A7082A">
              <w:rPr>
                <w:sz w:val="18"/>
                <w:szCs w:val="18"/>
              </w:rPr>
              <w:t>Number in the first evaluation</w:t>
            </w:r>
          </w:p>
        </w:tc>
      </w:tr>
      <w:tr w:rsidR="006D667A" w:rsidRPr="00A7082A" w14:paraId="719D946A" w14:textId="77777777" w:rsidTr="00AC30F5">
        <w:trPr>
          <w:trHeight w:val="57"/>
          <w:jc w:val="right"/>
        </w:trPr>
        <w:tc>
          <w:tcPr>
            <w:tcW w:w="2049" w:type="dxa"/>
            <w:shd w:val="clear" w:color="auto" w:fill="auto"/>
            <w:tcMar>
              <w:top w:w="80" w:type="dxa"/>
              <w:left w:w="80" w:type="dxa"/>
              <w:bottom w:w="80" w:type="dxa"/>
              <w:right w:w="80" w:type="dxa"/>
            </w:tcMar>
          </w:tcPr>
          <w:p w14:paraId="535CD36E" w14:textId="77777777" w:rsidR="006D667A" w:rsidRPr="00A7082A" w:rsidRDefault="006D667A" w:rsidP="006D667A">
            <w:pPr>
              <w:tabs>
                <w:tab w:val="left" w:pos="1163"/>
              </w:tabs>
              <w:rPr>
                <w:sz w:val="18"/>
                <w:szCs w:val="18"/>
              </w:rPr>
            </w:pPr>
            <w:r w:rsidRPr="00A7082A">
              <w:rPr>
                <w:sz w:val="18"/>
                <w:szCs w:val="18"/>
              </w:rPr>
              <w:t xml:space="preserve">H9. Additional process indicator for article 19 </w:t>
            </w:r>
          </w:p>
        </w:tc>
        <w:tc>
          <w:tcPr>
            <w:tcW w:w="3590" w:type="dxa"/>
            <w:shd w:val="clear" w:color="auto" w:fill="auto"/>
            <w:tcMar>
              <w:top w:w="80" w:type="dxa"/>
              <w:left w:w="80" w:type="dxa"/>
              <w:bottom w:w="80" w:type="dxa"/>
              <w:right w:w="80" w:type="dxa"/>
            </w:tcMar>
          </w:tcPr>
          <w:p w14:paraId="2B27FD1A" w14:textId="77777777" w:rsidR="006D667A" w:rsidRPr="00A7082A" w:rsidRDefault="006D667A" w:rsidP="006D667A">
            <w:pPr>
              <w:rPr>
                <w:sz w:val="18"/>
                <w:szCs w:val="18"/>
              </w:rPr>
            </w:pPr>
            <w:r w:rsidRPr="00A7082A">
              <w:rPr>
                <w:sz w:val="18"/>
                <w:szCs w:val="18"/>
              </w:rPr>
              <w:t>Number of regions contributing to a regional dataset</w:t>
            </w:r>
          </w:p>
        </w:tc>
        <w:tc>
          <w:tcPr>
            <w:tcW w:w="1945" w:type="dxa"/>
            <w:shd w:val="clear" w:color="auto" w:fill="auto"/>
            <w:tcMar>
              <w:top w:w="80" w:type="dxa"/>
              <w:left w:w="80" w:type="dxa"/>
              <w:bottom w:w="80" w:type="dxa"/>
              <w:right w:w="80" w:type="dxa"/>
            </w:tcMar>
          </w:tcPr>
          <w:p w14:paraId="382595A1" w14:textId="77777777" w:rsidR="006D667A" w:rsidRPr="00A7082A" w:rsidRDefault="006D667A" w:rsidP="006D667A">
            <w:pPr>
              <w:rPr>
                <w:sz w:val="18"/>
                <w:szCs w:val="18"/>
              </w:rPr>
            </w:pPr>
            <w:r w:rsidRPr="00A7082A">
              <w:rPr>
                <w:sz w:val="18"/>
                <w:szCs w:val="18"/>
              </w:rPr>
              <w:t>- Existing monitoring networks, databases, scientific data and literature</w:t>
            </w:r>
          </w:p>
        </w:tc>
        <w:tc>
          <w:tcPr>
            <w:tcW w:w="1766" w:type="dxa"/>
            <w:shd w:val="clear" w:color="auto" w:fill="auto"/>
            <w:tcMar>
              <w:top w:w="80" w:type="dxa"/>
              <w:left w:w="80" w:type="dxa"/>
              <w:bottom w:w="80" w:type="dxa"/>
              <w:right w:w="80" w:type="dxa"/>
            </w:tcMar>
          </w:tcPr>
          <w:p w14:paraId="14EA0A65" w14:textId="77777777" w:rsidR="006D667A" w:rsidRPr="00A7082A" w:rsidRDefault="006D667A" w:rsidP="006D667A">
            <w:pPr>
              <w:rPr>
                <w:sz w:val="18"/>
                <w:szCs w:val="18"/>
              </w:rPr>
            </w:pPr>
            <w:r w:rsidRPr="00A7082A">
              <w:rPr>
                <w:sz w:val="18"/>
                <w:szCs w:val="18"/>
              </w:rPr>
              <w:t>Number in the first evaluation</w:t>
            </w:r>
          </w:p>
        </w:tc>
      </w:tr>
      <w:tr w:rsidR="006D667A" w:rsidRPr="00A7082A" w14:paraId="7EF828C0" w14:textId="77777777" w:rsidTr="00AC30F5">
        <w:trPr>
          <w:trHeight w:val="57"/>
          <w:jc w:val="right"/>
        </w:trPr>
        <w:tc>
          <w:tcPr>
            <w:tcW w:w="2049" w:type="dxa"/>
            <w:tcBorders>
              <w:bottom w:val="single" w:sz="12" w:space="0" w:color="000000" w:themeColor="text1"/>
            </w:tcBorders>
            <w:shd w:val="clear" w:color="auto" w:fill="auto"/>
            <w:tcMar>
              <w:top w:w="80" w:type="dxa"/>
              <w:left w:w="80" w:type="dxa"/>
              <w:bottom w:w="80" w:type="dxa"/>
              <w:right w:w="80" w:type="dxa"/>
            </w:tcMar>
          </w:tcPr>
          <w:p w14:paraId="45538A89" w14:textId="77777777" w:rsidR="006D667A" w:rsidRPr="00A7082A" w:rsidRDefault="006D667A" w:rsidP="006D667A">
            <w:pPr>
              <w:rPr>
                <w:sz w:val="18"/>
                <w:szCs w:val="18"/>
              </w:rPr>
            </w:pPr>
            <w:r w:rsidRPr="00A7082A">
              <w:rPr>
                <w:b/>
                <w:bCs/>
                <w:sz w:val="18"/>
                <w:szCs w:val="18"/>
              </w:rPr>
              <w:t>Notes</w:t>
            </w:r>
          </w:p>
        </w:tc>
        <w:tc>
          <w:tcPr>
            <w:tcW w:w="7301" w:type="dxa"/>
            <w:gridSpan w:val="3"/>
            <w:tcBorders>
              <w:bottom w:val="single" w:sz="12" w:space="0" w:color="000000" w:themeColor="text1"/>
            </w:tcBorders>
            <w:shd w:val="clear" w:color="auto" w:fill="auto"/>
            <w:tcMar>
              <w:top w:w="80" w:type="dxa"/>
              <w:left w:w="80" w:type="dxa"/>
              <w:bottom w:w="80" w:type="dxa"/>
              <w:right w:w="80" w:type="dxa"/>
            </w:tcMar>
          </w:tcPr>
          <w:p w14:paraId="30F6967E" w14:textId="77777777" w:rsidR="006D667A" w:rsidRPr="00A7082A" w:rsidRDefault="006D667A" w:rsidP="006D667A">
            <w:pPr>
              <w:numPr>
                <w:ilvl w:val="0"/>
                <w:numId w:val="61"/>
              </w:numPr>
              <w:rPr>
                <w:sz w:val="18"/>
                <w:szCs w:val="18"/>
              </w:rPr>
            </w:pPr>
            <w:r w:rsidRPr="00A7082A">
              <w:rPr>
                <w:sz w:val="18"/>
                <w:szCs w:val="18"/>
              </w:rPr>
              <w:t xml:space="preserve">Submissions to the secretariat that supplement article 21 reporting </w:t>
            </w:r>
          </w:p>
        </w:tc>
      </w:tr>
    </w:tbl>
    <w:p w14:paraId="11404ACF" w14:textId="77777777" w:rsidR="006D667A" w:rsidRPr="00A7082A" w:rsidRDefault="006D667A" w:rsidP="006D667A">
      <w:pPr>
        <w:widowControl w:val="0"/>
        <w:jc w:val="right"/>
        <w:rPr>
          <w:sz w:val="12"/>
          <w:szCs w:val="12"/>
        </w:rPr>
      </w:pPr>
    </w:p>
    <w:tbl>
      <w:tblPr>
        <w:tblW w:w="8307" w:type="dxa"/>
        <w:jc w:val="right"/>
        <w:tblLayout w:type="fixed"/>
        <w:tblLook w:val="04A0" w:firstRow="1" w:lastRow="0" w:firstColumn="1" w:lastColumn="0" w:noHBand="0" w:noVBand="1"/>
      </w:tblPr>
      <w:tblGrid>
        <w:gridCol w:w="1766"/>
        <w:gridCol w:w="3202"/>
        <w:gridCol w:w="1819"/>
        <w:gridCol w:w="1520"/>
      </w:tblGrid>
      <w:tr w:rsidR="006D667A" w:rsidRPr="00A7082A" w14:paraId="24D52D58" w14:textId="77777777" w:rsidTr="00AC30F5">
        <w:trPr>
          <w:trHeight w:val="57"/>
          <w:jc w:val="right"/>
        </w:trPr>
        <w:tc>
          <w:tcPr>
            <w:tcW w:w="4968" w:type="dxa"/>
            <w:gridSpan w:val="2"/>
            <w:tcBorders>
              <w:top w:val="single" w:sz="4" w:space="0" w:color="000000" w:themeColor="text1"/>
              <w:bottom w:val="single" w:sz="12" w:space="0" w:color="000000" w:themeColor="text1"/>
            </w:tcBorders>
            <w:shd w:val="clear" w:color="auto" w:fill="auto"/>
            <w:tcMar>
              <w:top w:w="80" w:type="dxa"/>
              <w:left w:w="80" w:type="dxa"/>
              <w:bottom w:w="80" w:type="dxa"/>
              <w:right w:w="80" w:type="dxa"/>
            </w:tcMar>
          </w:tcPr>
          <w:p w14:paraId="306065EB" w14:textId="77777777" w:rsidR="006D667A" w:rsidRPr="00A7082A" w:rsidRDefault="006D667A" w:rsidP="00AC30F5">
            <w:pPr>
              <w:spacing w:before="40" w:after="40"/>
              <w:rPr>
                <w:i/>
                <w:sz w:val="18"/>
                <w:szCs w:val="18"/>
              </w:rPr>
            </w:pPr>
            <w:r w:rsidRPr="00A7082A">
              <w:rPr>
                <w:bCs/>
                <w:i/>
                <w:sz w:val="18"/>
                <w:szCs w:val="18"/>
              </w:rPr>
              <w:lastRenderedPageBreak/>
              <w:t>I: Article 20 (implementation plans)</w:t>
            </w:r>
          </w:p>
        </w:tc>
        <w:tc>
          <w:tcPr>
            <w:tcW w:w="1819" w:type="dxa"/>
            <w:tcBorders>
              <w:top w:val="single" w:sz="4" w:space="0" w:color="000000" w:themeColor="text1"/>
              <w:bottom w:val="single" w:sz="12" w:space="0" w:color="000000" w:themeColor="text1"/>
            </w:tcBorders>
            <w:shd w:val="clear" w:color="auto" w:fill="auto"/>
            <w:tcMar>
              <w:top w:w="80" w:type="dxa"/>
              <w:left w:w="80" w:type="dxa"/>
              <w:bottom w:w="80" w:type="dxa"/>
              <w:right w:w="80" w:type="dxa"/>
            </w:tcMar>
          </w:tcPr>
          <w:p w14:paraId="7D32A2BD" w14:textId="77777777" w:rsidR="006D667A" w:rsidRPr="00A7082A" w:rsidRDefault="006D667A" w:rsidP="00AC30F5">
            <w:pPr>
              <w:spacing w:before="40" w:after="40"/>
              <w:rPr>
                <w:i/>
                <w:sz w:val="18"/>
                <w:szCs w:val="18"/>
              </w:rPr>
            </w:pPr>
            <w:r w:rsidRPr="00A7082A">
              <w:rPr>
                <w:i/>
                <w:sz w:val="18"/>
                <w:szCs w:val="18"/>
              </w:rPr>
              <w:t>Source of information on the indicator</w:t>
            </w:r>
          </w:p>
        </w:tc>
        <w:tc>
          <w:tcPr>
            <w:tcW w:w="1520" w:type="dxa"/>
            <w:tcBorders>
              <w:top w:val="single" w:sz="4" w:space="0" w:color="000000" w:themeColor="text1"/>
              <w:bottom w:val="single" w:sz="12" w:space="0" w:color="000000" w:themeColor="text1"/>
            </w:tcBorders>
            <w:shd w:val="clear" w:color="auto" w:fill="auto"/>
            <w:tcMar>
              <w:top w:w="80" w:type="dxa"/>
              <w:left w:w="80" w:type="dxa"/>
              <w:bottom w:w="80" w:type="dxa"/>
              <w:right w:w="80" w:type="dxa"/>
            </w:tcMar>
          </w:tcPr>
          <w:p w14:paraId="1A9A199C" w14:textId="77777777" w:rsidR="006D667A" w:rsidRPr="00A7082A" w:rsidRDefault="006D667A" w:rsidP="00AC30F5">
            <w:pPr>
              <w:spacing w:before="40" w:after="40"/>
              <w:rPr>
                <w:i/>
                <w:sz w:val="18"/>
                <w:szCs w:val="18"/>
              </w:rPr>
            </w:pPr>
            <w:r w:rsidRPr="00A7082A">
              <w:rPr>
                <w:i/>
                <w:sz w:val="18"/>
                <w:szCs w:val="18"/>
              </w:rPr>
              <w:t>Baseline for the indicator</w:t>
            </w:r>
          </w:p>
        </w:tc>
      </w:tr>
      <w:tr w:rsidR="006D667A" w:rsidRPr="00A7082A" w14:paraId="751D97F1" w14:textId="77777777" w:rsidTr="00AC30F5">
        <w:trPr>
          <w:trHeight w:val="57"/>
          <w:jc w:val="right"/>
        </w:trPr>
        <w:tc>
          <w:tcPr>
            <w:tcW w:w="1766" w:type="dxa"/>
            <w:tcBorders>
              <w:top w:val="single" w:sz="12" w:space="0" w:color="000000" w:themeColor="text1"/>
            </w:tcBorders>
            <w:shd w:val="clear" w:color="auto" w:fill="auto"/>
            <w:tcMar>
              <w:top w:w="80" w:type="dxa"/>
              <w:left w:w="80" w:type="dxa"/>
              <w:bottom w:w="80" w:type="dxa"/>
              <w:right w:w="80" w:type="dxa"/>
            </w:tcMar>
          </w:tcPr>
          <w:p w14:paraId="2139613D" w14:textId="77777777" w:rsidR="006D667A" w:rsidRPr="00A7082A" w:rsidRDefault="006D667A" w:rsidP="00AC30F5">
            <w:pPr>
              <w:spacing w:before="40" w:after="40"/>
              <w:rPr>
                <w:sz w:val="18"/>
                <w:szCs w:val="18"/>
              </w:rPr>
            </w:pPr>
            <w:r w:rsidRPr="00A7082A">
              <w:rPr>
                <w:sz w:val="18"/>
                <w:szCs w:val="18"/>
              </w:rPr>
              <w:t>I1. Process indicator</w:t>
            </w:r>
          </w:p>
        </w:tc>
        <w:tc>
          <w:tcPr>
            <w:tcW w:w="3202" w:type="dxa"/>
            <w:tcBorders>
              <w:top w:val="single" w:sz="12" w:space="0" w:color="000000" w:themeColor="text1"/>
            </w:tcBorders>
            <w:shd w:val="clear" w:color="auto" w:fill="auto"/>
            <w:tcMar>
              <w:top w:w="80" w:type="dxa"/>
              <w:left w:w="80" w:type="dxa"/>
              <w:bottom w:w="80" w:type="dxa"/>
              <w:right w:w="80" w:type="dxa"/>
            </w:tcMar>
          </w:tcPr>
          <w:p w14:paraId="31541397" w14:textId="77777777" w:rsidR="006D667A" w:rsidRPr="00A7082A" w:rsidRDefault="006D667A" w:rsidP="00AC30F5">
            <w:pPr>
              <w:spacing w:before="40" w:after="40"/>
              <w:rPr>
                <w:sz w:val="18"/>
                <w:szCs w:val="18"/>
              </w:rPr>
            </w:pPr>
            <w:r w:rsidRPr="00A7082A">
              <w:rPr>
                <w:sz w:val="18"/>
                <w:szCs w:val="18"/>
              </w:rPr>
              <w:t>Number of parties submitting implementation plans</w:t>
            </w:r>
          </w:p>
        </w:tc>
        <w:tc>
          <w:tcPr>
            <w:tcW w:w="1819" w:type="dxa"/>
            <w:tcBorders>
              <w:top w:val="single" w:sz="12" w:space="0" w:color="000000" w:themeColor="text1"/>
            </w:tcBorders>
            <w:shd w:val="clear" w:color="auto" w:fill="auto"/>
            <w:tcMar>
              <w:top w:w="80" w:type="dxa"/>
              <w:left w:w="80" w:type="dxa"/>
              <w:bottom w:w="80" w:type="dxa"/>
              <w:right w:w="80" w:type="dxa"/>
            </w:tcMar>
          </w:tcPr>
          <w:p w14:paraId="018044B4" w14:textId="77777777" w:rsidR="006D667A" w:rsidRPr="00A7082A" w:rsidRDefault="006D667A" w:rsidP="00AC30F5">
            <w:pPr>
              <w:spacing w:before="40" w:after="40"/>
              <w:rPr>
                <w:sz w:val="18"/>
                <w:szCs w:val="18"/>
              </w:rPr>
            </w:pPr>
            <w:r w:rsidRPr="00A7082A">
              <w:rPr>
                <w:sz w:val="18"/>
                <w:szCs w:val="18"/>
              </w:rPr>
              <w:t>- Secretariat report to the Conference of the Parties on implementation plan submissions</w:t>
            </w:r>
          </w:p>
        </w:tc>
        <w:tc>
          <w:tcPr>
            <w:tcW w:w="1520" w:type="dxa"/>
            <w:tcBorders>
              <w:top w:val="single" w:sz="12" w:space="0" w:color="000000" w:themeColor="text1"/>
            </w:tcBorders>
            <w:shd w:val="clear" w:color="auto" w:fill="auto"/>
            <w:tcMar>
              <w:top w:w="80" w:type="dxa"/>
              <w:left w:w="80" w:type="dxa"/>
              <w:bottom w:w="80" w:type="dxa"/>
              <w:right w:w="80" w:type="dxa"/>
            </w:tcMar>
          </w:tcPr>
          <w:p w14:paraId="30D84D63" w14:textId="77777777" w:rsidR="006D667A" w:rsidRPr="00A7082A" w:rsidRDefault="006D667A" w:rsidP="00AC30F5">
            <w:pPr>
              <w:spacing w:before="40" w:after="40"/>
              <w:rPr>
                <w:sz w:val="18"/>
                <w:szCs w:val="18"/>
              </w:rPr>
            </w:pPr>
            <w:r w:rsidRPr="00A7082A">
              <w:rPr>
                <w:sz w:val="18"/>
                <w:szCs w:val="18"/>
              </w:rPr>
              <w:t>Zero</w:t>
            </w:r>
          </w:p>
        </w:tc>
      </w:tr>
      <w:tr w:rsidR="006D667A" w:rsidRPr="00A7082A" w14:paraId="4E96C806" w14:textId="77777777" w:rsidTr="00AC30F5">
        <w:trPr>
          <w:trHeight w:val="57"/>
          <w:jc w:val="right"/>
        </w:trPr>
        <w:tc>
          <w:tcPr>
            <w:tcW w:w="1766" w:type="dxa"/>
            <w:tcBorders>
              <w:bottom w:val="single" w:sz="12" w:space="0" w:color="000000" w:themeColor="text1"/>
            </w:tcBorders>
            <w:shd w:val="clear" w:color="auto" w:fill="auto"/>
            <w:tcMar>
              <w:top w:w="80" w:type="dxa"/>
              <w:left w:w="80" w:type="dxa"/>
              <w:bottom w:w="80" w:type="dxa"/>
              <w:right w:w="80" w:type="dxa"/>
            </w:tcMar>
          </w:tcPr>
          <w:p w14:paraId="0B5B011C" w14:textId="77777777" w:rsidR="006D667A" w:rsidRPr="00A7082A" w:rsidRDefault="006D667A" w:rsidP="00AC30F5">
            <w:pPr>
              <w:spacing w:before="40" w:after="40"/>
              <w:rPr>
                <w:sz w:val="18"/>
                <w:szCs w:val="18"/>
              </w:rPr>
            </w:pPr>
            <w:r w:rsidRPr="00A7082A">
              <w:rPr>
                <w:b/>
                <w:bCs/>
                <w:sz w:val="18"/>
                <w:szCs w:val="18"/>
              </w:rPr>
              <w:t>Notes</w:t>
            </w:r>
          </w:p>
        </w:tc>
        <w:tc>
          <w:tcPr>
            <w:tcW w:w="6541" w:type="dxa"/>
            <w:gridSpan w:val="3"/>
            <w:tcBorders>
              <w:bottom w:val="single" w:sz="12" w:space="0" w:color="000000" w:themeColor="text1"/>
            </w:tcBorders>
            <w:shd w:val="clear" w:color="auto" w:fill="auto"/>
            <w:tcMar>
              <w:top w:w="80" w:type="dxa"/>
              <w:left w:w="80" w:type="dxa"/>
              <w:bottom w:w="80" w:type="dxa"/>
              <w:right w:w="80" w:type="dxa"/>
            </w:tcMar>
          </w:tcPr>
          <w:p w14:paraId="3D46577A" w14:textId="77777777" w:rsidR="006D667A" w:rsidRPr="00A7082A" w:rsidRDefault="006D667A" w:rsidP="00AC30F5">
            <w:pPr>
              <w:numPr>
                <w:ilvl w:val="0"/>
                <w:numId w:val="62"/>
              </w:numPr>
              <w:spacing w:before="40" w:after="40"/>
              <w:rPr>
                <w:sz w:val="18"/>
                <w:szCs w:val="18"/>
              </w:rPr>
            </w:pPr>
            <w:r w:rsidRPr="00A7082A">
              <w:rPr>
                <w:sz w:val="18"/>
                <w:szCs w:val="18"/>
              </w:rPr>
              <w:t>Parties are not obliged to prepare an implementation plan. Some parties have nevertheless found it useful to prepare such a plan and submit it to the secretariat.</w:t>
            </w:r>
          </w:p>
        </w:tc>
      </w:tr>
    </w:tbl>
    <w:p w14:paraId="09846CD1" w14:textId="77777777" w:rsidR="006D667A" w:rsidRPr="00A7082A" w:rsidRDefault="006D667A" w:rsidP="006D667A">
      <w:pPr>
        <w:widowControl w:val="0"/>
        <w:jc w:val="right"/>
        <w:rPr>
          <w:sz w:val="12"/>
          <w:szCs w:val="12"/>
        </w:rPr>
      </w:pPr>
    </w:p>
    <w:p w14:paraId="384F5136" w14:textId="77777777" w:rsidR="006D667A" w:rsidRPr="00A7082A" w:rsidRDefault="006D667A" w:rsidP="006D667A">
      <w:pPr>
        <w:rPr>
          <w:sz w:val="12"/>
          <w:szCs w:val="12"/>
        </w:rPr>
      </w:pPr>
    </w:p>
    <w:tbl>
      <w:tblPr>
        <w:tblW w:w="8307" w:type="dxa"/>
        <w:jc w:val="right"/>
        <w:tblLayout w:type="fixed"/>
        <w:tblLook w:val="04A0" w:firstRow="1" w:lastRow="0" w:firstColumn="1" w:lastColumn="0" w:noHBand="0" w:noVBand="1"/>
      </w:tblPr>
      <w:tblGrid>
        <w:gridCol w:w="1798"/>
        <w:gridCol w:w="3162"/>
        <w:gridCol w:w="1771"/>
        <w:gridCol w:w="1576"/>
      </w:tblGrid>
      <w:tr w:rsidR="006D667A" w:rsidRPr="00A7082A" w14:paraId="7B4AA7A4" w14:textId="77777777" w:rsidTr="00AC30F5">
        <w:trPr>
          <w:trHeight w:val="57"/>
          <w:jc w:val="right"/>
        </w:trPr>
        <w:tc>
          <w:tcPr>
            <w:tcW w:w="5592" w:type="dxa"/>
            <w:gridSpan w:val="2"/>
            <w:tcBorders>
              <w:top w:val="single" w:sz="4" w:space="0" w:color="000000" w:themeColor="text1"/>
              <w:bottom w:val="single" w:sz="12" w:space="0" w:color="000000" w:themeColor="text1"/>
            </w:tcBorders>
            <w:shd w:val="clear" w:color="auto" w:fill="auto"/>
            <w:tcMar>
              <w:top w:w="80" w:type="dxa"/>
              <w:left w:w="80" w:type="dxa"/>
              <w:bottom w:w="80" w:type="dxa"/>
              <w:right w:w="80" w:type="dxa"/>
            </w:tcMar>
          </w:tcPr>
          <w:p w14:paraId="55EB62CD" w14:textId="77777777" w:rsidR="006D667A" w:rsidRPr="00A7082A" w:rsidRDefault="006D667A" w:rsidP="00AC30F5">
            <w:pPr>
              <w:spacing w:before="40" w:after="40"/>
              <w:rPr>
                <w:i/>
                <w:sz w:val="18"/>
                <w:szCs w:val="18"/>
              </w:rPr>
            </w:pPr>
            <w:r w:rsidRPr="00A7082A">
              <w:rPr>
                <w:bCs/>
                <w:i/>
                <w:sz w:val="18"/>
                <w:szCs w:val="18"/>
              </w:rPr>
              <w:t>J: Article 21 (reporting)</w:t>
            </w:r>
          </w:p>
        </w:tc>
        <w:tc>
          <w:tcPr>
            <w:tcW w:w="1990" w:type="dxa"/>
            <w:tcBorders>
              <w:top w:val="single" w:sz="4" w:space="0" w:color="000000" w:themeColor="text1"/>
              <w:bottom w:val="single" w:sz="12" w:space="0" w:color="000000" w:themeColor="text1"/>
            </w:tcBorders>
            <w:shd w:val="clear" w:color="auto" w:fill="auto"/>
            <w:tcMar>
              <w:top w:w="80" w:type="dxa"/>
              <w:left w:w="80" w:type="dxa"/>
              <w:bottom w:w="80" w:type="dxa"/>
              <w:right w:w="80" w:type="dxa"/>
            </w:tcMar>
          </w:tcPr>
          <w:p w14:paraId="423A38AD" w14:textId="77777777" w:rsidR="006D667A" w:rsidRPr="00A7082A" w:rsidRDefault="006D667A" w:rsidP="00AC30F5">
            <w:pPr>
              <w:spacing w:before="40" w:after="40"/>
              <w:rPr>
                <w:i/>
                <w:sz w:val="18"/>
                <w:szCs w:val="18"/>
              </w:rPr>
            </w:pPr>
            <w:r w:rsidRPr="00A7082A">
              <w:rPr>
                <w:i/>
                <w:sz w:val="18"/>
                <w:szCs w:val="18"/>
              </w:rPr>
              <w:t>Source of information on the indicator</w:t>
            </w:r>
          </w:p>
        </w:tc>
        <w:tc>
          <w:tcPr>
            <w:tcW w:w="1768" w:type="dxa"/>
            <w:tcBorders>
              <w:top w:val="single" w:sz="4" w:space="0" w:color="000000" w:themeColor="text1"/>
              <w:bottom w:val="single" w:sz="12" w:space="0" w:color="000000" w:themeColor="text1"/>
            </w:tcBorders>
            <w:shd w:val="clear" w:color="auto" w:fill="auto"/>
            <w:tcMar>
              <w:top w:w="80" w:type="dxa"/>
              <w:left w:w="80" w:type="dxa"/>
              <w:bottom w:w="80" w:type="dxa"/>
              <w:right w:w="80" w:type="dxa"/>
            </w:tcMar>
          </w:tcPr>
          <w:p w14:paraId="4E9D1565" w14:textId="77777777" w:rsidR="006D667A" w:rsidRPr="00A7082A" w:rsidRDefault="006D667A" w:rsidP="00AC30F5">
            <w:pPr>
              <w:spacing w:before="40" w:after="40"/>
              <w:rPr>
                <w:i/>
                <w:sz w:val="18"/>
                <w:szCs w:val="18"/>
              </w:rPr>
            </w:pPr>
            <w:r w:rsidRPr="00A7082A">
              <w:rPr>
                <w:i/>
                <w:sz w:val="18"/>
                <w:szCs w:val="18"/>
              </w:rPr>
              <w:t>Baseline for the indicator</w:t>
            </w:r>
          </w:p>
        </w:tc>
      </w:tr>
      <w:tr w:rsidR="006D667A" w:rsidRPr="00A7082A" w14:paraId="070FAE61" w14:textId="77777777" w:rsidTr="00AC30F5">
        <w:trPr>
          <w:trHeight w:val="57"/>
          <w:jc w:val="right"/>
        </w:trPr>
        <w:tc>
          <w:tcPr>
            <w:tcW w:w="2020" w:type="dxa"/>
            <w:tcBorders>
              <w:top w:val="single" w:sz="12" w:space="0" w:color="000000" w:themeColor="text1"/>
            </w:tcBorders>
            <w:shd w:val="clear" w:color="auto" w:fill="auto"/>
            <w:tcMar>
              <w:top w:w="80" w:type="dxa"/>
              <w:left w:w="80" w:type="dxa"/>
              <w:bottom w:w="80" w:type="dxa"/>
              <w:right w:w="80" w:type="dxa"/>
            </w:tcMar>
          </w:tcPr>
          <w:p w14:paraId="7A0E4A9E" w14:textId="77777777" w:rsidR="006D667A" w:rsidRPr="00A7082A" w:rsidRDefault="006D667A" w:rsidP="00AC30F5">
            <w:pPr>
              <w:spacing w:before="40" w:after="40"/>
              <w:rPr>
                <w:sz w:val="18"/>
                <w:szCs w:val="18"/>
              </w:rPr>
            </w:pPr>
            <w:r w:rsidRPr="00A7082A">
              <w:rPr>
                <w:sz w:val="18"/>
                <w:szCs w:val="18"/>
              </w:rPr>
              <w:t>J1. Process indicator</w:t>
            </w:r>
          </w:p>
        </w:tc>
        <w:tc>
          <w:tcPr>
            <w:tcW w:w="3572" w:type="dxa"/>
            <w:tcBorders>
              <w:top w:val="single" w:sz="12" w:space="0" w:color="000000" w:themeColor="text1"/>
            </w:tcBorders>
            <w:shd w:val="clear" w:color="auto" w:fill="auto"/>
            <w:tcMar>
              <w:top w:w="80" w:type="dxa"/>
              <w:left w:w="80" w:type="dxa"/>
              <w:bottom w:w="80" w:type="dxa"/>
              <w:right w:w="80" w:type="dxa"/>
            </w:tcMar>
          </w:tcPr>
          <w:p w14:paraId="11517BF9" w14:textId="77777777" w:rsidR="006D667A" w:rsidRPr="00A7082A" w:rsidRDefault="006D667A" w:rsidP="00AC30F5">
            <w:pPr>
              <w:spacing w:before="40" w:after="40"/>
              <w:rPr>
                <w:sz w:val="18"/>
                <w:szCs w:val="18"/>
              </w:rPr>
            </w:pPr>
            <w:r w:rsidRPr="00A7082A">
              <w:rPr>
                <w:sz w:val="18"/>
                <w:szCs w:val="18"/>
              </w:rPr>
              <w:t>Proportion of parties reporting on time</w:t>
            </w:r>
          </w:p>
        </w:tc>
        <w:tc>
          <w:tcPr>
            <w:tcW w:w="1990" w:type="dxa"/>
            <w:tcBorders>
              <w:top w:val="single" w:sz="12" w:space="0" w:color="000000" w:themeColor="text1"/>
            </w:tcBorders>
            <w:shd w:val="clear" w:color="auto" w:fill="auto"/>
            <w:tcMar>
              <w:top w:w="80" w:type="dxa"/>
              <w:left w:w="80" w:type="dxa"/>
              <w:bottom w:w="80" w:type="dxa"/>
              <w:right w:w="80" w:type="dxa"/>
            </w:tcMar>
          </w:tcPr>
          <w:p w14:paraId="7E0DBA92" w14:textId="77777777" w:rsidR="006D667A" w:rsidRPr="00A7082A" w:rsidRDefault="006D667A" w:rsidP="00AC30F5">
            <w:pPr>
              <w:spacing w:before="40" w:after="40"/>
              <w:rPr>
                <w:sz w:val="18"/>
                <w:szCs w:val="18"/>
              </w:rPr>
            </w:pPr>
            <w:r w:rsidRPr="00A7082A">
              <w:rPr>
                <w:sz w:val="18"/>
                <w:szCs w:val="18"/>
              </w:rPr>
              <w:t>- Article 21 reporting</w:t>
            </w:r>
          </w:p>
        </w:tc>
        <w:tc>
          <w:tcPr>
            <w:tcW w:w="1768" w:type="dxa"/>
            <w:tcBorders>
              <w:top w:val="single" w:sz="12" w:space="0" w:color="000000" w:themeColor="text1"/>
            </w:tcBorders>
            <w:shd w:val="clear" w:color="auto" w:fill="auto"/>
            <w:tcMar>
              <w:top w:w="80" w:type="dxa"/>
              <w:left w:w="80" w:type="dxa"/>
              <w:bottom w:w="80" w:type="dxa"/>
              <w:right w:w="80" w:type="dxa"/>
            </w:tcMar>
          </w:tcPr>
          <w:p w14:paraId="6FBB7F4D" w14:textId="77777777" w:rsidR="006D667A" w:rsidRPr="00A7082A" w:rsidRDefault="006D667A" w:rsidP="00AC30F5">
            <w:pPr>
              <w:spacing w:before="40" w:after="40"/>
              <w:rPr>
                <w:sz w:val="18"/>
                <w:szCs w:val="18"/>
              </w:rPr>
            </w:pPr>
            <w:r w:rsidRPr="00A7082A">
              <w:rPr>
                <w:sz w:val="18"/>
                <w:szCs w:val="18"/>
              </w:rPr>
              <w:t>Percentage of the first submission on time</w:t>
            </w:r>
          </w:p>
        </w:tc>
      </w:tr>
      <w:tr w:rsidR="006D667A" w:rsidRPr="00A7082A" w14:paraId="75370D30" w14:textId="77777777" w:rsidTr="00AC30F5">
        <w:trPr>
          <w:trHeight w:val="57"/>
          <w:jc w:val="right"/>
        </w:trPr>
        <w:tc>
          <w:tcPr>
            <w:tcW w:w="2020" w:type="dxa"/>
            <w:shd w:val="clear" w:color="auto" w:fill="auto"/>
            <w:tcMar>
              <w:top w:w="80" w:type="dxa"/>
              <w:left w:w="80" w:type="dxa"/>
              <w:bottom w:w="80" w:type="dxa"/>
              <w:right w:w="80" w:type="dxa"/>
            </w:tcMar>
          </w:tcPr>
          <w:p w14:paraId="7FA16706" w14:textId="77777777" w:rsidR="006D667A" w:rsidRPr="00A7082A" w:rsidRDefault="006D667A" w:rsidP="00AC30F5">
            <w:pPr>
              <w:spacing w:before="40" w:after="40"/>
              <w:rPr>
                <w:sz w:val="18"/>
                <w:szCs w:val="18"/>
              </w:rPr>
            </w:pPr>
            <w:r w:rsidRPr="00A7082A">
              <w:rPr>
                <w:sz w:val="18"/>
                <w:szCs w:val="18"/>
              </w:rPr>
              <w:t>J2. Process indicator</w:t>
            </w:r>
          </w:p>
        </w:tc>
        <w:tc>
          <w:tcPr>
            <w:tcW w:w="3572" w:type="dxa"/>
            <w:shd w:val="clear" w:color="auto" w:fill="auto"/>
            <w:tcMar>
              <w:top w:w="80" w:type="dxa"/>
              <w:left w:w="80" w:type="dxa"/>
              <w:bottom w:w="80" w:type="dxa"/>
              <w:right w:w="80" w:type="dxa"/>
            </w:tcMar>
          </w:tcPr>
          <w:p w14:paraId="6DFA3C53" w14:textId="77777777" w:rsidR="006D667A" w:rsidRPr="00A7082A" w:rsidRDefault="006D667A" w:rsidP="00AC30F5">
            <w:pPr>
              <w:spacing w:before="40" w:after="40"/>
              <w:rPr>
                <w:sz w:val="18"/>
                <w:szCs w:val="18"/>
              </w:rPr>
            </w:pPr>
            <w:r w:rsidRPr="00A7082A">
              <w:rPr>
                <w:sz w:val="18"/>
                <w:szCs w:val="18"/>
              </w:rPr>
              <w:t>Proportion of reports received on time</w:t>
            </w:r>
          </w:p>
        </w:tc>
        <w:tc>
          <w:tcPr>
            <w:tcW w:w="1990" w:type="dxa"/>
            <w:shd w:val="clear" w:color="auto" w:fill="auto"/>
            <w:tcMar>
              <w:top w:w="80" w:type="dxa"/>
              <w:left w:w="80" w:type="dxa"/>
              <w:bottom w:w="80" w:type="dxa"/>
              <w:right w:w="80" w:type="dxa"/>
            </w:tcMar>
          </w:tcPr>
          <w:p w14:paraId="33E932C4" w14:textId="77777777" w:rsidR="006D667A" w:rsidRPr="00A7082A" w:rsidRDefault="006D667A" w:rsidP="00AC30F5">
            <w:pPr>
              <w:spacing w:before="40" w:after="40"/>
              <w:rPr>
                <w:sz w:val="18"/>
                <w:szCs w:val="18"/>
              </w:rPr>
            </w:pPr>
            <w:r w:rsidRPr="00A7082A">
              <w:rPr>
                <w:sz w:val="18"/>
                <w:szCs w:val="18"/>
              </w:rPr>
              <w:t>- Article 21 reporting</w:t>
            </w:r>
          </w:p>
        </w:tc>
        <w:tc>
          <w:tcPr>
            <w:tcW w:w="1768" w:type="dxa"/>
            <w:shd w:val="clear" w:color="auto" w:fill="auto"/>
            <w:tcMar>
              <w:top w:w="80" w:type="dxa"/>
              <w:left w:w="80" w:type="dxa"/>
              <w:bottom w:w="80" w:type="dxa"/>
              <w:right w:w="80" w:type="dxa"/>
            </w:tcMar>
          </w:tcPr>
          <w:p w14:paraId="144D515D" w14:textId="77777777" w:rsidR="006D667A" w:rsidRPr="00A7082A" w:rsidRDefault="006D667A" w:rsidP="00AC30F5">
            <w:pPr>
              <w:spacing w:before="40" w:after="40"/>
              <w:rPr>
                <w:sz w:val="18"/>
                <w:szCs w:val="18"/>
              </w:rPr>
            </w:pPr>
            <w:r w:rsidRPr="00A7082A">
              <w:rPr>
                <w:sz w:val="18"/>
                <w:szCs w:val="18"/>
              </w:rPr>
              <w:t>Percentage not available in the first reports</w:t>
            </w:r>
          </w:p>
        </w:tc>
      </w:tr>
      <w:tr w:rsidR="006D667A" w:rsidRPr="00A7082A" w14:paraId="4CBCD012" w14:textId="77777777" w:rsidTr="00AC30F5">
        <w:trPr>
          <w:trHeight w:val="57"/>
          <w:jc w:val="right"/>
        </w:trPr>
        <w:tc>
          <w:tcPr>
            <w:tcW w:w="2020" w:type="dxa"/>
            <w:shd w:val="clear" w:color="auto" w:fill="auto"/>
            <w:tcMar>
              <w:top w:w="80" w:type="dxa"/>
              <w:left w:w="80" w:type="dxa"/>
              <w:bottom w:w="80" w:type="dxa"/>
              <w:right w:w="80" w:type="dxa"/>
            </w:tcMar>
          </w:tcPr>
          <w:p w14:paraId="5C01D150" w14:textId="77777777" w:rsidR="006D667A" w:rsidRPr="00A7082A" w:rsidRDefault="006D667A" w:rsidP="00AC30F5">
            <w:pPr>
              <w:spacing w:before="40" w:after="40"/>
              <w:rPr>
                <w:sz w:val="18"/>
                <w:szCs w:val="18"/>
              </w:rPr>
            </w:pPr>
            <w:r w:rsidRPr="00A7082A">
              <w:rPr>
                <w:sz w:val="18"/>
                <w:szCs w:val="18"/>
              </w:rPr>
              <w:t>J3. Process indicator</w:t>
            </w:r>
          </w:p>
        </w:tc>
        <w:tc>
          <w:tcPr>
            <w:tcW w:w="3572" w:type="dxa"/>
            <w:shd w:val="clear" w:color="auto" w:fill="auto"/>
            <w:tcMar>
              <w:top w:w="80" w:type="dxa"/>
              <w:left w:w="80" w:type="dxa"/>
              <w:bottom w:w="80" w:type="dxa"/>
              <w:right w:w="80" w:type="dxa"/>
            </w:tcMar>
          </w:tcPr>
          <w:p w14:paraId="4CC7D309" w14:textId="77777777" w:rsidR="006D667A" w:rsidRPr="00A7082A" w:rsidRDefault="006D667A" w:rsidP="00AC30F5">
            <w:pPr>
              <w:spacing w:before="40" w:after="40"/>
              <w:rPr>
                <w:sz w:val="18"/>
                <w:szCs w:val="18"/>
              </w:rPr>
            </w:pPr>
            <w:r w:rsidRPr="00A7082A">
              <w:rPr>
                <w:sz w:val="18"/>
                <w:szCs w:val="18"/>
              </w:rPr>
              <w:t>Proportion of parties indicating that information is not available for specific questions</w:t>
            </w:r>
          </w:p>
        </w:tc>
        <w:tc>
          <w:tcPr>
            <w:tcW w:w="1990" w:type="dxa"/>
            <w:shd w:val="clear" w:color="auto" w:fill="auto"/>
            <w:tcMar>
              <w:top w:w="80" w:type="dxa"/>
              <w:left w:w="80" w:type="dxa"/>
              <w:bottom w:w="80" w:type="dxa"/>
              <w:right w:w="80" w:type="dxa"/>
            </w:tcMar>
          </w:tcPr>
          <w:p w14:paraId="28F7EC78" w14:textId="77777777" w:rsidR="006D667A" w:rsidRPr="00A7082A" w:rsidRDefault="006D667A" w:rsidP="00AC30F5">
            <w:pPr>
              <w:spacing w:before="40" w:after="40"/>
              <w:rPr>
                <w:sz w:val="18"/>
                <w:szCs w:val="18"/>
              </w:rPr>
            </w:pPr>
            <w:r w:rsidRPr="00A7082A">
              <w:rPr>
                <w:sz w:val="18"/>
                <w:szCs w:val="18"/>
              </w:rPr>
              <w:t>- Article 21 reporting</w:t>
            </w:r>
          </w:p>
        </w:tc>
        <w:tc>
          <w:tcPr>
            <w:tcW w:w="1768" w:type="dxa"/>
            <w:shd w:val="clear" w:color="auto" w:fill="auto"/>
            <w:tcMar>
              <w:top w:w="80" w:type="dxa"/>
              <w:left w:w="80" w:type="dxa"/>
              <w:bottom w:w="80" w:type="dxa"/>
              <w:right w:w="80" w:type="dxa"/>
            </w:tcMar>
          </w:tcPr>
          <w:p w14:paraId="4A377629" w14:textId="77777777" w:rsidR="006D667A" w:rsidRPr="00A7082A" w:rsidRDefault="006D667A" w:rsidP="00AC30F5">
            <w:pPr>
              <w:spacing w:before="40" w:after="40"/>
              <w:rPr>
                <w:sz w:val="18"/>
                <w:szCs w:val="18"/>
              </w:rPr>
            </w:pPr>
            <w:r w:rsidRPr="00A7082A">
              <w:rPr>
                <w:sz w:val="18"/>
                <w:szCs w:val="18"/>
              </w:rPr>
              <w:t>Percentage not available in the first reports</w:t>
            </w:r>
          </w:p>
        </w:tc>
      </w:tr>
      <w:tr w:rsidR="006D667A" w:rsidRPr="00A7082A" w14:paraId="73E37901" w14:textId="77777777" w:rsidTr="00AC30F5">
        <w:trPr>
          <w:trHeight w:val="57"/>
          <w:jc w:val="right"/>
        </w:trPr>
        <w:tc>
          <w:tcPr>
            <w:tcW w:w="2020" w:type="dxa"/>
            <w:tcBorders>
              <w:bottom w:val="single" w:sz="12" w:space="0" w:color="000000" w:themeColor="text1"/>
            </w:tcBorders>
            <w:shd w:val="clear" w:color="auto" w:fill="auto"/>
            <w:tcMar>
              <w:top w:w="80" w:type="dxa"/>
              <w:left w:w="80" w:type="dxa"/>
              <w:bottom w:w="80" w:type="dxa"/>
              <w:right w:w="80" w:type="dxa"/>
            </w:tcMar>
          </w:tcPr>
          <w:p w14:paraId="02871FD4" w14:textId="77777777" w:rsidR="006D667A" w:rsidRPr="00A7082A" w:rsidRDefault="006D667A" w:rsidP="00AC30F5">
            <w:pPr>
              <w:spacing w:before="40" w:after="40"/>
              <w:rPr>
                <w:sz w:val="18"/>
                <w:szCs w:val="18"/>
              </w:rPr>
            </w:pPr>
            <w:r w:rsidRPr="00A7082A">
              <w:rPr>
                <w:b/>
                <w:bCs/>
                <w:sz w:val="18"/>
                <w:szCs w:val="18"/>
              </w:rPr>
              <w:t>Notes</w:t>
            </w:r>
          </w:p>
        </w:tc>
        <w:tc>
          <w:tcPr>
            <w:tcW w:w="7330" w:type="dxa"/>
            <w:gridSpan w:val="3"/>
            <w:tcBorders>
              <w:bottom w:val="single" w:sz="12" w:space="0" w:color="000000" w:themeColor="text1"/>
            </w:tcBorders>
            <w:shd w:val="clear" w:color="auto" w:fill="auto"/>
            <w:tcMar>
              <w:top w:w="80" w:type="dxa"/>
              <w:left w:w="80" w:type="dxa"/>
              <w:bottom w:w="80" w:type="dxa"/>
              <w:right w:w="80" w:type="dxa"/>
            </w:tcMar>
          </w:tcPr>
          <w:p w14:paraId="14DCC0F7" w14:textId="77777777" w:rsidR="006D667A" w:rsidRPr="00A7082A" w:rsidRDefault="006D667A" w:rsidP="00AC30F5">
            <w:pPr>
              <w:numPr>
                <w:ilvl w:val="0"/>
                <w:numId w:val="63"/>
              </w:numPr>
              <w:spacing w:before="40" w:after="40"/>
              <w:rPr>
                <w:sz w:val="18"/>
                <w:szCs w:val="18"/>
              </w:rPr>
            </w:pPr>
            <w:r w:rsidRPr="00A7082A">
              <w:rPr>
                <w:sz w:val="18"/>
                <w:szCs w:val="18"/>
              </w:rPr>
              <w:t>Parties are to report every two years.</w:t>
            </w:r>
          </w:p>
        </w:tc>
      </w:tr>
    </w:tbl>
    <w:p w14:paraId="1606AC3D" w14:textId="7C4D10A0" w:rsidR="006D667A" w:rsidRPr="00A7082A" w:rsidRDefault="006D667A" w:rsidP="006D4DE3">
      <w:pPr>
        <w:keepNext/>
        <w:keepLines/>
        <w:tabs>
          <w:tab w:val="left" w:pos="4082"/>
        </w:tabs>
        <w:suppressAutoHyphens/>
        <w:spacing w:before="40" w:after="40"/>
        <w:ind w:left="1247"/>
        <w:rPr>
          <w:sz w:val="17"/>
          <w:szCs w:val="17"/>
        </w:rPr>
      </w:pPr>
      <w:r w:rsidRPr="00A7082A">
        <w:rPr>
          <w:i/>
          <w:iCs/>
          <w:sz w:val="17"/>
          <w:szCs w:val="17"/>
        </w:rPr>
        <w:t>Abbreviations:</w:t>
      </w:r>
      <w:r w:rsidRPr="00A7082A">
        <w:rPr>
          <w:sz w:val="17"/>
          <w:szCs w:val="17"/>
        </w:rPr>
        <w:t xml:space="preserve"> ASGM, artisanal and </w:t>
      </w:r>
      <w:r w:rsidR="00073984" w:rsidRPr="00A7082A">
        <w:rPr>
          <w:sz w:val="17"/>
          <w:szCs w:val="17"/>
        </w:rPr>
        <w:t>small</w:t>
      </w:r>
      <w:r w:rsidR="00073984" w:rsidRPr="00A7082A">
        <w:rPr>
          <w:sz w:val="17"/>
          <w:szCs w:val="17"/>
        </w:rPr>
        <w:noBreakHyphen/>
        <w:t>scale</w:t>
      </w:r>
      <w:r w:rsidRPr="00A7082A">
        <w:rPr>
          <w:sz w:val="17"/>
          <w:szCs w:val="17"/>
        </w:rPr>
        <w:t xml:space="preserve"> gold mining; BAT/BEP, best available techniques/best environmental practices; SIP, </w:t>
      </w:r>
      <w:r w:rsidR="00660CBD" w:rsidRPr="00A7082A">
        <w:rPr>
          <w:sz w:val="17"/>
          <w:szCs w:val="17"/>
        </w:rPr>
        <w:t>S</w:t>
      </w:r>
      <w:r w:rsidRPr="00A7082A">
        <w:rPr>
          <w:sz w:val="17"/>
          <w:szCs w:val="17"/>
        </w:rPr>
        <w:t xml:space="preserve">pecific </w:t>
      </w:r>
      <w:r w:rsidR="00660CBD" w:rsidRPr="00A7082A">
        <w:rPr>
          <w:sz w:val="17"/>
          <w:szCs w:val="17"/>
        </w:rPr>
        <w:t>I</w:t>
      </w:r>
      <w:r w:rsidRPr="00A7082A">
        <w:rPr>
          <w:sz w:val="17"/>
          <w:szCs w:val="17"/>
        </w:rPr>
        <w:t xml:space="preserve">nternational </w:t>
      </w:r>
      <w:r w:rsidR="00660CBD" w:rsidRPr="00A7082A">
        <w:rPr>
          <w:sz w:val="17"/>
          <w:szCs w:val="17"/>
        </w:rPr>
        <w:t>P</w:t>
      </w:r>
      <w:r w:rsidRPr="00A7082A">
        <w:rPr>
          <w:sz w:val="17"/>
          <w:szCs w:val="17"/>
        </w:rPr>
        <w:t xml:space="preserve">rogramme to </w:t>
      </w:r>
      <w:r w:rsidR="00660CBD" w:rsidRPr="00A7082A">
        <w:rPr>
          <w:sz w:val="17"/>
          <w:szCs w:val="17"/>
        </w:rPr>
        <w:t>S</w:t>
      </w:r>
      <w:r w:rsidRPr="00A7082A">
        <w:rPr>
          <w:sz w:val="17"/>
          <w:szCs w:val="17"/>
        </w:rPr>
        <w:t xml:space="preserve">upport </w:t>
      </w:r>
      <w:r w:rsidR="00F22310" w:rsidRPr="00A7082A">
        <w:rPr>
          <w:sz w:val="17"/>
          <w:szCs w:val="17"/>
        </w:rPr>
        <w:t>Capacity</w:t>
      </w:r>
      <w:r w:rsidR="00F22310" w:rsidRPr="00A7082A">
        <w:rPr>
          <w:sz w:val="17"/>
          <w:szCs w:val="17"/>
        </w:rPr>
        <w:noBreakHyphen/>
        <w:t>building</w:t>
      </w:r>
      <w:r w:rsidRPr="00A7082A">
        <w:rPr>
          <w:sz w:val="17"/>
          <w:szCs w:val="17"/>
        </w:rPr>
        <w:t xml:space="preserve"> and </w:t>
      </w:r>
      <w:r w:rsidR="00660CBD" w:rsidRPr="00A7082A">
        <w:rPr>
          <w:sz w:val="17"/>
          <w:szCs w:val="17"/>
        </w:rPr>
        <w:t>T</w:t>
      </w:r>
      <w:r w:rsidRPr="00A7082A">
        <w:rPr>
          <w:sz w:val="17"/>
          <w:szCs w:val="17"/>
        </w:rPr>
        <w:t xml:space="preserve">echnical </w:t>
      </w:r>
      <w:r w:rsidR="00660CBD" w:rsidRPr="00A7082A">
        <w:rPr>
          <w:sz w:val="17"/>
          <w:szCs w:val="17"/>
        </w:rPr>
        <w:t>A</w:t>
      </w:r>
      <w:r w:rsidRPr="00A7082A">
        <w:rPr>
          <w:sz w:val="17"/>
          <w:szCs w:val="17"/>
        </w:rPr>
        <w:t>ssistance.</w:t>
      </w:r>
    </w:p>
    <w:p w14:paraId="190A58E2" w14:textId="77777777" w:rsidR="006D667A" w:rsidRPr="00A7082A" w:rsidRDefault="006D667A" w:rsidP="006D667A">
      <w:r w:rsidRPr="00A7082A">
        <w:br w:type="page"/>
      </w:r>
    </w:p>
    <w:p w14:paraId="2760D40A" w14:textId="61B3F3DD" w:rsidR="00CE502E" w:rsidRPr="00A7082A" w:rsidRDefault="00285B55" w:rsidP="00417FE2">
      <w:pPr>
        <w:pStyle w:val="CH1"/>
        <w:rPr>
          <w:rFonts w:eastAsia="SimSun"/>
          <w:i/>
        </w:rPr>
      </w:pPr>
      <w:r w:rsidRPr="00A7082A">
        <w:rPr>
          <w:rFonts w:eastAsia="SimSun"/>
        </w:rPr>
        <w:lastRenderedPageBreak/>
        <w:tab/>
      </w:r>
      <w:r w:rsidRPr="00A7082A">
        <w:rPr>
          <w:rFonts w:eastAsia="SimSun"/>
        </w:rPr>
        <w:tab/>
      </w:r>
      <w:r w:rsidR="00CE502E" w:rsidRPr="00A7082A">
        <w:rPr>
          <w:rFonts w:eastAsia="SimSun"/>
        </w:rPr>
        <w:t>Annex II to decision MC-3/10</w:t>
      </w:r>
      <w:r w:rsidR="00CE502E" w:rsidRPr="00A7082A">
        <w:rPr>
          <w:rFonts w:eastAsia="SimSun"/>
          <w:i/>
        </w:rPr>
        <w:t xml:space="preserve"> </w:t>
      </w:r>
    </w:p>
    <w:p w14:paraId="4ADA2CB1" w14:textId="5120EA8A" w:rsidR="008B1DF7" w:rsidRPr="00A7082A" w:rsidRDefault="00285B55" w:rsidP="00285B55">
      <w:pPr>
        <w:pStyle w:val="CH2"/>
      </w:pPr>
      <w:r w:rsidRPr="00A7082A">
        <w:tab/>
      </w:r>
      <w:r w:rsidRPr="00A7082A">
        <w:tab/>
      </w:r>
      <w:r w:rsidR="008B1DF7" w:rsidRPr="00A7082A">
        <w:t>Framework for the effectiveness evaluation of the Minamata Convention</w:t>
      </w:r>
    </w:p>
    <w:p w14:paraId="36D46F83" w14:textId="7EC8650A" w:rsidR="00692A11" w:rsidRPr="00A7082A" w:rsidRDefault="00692A11" w:rsidP="00692A11">
      <w:pPr>
        <w:pStyle w:val="Titlefigure"/>
      </w:pPr>
      <w:r w:rsidRPr="00A7082A">
        <w:rPr>
          <w:b w:val="0"/>
        </w:rPr>
        <w:t xml:space="preserve">Figure 1 </w:t>
      </w:r>
      <w:r w:rsidRPr="00A7082A">
        <w:rPr>
          <w:b w:val="0"/>
        </w:rPr>
        <w:br/>
      </w:r>
      <w:r w:rsidRPr="00A7082A">
        <w:t>Information and analysis flow</w:t>
      </w:r>
    </w:p>
    <w:p w14:paraId="68D93361" w14:textId="703FE742" w:rsidR="001D1053" w:rsidRPr="00A7082A" w:rsidRDefault="001D1053" w:rsidP="00757380">
      <w:pPr>
        <w:pStyle w:val="NormalNonumber"/>
        <w:jc w:val="center"/>
      </w:pPr>
      <w:r w:rsidRPr="00A7082A">
        <w:rPr>
          <w:noProof/>
        </w:rPr>
        <w:drawing>
          <wp:inline distT="0" distB="0" distL="0" distR="0" wp14:anchorId="0BA33D10" wp14:editId="106A4B22">
            <wp:extent cx="5295900" cy="3276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95900" cy="3276600"/>
                    </a:xfrm>
                    <a:prstGeom prst="rect">
                      <a:avLst/>
                    </a:prstGeom>
                  </pic:spPr>
                </pic:pic>
              </a:graphicData>
            </a:graphic>
          </wp:inline>
        </w:drawing>
      </w:r>
    </w:p>
    <w:p w14:paraId="0225B843" w14:textId="08C4890C" w:rsidR="001D1053" w:rsidRPr="00A7082A" w:rsidRDefault="00692A11" w:rsidP="009557F8">
      <w:pPr>
        <w:pStyle w:val="Normal-pool"/>
        <w:spacing w:after="120"/>
        <w:ind w:left="1247"/>
        <w:rPr>
          <w:b/>
          <w:highlight w:val="yellow"/>
        </w:rPr>
      </w:pPr>
      <w:r w:rsidRPr="00A7082A">
        <w:t>Figure 2</w:t>
      </w:r>
      <w:r w:rsidRPr="00A7082A">
        <w:rPr>
          <w:b/>
        </w:rPr>
        <w:t xml:space="preserve"> </w:t>
      </w:r>
      <w:r w:rsidRPr="00A7082A">
        <w:rPr>
          <w:b/>
        </w:rPr>
        <w:br/>
        <w:t>Framework institutional arrangements</w:t>
      </w:r>
    </w:p>
    <w:p w14:paraId="4CD240D7" w14:textId="48BFBFEA" w:rsidR="001D1053" w:rsidRPr="00A7082A" w:rsidRDefault="001D1053" w:rsidP="00757380">
      <w:pPr>
        <w:pStyle w:val="Normal-pool"/>
        <w:spacing w:after="120"/>
        <w:jc w:val="right"/>
        <w:rPr>
          <w:b/>
          <w:highlight w:val="yellow"/>
        </w:rPr>
      </w:pPr>
      <w:r w:rsidRPr="00A7082A">
        <w:rPr>
          <w:noProof/>
        </w:rPr>
        <w:drawing>
          <wp:inline distT="0" distB="0" distL="0" distR="0" wp14:anchorId="7F32417B" wp14:editId="06FAF053">
            <wp:extent cx="6026150" cy="34759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026150" cy="3475990"/>
                    </a:xfrm>
                    <a:prstGeom prst="rect">
                      <a:avLst/>
                    </a:prstGeom>
                  </pic:spPr>
                </pic:pic>
              </a:graphicData>
            </a:graphic>
          </wp:inline>
        </w:drawing>
      </w:r>
    </w:p>
    <w:p w14:paraId="2DFC3BE9" w14:textId="60383E3B" w:rsidR="00077F12" w:rsidRPr="00A7082A" w:rsidRDefault="00077F12" w:rsidP="00757380">
      <w:pPr>
        <w:pStyle w:val="Normal-pool"/>
        <w:spacing w:after="120"/>
        <w:ind w:left="1247"/>
        <w:rPr>
          <w:sz w:val="17"/>
          <w:szCs w:val="17"/>
        </w:rPr>
      </w:pPr>
      <w:bookmarkStart w:id="70" w:name="_Toc27124752"/>
      <w:r w:rsidRPr="00A7082A">
        <w:rPr>
          <w:i/>
          <w:iCs/>
          <w:sz w:val="17"/>
          <w:szCs w:val="17"/>
        </w:rPr>
        <w:t>Abbreviations</w:t>
      </w:r>
      <w:r w:rsidRPr="00A7082A">
        <w:rPr>
          <w:sz w:val="17"/>
          <w:szCs w:val="17"/>
        </w:rPr>
        <w:t>: COP</w:t>
      </w:r>
      <w:r w:rsidR="00DF0641" w:rsidRPr="00A7082A">
        <w:rPr>
          <w:sz w:val="17"/>
          <w:szCs w:val="17"/>
        </w:rPr>
        <w:t>,</w:t>
      </w:r>
      <w:r w:rsidRPr="00A7082A">
        <w:rPr>
          <w:sz w:val="17"/>
          <w:szCs w:val="17"/>
        </w:rPr>
        <w:t xml:space="preserve"> Conference of the Parties to the Minamata Convention on Mercury; ICC</w:t>
      </w:r>
      <w:r w:rsidR="00DF0641" w:rsidRPr="00A7082A">
        <w:rPr>
          <w:sz w:val="17"/>
          <w:szCs w:val="17"/>
        </w:rPr>
        <w:t>,</w:t>
      </w:r>
      <w:r w:rsidRPr="00A7082A">
        <w:rPr>
          <w:sz w:val="17"/>
          <w:szCs w:val="17"/>
        </w:rPr>
        <w:t xml:space="preserve"> Implementation and Compliance Committee; MIA</w:t>
      </w:r>
      <w:r w:rsidR="00DF0641" w:rsidRPr="00A7082A">
        <w:rPr>
          <w:sz w:val="17"/>
          <w:szCs w:val="17"/>
        </w:rPr>
        <w:t>,</w:t>
      </w:r>
      <w:r w:rsidRPr="00A7082A">
        <w:rPr>
          <w:sz w:val="17"/>
          <w:szCs w:val="17"/>
        </w:rPr>
        <w:t xml:space="preserve"> Minamata initial assessment; NAP</w:t>
      </w:r>
      <w:r w:rsidR="00DF0641" w:rsidRPr="00A7082A">
        <w:rPr>
          <w:sz w:val="17"/>
          <w:szCs w:val="17"/>
        </w:rPr>
        <w:t>,</w:t>
      </w:r>
      <w:r w:rsidRPr="00A7082A">
        <w:rPr>
          <w:sz w:val="17"/>
          <w:szCs w:val="17"/>
        </w:rPr>
        <w:t xml:space="preserve"> national action plan; NIP</w:t>
      </w:r>
      <w:r w:rsidR="00DF0641" w:rsidRPr="00A7082A">
        <w:rPr>
          <w:sz w:val="17"/>
          <w:szCs w:val="17"/>
        </w:rPr>
        <w:t>,</w:t>
      </w:r>
      <w:r w:rsidRPr="00A7082A">
        <w:rPr>
          <w:sz w:val="17"/>
          <w:szCs w:val="17"/>
        </w:rPr>
        <w:t xml:space="preserve"> national implementation plan; SIP</w:t>
      </w:r>
      <w:r w:rsidR="00DF0641" w:rsidRPr="00A7082A">
        <w:rPr>
          <w:sz w:val="17"/>
          <w:szCs w:val="17"/>
        </w:rPr>
        <w:t>,</w:t>
      </w:r>
      <w:r w:rsidRPr="00A7082A">
        <w:rPr>
          <w:sz w:val="17"/>
          <w:szCs w:val="17"/>
        </w:rPr>
        <w:t xml:space="preserve"> Specific International Programme to Support </w:t>
      </w:r>
      <w:r w:rsidR="00F22310" w:rsidRPr="00A7082A">
        <w:rPr>
          <w:sz w:val="17"/>
          <w:szCs w:val="17"/>
        </w:rPr>
        <w:t>Capacity</w:t>
      </w:r>
      <w:r w:rsidR="00F22310" w:rsidRPr="00A7082A">
        <w:rPr>
          <w:sz w:val="17"/>
          <w:szCs w:val="17"/>
        </w:rPr>
        <w:noBreakHyphen/>
        <w:t>building</w:t>
      </w:r>
      <w:r w:rsidRPr="00A7082A">
        <w:rPr>
          <w:sz w:val="17"/>
          <w:szCs w:val="17"/>
        </w:rPr>
        <w:t xml:space="preserve"> and Technical Assistance. </w:t>
      </w:r>
    </w:p>
    <w:p w14:paraId="7F0E6327" w14:textId="271464CF" w:rsidR="00077F12" w:rsidRPr="00A7082A" w:rsidRDefault="00077F12" w:rsidP="00757380">
      <w:pPr>
        <w:pStyle w:val="Normal-pool"/>
        <w:spacing w:after="120"/>
        <w:rPr>
          <w:b/>
          <w:highlight w:val="yellow"/>
        </w:rPr>
        <w:sectPr w:rsidR="00077F12" w:rsidRPr="00A7082A" w:rsidSect="003F4DA7">
          <w:headerReference w:type="even" r:id="rId23"/>
          <w:headerReference w:type="default" r:id="rId24"/>
          <w:headerReference w:type="first" r:id="rId25"/>
          <w:footerReference w:type="first" r:id="rId26"/>
          <w:footnotePr>
            <w:numRestart w:val="eachSect"/>
          </w:footnotePr>
          <w:pgSz w:w="11900" w:h="16840" w:code="9"/>
          <w:pgMar w:top="907" w:right="992" w:bottom="1418" w:left="1418" w:header="539" w:footer="975" w:gutter="0"/>
          <w:cols w:space="708"/>
          <w:titlePg/>
          <w:docGrid w:linePitch="360"/>
        </w:sectPr>
      </w:pPr>
    </w:p>
    <w:p w14:paraId="7AB6DFF1" w14:textId="0966409E" w:rsidR="003F4DA7" w:rsidRPr="00A7082A" w:rsidRDefault="00723B6C" w:rsidP="009557F8">
      <w:pPr>
        <w:pStyle w:val="CH1"/>
        <w:spacing w:before="120"/>
      </w:pPr>
      <w:r w:rsidRPr="00A7082A">
        <w:lastRenderedPageBreak/>
        <w:tab/>
      </w:r>
      <w:r w:rsidRPr="00A7082A">
        <w:tab/>
      </w:r>
      <w:bookmarkStart w:id="71" w:name="_Hlk38284513"/>
      <w:r w:rsidR="003F4DA7" w:rsidRPr="00A7082A">
        <w:t xml:space="preserve">MC-3/11: </w:t>
      </w:r>
      <w:bookmarkEnd w:id="71"/>
      <w:r w:rsidR="003F4DA7" w:rsidRPr="00A7082A">
        <w:t xml:space="preserve">Enhanced cooperation between the secretariat of the Minamata Convention and the </w:t>
      </w:r>
      <w:r w:rsidR="00851014" w:rsidRPr="00A7082A">
        <w:t>s</w:t>
      </w:r>
      <w:r w:rsidR="003F4DA7" w:rsidRPr="00A7082A">
        <w:t xml:space="preserve">ecretariat of the Basel, Rotterdam and Stockholm </w:t>
      </w:r>
      <w:r w:rsidR="00CE502E" w:rsidRPr="00A7082A">
        <w:t>C</w:t>
      </w:r>
      <w:r w:rsidR="003F4DA7" w:rsidRPr="00A7082A">
        <w:t>onventions</w:t>
      </w:r>
      <w:bookmarkEnd w:id="70"/>
    </w:p>
    <w:p w14:paraId="54BA167D" w14:textId="1D046339" w:rsidR="003F4DA7" w:rsidRPr="00A7082A" w:rsidRDefault="003F4DA7" w:rsidP="003F4DA7">
      <w:pPr>
        <w:keepNext/>
        <w:keepLines/>
        <w:tabs>
          <w:tab w:val="clear" w:pos="1247"/>
          <w:tab w:val="clear" w:pos="1814"/>
          <w:tab w:val="clear" w:pos="2381"/>
          <w:tab w:val="clear" w:pos="2948"/>
          <w:tab w:val="clear" w:pos="3515"/>
          <w:tab w:val="left" w:pos="624"/>
        </w:tabs>
        <w:spacing w:before="120" w:after="120"/>
        <w:ind w:left="1247" w:firstLine="624"/>
        <w:rPr>
          <w:i/>
        </w:rPr>
      </w:pPr>
      <w:r w:rsidRPr="00A7082A">
        <w:rPr>
          <w:i/>
        </w:rPr>
        <w:tab/>
        <w:t>The Conference of the Parties,</w:t>
      </w:r>
    </w:p>
    <w:p w14:paraId="01FD8FA8" w14:textId="4A6FE68E" w:rsidR="003F4DA7" w:rsidRPr="00A7082A" w:rsidRDefault="003F4DA7" w:rsidP="003F4DA7">
      <w:pPr>
        <w:keepNext/>
        <w:keepLines/>
        <w:tabs>
          <w:tab w:val="clear" w:pos="1247"/>
          <w:tab w:val="clear" w:pos="1814"/>
          <w:tab w:val="clear" w:pos="2381"/>
          <w:tab w:val="clear" w:pos="2948"/>
          <w:tab w:val="clear" w:pos="3515"/>
          <w:tab w:val="left" w:pos="624"/>
        </w:tabs>
        <w:spacing w:before="120" w:after="120"/>
        <w:ind w:left="1247" w:firstLine="624"/>
      </w:pPr>
      <w:r w:rsidRPr="00A7082A">
        <w:rPr>
          <w:i/>
        </w:rPr>
        <w:tab/>
        <w:t>Recalling</w:t>
      </w:r>
      <w:r w:rsidRPr="00A7082A">
        <w:t xml:space="preserve"> that paragraph 4 of article 24 of the Convention provides that the Conference of the Parties, in consultation with the appropriate international bodies, may provide for enhanced cooperation and coordination between the secretariat and the secretariats of other chemicals and waste conventions, and may provide further guidance on this matter,</w:t>
      </w:r>
    </w:p>
    <w:p w14:paraId="777CD620" w14:textId="7D42F0DF" w:rsidR="003F4DA7" w:rsidRPr="00A7082A" w:rsidRDefault="003F4DA7" w:rsidP="003F4DA7">
      <w:pPr>
        <w:tabs>
          <w:tab w:val="clear" w:pos="1247"/>
          <w:tab w:val="clear" w:pos="1814"/>
          <w:tab w:val="clear" w:pos="2381"/>
          <w:tab w:val="clear" w:pos="2948"/>
          <w:tab w:val="clear" w:pos="3515"/>
          <w:tab w:val="left" w:pos="624"/>
        </w:tabs>
        <w:spacing w:before="120" w:after="120"/>
        <w:ind w:left="1247" w:firstLine="624"/>
      </w:pPr>
      <w:r w:rsidRPr="00A7082A">
        <w:rPr>
          <w:i/>
        </w:rPr>
        <w:tab/>
      </w:r>
      <w:r w:rsidR="00D26BF5" w:rsidRPr="00A7082A">
        <w:rPr>
          <w:i/>
        </w:rPr>
        <w:t xml:space="preserve">Also </w:t>
      </w:r>
      <w:r w:rsidRPr="00A7082A">
        <w:rPr>
          <w:i/>
        </w:rPr>
        <w:t>recalling</w:t>
      </w:r>
      <w:r w:rsidRPr="00A7082A">
        <w:t xml:space="preserve"> decision MC-2/7 of the Conference of the Parties to the Minamata Convention, as well as decision BC-14/22 of the Conference of the Parties to the Basel Convention on the Control of Transboundary Movements of Hazardous Wastes and Their Disposal, decision RC-9/10 of the Conference of the Parties to the Rotterdam Convention on </w:t>
      </w:r>
      <w:r w:rsidRPr="00A7082A">
        <w:rPr>
          <w:bCs/>
        </w:rPr>
        <w:t>the Prior Informed Consent Procedure for Certain Hazardous Chemicals and Pesticides in International Trade</w:t>
      </w:r>
      <w:r w:rsidRPr="00A7082A">
        <w:t xml:space="preserve"> and decision SC</w:t>
      </w:r>
      <w:r w:rsidRPr="00A7082A">
        <w:noBreakHyphen/>
        <w:t xml:space="preserve">9/20 of the Conference of the Parties to the Stockholm Convention on </w:t>
      </w:r>
      <w:r w:rsidRPr="00A7082A">
        <w:rPr>
          <w:bCs/>
        </w:rPr>
        <w:t>Persistent Organic Pollutants</w:t>
      </w:r>
      <w:r w:rsidRPr="00A7082A">
        <w:t>, including the requests in those decisions for a stable framework for sharing of relevant services between the secretariats of these conventions,</w:t>
      </w:r>
    </w:p>
    <w:p w14:paraId="0B2F8F61" w14:textId="2E0869F6" w:rsidR="003F4DA7" w:rsidRPr="00A7082A" w:rsidRDefault="003F4DA7" w:rsidP="003F4DA7">
      <w:pPr>
        <w:tabs>
          <w:tab w:val="clear" w:pos="1247"/>
          <w:tab w:val="clear" w:pos="1814"/>
          <w:tab w:val="clear" w:pos="2381"/>
          <w:tab w:val="clear" w:pos="2948"/>
          <w:tab w:val="clear" w:pos="3515"/>
          <w:tab w:val="left" w:pos="624"/>
        </w:tabs>
        <w:spacing w:before="120" w:after="120"/>
        <w:ind w:left="1247" w:firstLine="624"/>
      </w:pPr>
      <w:r w:rsidRPr="00A7082A">
        <w:rPr>
          <w:i/>
          <w:iCs/>
        </w:rPr>
        <w:tab/>
        <w:t xml:space="preserve">Recognizing </w:t>
      </w:r>
      <w:r w:rsidRPr="00A7082A">
        <w:rPr>
          <w:iCs/>
        </w:rPr>
        <w:t xml:space="preserve">that sharing of services within a stable framework </w:t>
      </w:r>
      <w:r w:rsidRPr="00A7082A">
        <w:t xml:space="preserve">will enhance cooperation and coordination based on experience and proximity and can </w:t>
      </w:r>
      <w:r w:rsidRPr="00A7082A">
        <w:rPr>
          <w:iCs/>
        </w:rPr>
        <w:t>foster the effective implementation of the Minamata Convention</w:t>
      </w:r>
      <w:r w:rsidRPr="00A7082A">
        <w:t xml:space="preserve"> without undermining the autonomy of the secretariats and the accountability of their executive heads,</w:t>
      </w:r>
    </w:p>
    <w:p w14:paraId="3A9C291F" w14:textId="4AC6DECF" w:rsidR="003F4DA7" w:rsidRPr="00A7082A" w:rsidRDefault="003F4DA7" w:rsidP="003F4DA7">
      <w:pPr>
        <w:tabs>
          <w:tab w:val="clear" w:pos="1247"/>
          <w:tab w:val="clear" w:pos="1814"/>
          <w:tab w:val="clear" w:pos="2381"/>
          <w:tab w:val="clear" w:pos="2948"/>
          <w:tab w:val="clear" w:pos="3515"/>
          <w:tab w:val="left" w:pos="624"/>
        </w:tabs>
        <w:spacing w:before="120" w:after="120"/>
        <w:ind w:left="1247" w:firstLine="624"/>
      </w:pPr>
      <w:r w:rsidRPr="00A7082A">
        <w:rPr>
          <w:i/>
        </w:rPr>
        <w:tab/>
        <w:t xml:space="preserve">Expressing gratitude </w:t>
      </w:r>
      <w:r w:rsidRPr="00A7082A">
        <w:t>for</w:t>
      </w:r>
      <w:r w:rsidRPr="00A7082A">
        <w:rPr>
          <w:i/>
        </w:rPr>
        <w:t xml:space="preserve"> </w:t>
      </w:r>
      <w:r w:rsidRPr="00A7082A">
        <w:t xml:space="preserve">the operative proposal of the Executive Director of the United Nations Environment Programme for sharing services between the secretariat of the Minamata Convention and the </w:t>
      </w:r>
      <w:r w:rsidR="00851014" w:rsidRPr="00A7082A">
        <w:t>secretariat</w:t>
      </w:r>
      <w:r w:rsidRPr="00A7082A">
        <w:t xml:space="preserve"> of the Basel, Rotterdam and Stockholm </w:t>
      </w:r>
      <w:r w:rsidR="00D26BF5" w:rsidRPr="00A7082A">
        <w:t>C</w:t>
      </w:r>
      <w:r w:rsidRPr="00A7082A">
        <w:t>onventions,</w:t>
      </w:r>
      <w:r w:rsidR="00844147" w:rsidRPr="00A7082A">
        <w:rPr>
          <w:rStyle w:val="FootnoteReference"/>
        </w:rPr>
        <w:footnoteReference w:id="12"/>
      </w:r>
    </w:p>
    <w:p w14:paraId="13E25C89" w14:textId="77777777" w:rsidR="003F4DA7" w:rsidRPr="00A7082A" w:rsidRDefault="003F4DA7" w:rsidP="00C54FDE">
      <w:pPr>
        <w:numPr>
          <w:ilvl w:val="0"/>
          <w:numId w:val="19"/>
        </w:numPr>
        <w:tabs>
          <w:tab w:val="clear" w:pos="1247"/>
          <w:tab w:val="clear" w:pos="1814"/>
          <w:tab w:val="clear" w:pos="2381"/>
          <w:tab w:val="clear" w:pos="2948"/>
          <w:tab w:val="clear" w:pos="3515"/>
          <w:tab w:val="left" w:pos="624"/>
        </w:tabs>
        <w:spacing w:after="120"/>
        <w:ind w:left="1247" w:firstLine="624"/>
        <w:rPr>
          <w:i/>
        </w:rPr>
      </w:pPr>
      <w:r w:rsidRPr="00A7082A">
        <w:rPr>
          <w:i/>
        </w:rPr>
        <w:t xml:space="preserve">Takes note </w:t>
      </w:r>
      <w:r w:rsidRPr="00A7082A">
        <w:t>of the content of the Executive Director’s operative proposal and of the various options provided therein;</w:t>
      </w:r>
    </w:p>
    <w:p w14:paraId="6E04B82D" w14:textId="2B415C06" w:rsidR="003F4DA7" w:rsidRPr="00A7082A" w:rsidRDefault="003F4DA7" w:rsidP="00C54FDE">
      <w:pPr>
        <w:numPr>
          <w:ilvl w:val="0"/>
          <w:numId w:val="19"/>
        </w:numPr>
        <w:tabs>
          <w:tab w:val="clear" w:pos="1247"/>
          <w:tab w:val="clear" w:pos="1814"/>
          <w:tab w:val="clear" w:pos="2381"/>
          <w:tab w:val="clear" w:pos="2948"/>
          <w:tab w:val="clear" w:pos="3515"/>
          <w:tab w:val="left" w:pos="624"/>
        </w:tabs>
        <w:spacing w:after="120"/>
        <w:ind w:left="1247" w:firstLine="624"/>
      </w:pPr>
      <w:r w:rsidRPr="00A7082A">
        <w:rPr>
          <w:i/>
        </w:rPr>
        <w:t>Affirms</w:t>
      </w:r>
      <w:r w:rsidRPr="00A7082A">
        <w:t xml:space="preserve"> the importance of continued cooperation on programmatic synergies; </w:t>
      </w:r>
      <w:bookmarkStart w:id="72" w:name="_Hlk38284587"/>
      <w:r w:rsidRPr="00A7082A">
        <w:t xml:space="preserve">the use of the task force between the two secretariats </w:t>
      </w:r>
      <w:bookmarkEnd w:id="72"/>
      <w:r w:rsidRPr="00A7082A">
        <w:t xml:space="preserve">and the United Nations Environment Programme Chemicals and Health Branch; and the possibility for the secretariat of the Minamata Convention to purchase services from the </w:t>
      </w:r>
      <w:r w:rsidR="00851014" w:rsidRPr="00A7082A">
        <w:t>s</w:t>
      </w:r>
      <w:r w:rsidRPr="00A7082A">
        <w:t xml:space="preserve">ecretariat of the Basel, Rotterdam and Stockholm </w:t>
      </w:r>
      <w:r w:rsidR="00D26BF5" w:rsidRPr="00A7082A">
        <w:t>C</w:t>
      </w:r>
      <w:r w:rsidRPr="00A7082A">
        <w:t>onventions on a cost recovery basis, in accordance with the programme of work and budget of the Minamata Convention for each biennium;</w:t>
      </w:r>
    </w:p>
    <w:p w14:paraId="461A9055" w14:textId="77777777" w:rsidR="003F4DA7" w:rsidRPr="00A7082A" w:rsidRDefault="003F4DA7" w:rsidP="00C54FDE">
      <w:pPr>
        <w:numPr>
          <w:ilvl w:val="0"/>
          <w:numId w:val="19"/>
        </w:numPr>
        <w:tabs>
          <w:tab w:val="clear" w:pos="1247"/>
          <w:tab w:val="clear" w:pos="1814"/>
          <w:tab w:val="clear" w:pos="2381"/>
          <w:tab w:val="clear" w:pos="2948"/>
          <w:tab w:val="clear" w:pos="3515"/>
          <w:tab w:val="left" w:pos="624"/>
        </w:tabs>
        <w:spacing w:after="120"/>
        <w:ind w:left="1247" w:firstLine="624"/>
      </w:pPr>
      <w:r w:rsidRPr="00A7082A">
        <w:rPr>
          <w:i/>
        </w:rPr>
        <w:t>Welcomes</w:t>
      </w:r>
      <w:r w:rsidRPr="00A7082A">
        <w:t xml:space="preserve"> the recommendation by the United Nations Environment Programme to establish inter-secretariat working groups to address specific aspects of relevant services;</w:t>
      </w:r>
    </w:p>
    <w:p w14:paraId="041FDBA2" w14:textId="0FEBD70B" w:rsidR="003F4DA7" w:rsidRPr="00A7082A" w:rsidRDefault="003F4DA7" w:rsidP="00C54FDE">
      <w:pPr>
        <w:numPr>
          <w:ilvl w:val="0"/>
          <w:numId w:val="19"/>
        </w:numPr>
        <w:tabs>
          <w:tab w:val="clear" w:pos="1247"/>
          <w:tab w:val="clear" w:pos="1814"/>
          <w:tab w:val="clear" w:pos="2381"/>
          <w:tab w:val="clear" w:pos="2948"/>
          <w:tab w:val="clear" w:pos="3515"/>
          <w:tab w:val="left" w:pos="624"/>
        </w:tabs>
        <w:spacing w:after="120"/>
        <w:ind w:left="1247" w:firstLine="624"/>
      </w:pPr>
      <w:r w:rsidRPr="00A7082A">
        <w:rPr>
          <w:i/>
        </w:rPr>
        <w:t>Requests</w:t>
      </w:r>
      <w:r w:rsidRPr="00A7082A">
        <w:t xml:space="preserve"> the Executive Director of the United Nations Environment Programme, in the performance of secretariat functions for the Minamata Convention and mindful of the legal autonomy of the respective secretariats, to support the secretariat of the Minamata Convention in its efforts to enhance cooperation with the </w:t>
      </w:r>
      <w:r w:rsidR="00851014" w:rsidRPr="00A7082A">
        <w:t>s</w:t>
      </w:r>
      <w:r w:rsidRPr="00A7082A">
        <w:t xml:space="preserve">ecretariat of the Basel, Rotterdam and Stockholm </w:t>
      </w:r>
      <w:r w:rsidR="00D26BF5" w:rsidRPr="00A7082A">
        <w:t>C</w:t>
      </w:r>
      <w:r w:rsidRPr="00A7082A">
        <w:t>onventions, including through the regular use of the task force comprising the two secretariats and the United Nations Environment Programme Chemicals and Health Branch as a stable framework of cooperation and sharing of relevant secretariat services, in accordance with decision MC-2/7;</w:t>
      </w:r>
    </w:p>
    <w:p w14:paraId="553985A8" w14:textId="65A57A9D" w:rsidR="003F4DA7" w:rsidRPr="00A7082A" w:rsidRDefault="003F4DA7" w:rsidP="00C54FDE">
      <w:pPr>
        <w:numPr>
          <w:ilvl w:val="0"/>
          <w:numId w:val="19"/>
        </w:numPr>
        <w:tabs>
          <w:tab w:val="clear" w:pos="1247"/>
          <w:tab w:val="clear" w:pos="1814"/>
          <w:tab w:val="clear" w:pos="2381"/>
          <w:tab w:val="clear" w:pos="2948"/>
          <w:tab w:val="clear" w:pos="3515"/>
          <w:tab w:val="left" w:pos="624"/>
        </w:tabs>
        <w:spacing w:after="120"/>
        <w:ind w:left="1247" w:firstLine="624"/>
      </w:pPr>
      <w:r w:rsidRPr="00A7082A">
        <w:rPr>
          <w:i/>
        </w:rPr>
        <w:t>Requests</w:t>
      </w:r>
      <w:r w:rsidRPr="00A7082A">
        <w:t xml:space="preserve"> the Executive Secretary:</w:t>
      </w:r>
    </w:p>
    <w:p w14:paraId="1AC95387" w14:textId="342CF935" w:rsidR="003F4DA7" w:rsidRPr="00A7082A" w:rsidRDefault="00D26BF5" w:rsidP="00C54FDE">
      <w:pPr>
        <w:numPr>
          <w:ilvl w:val="0"/>
          <w:numId w:val="20"/>
        </w:numPr>
        <w:tabs>
          <w:tab w:val="clear" w:pos="1247"/>
          <w:tab w:val="clear" w:pos="1814"/>
          <w:tab w:val="clear" w:pos="2381"/>
          <w:tab w:val="clear" w:pos="2948"/>
          <w:tab w:val="clear" w:pos="3515"/>
          <w:tab w:val="left" w:pos="624"/>
        </w:tabs>
        <w:spacing w:after="120"/>
        <w:ind w:left="1247" w:firstLine="624"/>
      </w:pPr>
      <w:bookmarkStart w:id="73" w:name="_Hlk38284703"/>
      <w:r w:rsidRPr="00A7082A">
        <w:t>To establish</w:t>
      </w:r>
      <w:r w:rsidR="003F4DA7" w:rsidRPr="00A7082A">
        <w:t xml:space="preserve">, with the </w:t>
      </w:r>
      <w:r w:rsidR="00851014" w:rsidRPr="00A7082A">
        <w:t>s</w:t>
      </w:r>
      <w:r w:rsidR="003F4DA7" w:rsidRPr="00A7082A">
        <w:t xml:space="preserve">ecretariat of the Basel, Rotterdam and Stockholm </w:t>
      </w:r>
      <w:r w:rsidRPr="00A7082A">
        <w:t>C</w:t>
      </w:r>
      <w:r w:rsidR="003F4DA7" w:rsidRPr="00A7082A">
        <w:t>onventions and under the overall steering</w:t>
      </w:r>
      <w:bookmarkEnd w:id="73"/>
      <w:r w:rsidR="003F4DA7" w:rsidRPr="00A7082A">
        <w:t xml:space="preserve"> of the task force, inter-secretariat working groups, as appropriate, to cooperate on relevant administrative, programmatic, technical assistance and technical matters, in accordance with the programme of work and budget;</w:t>
      </w:r>
    </w:p>
    <w:p w14:paraId="38961F2F" w14:textId="566A8ABE" w:rsidR="003F4DA7" w:rsidRPr="00A7082A" w:rsidRDefault="00D26BF5" w:rsidP="00C54FDE">
      <w:pPr>
        <w:numPr>
          <w:ilvl w:val="0"/>
          <w:numId w:val="20"/>
        </w:numPr>
        <w:tabs>
          <w:tab w:val="clear" w:pos="1247"/>
          <w:tab w:val="clear" w:pos="1814"/>
          <w:tab w:val="clear" w:pos="2381"/>
          <w:tab w:val="clear" w:pos="2948"/>
          <w:tab w:val="clear" w:pos="3515"/>
          <w:tab w:val="left" w:pos="624"/>
        </w:tabs>
        <w:spacing w:after="120"/>
        <w:ind w:left="1247" w:firstLine="624"/>
      </w:pPr>
      <w:r w:rsidRPr="00A7082A">
        <w:t>To c</w:t>
      </w:r>
      <w:r w:rsidR="003F4DA7" w:rsidRPr="00A7082A">
        <w:t xml:space="preserve">ontinue to implement shared services and the purchase of relevant services from the </w:t>
      </w:r>
      <w:r w:rsidR="00851014" w:rsidRPr="00A7082A">
        <w:t>s</w:t>
      </w:r>
      <w:r w:rsidR="003F4DA7" w:rsidRPr="00A7082A">
        <w:t xml:space="preserve">ecretariat of the Basel, Rotterdam and Stockholm </w:t>
      </w:r>
      <w:r w:rsidRPr="00A7082A">
        <w:t>C</w:t>
      </w:r>
      <w:r w:rsidR="003F4DA7" w:rsidRPr="00A7082A">
        <w:t>onventions on a cost recovery basis, as appropriate and in accordance with the programme of work and budget for each biennium;</w:t>
      </w:r>
    </w:p>
    <w:p w14:paraId="488298E4" w14:textId="379C1E9D" w:rsidR="00547AF3" w:rsidRPr="00A7082A" w:rsidRDefault="00D26BF5" w:rsidP="000712DE">
      <w:pPr>
        <w:numPr>
          <w:ilvl w:val="0"/>
          <w:numId w:val="20"/>
        </w:numPr>
        <w:tabs>
          <w:tab w:val="clear" w:pos="1247"/>
          <w:tab w:val="clear" w:pos="1814"/>
          <w:tab w:val="clear" w:pos="2381"/>
          <w:tab w:val="clear" w:pos="2948"/>
          <w:tab w:val="clear" w:pos="3515"/>
          <w:tab w:val="left" w:pos="624"/>
        </w:tabs>
        <w:spacing w:after="120"/>
        <w:ind w:left="1247" w:firstLine="624"/>
      </w:pPr>
      <w:r w:rsidRPr="00A7082A">
        <w:t>To r</w:t>
      </w:r>
      <w:r w:rsidR="003F4DA7" w:rsidRPr="00A7082A">
        <w:t xml:space="preserve">eport on the implementation of the present decision, including on a stable framework for cooperation and sharing of services, </w:t>
      </w:r>
      <w:r w:rsidRPr="00A7082A">
        <w:t xml:space="preserve">together with </w:t>
      </w:r>
      <w:r w:rsidR="003F4DA7" w:rsidRPr="00A7082A">
        <w:t>an outline of the cooperation activities planned under such a framework for the period 2022–2023</w:t>
      </w:r>
      <w:r w:rsidRPr="00A7082A">
        <w:t>, for the consideration of and</w:t>
      </w:r>
      <w:r w:rsidR="00CE25B9" w:rsidRPr="00A7082A">
        <w:t>,</w:t>
      </w:r>
      <w:r w:rsidRPr="00A7082A">
        <w:t xml:space="preserve"> </w:t>
      </w:r>
      <w:r w:rsidR="003E0FFF" w:rsidRPr="00A7082A">
        <w:t>as necessary</w:t>
      </w:r>
      <w:r w:rsidR="00CE25B9" w:rsidRPr="00A7082A">
        <w:t>,</w:t>
      </w:r>
      <w:r w:rsidR="003E0FFF" w:rsidRPr="00A7082A">
        <w:t xml:space="preserve"> </w:t>
      </w:r>
      <w:r w:rsidRPr="00A7082A">
        <w:t>further guidance by, the Conference of the Parties at its fourth meeting</w:t>
      </w:r>
      <w:r w:rsidR="003F4DA7" w:rsidRPr="00A7082A">
        <w:t>.</w:t>
      </w:r>
      <w:r w:rsidR="00547AF3" w:rsidRPr="00A7082A">
        <w:br w:type="page"/>
      </w:r>
    </w:p>
    <w:p w14:paraId="4A44FF32" w14:textId="3A4570E0" w:rsidR="003F4DA7" w:rsidRPr="00A7082A" w:rsidRDefault="003F4DA7" w:rsidP="009557F8">
      <w:pPr>
        <w:pStyle w:val="CH1"/>
      </w:pPr>
      <w:r w:rsidRPr="00A7082A">
        <w:lastRenderedPageBreak/>
        <w:tab/>
      </w:r>
      <w:r w:rsidRPr="00A7082A">
        <w:tab/>
      </w:r>
      <w:bookmarkStart w:id="74" w:name="_Toc27124753"/>
      <w:r w:rsidRPr="00A7082A">
        <w:t xml:space="preserve">MC-3/12: Programme of work and budget for the biennium </w:t>
      </w:r>
      <w:r w:rsidR="00547AF3" w:rsidRPr="00A7082A">
        <w:t>2020</w:t>
      </w:r>
      <w:r w:rsidR="00547AF3" w:rsidRPr="00A7082A">
        <w:noBreakHyphen/>
        <w:t>2021</w:t>
      </w:r>
      <w:bookmarkEnd w:id="74"/>
    </w:p>
    <w:p w14:paraId="53FEF981" w14:textId="77777777" w:rsidR="003F4DA7" w:rsidRPr="00A7082A" w:rsidRDefault="003F4DA7" w:rsidP="003F4DA7">
      <w:pPr>
        <w:tabs>
          <w:tab w:val="clear" w:pos="1247"/>
          <w:tab w:val="clear" w:pos="1814"/>
          <w:tab w:val="clear" w:pos="2381"/>
          <w:tab w:val="clear" w:pos="2948"/>
          <w:tab w:val="clear" w:pos="3515"/>
        </w:tabs>
        <w:spacing w:before="120" w:after="120"/>
        <w:ind w:left="1247" w:firstLine="624"/>
        <w:rPr>
          <w:i/>
        </w:rPr>
      </w:pPr>
      <w:r w:rsidRPr="00A7082A">
        <w:rPr>
          <w:b/>
          <w:sz w:val="24"/>
          <w:szCs w:val="24"/>
        </w:rPr>
        <w:tab/>
      </w:r>
      <w:r w:rsidRPr="00A7082A">
        <w:rPr>
          <w:i/>
        </w:rPr>
        <w:t xml:space="preserve">The Conference of the Parties, </w:t>
      </w:r>
    </w:p>
    <w:p w14:paraId="77B6A99E" w14:textId="77777777" w:rsidR="003F4DA7" w:rsidRPr="00A7082A" w:rsidRDefault="003F4DA7" w:rsidP="003F4DA7">
      <w:pPr>
        <w:widowControl w:val="0"/>
        <w:tabs>
          <w:tab w:val="clear" w:pos="1247"/>
          <w:tab w:val="clear" w:pos="1814"/>
          <w:tab w:val="clear" w:pos="2381"/>
          <w:tab w:val="clear" w:pos="2948"/>
          <w:tab w:val="clear" w:pos="3515"/>
          <w:tab w:val="left" w:pos="624"/>
        </w:tabs>
        <w:spacing w:after="120"/>
        <w:ind w:left="1247" w:firstLine="624"/>
      </w:pPr>
      <w:r w:rsidRPr="00A7082A">
        <w:rPr>
          <w:i/>
          <w:iCs/>
        </w:rPr>
        <w:t xml:space="preserve">Recalling </w:t>
      </w:r>
      <w:r w:rsidRPr="00A7082A">
        <w:t>its decision MC-1/15 on the programme of work of the secretariat and proposed budget for the biennium 2018–2019,</w:t>
      </w:r>
    </w:p>
    <w:p w14:paraId="359617D9" w14:textId="77777777" w:rsidR="003F4DA7" w:rsidRPr="00A7082A" w:rsidRDefault="003F4DA7" w:rsidP="003F4DA7">
      <w:pPr>
        <w:widowControl w:val="0"/>
        <w:tabs>
          <w:tab w:val="clear" w:pos="1247"/>
          <w:tab w:val="clear" w:pos="1814"/>
          <w:tab w:val="clear" w:pos="2381"/>
          <w:tab w:val="clear" w:pos="2948"/>
          <w:tab w:val="clear" w:pos="3515"/>
          <w:tab w:val="left" w:pos="624"/>
        </w:tabs>
        <w:spacing w:after="120"/>
        <w:ind w:left="1247" w:firstLine="624"/>
      </w:pPr>
      <w:r w:rsidRPr="00A7082A">
        <w:rPr>
          <w:i/>
          <w:iCs/>
        </w:rPr>
        <w:t>Recalling also</w:t>
      </w:r>
      <w:r w:rsidRPr="00A7082A">
        <w:t xml:space="preserve"> its decision MC-2/12 on the update on the budget for 2019,</w:t>
      </w:r>
    </w:p>
    <w:p w14:paraId="5A1DA6A3" w14:textId="77777777" w:rsidR="003F4DA7" w:rsidRPr="00A7082A" w:rsidRDefault="003F4DA7" w:rsidP="003F4DA7">
      <w:pPr>
        <w:widowControl w:val="0"/>
        <w:tabs>
          <w:tab w:val="clear" w:pos="1247"/>
          <w:tab w:val="clear" w:pos="1814"/>
          <w:tab w:val="clear" w:pos="2381"/>
          <w:tab w:val="clear" w:pos="2948"/>
          <w:tab w:val="clear" w:pos="3515"/>
          <w:tab w:val="left" w:pos="624"/>
        </w:tabs>
        <w:spacing w:after="120"/>
        <w:ind w:left="1247" w:firstLine="624"/>
        <w:rPr>
          <w:i/>
          <w:iCs/>
        </w:rPr>
      </w:pPr>
      <w:r w:rsidRPr="00A7082A">
        <w:rPr>
          <w:i/>
          <w:iCs/>
        </w:rPr>
        <w:t xml:space="preserve">Welcoming </w:t>
      </w:r>
      <w:r w:rsidRPr="00A7082A">
        <w:t>the effort undertaken by the Executive Director of the United Nations Environment Programme in preparing an operative proposal, as requested in paragraph 1 of decision MC-2/7, to maximize the effective and efficient use of resources of the Minamata Convention,</w:t>
      </w:r>
      <w:r w:rsidRPr="00A7082A">
        <w:rPr>
          <w:i/>
          <w:iCs/>
        </w:rPr>
        <w:t xml:space="preserve"> </w:t>
      </w:r>
    </w:p>
    <w:p w14:paraId="3E8EAE01" w14:textId="77777777" w:rsidR="003F4DA7" w:rsidRPr="00A7082A" w:rsidRDefault="003F4DA7" w:rsidP="003F4DA7">
      <w:pPr>
        <w:widowControl w:val="0"/>
        <w:tabs>
          <w:tab w:val="clear" w:pos="1247"/>
          <w:tab w:val="clear" w:pos="1814"/>
          <w:tab w:val="clear" w:pos="2381"/>
          <w:tab w:val="clear" w:pos="2948"/>
          <w:tab w:val="clear" w:pos="3515"/>
          <w:tab w:val="left" w:pos="624"/>
        </w:tabs>
        <w:spacing w:after="120"/>
        <w:ind w:left="1247" w:firstLine="624"/>
      </w:pPr>
      <w:r w:rsidRPr="00A7082A">
        <w:rPr>
          <w:i/>
          <w:iCs/>
        </w:rPr>
        <w:t xml:space="preserve">Welcoming also </w:t>
      </w:r>
      <w:r w:rsidRPr="00A7082A">
        <w:t>the annual contribution by Switzerland, the host country of the secretariat, of 1 million Swiss francs, apportioned 60 per cent to the general trust fund and 40 per cent to the special trust fund to be prioritized for the purpose of supporting the participation of representatives from developing countries in the meetings of the Conference of the Parties,</w:t>
      </w:r>
    </w:p>
    <w:p w14:paraId="02B640B2" w14:textId="77777777" w:rsidR="003F4DA7" w:rsidRPr="00A7082A" w:rsidRDefault="003F4DA7" w:rsidP="003F4DA7">
      <w:pPr>
        <w:widowControl w:val="0"/>
        <w:tabs>
          <w:tab w:val="clear" w:pos="1247"/>
          <w:tab w:val="clear" w:pos="1814"/>
          <w:tab w:val="clear" w:pos="2381"/>
          <w:tab w:val="clear" w:pos="2948"/>
          <w:tab w:val="clear" w:pos="3515"/>
          <w:tab w:val="left" w:pos="624"/>
        </w:tabs>
        <w:spacing w:after="120"/>
        <w:ind w:left="1247" w:firstLine="624"/>
      </w:pPr>
      <w:r w:rsidRPr="00A7082A">
        <w:rPr>
          <w:i/>
          <w:iCs/>
        </w:rPr>
        <w:t>Taking note</w:t>
      </w:r>
      <w:r w:rsidRPr="00A7082A">
        <w:t xml:space="preserve"> of the contributions paid by the parties to the general trust fund,</w:t>
      </w:r>
    </w:p>
    <w:p w14:paraId="24DCA875" w14:textId="77777777" w:rsidR="003F4DA7" w:rsidRPr="00A7082A" w:rsidRDefault="003F4DA7" w:rsidP="003F4DA7">
      <w:pPr>
        <w:widowControl w:val="0"/>
        <w:tabs>
          <w:tab w:val="clear" w:pos="1247"/>
          <w:tab w:val="clear" w:pos="1814"/>
          <w:tab w:val="clear" w:pos="2381"/>
          <w:tab w:val="clear" w:pos="2948"/>
          <w:tab w:val="clear" w:pos="3515"/>
          <w:tab w:val="left" w:pos="624"/>
        </w:tabs>
        <w:spacing w:after="120"/>
        <w:ind w:left="1247" w:firstLine="624"/>
      </w:pPr>
      <w:r w:rsidRPr="00A7082A">
        <w:rPr>
          <w:i/>
          <w:iCs/>
        </w:rPr>
        <w:t>Noting</w:t>
      </w:r>
      <w:r w:rsidRPr="00A7082A">
        <w:t xml:space="preserve"> that the Convention’s full working capital reserve in the general trust fund was established in 2018, and reaffirming that the working capital reserve shall be maintained at the level of 15 per cent of the annual budget,</w:t>
      </w:r>
    </w:p>
    <w:p w14:paraId="40376866" w14:textId="77777777" w:rsidR="003F4DA7" w:rsidRPr="00A7082A" w:rsidRDefault="003F4DA7" w:rsidP="003F4DA7">
      <w:pPr>
        <w:widowControl w:val="0"/>
        <w:tabs>
          <w:tab w:val="clear" w:pos="1247"/>
          <w:tab w:val="clear" w:pos="1814"/>
          <w:tab w:val="clear" w:pos="2381"/>
          <w:tab w:val="clear" w:pos="2948"/>
          <w:tab w:val="clear" w:pos="3515"/>
          <w:tab w:val="left" w:pos="624"/>
        </w:tabs>
        <w:spacing w:after="120"/>
        <w:ind w:left="1247" w:firstLine="624"/>
      </w:pPr>
      <w:r w:rsidRPr="00A7082A">
        <w:rPr>
          <w:i/>
          <w:iCs/>
        </w:rPr>
        <w:t xml:space="preserve">Recognizing with appreciation </w:t>
      </w:r>
      <w:r w:rsidRPr="00A7082A">
        <w:t>the contributions and pledges made by Austria, the European Union, Finland, France, Japan, Norway, the Philippines, Sweden and Switzerland to the special trust fund in the biennium 2018</w:t>
      </w:r>
      <w:r w:rsidRPr="00A7082A">
        <w:sym w:font="Symbol" w:char="F02D"/>
      </w:r>
      <w:r w:rsidRPr="00A7082A">
        <w:t xml:space="preserve">2019, </w:t>
      </w:r>
    </w:p>
    <w:p w14:paraId="28ACDE02" w14:textId="5D573A4E" w:rsidR="003F4DA7" w:rsidRPr="00A7082A" w:rsidRDefault="003F4DA7" w:rsidP="003F4DA7">
      <w:pPr>
        <w:widowControl w:val="0"/>
        <w:tabs>
          <w:tab w:val="clear" w:pos="1247"/>
          <w:tab w:val="clear" w:pos="1814"/>
          <w:tab w:val="clear" w:pos="2381"/>
          <w:tab w:val="clear" w:pos="2948"/>
          <w:tab w:val="clear" w:pos="3515"/>
          <w:tab w:val="left" w:pos="624"/>
        </w:tabs>
        <w:spacing w:after="120"/>
        <w:ind w:left="1247" w:firstLine="624"/>
      </w:pPr>
      <w:r w:rsidRPr="00A7082A">
        <w:rPr>
          <w:i/>
          <w:iCs/>
        </w:rPr>
        <w:t>Recognizing also, with appreciation,</w:t>
      </w:r>
      <w:r w:rsidRPr="00A7082A">
        <w:t xml:space="preserve"> the contributions and pledges made by Austria, Denmark, Germany, the Netherlands, Norway, Sweden, Switzerland, the United Kingdom of Great Britain and Northern Ireland and the United States of America to the </w:t>
      </w:r>
      <w:r w:rsidR="00802517" w:rsidRPr="00A7082A">
        <w:t>s</w:t>
      </w:r>
      <w:r w:rsidRPr="00A7082A">
        <w:t xml:space="preserve">pecific </w:t>
      </w:r>
      <w:r w:rsidR="00802517" w:rsidRPr="00A7082A">
        <w:t>t</w:t>
      </w:r>
      <w:r w:rsidRPr="00A7082A">
        <w:t xml:space="preserve">rust </w:t>
      </w:r>
      <w:r w:rsidR="00802517" w:rsidRPr="00A7082A">
        <w:t>f</w:t>
      </w:r>
      <w:r w:rsidRPr="00A7082A">
        <w:t>und in the biennium 2018</w:t>
      </w:r>
      <w:r w:rsidRPr="00A7082A">
        <w:sym w:font="Symbol" w:char="F02D"/>
      </w:r>
      <w:r w:rsidRPr="00A7082A">
        <w:t>2019,</w:t>
      </w:r>
    </w:p>
    <w:p w14:paraId="0ACDBB1C" w14:textId="1817F1E7" w:rsidR="003F4DA7" w:rsidRPr="00A7082A" w:rsidRDefault="003F4DA7" w:rsidP="003F4DA7">
      <w:pPr>
        <w:tabs>
          <w:tab w:val="clear" w:pos="1247"/>
          <w:tab w:val="clear" w:pos="1814"/>
          <w:tab w:val="clear" w:pos="2381"/>
          <w:tab w:val="clear" w:pos="2948"/>
          <w:tab w:val="clear" w:pos="3515"/>
          <w:tab w:val="left" w:pos="624"/>
        </w:tabs>
        <w:spacing w:after="120"/>
        <w:ind w:left="1247" w:firstLine="624"/>
        <w:rPr>
          <w:i/>
          <w:iCs/>
        </w:rPr>
      </w:pPr>
      <w:r w:rsidRPr="00A7082A">
        <w:rPr>
          <w:i/>
          <w:iCs/>
        </w:rPr>
        <w:t xml:space="preserve">Recalling </w:t>
      </w:r>
      <w:r w:rsidRPr="00A7082A">
        <w:t>its request to the</w:t>
      </w:r>
      <w:r w:rsidRPr="00A7082A">
        <w:rPr>
          <w:iCs/>
        </w:rPr>
        <w:t xml:space="preserve"> Executive Secretary to prepare a budget for the biennium </w:t>
      </w:r>
      <w:r w:rsidR="00547AF3" w:rsidRPr="00A7082A">
        <w:rPr>
          <w:iCs/>
        </w:rPr>
        <w:t>2020</w:t>
      </w:r>
      <w:r w:rsidR="00547AF3" w:rsidRPr="00A7082A">
        <w:rPr>
          <w:iCs/>
        </w:rPr>
        <w:noBreakHyphen/>
        <w:t>2021</w:t>
      </w:r>
      <w:r w:rsidRPr="00A7082A">
        <w:rPr>
          <w:iCs/>
        </w:rPr>
        <w:t>, for consideration by the Conference of the Parties at its third meeting, in 2019, explaining the key principles, assumptions and programmatic strategy on which the budget is based and presenting expenditures for that biennium in a programmatic format and broken down by budget activities, with each activity to be supported by a budget activity fact sheet,</w:t>
      </w:r>
    </w:p>
    <w:p w14:paraId="118FE67C" w14:textId="69A7F731" w:rsidR="003F4DA7" w:rsidRPr="00A7082A" w:rsidRDefault="003F4DA7" w:rsidP="003F4DA7">
      <w:pPr>
        <w:tabs>
          <w:tab w:val="clear" w:pos="1247"/>
          <w:tab w:val="clear" w:pos="1814"/>
          <w:tab w:val="clear" w:pos="2381"/>
          <w:tab w:val="clear" w:pos="2948"/>
          <w:tab w:val="clear" w:pos="3515"/>
          <w:tab w:val="left" w:pos="624"/>
        </w:tabs>
        <w:spacing w:after="120"/>
        <w:ind w:left="1247" w:firstLine="624"/>
        <w:rPr>
          <w:i/>
          <w:iCs/>
        </w:rPr>
      </w:pPr>
      <w:r w:rsidRPr="00A7082A">
        <w:rPr>
          <w:i/>
          <w:iCs/>
        </w:rPr>
        <w:t xml:space="preserve">Recalling also </w:t>
      </w:r>
      <w:r w:rsidRPr="00A7082A">
        <w:t xml:space="preserve">its request to the Executive Secretary, in preparing the budgets and programme of work for the biennium </w:t>
      </w:r>
      <w:r w:rsidR="00547AF3" w:rsidRPr="00A7082A">
        <w:t>2020</w:t>
      </w:r>
      <w:r w:rsidR="00547AF3" w:rsidRPr="00A7082A">
        <w:noBreakHyphen/>
        <w:t>2021</w:t>
      </w:r>
      <w:r w:rsidRPr="00A7082A">
        <w:t>, to present two scenarios:</w:t>
      </w:r>
    </w:p>
    <w:p w14:paraId="5889D732" w14:textId="77777777" w:rsidR="003F4DA7" w:rsidRPr="00A7082A" w:rsidRDefault="003F4DA7" w:rsidP="003F4DA7">
      <w:pPr>
        <w:numPr>
          <w:ilvl w:val="1"/>
          <w:numId w:val="38"/>
        </w:numPr>
        <w:tabs>
          <w:tab w:val="clear" w:pos="1247"/>
          <w:tab w:val="clear" w:pos="1814"/>
          <w:tab w:val="clear" w:pos="2381"/>
          <w:tab w:val="clear" w:pos="2948"/>
          <w:tab w:val="clear" w:pos="3515"/>
          <w:tab w:val="left" w:pos="624"/>
        </w:tabs>
        <w:spacing w:after="120"/>
        <w:ind w:left="1247" w:firstLine="624"/>
      </w:pPr>
      <w:r w:rsidRPr="00A7082A">
        <w:t xml:space="preserve">One maintaining the operational budget at the 2019 level in nominal terms; </w:t>
      </w:r>
    </w:p>
    <w:p w14:paraId="3B118330" w14:textId="77777777" w:rsidR="003F4DA7" w:rsidRPr="00A7082A" w:rsidRDefault="003F4DA7" w:rsidP="003F4DA7">
      <w:pPr>
        <w:numPr>
          <w:ilvl w:val="1"/>
          <w:numId w:val="38"/>
        </w:numPr>
        <w:tabs>
          <w:tab w:val="clear" w:pos="1247"/>
          <w:tab w:val="clear" w:pos="1814"/>
          <w:tab w:val="clear" w:pos="2381"/>
          <w:tab w:val="clear" w:pos="2948"/>
          <w:tab w:val="clear" w:pos="3515"/>
          <w:tab w:val="left" w:pos="624"/>
        </w:tabs>
        <w:spacing w:after="120"/>
        <w:ind w:left="1247" w:firstLine="624"/>
      </w:pPr>
      <w:r w:rsidRPr="00A7082A">
        <w:t>One reflecting required changes to the above-mentioned scenario to meet the projected needs and costs or savings related thereto,</w:t>
      </w:r>
    </w:p>
    <w:p w14:paraId="29E2A31A" w14:textId="1DA77769" w:rsidR="003F4DA7" w:rsidRPr="00A7082A" w:rsidRDefault="003F4DA7" w:rsidP="009D036D">
      <w:pPr>
        <w:tabs>
          <w:tab w:val="clear" w:pos="1247"/>
          <w:tab w:val="clear" w:pos="1814"/>
          <w:tab w:val="clear" w:pos="2381"/>
          <w:tab w:val="clear" w:pos="2948"/>
          <w:tab w:val="clear" w:pos="3515"/>
          <w:tab w:val="left" w:pos="624"/>
        </w:tabs>
        <w:spacing w:after="120"/>
        <w:ind w:left="1247" w:firstLine="624"/>
      </w:pPr>
      <w:r w:rsidRPr="00A7082A">
        <w:rPr>
          <w:i/>
        </w:rPr>
        <w:t xml:space="preserve">Recalling further </w:t>
      </w:r>
      <w:r w:rsidRPr="00A7082A">
        <w:rPr>
          <w:iCs/>
        </w:rPr>
        <w:t>its request to</w:t>
      </w:r>
      <w:r w:rsidRPr="00A7082A">
        <w:t xml:space="preserve"> the Executive Secretary to take into account the operative proposal on a stable framework for sharing of relevant services submitted by the Executive Director of the United Nations Environment Programme, including relevant options, in the preparation of the programme of work and budget for </w:t>
      </w:r>
      <w:r w:rsidR="00802517" w:rsidRPr="00A7082A">
        <w:t xml:space="preserve">the biennium </w:t>
      </w:r>
      <w:r w:rsidR="00547AF3" w:rsidRPr="00A7082A">
        <w:t>2020</w:t>
      </w:r>
      <w:r w:rsidR="00547AF3" w:rsidRPr="00A7082A">
        <w:noBreakHyphen/>
        <w:t>2021</w:t>
      </w:r>
      <w:r w:rsidRPr="00A7082A">
        <w:t xml:space="preserve">, pursuant to paragraph 2 of decision </w:t>
      </w:r>
      <w:r w:rsidR="003F4B01" w:rsidRPr="00A7082A">
        <w:t>MC</w:t>
      </w:r>
      <w:r w:rsidR="003F4B01" w:rsidRPr="00A7082A">
        <w:noBreakHyphen/>
        <w:t>2/7</w:t>
      </w:r>
      <w:r w:rsidRPr="00A7082A">
        <w:t>,</w:t>
      </w:r>
    </w:p>
    <w:p w14:paraId="7697EE0A" w14:textId="37D0C1C2" w:rsidR="003F4DA7" w:rsidRPr="00A7082A" w:rsidRDefault="003F4DA7" w:rsidP="009557F8">
      <w:pPr>
        <w:numPr>
          <w:ilvl w:val="0"/>
          <w:numId w:val="40"/>
        </w:numPr>
        <w:tabs>
          <w:tab w:val="clear" w:pos="1247"/>
          <w:tab w:val="clear" w:pos="1814"/>
          <w:tab w:val="clear" w:pos="2381"/>
          <w:tab w:val="clear" w:pos="2948"/>
          <w:tab w:val="clear" w:pos="3515"/>
          <w:tab w:val="left" w:pos="624"/>
        </w:tabs>
        <w:spacing w:after="120"/>
        <w:ind w:left="1247" w:firstLine="624"/>
        <w:rPr>
          <w:rFonts w:eastAsia="SimSun"/>
          <w:lang w:eastAsia="en-GB"/>
        </w:rPr>
      </w:pPr>
      <w:r w:rsidRPr="00A7082A">
        <w:rPr>
          <w:rFonts w:eastAsia="SimSun"/>
          <w:i/>
          <w:iCs/>
          <w:lang w:eastAsia="en-GB"/>
        </w:rPr>
        <w:t>Invites</w:t>
      </w:r>
      <w:r w:rsidRPr="00A7082A">
        <w:rPr>
          <w:rFonts w:eastAsia="SimSun"/>
          <w:lang w:eastAsia="en-GB"/>
        </w:rPr>
        <w:t xml:space="preserve"> parties and other stakeholders in a position to do so to provide an in-kind contribution, in </w:t>
      </w:r>
      <w:r w:rsidR="00AE118E" w:rsidRPr="00A7082A">
        <w:rPr>
          <w:rFonts w:eastAsia="SimSun"/>
          <w:lang w:eastAsia="en-GB"/>
        </w:rPr>
        <w:t>the</w:t>
      </w:r>
      <w:r w:rsidRPr="00A7082A">
        <w:rPr>
          <w:rFonts w:eastAsia="SimSun"/>
          <w:lang w:eastAsia="en-GB"/>
        </w:rPr>
        <w:t xml:space="preserve"> form of</w:t>
      </w:r>
      <w:r w:rsidR="00AE118E" w:rsidRPr="00A7082A">
        <w:rPr>
          <w:rFonts w:eastAsia="SimSun"/>
          <w:lang w:eastAsia="en-GB"/>
        </w:rPr>
        <w:t xml:space="preserve"> a</w:t>
      </w:r>
      <w:r w:rsidRPr="00A7082A">
        <w:rPr>
          <w:rFonts w:eastAsia="SimSun"/>
          <w:lang w:eastAsia="en-GB"/>
        </w:rPr>
        <w:t xml:space="preserve"> secondment</w:t>
      </w:r>
      <w:r w:rsidR="00AE118E" w:rsidRPr="00A7082A">
        <w:rPr>
          <w:rFonts w:eastAsia="SimSun"/>
          <w:lang w:eastAsia="en-GB"/>
        </w:rPr>
        <w:t>/J</w:t>
      </w:r>
      <w:r w:rsidR="00802517" w:rsidRPr="00A7082A">
        <w:rPr>
          <w:rFonts w:eastAsia="SimSun"/>
          <w:lang w:eastAsia="en-GB"/>
        </w:rPr>
        <w:t xml:space="preserve">unior </w:t>
      </w:r>
      <w:r w:rsidR="00AE118E" w:rsidRPr="00A7082A">
        <w:rPr>
          <w:rFonts w:eastAsia="SimSun"/>
          <w:lang w:eastAsia="en-GB"/>
        </w:rPr>
        <w:t>Professional</w:t>
      </w:r>
      <w:r w:rsidR="00802517" w:rsidRPr="00A7082A">
        <w:rPr>
          <w:rFonts w:eastAsia="SimSun"/>
          <w:lang w:eastAsia="en-GB"/>
        </w:rPr>
        <w:t xml:space="preserve"> </w:t>
      </w:r>
      <w:r w:rsidR="00AE118E" w:rsidRPr="00A7082A">
        <w:rPr>
          <w:rFonts w:eastAsia="SimSun"/>
          <w:lang w:eastAsia="en-GB"/>
        </w:rPr>
        <w:t>O</w:t>
      </w:r>
      <w:r w:rsidR="00802517" w:rsidRPr="00A7082A">
        <w:rPr>
          <w:rFonts w:eastAsia="SimSun"/>
          <w:lang w:eastAsia="en-GB"/>
        </w:rPr>
        <w:t>fficer</w:t>
      </w:r>
      <w:r w:rsidRPr="00A7082A">
        <w:rPr>
          <w:rFonts w:eastAsia="SimSun"/>
          <w:lang w:eastAsia="en-GB"/>
        </w:rPr>
        <w:t xml:space="preserve">, to support the operation of the Specific International Programme in the </w:t>
      </w:r>
      <w:r w:rsidR="00802517" w:rsidRPr="00A7082A">
        <w:rPr>
          <w:rFonts w:eastAsia="SimSun"/>
          <w:lang w:eastAsia="en-GB"/>
        </w:rPr>
        <w:t xml:space="preserve">biennium </w:t>
      </w:r>
      <w:r w:rsidR="00547AF3" w:rsidRPr="00A7082A">
        <w:rPr>
          <w:rFonts w:eastAsia="SimSun"/>
          <w:lang w:eastAsia="en-GB"/>
        </w:rPr>
        <w:t>2020</w:t>
      </w:r>
      <w:r w:rsidR="00547AF3" w:rsidRPr="00A7082A">
        <w:rPr>
          <w:rFonts w:eastAsia="SimSun"/>
          <w:lang w:eastAsia="en-GB"/>
        </w:rPr>
        <w:noBreakHyphen/>
        <w:t>2021</w:t>
      </w:r>
      <w:r w:rsidR="00755079" w:rsidRPr="00A7082A">
        <w:rPr>
          <w:rFonts w:eastAsia="SimSun"/>
          <w:lang w:eastAsia="en-GB"/>
        </w:rPr>
        <w:t>;</w:t>
      </w:r>
      <w:r w:rsidR="00CC57F8" w:rsidRPr="00A7082A">
        <w:rPr>
          <w:rFonts w:eastAsia="SimSun"/>
          <w:lang w:eastAsia="en-GB"/>
        </w:rPr>
        <w:t xml:space="preserve"> </w:t>
      </w:r>
    </w:p>
    <w:p w14:paraId="3D93EE6B" w14:textId="77777777" w:rsidR="003F4DA7" w:rsidRPr="00A7082A" w:rsidRDefault="003F4DA7" w:rsidP="003F4DA7">
      <w:pPr>
        <w:keepNext/>
        <w:keepLines/>
        <w:tabs>
          <w:tab w:val="right" w:pos="851"/>
        </w:tabs>
        <w:suppressAutoHyphens/>
        <w:spacing w:before="240" w:after="120"/>
        <w:ind w:left="1247" w:right="284"/>
        <w:jc w:val="center"/>
        <w:rPr>
          <w:b/>
          <w:sz w:val="24"/>
          <w:szCs w:val="24"/>
        </w:rPr>
      </w:pPr>
      <w:r w:rsidRPr="00A7082A">
        <w:rPr>
          <w:b/>
          <w:sz w:val="24"/>
          <w:szCs w:val="24"/>
        </w:rPr>
        <w:t>I</w:t>
      </w:r>
    </w:p>
    <w:p w14:paraId="6F2E5137" w14:textId="77777777" w:rsidR="003F4DA7" w:rsidRPr="00A7082A" w:rsidRDefault="003F4DA7" w:rsidP="003F4DA7">
      <w:pPr>
        <w:keepNext/>
        <w:keepLines/>
        <w:tabs>
          <w:tab w:val="right" w:pos="851"/>
        </w:tabs>
        <w:suppressAutoHyphens/>
        <w:spacing w:before="120" w:after="120"/>
        <w:ind w:left="1247" w:right="284"/>
        <w:jc w:val="center"/>
        <w:rPr>
          <w:b/>
          <w:sz w:val="24"/>
          <w:szCs w:val="24"/>
        </w:rPr>
      </w:pPr>
      <w:r w:rsidRPr="00A7082A">
        <w:rPr>
          <w:b/>
          <w:sz w:val="24"/>
          <w:szCs w:val="24"/>
        </w:rPr>
        <w:t>General trust fund for the Minamata Convention on Mercury</w:t>
      </w:r>
    </w:p>
    <w:p w14:paraId="5EEE9CB8" w14:textId="77777777" w:rsidR="003F4DA7" w:rsidRPr="00A7082A" w:rsidRDefault="003F4DA7" w:rsidP="00C54FDE">
      <w:pPr>
        <w:numPr>
          <w:ilvl w:val="0"/>
          <w:numId w:val="40"/>
        </w:numPr>
        <w:tabs>
          <w:tab w:val="clear" w:pos="1247"/>
          <w:tab w:val="clear" w:pos="1814"/>
          <w:tab w:val="clear" w:pos="2381"/>
          <w:tab w:val="clear" w:pos="2948"/>
          <w:tab w:val="clear" w:pos="3515"/>
          <w:tab w:val="left" w:pos="624"/>
        </w:tabs>
        <w:spacing w:after="120"/>
        <w:ind w:left="1247" w:firstLine="624"/>
      </w:pPr>
      <w:r w:rsidRPr="00A7082A">
        <w:rPr>
          <w:i/>
        </w:rPr>
        <w:t>Takes note</w:t>
      </w:r>
      <w:r w:rsidRPr="00A7082A">
        <w:t xml:space="preserve"> of the report provided by the Executive Secretary on the main activities of the secretariat in the intersessional period,</w:t>
      </w:r>
      <w:r w:rsidRPr="00A7082A">
        <w:rPr>
          <w:vertAlign w:val="superscript"/>
        </w:rPr>
        <w:footnoteReference w:id="13"/>
      </w:r>
      <w:r w:rsidRPr="00A7082A">
        <w:t xml:space="preserve"> as well as the report on expenditures for the biennium 2018–2019 provided in the information on financial matters;</w:t>
      </w:r>
      <w:r w:rsidRPr="00A7082A">
        <w:rPr>
          <w:vertAlign w:val="superscript"/>
        </w:rPr>
        <w:footnoteReference w:id="14"/>
      </w:r>
      <w:r w:rsidRPr="00A7082A">
        <w:t xml:space="preserve"> </w:t>
      </w:r>
    </w:p>
    <w:p w14:paraId="02FF34DC" w14:textId="77777777" w:rsidR="003F4DA7" w:rsidRPr="00A7082A" w:rsidRDefault="003F4DA7" w:rsidP="00C54FDE">
      <w:pPr>
        <w:numPr>
          <w:ilvl w:val="0"/>
          <w:numId w:val="40"/>
        </w:numPr>
        <w:tabs>
          <w:tab w:val="clear" w:pos="1247"/>
          <w:tab w:val="clear" w:pos="1814"/>
          <w:tab w:val="clear" w:pos="2381"/>
          <w:tab w:val="clear" w:pos="2948"/>
          <w:tab w:val="clear" w:pos="3515"/>
          <w:tab w:val="left" w:pos="624"/>
        </w:tabs>
        <w:spacing w:after="120"/>
        <w:ind w:left="1247" w:firstLine="624"/>
      </w:pPr>
      <w:r w:rsidRPr="00A7082A">
        <w:rPr>
          <w:i/>
          <w:iCs/>
        </w:rPr>
        <w:lastRenderedPageBreak/>
        <w:t>Also takes note</w:t>
      </w:r>
      <w:r w:rsidRPr="00A7082A">
        <w:t xml:space="preserve"> of the proposed programme of work and budget for the biennium 2020</w:t>
      </w:r>
      <w:r w:rsidRPr="00A7082A">
        <w:sym w:font="Symbol" w:char="F02D"/>
      </w:r>
      <w:r w:rsidRPr="00A7082A">
        <w:t>2021,</w:t>
      </w:r>
      <w:r w:rsidRPr="00A7082A">
        <w:rPr>
          <w:vertAlign w:val="superscript"/>
        </w:rPr>
        <w:footnoteReference w:id="15"/>
      </w:r>
      <w:r w:rsidRPr="00A7082A">
        <w:t xml:space="preserve"> as well as the additional information on financial matters,</w:t>
      </w:r>
      <w:r w:rsidRPr="00A7082A">
        <w:rPr>
          <w:vertAlign w:val="superscript"/>
        </w:rPr>
        <w:footnoteReference w:id="16"/>
      </w:r>
      <w:r w:rsidRPr="00A7082A">
        <w:t xml:space="preserve"> the proposed operational budgets for the two funding scenarios</w:t>
      </w:r>
      <w:r w:rsidRPr="00A7082A">
        <w:rPr>
          <w:vertAlign w:val="superscript"/>
        </w:rPr>
        <w:footnoteReference w:id="17"/>
      </w:r>
      <w:r w:rsidRPr="00A7082A">
        <w:t xml:space="preserve"> and the budget activity fact sheets;</w:t>
      </w:r>
      <w:r w:rsidRPr="00A7082A">
        <w:rPr>
          <w:vertAlign w:val="superscript"/>
        </w:rPr>
        <w:footnoteReference w:id="18"/>
      </w:r>
    </w:p>
    <w:p w14:paraId="139B929F" w14:textId="7043D136" w:rsidR="003F4DA7" w:rsidRPr="00A7082A" w:rsidRDefault="003F4DA7" w:rsidP="00C54FDE">
      <w:pPr>
        <w:numPr>
          <w:ilvl w:val="0"/>
          <w:numId w:val="40"/>
        </w:numPr>
        <w:tabs>
          <w:tab w:val="clear" w:pos="1247"/>
          <w:tab w:val="clear" w:pos="1814"/>
          <w:tab w:val="clear" w:pos="2381"/>
          <w:tab w:val="clear" w:pos="2948"/>
          <w:tab w:val="clear" w:pos="3515"/>
          <w:tab w:val="left" w:pos="624"/>
        </w:tabs>
        <w:spacing w:after="120"/>
        <w:ind w:left="1247" w:firstLine="624"/>
      </w:pPr>
      <w:r w:rsidRPr="00A7082A">
        <w:rPr>
          <w:i/>
          <w:iCs/>
        </w:rPr>
        <w:t xml:space="preserve">Approves </w:t>
      </w:r>
      <w:r w:rsidRPr="00A7082A">
        <w:t>the budget for the general trust fund for the biennium 2020</w:t>
      </w:r>
      <w:r w:rsidRPr="00A7082A">
        <w:sym w:font="Symbol" w:char="F02D"/>
      </w:r>
      <w:r w:rsidRPr="00A7082A">
        <w:t>2021 of 7,</w:t>
      </w:r>
      <w:r w:rsidR="00290418" w:rsidRPr="00A7082A">
        <w:t>579,959</w:t>
      </w:r>
      <w:r w:rsidRPr="00A7082A">
        <w:t xml:space="preserve"> United States dollars;</w:t>
      </w:r>
    </w:p>
    <w:p w14:paraId="5254A82B" w14:textId="77777777" w:rsidR="003F4DA7" w:rsidRPr="00A7082A" w:rsidRDefault="003F4DA7" w:rsidP="00C54FDE">
      <w:pPr>
        <w:numPr>
          <w:ilvl w:val="0"/>
          <w:numId w:val="40"/>
        </w:numPr>
        <w:tabs>
          <w:tab w:val="clear" w:pos="1247"/>
          <w:tab w:val="clear" w:pos="1814"/>
          <w:tab w:val="clear" w:pos="2381"/>
          <w:tab w:val="clear" w:pos="2948"/>
          <w:tab w:val="clear" w:pos="3515"/>
          <w:tab w:val="left" w:pos="624"/>
        </w:tabs>
        <w:spacing w:after="120"/>
        <w:ind w:left="1247" w:firstLine="624"/>
      </w:pPr>
      <w:r w:rsidRPr="00A7082A">
        <w:rPr>
          <w:i/>
          <w:iCs/>
        </w:rPr>
        <w:t xml:space="preserve">Adopts </w:t>
      </w:r>
      <w:r w:rsidRPr="00A7082A">
        <w:t>the indicative scale of assessment for the apportionment of expenses for 2020</w:t>
      </w:r>
      <w:r w:rsidRPr="00A7082A">
        <w:sym w:font="Symbol" w:char="F02D"/>
      </w:r>
      <w:r w:rsidRPr="00A7082A">
        <w:t xml:space="preserve">2021 as set out in table 2 of the present decision and authorizes the Executive Secretary, consistent with the Financial Regulations and Rules of the United Nations, to adjust the scale to include all parties for which the Convention is in force by 1 January 2020; </w:t>
      </w:r>
    </w:p>
    <w:p w14:paraId="14C45244" w14:textId="77777777" w:rsidR="003F4DA7" w:rsidRPr="00A7082A" w:rsidRDefault="003F4DA7" w:rsidP="00C54FDE">
      <w:pPr>
        <w:numPr>
          <w:ilvl w:val="0"/>
          <w:numId w:val="40"/>
        </w:numPr>
        <w:tabs>
          <w:tab w:val="clear" w:pos="1247"/>
          <w:tab w:val="clear" w:pos="1814"/>
          <w:tab w:val="clear" w:pos="2381"/>
          <w:tab w:val="clear" w:pos="2948"/>
          <w:tab w:val="clear" w:pos="3515"/>
          <w:tab w:val="left" w:pos="624"/>
        </w:tabs>
        <w:spacing w:after="120"/>
        <w:ind w:left="1247" w:firstLine="624"/>
      </w:pPr>
      <w:r w:rsidRPr="00A7082A">
        <w:rPr>
          <w:i/>
          <w:iCs/>
        </w:rPr>
        <w:t xml:space="preserve">Recalls </w:t>
      </w:r>
      <w:r w:rsidRPr="00A7082A">
        <w:t>that contributions to the general trust fund are due by 1 January of the year for which those contributions have been budgeted and at the latest by 31 December of that year, and requests parties to pay their contributions as soon as possible to enable the secretariat to carry out its work;</w:t>
      </w:r>
    </w:p>
    <w:p w14:paraId="4A94A99C" w14:textId="77777777" w:rsidR="003F4DA7" w:rsidRPr="00A7082A" w:rsidRDefault="003F4DA7" w:rsidP="003F4DA7">
      <w:pPr>
        <w:keepNext/>
        <w:keepLines/>
        <w:tabs>
          <w:tab w:val="right" w:pos="851"/>
        </w:tabs>
        <w:suppressAutoHyphens/>
        <w:spacing w:before="240" w:after="120"/>
        <w:ind w:left="1247" w:right="284"/>
        <w:jc w:val="center"/>
        <w:rPr>
          <w:b/>
          <w:sz w:val="24"/>
          <w:szCs w:val="24"/>
        </w:rPr>
      </w:pPr>
      <w:r w:rsidRPr="00A7082A">
        <w:rPr>
          <w:b/>
          <w:sz w:val="24"/>
          <w:szCs w:val="24"/>
        </w:rPr>
        <w:t>II</w:t>
      </w:r>
    </w:p>
    <w:p w14:paraId="443B9446" w14:textId="77777777" w:rsidR="003F4DA7" w:rsidRPr="00A7082A" w:rsidRDefault="003F4DA7" w:rsidP="003F4DA7">
      <w:pPr>
        <w:keepNext/>
        <w:keepLines/>
        <w:tabs>
          <w:tab w:val="right" w:pos="851"/>
        </w:tabs>
        <w:suppressAutoHyphens/>
        <w:spacing w:before="120" w:after="120"/>
        <w:ind w:left="1247" w:right="284"/>
        <w:jc w:val="center"/>
        <w:rPr>
          <w:b/>
          <w:sz w:val="24"/>
          <w:szCs w:val="24"/>
        </w:rPr>
      </w:pPr>
      <w:r w:rsidRPr="00A7082A">
        <w:rPr>
          <w:b/>
          <w:sz w:val="24"/>
          <w:szCs w:val="24"/>
        </w:rPr>
        <w:t>Special trust fund for the Minamata Convention on Mercury</w:t>
      </w:r>
    </w:p>
    <w:p w14:paraId="3CB409A9" w14:textId="77777777" w:rsidR="003F4DA7" w:rsidRPr="00A7082A" w:rsidRDefault="003F4DA7" w:rsidP="00C54FDE">
      <w:pPr>
        <w:numPr>
          <w:ilvl w:val="0"/>
          <w:numId w:val="40"/>
        </w:numPr>
        <w:tabs>
          <w:tab w:val="clear" w:pos="1247"/>
          <w:tab w:val="clear" w:pos="1814"/>
          <w:tab w:val="clear" w:pos="2381"/>
          <w:tab w:val="clear" w:pos="2948"/>
          <w:tab w:val="clear" w:pos="3515"/>
          <w:tab w:val="left" w:pos="624"/>
        </w:tabs>
        <w:spacing w:after="120"/>
        <w:ind w:left="1247" w:firstLine="624"/>
      </w:pPr>
      <w:r w:rsidRPr="00A7082A">
        <w:rPr>
          <w:i/>
          <w:iCs/>
        </w:rPr>
        <w:t>Takes note</w:t>
      </w:r>
      <w:r w:rsidRPr="00A7082A">
        <w:t xml:space="preserve"> of the update provided by the Executive Secretary on the activities of 2019 and the expenditures for 2018</w:t>
      </w:r>
      <w:r w:rsidRPr="00A7082A">
        <w:sym w:font="Symbol" w:char="F02D"/>
      </w:r>
      <w:r w:rsidRPr="00A7082A">
        <w:t>2019 through the special trust fund as contained in the information on financial matters,</w:t>
      </w:r>
      <w:r w:rsidRPr="00A7082A">
        <w:rPr>
          <w:vertAlign w:val="superscript"/>
        </w:rPr>
        <w:footnoteReference w:id="19"/>
      </w:r>
      <w:r w:rsidRPr="00A7082A">
        <w:t xml:space="preserve"> as well as the report on the main activities of the secretariat in the intersessional period;</w:t>
      </w:r>
      <w:r w:rsidRPr="00A7082A">
        <w:rPr>
          <w:vertAlign w:val="superscript"/>
        </w:rPr>
        <w:footnoteReference w:id="20"/>
      </w:r>
      <w:r w:rsidRPr="00A7082A">
        <w:t xml:space="preserve"> </w:t>
      </w:r>
    </w:p>
    <w:p w14:paraId="61E37621" w14:textId="77777777" w:rsidR="003F4DA7" w:rsidRPr="00A7082A" w:rsidRDefault="003F4DA7" w:rsidP="00C54FDE">
      <w:pPr>
        <w:numPr>
          <w:ilvl w:val="0"/>
          <w:numId w:val="40"/>
        </w:numPr>
        <w:tabs>
          <w:tab w:val="clear" w:pos="1247"/>
          <w:tab w:val="clear" w:pos="1814"/>
          <w:tab w:val="clear" w:pos="2381"/>
          <w:tab w:val="clear" w:pos="2948"/>
          <w:tab w:val="clear" w:pos="3515"/>
          <w:tab w:val="left" w:pos="624"/>
        </w:tabs>
        <w:spacing w:after="120"/>
        <w:ind w:left="1247" w:firstLine="624"/>
      </w:pPr>
      <w:r w:rsidRPr="00A7082A">
        <w:rPr>
          <w:i/>
          <w:iCs/>
        </w:rPr>
        <w:t>Also takes note</w:t>
      </w:r>
      <w:r w:rsidRPr="00A7082A">
        <w:t xml:space="preserve"> of the proposed programme of work and budget for the biennium 2020</w:t>
      </w:r>
      <w:r w:rsidRPr="00A7082A">
        <w:sym w:font="Symbol" w:char="F02D"/>
      </w:r>
      <w:r w:rsidRPr="00A7082A">
        <w:t>2021,</w:t>
      </w:r>
      <w:r w:rsidRPr="00A7082A">
        <w:rPr>
          <w:vertAlign w:val="superscript"/>
        </w:rPr>
        <w:footnoteReference w:id="21"/>
      </w:r>
      <w:r w:rsidRPr="00A7082A">
        <w:t xml:space="preserve"> as well as the additional information on financial matters,</w:t>
      </w:r>
      <w:r w:rsidRPr="00A7082A">
        <w:rPr>
          <w:vertAlign w:val="superscript"/>
        </w:rPr>
        <w:footnoteReference w:id="22"/>
      </w:r>
      <w:r w:rsidRPr="00A7082A">
        <w:t xml:space="preserve"> the proposed operational budgets for the two funding scenarios</w:t>
      </w:r>
      <w:r w:rsidRPr="00A7082A">
        <w:rPr>
          <w:vertAlign w:val="superscript"/>
        </w:rPr>
        <w:footnoteReference w:id="23"/>
      </w:r>
      <w:r w:rsidRPr="00A7082A">
        <w:t xml:space="preserve"> and the budget activity fact sheets;</w:t>
      </w:r>
      <w:r w:rsidRPr="00A7082A">
        <w:rPr>
          <w:vertAlign w:val="superscript"/>
        </w:rPr>
        <w:footnoteReference w:id="24"/>
      </w:r>
    </w:p>
    <w:p w14:paraId="6E37B2BE" w14:textId="2651A5F0" w:rsidR="003F4DA7" w:rsidRPr="00A7082A" w:rsidRDefault="003F4DA7" w:rsidP="00C54FDE">
      <w:pPr>
        <w:numPr>
          <w:ilvl w:val="0"/>
          <w:numId w:val="40"/>
        </w:numPr>
        <w:tabs>
          <w:tab w:val="clear" w:pos="1247"/>
          <w:tab w:val="clear" w:pos="1814"/>
          <w:tab w:val="clear" w:pos="2381"/>
          <w:tab w:val="clear" w:pos="2948"/>
          <w:tab w:val="clear" w:pos="3515"/>
          <w:tab w:val="left" w:pos="624"/>
        </w:tabs>
        <w:spacing w:after="120"/>
        <w:ind w:left="1247" w:firstLine="624"/>
      </w:pPr>
      <w:r w:rsidRPr="00A7082A">
        <w:rPr>
          <w:i/>
          <w:iCs/>
        </w:rPr>
        <w:t>Further takes note of</w:t>
      </w:r>
      <w:r w:rsidRPr="00A7082A">
        <w:rPr>
          <w:i/>
        </w:rPr>
        <w:t xml:space="preserve"> </w:t>
      </w:r>
      <w:r w:rsidRPr="00A7082A">
        <w:t xml:space="preserve">the estimates for the special trust fund for the </w:t>
      </w:r>
      <w:r w:rsidR="00802517" w:rsidRPr="00A7082A">
        <w:t xml:space="preserve">biennium </w:t>
      </w:r>
      <w:r w:rsidRPr="00A7082A">
        <w:t>2020</w:t>
      </w:r>
      <w:r w:rsidRPr="00A7082A">
        <w:sym w:font="Symbol" w:char="F02D"/>
      </w:r>
      <w:r w:rsidRPr="00A7082A">
        <w:t xml:space="preserve">2021 of 4,377,620 United States dollars; </w:t>
      </w:r>
    </w:p>
    <w:p w14:paraId="69D10C4C" w14:textId="2E8B2874" w:rsidR="003F4DA7" w:rsidRPr="00A7082A" w:rsidRDefault="003F4DA7" w:rsidP="00C54FDE">
      <w:pPr>
        <w:numPr>
          <w:ilvl w:val="0"/>
          <w:numId w:val="40"/>
        </w:numPr>
        <w:tabs>
          <w:tab w:val="clear" w:pos="1247"/>
          <w:tab w:val="clear" w:pos="1814"/>
          <w:tab w:val="clear" w:pos="2381"/>
          <w:tab w:val="clear" w:pos="2948"/>
          <w:tab w:val="clear" w:pos="3515"/>
          <w:tab w:val="left" w:pos="624"/>
        </w:tabs>
        <w:spacing w:after="120"/>
        <w:ind w:left="1247" w:firstLine="624"/>
      </w:pPr>
      <w:r w:rsidRPr="00A7082A">
        <w:rPr>
          <w:i/>
          <w:iCs/>
        </w:rPr>
        <w:t xml:space="preserve">Notes </w:t>
      </w:r>
      <w:r w:rsidRPr="00A7082A">
        <w:t xml:space="preserve">that </w:t>
      </w:r>
      <w:r w:rsidR="00802517" w:rsidRPr="00A7082A">
        <w:t xml:space="preserve">the </w:t>
      </w:r>
      <w:r w:rsidRPr="00A7082A">
        <w:t>implementation of the planned activities is subject to the availability of resources contributed to</w:t>
      </w:r>
      <w:r w:rsidR="00290418" w:rsidRPr="00A7082A">
        <w:t xml:space="preserve"> </w:t>
      </w:r>
      <w:r w:rsidRPr="00A7082A">
        <w:t>the special trust fund;</w:t>
      </w:r>
    </w:p>
    <w:p w14:paraId="13D1A165" w14:textId="1C90464F" w:rsidR="003F4DA7" w:rsidRPr="00A7082A" w:rsidRDefault="003F4DA7" w:rsidP="00C54FDE">
      <w:pPr>
        <w:numPr>
          <w:ilvl w:val="0"/>
          <w:numId w:val="40"/>
        </w:numPr>
        <w:tabs>
          <w:tab w:val="clear" w:pos="1247"/>
          <w:tab w:val="clear" w:pos="1814"/>
          <w:tab w:val="clear" w:pos="2381"/>
          <w:tab w:val="clear" w:pos="2948"/>
          <w:tab w:val="clear" w:pos="3515"/>
          <w:tab w:val="left" w:pos="624"/>
        </w:tabs>
        <w:spacing w:after="120"/>
        <w:ind w:left="1247" w:firstLine="624"/>
      </w:pPr>
      <w:r w:rsidRPr="00A7082A">
        <w:rPr>
          <w:i/>
          <w:iCs/>
        </w:rPr>
        <w:t xml:space="preserve">Requests </w:t>
      </w:r>
      <w:r w:rsidRPr="00A7082A">
        <w:t xml:space="preserve">parties to the Convention, and invites non-parties to the Convention and others in a position to do so, to contribute to the special trust fund to support the </w:t>
      </w:r>
      <w:r w:rsidR="00F22310" w:rsidRPr="00A7082A">
        <w:t>capacity</w:t>
      </w:r>
      <w:r w:rsidR="00F22310" w:rsidRPr="00A7082A">
        <w:noBreakHyphen/>
        <w:t>building</w:t>
      </w:r>
      <w:r w:rsidRPr="00A7082A">
        <w:t xml:space="preserve"> and technical assistance activities of the secretariat of the Minamata Convention in accordance with article 14 of the Convention;</w:t>
      </w:r>
    </w:p>
    <w:p w14:paraId="6C2954BD" w14:textId="77777777" w:rsidR="003F4DA7" w:rsidRPr="00A7082A" w:rsidRDefault="003F4DA7" w:rsidP="00C54FDE">
      <w:pPr>
        <w:numPr>
          <w:ilvl w:val="0"/>
          <w:numId w:val="40"/>
        </w:numPr>
        <w:tabs>
          <w:tab w:val="clear" w:pos="1247"/>
          <w:tab w:val="clear" w:pos="1814"/>
          <w:tab w:val="clear" w:pos="2381"/>
          <w:tab w:val="clear" w:pos="2948"/>
          <w:tab w:val="clear" w:pos="3515"/>
          <w:tab w:val="left" w:pos="624"/>
        </w:tabs>
        <w:spacing w:after="120"/>
        <w:ind w:left="1247" w:firstLine="624"/>
      </w:pPr>
      <w:r w:rsidRPr="00A7082A">
        <w:rPr>
          <w:i/>
          <w:iCs/>
        </w:rPr>
        <w:t>Invites</w:t>
      </w:r>
      <w:r w:rsidRPr="00A7082A">
        <w:t xml:space="preserve"> parties and non-parties to the Convention and others in a position to do so to contribute to the special trust fund to support the participation of representatives of parties from developing countries and countries with economies in transition in the meetings of the Conference of the Parties and its subsidiary bodies;</w:t>
      </w:r>
    </w:p>
    <w:p w14:paraId="08A4C795" w14:textId="77777777" w:rsidR="003F4DA7" w:rsidRPr="00A7082A" w:rsidRDefault="003F4DA7" w:rsidP="003F4DA7">
      <w:pPr>
        <w:keepNext/>
        <w:keepLines/>
        <w:tabs>
          <w:tab w:val="right" w:pos="851"/>
        </w:tabs>
        <w:suppressAutoHyphens/>
        <w:spacing w:before="240" w:after="120"/>
        <w:ind w:left="1247" w:right="284"/>
        <w:jc w:val="center"/>
        <w:rPr>
          <w:b/>
          <w:sz w:val="24"/>
          <w:szCs w:val="24"/>
        </w:rPr>
      </w:pPr>
      <w:r w:rsidRPr="00A7082A">
        <w:rPr>
          <w:b/>
          <w:sz w:val="24"/>
          <w:szCs w:val="24"/>
        </w:rPr>
        <w:t>III</w:t>
      </w:r>
    </w:p>
    <w:p w14:paraId="3489486A" w14:textId="77777777" w:rsidR="003F4DA7" w:rsidRPr="00A7082A" w:rsidRDefault="003F4DA7" w:rsidP="003F4DA7">
      <w:pPr>
        <w:keepNext/>
        <w:keepLines/>
        <w:tabs>
          <w:tab w:val="right" w:pos="851"/>
        </w:tabs>
        <w:suppressAutoHyphens/>
        <w:spacing w:before="120" w:after="120"/>
        <w:ind w:left="1247" w:right="284"/>
        <w:jc w:val="center"/>
        <w:rPr>
          <w:b/>
          <w:sz w:val="24"/>
          <w:szCs w:val="24"/>
        </w:rPr>
      </w:pPr>
      <w:r w:rsidRPr="00A7082A">
        <w:rPr>
          <w:b/>
          <w:sz w:val="24"/>
          <w:szCs w:val="24"/>
        </w:rPr>
        <w:t>Specific Trust Fund for the Minamata Convention on Mercury</w:t>
      </w:r>
    </w:p>
    <w:p w14:paraId="11ABE792" w14:textId="4493AF51" w:rsidR="003F4DA7" w:rsidRPr="00A7082A" w:rsidRDefault="003F4DA7" w:rsidP="00C54FDE">
      <w:pPr>
        <w:numPr>
          <w:ilvl w:val="0"/>
          <w:numId w:val="40"/>
        </w:numPr>
        <w:tabs>
          <w:tab w:val="clear" w:pos="1247"/>
          <w:tab w:val="clear" w:pos="1814"/>
          <w:tab w:val="clear" w:pos="2381"/>
          <w:tab w:val="clear" w:pos="2948"/>
          <w:tab w:val="clear" w:pos="3515"/>
          <w:tab w:val="left" w:pos="624"/>
        </w:tabs>
        <w:spacing w:after="120"/>
        <w:ind w:left="1247" w:firstLine="624"/>
      </w:pPr>
      <w:r w:rsidRPr="00A7082A">
        <w:rPr>
          <w:i/>
          <w:iCs/>
        </w:rPr>
        <w:t>Takes note</w:t>
      </w:r>
      <w:r w:rsidRPr="00A7082A">
        <w:t xml:space="preserve"> of the overall report on the Specific International Programme to Support </w:t>
      </w:r>
      <w:r w:rsidR="00F22310" w:rsidRPr="00A7082A">
        <w:t>Capacity</w:t>
      </w:r>
      <w:r w:rsidR="00F22310" w:rsidRPr="00A7082A">
        <w:noBreakHyphen/>
        <w:t>building</w:t>
      </w:r>
      <w:r w:rsidRPr="00A7082A">
        <w:t xml:space="preserve"> and Technical Assistance and the </w:t>
      </w:r>
      <w:r w:rsidR="00802517" w:rsidRPr="00A7082A">
        <w:t>s</w:t>
      </w:r>
      <w:r w:rsidRPr="00A7082A">
        <w:t xml:space="preserve">pecific </w:t>
      </w:r>
      <w:r w:rsidR="00802517" w:rsidRPr="00A7082A">
        <w:t>t</w:t>
      </w:r>
      <w:r w:rsidRPr="00A7082A">
        <w:t xml:space="preserve">rust </w:t>
      </w:r>
      <w:r w:rsidR="00802517" w:rsidRPr="00A7082A">
        <w:t>f</w:t>
      </w:r>
      <w:r w:rsidRPr="00A7082A">
        <w:t>und established for those activities;</w:t>
      </w:r>
      <w:r w:rsidRPr="00A7082A">
        <w:rPr>
          <w:vertAlign w:val="superscript"/>
        </w:rPr>
        <w:footnoteReference w:id="25"/>
      </w:r>
      <w:r w:rsidRPr="00A7082A">
        <w:t xml:space="preserve"> </w:t>
      </w:r>
    </w:p>
    <w:p w14:paraId="0ADF9672" w14:textId="1C951336" w:rsidR="003F4DA7" w:rsidRPr="00A7082A" w:rsidRDefault="003F4DA7" w:rsidP="00C54FDE">
      <w:pPr>
        <w:numPr>
          <w:ilvl w:val="0"/>
          <w:numId w:val="40"/>
        </w:numPr>
        <w:tabs>
          <w:tab w:val="clear" w:pos="1247"/>
          <w:tab w:val="clear" w:pos="1814"/>
          <w:tab w:val="clear" w:pos="2381"/>
          <w:tab w:val="clear" w:pos="2948"/>
          <w:tab w:val="clear" w:pos="3515"/>
          <w:tab w:val="left" w:pos="624"/>
        </w:tabs>
        <w:spacing w:after="120"/>
        <w:ind w:left="1247" w:firstLine="624"/>
      </w:pPr>
      <w:r w:rsidRPr="00A7082A">
        <w:rPr>
          <w:i/>
          <w:iCs/>
        </w:rPr>
        <w:lastRenderedPageBreak/>
        <w:t>Invites</w:t>
      </w:r>
      <w:r w:rsidRPr="00A7082A">
        <w:t xml:space="preserve"> parties and non-parties to the Convention and others in a position to do so to contribute to the </w:t>
      </w:r>
      <w:r w:rsidR="00802517" w:rsidRPr="00A7082A">
        <w:t>s</w:t>
      </w:r>
      <w:r w:rsidRPr="00A7082A">
        <w:t xml:space="preserve">pecific </w:t>
      </w:r>
      <w:r w:rsidR="00802517" w:rsidRPr="00A7082A">
        <w:t>t</w:t>
      </w:r>
      <w:r w:rsidRPr="00A7082A">
        <w:t xml:space="preserve">rust </w:t>
      </w:r>
      <w:r w:rsidR="00802517" w:rsidRPr="00A7082A">
        <w:t>f</w:t>
      </w:r>
      <w:r w:rsidRPr="00A7082A">
        <w:t xml:space="preserve">und to support </w:t>
      </w:r>
      <w:r w:rsidR="00F22310" w:rsidRPr="00A7082A">
        <w:t>capacity</w:t>
      </w:r>
      <w:r w:rsidR="00F22310" w:rsidRPr="00A7082A">
        <w:noBreakHyphen/>
        <w:t>building</w:t>
      </w:r>
      <w:r w:rsidRPr="00A7082A">
        <w:t xml:space="preserve"> and technical assistance activities in accordance with article 13 of the Convention; </w:t>
      </w:r>
    </w:p>
    <w:p w14:paraId="681AB20E" w14:textId="77777777" w:rsidR="003F4DA7" w:rsidRPr="00A7082A" w:rsidRDefault="003F4DA7" w:rsidP="0026572F">
      <w:pPr>
        <w:keepNext/>
        <w:keepLines/>
        <w:tabs>
          <w:tab w:val="right" w:pos="851"/>
        </w:tabs>
        <w:suppressAutoHyphens/>
        <w:spacing w:before="180" w:after="120"/>
        <w:ind w:left="1247" w:right="284"/>
        <w:jc w:val="center"/>
        <w:rPr>
          <w:b/>
          <w:sz w:val="24"/>
          <w:szCs w:val="24"/>
        </w:rPr>
      </w:pPr>
      <w:r w:rsidRPr="00A7082A">
        <w:rPr>
          <w:b/>
          <w:sz w:val="24"/>
          <w:szCs w:val="24"/>
        </w:rPr>
        <w:t>IV</w:t>
      </w:r>
    </w:p>
    <w:p w14:paraId="632DB739" w14:textId="77777777" w:rsidR="003F4DA7" w:rsidRPr="00A7082A" w:rsidRDefault="003F4DA7" w:rsidP="003F4DA7">
      <w:pPr>
        <w:keepNext/>
        <w:keepLines/>
        <w:tabs>
          <w:tab w:val="right" w:pos="851"/>
        </w:tabs>
        <w:suppressAutoHyphens/>
        <w:spacing w:before="120" w:after="120"/>
        <w:ind w:left="1247" w:right="284"/>
        <w:jc w:val="center"/>
        <w:rPr>
          <w:b/>
          <w:sz w:val="24"/>
          <w:szCs w:val="24"/>
        </w:rPr>
      </w:pPr>
      <w:r w:rsidRPr="00A7082A">
        <w:rPr>
          <w:b/>
          <w:sz w:val="24"/>
          <w:szCs w:val="24"/>
        </w:rPr>
        <w:t>Preparations for the biennium 2022–2023</w:t>
      </w:r>
    </w:p>
    <w:p w14:paraId="6BDAF460" w14:textId="77777777" w:rsidR="003F4DA7" w:rsidRPr="00A7082A" w:rsidRDefault="003F4DA7" w:rsidP="00963095">
      <w:pPr>
        <w:numPr>
          <w:ilvl w:val="0"/>
          <w:numId w:val="40"/>
        </w:numPr>
        <w:tabs>
          <w:tab w:val="clear" w:pos="1247"/>
          <w:tab w:val="clear" w:pos="1814"/>
          <w:tab w:val="clear" w:pos="2381"/>
          <w:tab w:val="clear" w:pos="2948"/>
          <w:tab w:val="clear" w:pos="3515"/>
          <w:tab w:val="left" w:pos="624"/>
        </w:tabs>
        <w:spacing w:after="120"/>
        <w:ind w:left="1247" w:firstLine="624"/>
        <w:rPr>
          <w:i/>
          <w:iCs/>
          <w:lang w:eastAsia="en-GB"/>
        </w:rPr>
      </w:pPr>
      <w:r w:rsidRPr="00A7082A">
        <w:rPr>
          <w:i/>
          <w:iCs/>
        </w:rPr>
        <w:t xml:space="preserve">Requests </w:t>
      </w:r>
      <w:r w:rsidRPr="00A7082A">
        <w:t>the Executive Secretary to prepare a budget for the biennium 2022–2023 for consideration by the Conference of the Parties at its fourth meeting, in 2021,</w:t>
      </w:r>
      <w:r w:rsidRPr="00A7082A">
        <w:rPr>
          <w:iCs/>
        </w:rPr>
        <w:t xml:space="preserve"> explaining the key principles, assumptions and programmatic strategy on which the budget is based and presenting expenditures for that biennium in a programmatic format and broken down by budget activities, with each activity to be supported by a budget activity fact sheet;</w:t>
      </w:r>
    </w:p>
    <w:p w14:paraId="49DDEB94" w14:textId="77777777" w:rsidR="003F4DA7" w:rsidRPr="00A7082A" w:rsidRDefault="003F4DA7" w:rsidP="00C54FDE">
      <w:pPr>
        <w:numPr>
          <w:ilvl w:val="0"/>
          <w:numId w:val="40"/>
        </w:numPr>
        <w:tabs>
          <w:tab w:val="clear" w:pos="1247"/>
          <w:tab w:val="clear" w:pos="1814"/>
          <w:tab w:val="clear" w:pos="2381"/>
          <w:tab w:val="clear" w:pos="2948"/>
          <w:tab w:val="clear" w:pos="3515"/>
          <w:tab w:val="left" w:pos="624"/>
        </w:tabs>
        <w:spacing w:after="120"/>
        <w:ind w:left="1247" w:firstLine="624"/>
      </w:pPr>
      <w:r w:rsidRPr="00A7082A">
        <w:rPr>
          <w:i/>
        </w:rPr>
        <w:t>Also requests</w:t>
      </w:r>
      <w:r w:rsidRPr="00A7082A">
        <w:t xml:space="preserve"> the Executive Secretary, in preparing the budget and programme of work for the biennium 2022</w:t>
      </w:r>
      <w:r w:rsidRPr="00A7082A">
        <w:rPr>
          <w:iCs/>
        </w:rPr>
        <w:t>–</w:t>
      </w:r>
      <w:r w:rsidRPr="00A7082A">
        <w:t>2023, to present two scenarios:</w:t>
      </w:r>
    </w:p>
    <w:p w14:paraId="61A36B66" w14:textId="77777777" w:rsidR="003F4DA7" w:rsidRPr="00A7082A" w:rsidRDefault="003F4DA7" w:rsidP="00C54FDE">
      <w:pPr>
        <w:numPr>
          <w:ilvl w:val="1"/>
          <w:numId w:val="39"/>
        </w:numPr>
        <w:tabs>
          <w:tab w:val="clear" w:pos="1247"/>
          <w:tab w:val="clear" w:pos="1814"/>
          <w:tab w:val="clear" w:pos="2381"/>
          <w:tab w:val="clear" w:pos="2948"/>
          <w:tab w:val="clear" w:pos="3515"/>
          <w:tab w:val="left" w:pos="624"/>
        </w:tabs>
        <w:spacing w:after="120"/>
        <w:ind w:left="1247" w:firstLine="624"/>
      </w:pPr>
      <w:r w:rsidRPr="00A7082A">
        <w:t>One maintaining the operational budget at the 2020</w:t>
      </w:r>
      <w:r w:rsidRPr="00A7082A">
        <w:sym w:font="Symbol" w:char="F02D"/>
      </w:r>
      <w:r w:rsidRPr="00A7082A">
        <w:t xml:space="preserve">2021 level in nominal terms; </w:t>
      </w:r>
    </w:p>
    <w:p w14:paraId="555C11B4" w14:textId="5EA5FD1A" w:rsidR="003F4DA7" w:rsidRPr="00A7082A" w:rsidRDefault="003F4DA7" w:rsidP="00C54FDE">
      <w:pPr>
        <w:numPr>
          <w:ilvl w:val="1"/>
          <w:numId w:val="39"/>
        </w:numPr>
        <w:tabs>
          <w:tab w:val="clear" w:pos="1247"/>
          <w:tab w:val="clear" w:pos="1814"/>
          <w:tab w:val="clear" w:pos="2381"/>
          <w:tab w:val="clear" w:pos="2948"/>
          <w:tab w:val="clear" w:pos="3515"/>
          <w:tab w:val="left" w:pos="624"/>
        </w:tabs>
        <w:spacing w:after="120"/>
        <w:ind w:left="1247" w:firstLine="624"/>
      </w:pPr>
      <w:r w:rsidRPr="00A7082A">
        <w:t xml:space="preserve">One reflecting required changes to the above-mentioned scenario to meet the projected needs and costs or savings related thereto, which should not exceed a 5 per cent increase over the </w:t>
      </w:r>
      <w:r w:rsidR="00547AF3" w:rsidRPr="00A7082A">
        <w:t>2020</w:t>
      </w:r>
      <w:r w:rsidR="00547AF3" w:rsidRPr="00A7082A">
        <w:noBreakHyphen/>
        <w:t>2021</w:t>
      </w:r>
      <w:r w:rsidRPr="00A7082A">
        <w:t xml:space="preserve"> level in nominal terms;</w:t>
      </w:r>
    </w:p>
    <w:p w14:paraId="48200493" w14:textId="247D3373" w:rsidR="003F4DA7" w:rsidRPr="00A7082A" w:rsidRDefault="003F4DA7" w:rsidP="00C54FDE">
      <w:pPr>
        <w:numPr>
          <w:ilvl w:val="0"/>
          <w:numId w:val="40"/>
        </w:numPr>
        <w:tabs>
          <w:tab w:val="clear" w:pos="1247"/>
          <w:tab w:val="clear" w:pos="1814"/>
          <w:tab w:val="clear" w:pos="2381"/>
          <w:tab w:val="clear" w:pos="2948"/>
          <w:tab w:val="clear" w:pos="3515"/>
          <w:tab w:val="left" w:pos="624"/>
        </w:tabs>
        <w:spacing w:after="120"/>
        <w:ind w:left="1247" w:firstLine="624"/>
        <w:rPr>
          <w:iCs/>
        </w:rPr>
      </w:pPr>
      <w:r w:rsidRPr="00A7082A">
        <w:rPr>
          <w:i/>
          <w:iCs/>
        </w:rPr>
        <w:t xml:space="preserve">Stresses </w:t>
      </w:r>
      <w:r w:rsidRPr="00A7082A">
        <w:rPr>
          <w:iCs/>
        </w:rPr>
        <w:t xml:space="preserve">the need to ensure that the budget proposals are realistic and represent the agreed priorities of all parties </w:t>
      </w:r>
      <w:bookmarkStart w:id="76" w:name="_Hlk38285479"/>
      <w:r w:rsidRPr="00A7082A">
        <w:rPr>
          <w:iCs/>
        </w:rPr>
        <w:t>to help ensure a sustainable and stable fund and cash balance, including contributions</w:t>
      </w:r>
      <w:r w:rsidR="00352BCD" w:rsidRPr="00A7082A">
        <w:rPr>
          <w:iCs/>
        </w:rPr>
        <w:t xml:space="preserve"> received</w:t>
      </w:r>
      <w:r w:rsidRPr="00A7082A">
        <w:rPr>
          <w:iCs/>
        </w:rPr>
        <w:t>;</w:t>
      </w:r>
      <w:bookmarkEnd w:id="76"/>
    </w:p>
    <w:p w14:paraId="0F5C619C" w14:textId="434B50FF" w:rsidR="003F4DA7" w:rsidRPr="00A7082A" w:rsidRDefault="003F4DA7" w:rsidP="00C54FDE">
      <w:pPr>
        <w:numPr>
          <w:ilvl w:val="0"/>
          <w:numId w:val="40"/>
        </w:numPr>
        <w:tabs>
          <w:tab w:val="clear" w:pos="1247"/>
          <w:tab w:val="clear" w:pos="1814"/>
          <w:tab w:val="clear" w:pos="2381"/>
          <w:tab w:val="clear" w:pos="2948"/>
          <w:tab w:val="clear" w:pos="3515"/>
          <w:tab w:val="left" w:pos="624"/>
        </w:tabs>
        <w:spacing w:after="120"/>
        <w:ind w:left="1247" w:firstLine="624"/>
      </w:pPr>
      <w:r w:rsidRPr="00A7082A">
        <w:rPr>
          <w:i/>
          <w:iCs/>
        </w:rPr>
        <w:t>Requests</w:t>
      </w:r>
      <w:r w:rsidRPr="00A7082A">
        <w:t xml:space="preserve"> the Executive Secretary, in keeping with </w:t>
      </w:r>
      <w:bookmarkStart w:id="77" w:name="_Hlk38285636"/>
      <w:r w:rsidRPr="00A7082A">
        <w:t xml:space="preserve">paragraph 8 of rule 5 </w:t>
      </w:r>
      <w:bookmarkEnd w:id="77"/>
      <w:r w:rsidRPr="00A7082A">
        <w:t>of the Financial Rules</w:t>
      </w:r>
      <w:r w:rsidR="00290418" w:rsidRPr="00A7082A">
        <w:t xml:space="preserve"> of the Minamata Convention</w:t>
      </w:r>
      <w:r w:rsidRPr="00A7082A">
        <w:t>, to acknowledge promptly the receipt of all pledges and contributions and inform the parties thereof by publishing on the Convention website up-to-date information on the status of pledges and payments of contributions, and also requests the Executive Secretary to provide detailed, up-to-date information on actual income and expenses of the three trust funds;</w:t>
      </w:r>
    </w:p>
    <w:p w14:paraId="661947DB" w14:textId="77777777" w:rsidR="003F4DA7" w:rsidRPr="00A7082A" w:rsidRDefault="003F4DA7" w:rsidP="00C54FDE">
      <w:pPr>
        <w:numPr>
          <w:ilvl w:val="0"/>
          <w:numId w:val="40"/>
        </w:numPr>
        <w:tabs>
          <w:tab w:val="clear" w:pos="1247"/>
          <w:tab w:val="clear" w:pos="1814"/>
          <w:tab w:val="clear" w:pos="2381"/>
          <w:tab w:val="clear" w:pos="2948"/>
          <w:tab w:val="clear" w:pos="3515"/>
          <w:tab w:val="left" w:pos="624"/>
        </w:tabs>
        <w:spacing w:after="120"/>
        <w:ind w:left="1247" w:firstLine="624"/>
      </w:pPr>
      <w:r w:rsidRPr="00A7082A">
        <w:rPr>
          <w:i/>
          <w:iCs/>
        </w:rPr>
        <w:t>Also requests</w:t>
      </w:r>
      <w:r w:rsidRPr="00A7082A">
        <w:t xml:space="preserve"> the Executive Secretary, at the meetings of the Conference of the Parties, to provide, where relevant, cost estimates for actions that have budgetary implications that are not foreseen in the draft programme of work but are included in proposed draft decisions before the adoption of those decisions by the Conference of the Parties. </w:t>
      </w:r>
    </w:p>
    <w:p w14:paraId="4710047E" w14:textId="77777777" w:rsidR="00203D4C" w:rsidRPr="00A7082A" w:rsidRDefault="00DA659A" w:rsidP="00203D4C">
      <w:pPr>
        <w:pStyle w:val="Titletable"/>
      </w:pPr>
      <w:r w:rsidRPr="00A7082A">
        <w:rPr>
          <w:b w:val="0"/>
          <w:bCs w:val="0"/>
        </w:rPr>
        <w:t>Table 1</w:t>
      </w:r>
      <w:r w:rsidRPr="00A7082A">
        <w:t xml:space="preserve"> </w:t>
      </w:r>
      <w:r w:rsidRPr="00A7082A">
        <w:br/>
        <w:t>Programme of work and budget for the biennium 2020</w:t>
      </w:r>
      <w:r w:rsidRPr="00A7082A">
        <w:sym w:font="Symbol" w:char="F02D"/>
      </w:r>
      <w:r w:rsidRPr="00A7082A">
        <w:t xml:space="preserve">2021 </w:t>
      </w:r>
    </w:p>
    <w:p w14:paraId="54402EBD" w14:textId="2B17B1E2" w:rsidR="00DA659A" w:rsidRPr="00A7082A" w:rsidRDefault="00DA659A" w:rsidP="00203D4C">
      <w:pPr>
        <w:pStyle w:val="Titletable"/>
      </w:pPr>
      <w:r w:rsidRPr="00A7082A">
        <w:rPr>
          <w:b w:val="0"/>
          <w:bCs w:val="0"/>
        </w:rPr>
        <w:t>(in United States dollars)</w:t>
      </w:r>
      <w:r w:rsidR="00E853C8" w:rsidRPr="00A7082A">
        <w:t xml:space="preserve"> </w:t>
      </w:r>
    </w:p>
    <w:tbl>
      <w:tblPr>
        <w:tblW w:w="5000" w:type="pct"/>
        <w:jc w:val="right"/>
        <w:tblLayout w:type="fixed"/>
        <w:tblLook w:val="04A0" w:firstRow="1" w:lastRow="0" w:firstColumn="1" w:lastColumn="0" w:noHBand="0" w:noVBand="1"/>
      </w:tblPr>
      <w:tblGrid>
        <w:gridCol w:w="993"/>
        <w:gridCol w:w="3543"/>
        <w:gridCol w:w="1238"/>
        <w:gridCol w:w="1239"/>
        <w:gridCol w:w="1238"/>
        <w:gridCol w:w="1239"/>
      </w:tblGrid>
      <w:tr w:rsidR="00DA659A" w:rsidRPr="00A7082A" w14:paraId="5AC96CF1" w14:textId="77777777" w:rsidTr="002E728C">
        <w:trPr>
          <w:trHeight w:val="358"/>
          <w:tblHeader/>
          <w:jc w:val="right"/>
        </w:trPr>
        <w:tc>
          <w:tcPr>
            <w:tcW w:w="993" w:type="dxa"/>
            <w:tcBorders>
              <w:top w:val="single" w:sz="4" w:space="0" w:color="000000" w:themeColor="text1"/>
            </w:tcBorders>
            <w:shd w:val="clear" w:color="auto" w:fill="auto"/>
            <w:hideMark/>
          </w:tcPr>
          <w:p w14:paraId="3D4DED70" w14:textId="77777777" w:rsidR="00DA659A" w:rsidRPr="00A7082A" w:rsidRDefault="00DA659A" w:rsidP="00963095">
            <w:pPr>
              <w:tabs>
                <w:tab w:val="clear" w:pos="1247"/>
                <w:tab w:val="clear" w:pos="1814"/>
                <w:tab w:val="clear" w:pos="2381"/>
                <w:tab w:val="clear" w:pos="2948"/>
                <w:tab w:val="clear" w:pos="3515"/>
              </w:tabs>
              <w:spacing w:before="40" w:after="40"/>
              <w:rPr>
                <w:i/>
                <w:color w:val="000000"/>
                <w:sz w:val="18"/>
              </w:rPr>
            </w:pPr>
            <w:r w:rsidRPr="00A7082A">
              <w:rPr>
                <w:i/>
                <w:color w:val="000000"/>
                <w:sz w:val="18"/>
              </w:rPr>
              <w:t>Activity Number</w:t>
            </w:r>
          </w:p>
        </w:tc>
        <w:tc>
          <w:tcPr>
            <w:tcW w:w="3543" w:type="dxa"/>
            <w:tcBorders>
              <w:top w:val="single" w:sz="4" w:space="0" w:color="000000" w:themeColor="text1"/>
            </w:tcBorders>
            <w:shd w:val="clear" w:color="auto" w:fill="auto"/>
            <w:noWrap/>
            <w:hideMark/>
          </w:tcPr>
          <w:p w14:paraId="719AC74A" w14:textId="29A29B85" w:rsidR="00DA659A" w:rsidRPr="00A7082A" w:rsidRDefault="00DA659A" w:rsidP="009557F8">
            <w:pPr>
              <w:tabs>
                <w:tab w:val="clear" w:pos="1247"/>
                <w:tab w:val="clear" w:pos="1814"/>
                <w:tab w:val="clear" w:pos="2381"/>
                <w:tab w:val="clear" w:pos="2948"/>
                <w:tab w:val="clear" w:pos="3515"/>
              </w:tabs>
              <w:spacing w:before="40" w:after="40"/>
              <w:rPr>
                <w:i/>
                <w:color w:val="000000"/>
                <w:sz w:val="18"/>
              </w:rPr>
            </w:pPr>
            <w:r w:rsidRPr="00A7082A">
              <w:rPr>
                <w:i/>
                <w:color w:val="000000"/>
                <w:sz w:val="18"/>
              </w:rPr>
              <w:t>Activity</w:t>
            </w:r>
            <w:r w:rsidR="00653DA0" w:rsidRPr="00A7082A">
              <w:rPr>
                <w:i/>
                <w:color w:val="000000"/>
                <w:sz w:val="18"/>
              </w:rPr>
              <w:t xml:space="preserve"> </w:t>
            </w:r>
          </w:p>
        </w:tc>
        <w:tc>
          <w:tcPr>
            <w:tcW w:w="2477" w:type="dxa"/>
            <w:gridSpan w:val="2"/>
            <w:tcBorders>
              <w:top w:val="single" w:sz="4" w:space="0" w:color="000000" w:themeColor="text1"/>
            </w:tcBorders>
            <w:shd w:val="clear" w:color="auto" w:fill="auto"/>
            <w:hideMark/>
          </w:tcPr>
          <w:p w14:paraId="59DC4769" w14:textId="641C6081" w:rsidR="00DA659A" w:rsidRPr="00A7082A" w:rsidRDefault="00DA659A" w:rsidP="00963095">
            <w:pPr>
              <w:tabs>
                <w:tab w:val="clear" w:pos="1247"/>
                <w:tab w:val="clear" w:pos="1814"/>
                <w:tab w:val="clear" w:pos="2381"/>
                <w:tab w:val="clear" w:pos="2948"/>
                <w:tab w:val="clear" w:pos="3515"/>
              </w:tabs>
              <w:spacing w:before="40" w:after="40"/>
              <w:jc w:val="center"/>
              <w:rPr>
                <w:i/>
                <w:color w:val="000000"/>
                <w:sz w:val="18"/>
              </w:rPr>
            </w:pPr>
            <w:r w:rsidRPr="00A7082A">
              <w:rPr>
                <w:i/>
                <w:color w:val="000000"/>
                <w:sz w:val="18"/>
              </w:rPr>
              <w:t>(2020)</w:t>
            </w:r>
          </w:p>
        </w:tc>
        <w:tc>
          <w:tcPr>
            <w:tcW w:w="2477" w:type="dxa"/>
            <w:gridSpan w:val="2"/>
            <w:tcBorders>
              <w:top w:val="single" w:sz="4" w:space="0" w:color="000000" w:themeColor="text1"/>
            </w:tcBorders>
            <w:shd w:val="clear" w:color="auto" w:fill="auto"/>
            <w:hideMark/>
          </w:tcPr>
          <w:p w14:paraId="72AC65C7" w14:textId="02F8A8C2" w:rsidR="00DA659A" w:rsidRPr="00A7082A" w:rsidRDefault="00DA659A" w:rsidP="00963095">
            <w:pPr>
              <w:tabs>
                <w:tab w:val="clear" w:pos="1247"/>
                <w:tab w:val="clear" w:pos="1814"/>
                <w:tab w:val="clear" w:pos="2381"/>
                <w:tab w:val="clear" w:pos="2948"/>
                <w:tab w:val="clear" w:pos="3515"/>
              </w:tabs>
              <w:spacing w:before="40" w:after="40"/>
              <w:jc w:val="center"/>
              <w:rPr>
                <w:i/>
                <w:color w:val="000000"/>
                <w:sz w:val="18"/>
              </w:rPr>
            </w:pPr>
            <w:r w:rsidRPr="00A7082A">
              <w:rPr>
                <w:i/>
                <w:color w:val="000000"/>
                <w:sz w:val="18"/>
              </w:rPr>
              <w:t>(2021)</w:t>
            </w:r>
          </w:p>
        </w:tc>
      </w:tr>
      <w:tr w:rsidR="00DA659A" w:rsidRPr="00A7082A" w14:paraId="54890504" w14:textId="77777777" w:rsidTr="002E728C">
        <w:trPr>
          <w:trHeight w:val="57"/>
          <w:tblHeader/>
          <w:jc w:val="right"/>
        </w:trPr>
        <w:tc>
          <w:tcPr>
            <w:tcW w:w="993" w:type="dxa"/>
            <w:tcBorders>
              <w:bottom w:val="single" w:sz="12" w:space="0" w:color="000000" w:themeColor="text1"/>
            </w:tcBorders>
            <w:shd w:val="clear" w:color="auto" w:fill="auto"/>
            <w:noWrap/>
            <w:hideMark/>
          </w:tcPr>
          <w:p w14:paraId="7C6537E2" w14:textId="77777777" w:rsidR="00DA659A" w:rsidRPr="00A7082A" w:rsidRDefault="00DA659A" w:rsidP="00963095">
            <w:pPr>
              <w:tabs>
                <w:tab w:val="clear" w:pos="1247"/>
                <w:tab w:val="clear" w:pos="1814"/>
                <w:tab w:val="clear" w:pos="2381"/>
                <w:tab w:val="clear" w:pos="2948"/>
                <w:tab w:val="clear" w:pos="3515"/>
              </w:tabs>
              <w:spacing w:before="40" w:after="40"/>
              <w:jc w:val="center"/>
              <w:rPr>
                <w:b/>
                <w:color w:val="000000"/>
                <w:sz w:val="18"/>
              </w:rPr>
            </w:pPr>
            <w:r w:rsidRPr="00A7082A">
              <w:rPr>
                <w:b/>
                <w:color w:val="000000"/>
                <w:sz w:val="18"/>
              </w:rPr>
              <w:t> </w:t>
            </w:r>
          </w:p>
        </w:tc>
        <w:tc>
          <w:tcPr>
            <w:tcW w:w="3543" w:type="dxa"/>
            <w:tcBorders>
              <w:bottom w:val="single" w:sz="12" w:space="0" w:color="000000" w:themeColor="text1"/>
            </w:tcBorders>
            <w:shd w:val="clear" w:color="auto" w:fill="auto"/>
            <w:noWrap/>
            <w:hideMark/>
          </w:tcPr>
          <w:p w14:paraId="521DCD3D" w14:textId="77777777" w:rsidR="00DA659A" w:rsidRPr="00A7082A" w:rsidRDefault="00DA659A" w:rsidP="00963095">
            <w:pPr>
              <w:tabs>
                <w:tab w:val="clear" w:pos="1247"/>
                <w:tab w:val="clear" w:pos="1814"/>
                <w:tab w:val="clear" w:pos="2381"/>
                <w:tab w:val="clear" w:pos="2948"/>
                <w:tab w:val="clear" w:pos="3515"/>
              </w:tabs>
              <w:spacing w:before="40" w:after="40"/>
              <w:rPr>
                <w:b/>
                <w:color w:val="000000"/>
                <w:sz w:val="18"/>
              </w:rPr>
            </w:pPr>
            <w:r w:rsidRPr="00A7082A">
              <w:rPr>
                <w:b/>
                <w:color w:val="000000"/>
                <w:sz w:val="18"/>
              </w:rPr>
              <w:t> </w:t>
            </w:r>
          </w:p>
        </w:tc>
        <w:tc>
          <w:tcPr>
            <w:tcW w:w="1238" w:type="dxa"/>
            <w:tcBorders>
              <w:bottom w:val="single" w:sz="12" w:space="0" w:color="000000" w:themeColor="text1"/>
            </w:tcBorders>
            <w:shd w:val="clear" w:color="auto" w:fill="auto"/>
            <w:hideMark/>
          </w:tcPr>
          <w:p w14:paraId="5C578BFA" w14:textId="544E185E" w:rsidR="00DA659A" w:rsidRPr="00A7082A" w:rsidRDefault="00DA659A" w:rsidP="009557F8">
            <w:pPr>
              <w:tabs>
                <w:tab w:val="clear" w:pos="1247"/>
                <w:tab w:val="clear" w:pos="1814"/>
                <w:tab w:val="clear" w:pos="2381"/>
                <w:tab w:val="clear" w:pos="2948"/>
                <w:tab w:val="clear" w:pos="3515"/>
              </w:tabs>
              <w:spacing w:before="40" w:after="40"/>
              <w:jc w:val="right"/>
              <w:rPr>
                <w:i/>
                <w:color w:val="000000"/>
                <w:sz w:val="18"/>
              </w:rPr>
            </w:pPr>
            <w:r w:rsidRPr="00A7082A">
              <w:rPr>
                <w:i/>
                <w:color w:val="000000"/>
                <w:sz w:val="18"/>
              </w:rPr>
              <w:t xml:space="preserve">General </w:t>
            </w:r>
            <w:r w:rsidR="00425504" w:rsidRPr="00A7082A">
              <w:rPr>
                <w:i/>
                <w:color w:val="000000"/>
                <w:sz w:val="18"/>
              </w:rPr>
              <w:br/>
            </w:r>
            <w:r w:rsidRPr="00A7082A">
              <w:rPr>
                <w:i/>
                <w:color w:val="000000"/>
                <w:sz w:val="18"/>
              </w:rPr>
              <w:t>Trust Fund</w:t>
            </w:r>
          </w:p>
        </w:tc>
        <w:tc>
          <w:tcPr>
            <w:tcW w:w="1239" w:type="dxa"/>
            <w:tcBorders>
              <w:bottom w:val="single" w:sz="12" w:space="0" w:color="000000" w:themeColor="text1"/>
            </w:tcBorders>
            <w:shd w:val="clear" w:color="auto" w:fill="auto"/>
            <w:hideMark/>
          </w:tcPr>
          <w:p w14:paraId="25A1E876" w14:textId="5309BB05" w:rsidR="00DA659A" w:rsidRPr="00A7082A" w:rsidRDefault="00DA659A" w:rsidP="008541DC">
            <w:pPr>
              <w:tabs>
                <w:tab w:val="clear" w:pos="1247"/>
                <w:tab w:val="clear" w:pos="1814"/>
                <w:tab w:val="clear" w:pos="2381"/>
                <w:tab w:val="clear" w:pos="2948"/>
                <w:tab w:val="clear" w:pos="3515"/>
              </w:tabs>
              <w:spacing w:before="40" w:after="40"/>
              <w:jc w:val="right"/>
              <w:rPr>
                <w:i/>
                <w:color w:val="000000"/>
                <w:sz w:val="18"/>
              </w:rPr>
            </w:pPr>
            <w:r w:rsidRPr="00A7082A">
              <w:rPr>
                <w:i/>
                <w:color w:val="000000"/>
                <w:sz w:val="18"/>
              </w:rPr>
              <w:t xml:space="preserve">Special </w:t>
            </w:r>
            <w:r w:rsidR="00425504" w:rsidRPr="00A7082A">
              <w:rPr>
                <w:i/>
                <w:color w:val="000000"/>
                <w:sz w:val="18"/>
              </w:rPr>
              <w:br/>
            </w:r>
            <w:r w:rsidRPr="00A7082A">
              <w:rPr>
                <w:i/>
                <w:color w:val="000000"/>
                <w:sz w:val="18"/>
              </w:rPr>
              <w:t>Trust Fund</w:t>
            </w:r>
          </w:p>
        </w:tc>
        <w:tc>
          <w:tcPr>
            <w:tcW w:w="1238" w:type="dxa"/>
            <w:tcBorders>
              <w:bottom w:val="single" w:sz="12" w:space="0" w:color="000000" w:themeColor="text1"/>
            </w:tcBorders>
            <w:shd w:val="clear" w:color="auto" w:fill="auto"/>
            <w:hideMark/>
          </w:tcPr>
          <w:p w14:paraId="4F5FCD42" w14:textId="48BDAD2F" w:rsidR="00DA659A" w:rsidRPr="00A7082A" w:rsidRDefault="00DA659A" w:rsidP="009557F8">
            <w:pPr>
              <w:tabs>
                <w:tab w:val="clear" w:pos="1247"/>
                <w:tab w:val="clear" w:pos="1814"/>
                <w:tab w:val="clear" w:pos="2381"/>
                <w:tab w:val="clear" w:pos="2948"/>
                <w:tab w:val="clear" w:pos="3515"/>
              </w:tabs>
              <w:spacing w:before="40" w:after="40"/>
              <w:jc w:val="right"/>
              <w:rPr>
                <w:i/>
                <w:color w:val="000000"/>
                <w:sz w:val="18"/>
              </w:rPr>
            </w:pPr>
            <w:r w:rsidRPr="00A7082A">
              <w:rPr>
                <w:i/>
                <w:color w:val="000000"/>
                <w:sz w:val="18"/>
              </w:rPr>
              <w:t xml:space="preserve">General </w:t>
            </w:r>
            <w:r w:rsidR="00EB3633" w:rsidRPr="00A7082A">
              <w:rPr>
                <w:i/>
                <w:color w:val="000000"/>
                <w:sz w:val="18"/>
              </w:rPr>
              <w:br/>
            </w:r>
            <w:r w:rsidRPr="00A7082A">
              <w:rPr>
                <w:i/>
                <w:color w:val="000000"/>
                <w:sz w:val="18"/>
              </w:rPr>
              <w:t>Trust Fund</w:t>
            </w:r>
          </w:p>
        </w:tc>
        <w:tc>
          <w:tcPr>
            <w:tcW w:w="1239" w:type="dxa"/>
            <w:tcBorders>
              <w:bottom w:val="single" w:sz="12" w:space="0" w:color="000000" w:themeColor="text1"/>
            </w:tcBorders>
            <w:shd w:val="clear" w:color="auto" w:fill="auto"/>
            <w:hideMark/>
          </w:tcPr>
          <w:p w14:paraId="29524760" w14:textId="2FA9C69B" w:rsidR="00DA659A" w:rsidRPr="00A7082A" w:rsidRDefault="00DA659A" w:rsidP="009557F8">
            <w:pPr>
              <w:tabs>
                <w:tab w:val="clear" w:pos="1247"/>
                <w:tab w:val="clear" w:pos="1814"/>
                <w:tab w:val="clear" w:pos="2381"/>
                <w:tab w:val="clear" w:pos="2948"/>
                <w:tab w:val="clear" w:pos="3515"/>
              </w:tabs>
              <w:spacing w:before="40" w:after="40"/>
              <w:jc w:val="right"/>
              <w:rPr>
                <w:i/>
                <w:color w:val="000000"/>
                <w:sz w:val="18"/>
              </w:rPr>
            </w:pPr>
            <w:r w:rsidRPr="00A7082A">
              <w:rPr>
                <w:i/>
                <w:color w:val="000000"/>
                <w:sz w:val="18"/>
              </w:rPr>
              <w:t xml:space="preserve">Special </w:t>
            </w:r>
            <w:r w:rsidR="00EB3633" w:rsidRPr="00A7082A">
              <w:rPr>
                <w:i/>
                <w:color w:val="000000"/>
                <w:sz w:val="18"/>
              </w:rPr>
              <w:br/>
            </w:r>
            <w:r w:rsidRPr="00A7082A">
              <w:rPr>
                <w:i/>
                <w:color w:val="000000"/>
                <w:sz w:val="18"/>
              </w:rPr>
              <w:t>Trust Fund</w:t>
            </w:r>
          </w:p>
        </w:tc>
      </w:tr>
      <w:tr w:rsidR="00DA659A" w:rsidRPr="00A7082A" w14:paraId="2EDAF730" w14:textId="77777777" w:rsidTr="002E728C">
        <w:trPr>
          <w:trHeight w:val="57"/>
          <w:jc w:val="right"/>
        </w:trPr>
        <w:tc>
          <w:tcPr>
            <w:tcW w:w="993" w:type="dxa"/>
            <w:tcBorders>
              <w:top w:val="single" w:sz="12" w:space="0" w:color="000000" w:themeColor="text1"/>
            </w:tcBorders>
            <w:shd w:val="clear" w:color="auto" w:fill="auto"/>
            <w:noWrap/>
            <w:hideMark/>
          </w:tcPr>
          <w:p w14:paraId="27924DCF" w14:textId="77777777" w:rsidR="00DA659A" w:rsidRPr="00A7082A" w:rsidRDefault="00DA659A" w:rsidP="00963095">
            <w:pPr>
              <w:tabs>
                <w:tab w:val="clear" w:pos="1247"/>
                <w:tab w:val="clear" w:pos="1814"/>
                <w:tab w:val="clear" w:pos="2381"/>
                <w:tab w:val="clear" w:pos="2948"/>
                <w:tab w:val="clear" w:pos="3515"/>
              </w:tabs>
              <w:spacing w:before="40" w:after="40"/>
              <w:jc w:val="center"/>
              <w:rPr>
                <w:b/>
                <w:color w:val="000000"/>
                <w:sz w:val="18"/>
              </w:rPr>
            </w:pPr>
            <w:r w:rsidRPr="00A7082A">
              <w:rPr>
                <w:b/>
                <w:color w:val="000000"/>
                <w:sz w:val="18"/>
              </w:rPr>
              <w:t>A.</w:t>
            </w:r>
          </w:p>
        </w:tc>
        <w:tc>
          <w:tcPr>
            <w:tcW w:w="3543" w:type="dxa"/>
            <w:tcBorders>
              <w:top w:val="single" w:sz="12" w:space="0" w:color="000000" w:themeColor="text1"/>
            </w:tcBorders>
            <w:shd w:val="clear" w:color="auto" w:fill="auto"/>
            <w:noWrap/>
            <w:hideMark/>
          </w:tcPr>
          <w:p w14:paraId="32BFD27F" w14:textId="77777777" w:rsidR="00DA659A" w:rsidRPr="00A7082A" w:rsidRDefault="00DA659A" w:rsidP="00963095">
            <w:pPr>
              <w:tabs>
                <w:tab w:val="clear" w:pos="1247"/>
                <w:tab w:val="clear" w:pos="1814"/>
                <w:tab w:val="clear" w:pos="2381"/>
                <w:tab w:val="clear" w:pos="2948"/>
                <w:tab w:val="clear" w:pos="3515"/>
              </w:tabs>
              <w:spacing w:before="40" w:after="40"/>
              <w:rPr>
                <w:b/>
                <w:color w:val="000000"/>
                <w:sz w:val="18"/>
              </w:rPr>
            </w:pPr>
            <w:r w:rsidRPr="00A7082A">
              <w:rPr>
                <w:b/>
                <w:color w:val="000000"/>
                <w:sz w:val="18"/>
              </w:rPr>
              <w:t>Conferences and meetings</w:t>
            </w:r>
          </w:p>
        </w:tc>
        <w:tc>
          <w:tcPr>
            <w:tcW w:w="1238" w:type="dxa"/>
            <w:tcBorders>
              <w:top w:val="single" w:sz="12" w:space="0" w:color="000000" w:themeColor="text1"/>
            </w:tcBorders>
            <w:shd w:val="clear" w:color="auto" w:fill="auto"/>
            <w:noWrap/>
            <w:hideMark/>
          </w:tcPr>
          <w:p w14:paraId="03FB12E1"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tcBorders>
              <w:top w:val="single" w:sz="12" w:space="0" w:color="000000" w:themeColor="text1"/>
            </w:tcBorders>
            <w:shd w:val="clear" w:color="auto" w:fill="auto"/>
            <w:noWrap/>
            <w:hideMark/>
          </w:tcPr>
          <w:p w14:paraId="520FF2D1" w14:textId="77777777" w:rsidR="00DA659A" w:rsidRPr="00A7082A" w:rsidRDefault="00DA659A" w:rsidP="009557F8">
            <w:pPr>
              <w:tabs>
                <w:tab w:val="clear" w:pos="1247"/>
                <w:tab w:val="clear" w:pos="1814"/>
                <w:tab w:val="clear" w:pos="2381"/>
                <w:tab w:val="clear" w:pos="2948"/>
                <w:tab w:val="clear" w:pos="3515"/>
              </w:tabs>
              <w:spacing w:before="40" w:after="40"/>
              <w:ind w:right="195"/>
              <w:jc w:val="right"/>
              <w:rPr>
                <w:color w:val="000000"/>
                <w:sz w:val="18"/>
              </w:rPr>
            </w:pPr>
            <w:r w:rsidRPr="00A7082A">
              <w:rPr>
                <w:color w:val="000000"/>
                <w:sz w:val="18"/>
              </w:rPr>
              <w:t> </w:t>
            </w:r>
          </w:p>
        </w:tc>
        <w:tc>
          <w:tcPr>
            <w:tcW w:w="1238" w:type="dxa"/>
            <w:tcBorders>
              <w:top w:val="single" w:sz="12" w:space="0" w:color="000000" w:themeColor="text1"/>
            </w:tcBorders>
            <w:shd w:val="clear" w:color="auto" w:fill="auto"/>
            <w:noWrap/>
            <w:hideMark/>
          </w:tcPr>
          <w:p w14:paraId="48E314CA"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tcBorders>
              <w:top w:val="single" w:sz="12" w:space="0" w:color="000000" w:themeColor="text1"/>
            </w:tcBorders>
            <w:shd w:val="clear" w:color="auto" w:fill="auto"/>
            <w:noWrap/>
            <w:hideMark/>
          </w:tcPr>
          <w:p w14:paraId="4AA1738E"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r>
      <w:tr w:rsidR="00DA659A" w:rsidRPr="00A7082A" w14:paraId="2E2EF333" w14:textId="77777777" w:rsidTr="002E728C">
        <w:trPr>
          <w:trHeight w:val="57"/>
          <w:jc w:val="right"/>
        </w:trPr>
        <w:tc>
          <w:tcPr>
            <w:tcW w:w="993" w:type="dxa"/>
            <w:shd w:val="clear" w:color="auto" w:fill="auto"/>
            <w:noWrap/>
            <w:hideMark/>
          </w:tcPr>
          <w:p w14:paraId="2149B5CB" w14:textId="77777777" w:rsidR="00DA659A" w:rsidRPr="00A7082A" w:rsidRDefault="00DA659A" w:rsidP="00963095">
            <w:pPr>
              <w:tabs>
                <w:tab w:val="clear" w:pos="1247"/>
                <w:tab w:val="clear" w:pos="1814"/>
                <w:tab w:val="clear" w:pos="2381"/>
                <w:tab w:val="clear" w:pos="2948"/>
                <w:tab w:val="clear" w:pos="3515"/>
              </w:tabs>
              <w:spacing w:before="40" w:after="40"/>
              <w:jc w:val="center"/>
              <w:rPr>
                <w:b/>
                <w:color w:val="000000"/>
                <w:sz w:val="18"/>
              </w:rPr>
            </w:pPr>
            <w:r w:rsidRPr="00A7082A">
              <w:rPr>
                <w:b/>
                <w:color w:val="000000"/>
                <w:sz w:val="18"/>
              </w:rPr>
              <w:t>1</w:t>
            </w:r>
          </w:p>
        </w:tc>
        <w:tc>
          <w:tcPr>
            <w:tcW w:w="3543" w:type="dxa"/>
            <w:shd w:val="clear" w:color="000000" w:fill="FFFFFF"/>
            <w:noWrap/>
            <w:hideMark/>
          </w:tcPr>
          <w:p w14:paraId="23CFFFEB" w14:textId="77777777" w:rsidR="00DA659A" w:rsidRPr="00A7082A" w:rsidRDefault="00DA659A" w:rsidP="00963095">
            <w:pPr>
              <w:tabs>
                <w:tab w:val="clear" w:pos="1247"/>
                <w:tab w:val="clear" w:pos="1814"/>
                <w:tab w:val="clear" w:pos="2381"/>
                <w:tab w:val="clear" w:pos="2948"/>
                <w:tab w:val="clear" w:pos="3515"/>
              </w:tabs>
              <w:spacing w:before="40" w:after="40"/>
              <w:rPr>
                <w:b/>
                <w:color w:val="000000"/>
                <w:sz w:val="18"/>
              </w:rPr>
            </w:pPr>
            <w:r w:rsidRPr="00A7082A">
              <w:rPr>
                <w:b/>
                <w:color w:val="000000"/>
                <w:sz w:val="18"/>
              </w:rPr>
              <w:t>Fourth meeting of the Conference of the Parties</w:t>
            </w:r>
          </w:p>
        </w:tc>
        <w:tc>
          <w:tcPr>
            <w:tcW w:w="1238" w:type="dxa"/>
            <w:shd w:val="clear" w:color="auto" w:fill="auto"/>
            <w:noWrap/>
            <w:hideMark/>
          </w:tcPr>
          <w:p w14:paraId="7D99A5AC"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shd w:val="clear" w:color="auto" w:fill="auto"/>
            <w:noWrap/>
            <w:hideMark/>
          </w:tcPr>
          <w:p w14:paraId="0A75A662" w14:textId="77777777" w:rsidR="00DA659A" w:rsidRPr="00A7082A" w:rsidRDefault="00DA659A" w:rsidP="009557F8">
            <w:pPr>
              <w:tabs>
                <w:tab w:val="clear" w:pos="1247"/>
                <w:tab w:val="clear" w:pos="1814"/>
                <w:tab w:val="clear" w:pos="2381"/>
                <w:tab w:val="clear" w:pos="2948"/>
                <w:tab w:val="clear" w:pos="3515"/>
              </w:tabs>
              <w:spacing w:before="40" w:after="40"/>
              <w:ind w:right="195"/>
              <w:jc w:val="right"/>
              <w:rPr>
                <w:color w:val="000000"/>
                <w:sz w:val="18"/>
              </w:rPr>
            </w:pPr>
            <w:r w:rsidRPr="00A7082A">
              <w:rPr>
                <w:color w:val="000000"/>
                <w:sz w:val="18"/>
              </w:rPr>
              <w:t> </w:t>
            </w:r>
          </w:p>
        </w:tc>
        <w:tc>
          <w:tcPr>
            <w:tcW w:w="1238" w:type="dxa"/>
            <w:shd w:val="clear" w:color="auto" w:fill="auto"/>
            <w:noWrap/>
            <w:hideMark/>
          </w:tcPr>
          <w:p w14:paraId="5E7CAA7B"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shd w:val="clear" w:color="auto" w:fill="auto"/>
            <w:noWrap/>
            <w:hideMark/>
          </w:tcPr>
          <w:p w14:paraId="6FA52951"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r>
      <w:tr w:rsidR="00DA659A" w:rsidRPr="00A7082A" w14:paraId="608721C2" w14:textId="77777777" w:rsidTr="002E728C">
        <w:trPr>
          <w:trHeight w:val="57"/>
          <w:jc w:val="right"/>
        </w:trPr>
        <w:tc>
          <w:tcPr>
            <w:tcW w:w="993" w:type="dxa"/>
            <w:shd w:val="clear" w:color="auto" w:fill="auto"/>
            <w:noWrap/>
            <w:hideMark/>
          </w:tcPr>
          <w:p w14:paraId="5A34BF39" w14:textId="77777777" w:rsidR="00DA659A" w:rsidRPr="00A7082A" w:rsidRDefault="00DA659A" w:rsidP="00963095">
            <w:pPr>
              <w:tabs>
                <w:tab w:val="clear" w:pos="1247"/>
                <w:tab w:val="clear" w:pos="1814"/>
                <w:tab w:val="clear" w:pos="2381"/>
                <w:tab w:val="clear" w:pos="2948"/>
                <w:tab w:val="clear" w:pos="3515"/>
              </w:tabs>
              <w:spacing w:before="40" w:after="40"/>
              <w:jc w:val="center"/>
              <w:rPr>
                <w:color w:val="000000"/>
                <w:sz w:val="18"/>
              </w:rPr>
            </w:pPr>
            <w:r w:rsidRPr="00A7082A">
              <w:rPr>
                <w:color w:val="000000"/>
                <w:sz w:val="18"/>
              </w:rPr>
              <w:t> </w:t>
            </w:r>
          </w:p>
        </w:tc>
        <w:tc>
          <w:tcPr>
            <w:tcW w:w="3543" w:type="dxa"/>
            <w:shd w:val="clear" w:color="auto" w:fill="auto"/>
            <w:noWrap/>
            <w:hideMark/>
          </w:tcPr>
          <w:p w14:paraId="3498C36D" w14:textId="77777777" w:rsidR="00DA659A" w:rsidRPr="00A7082A" w:rsidRDefault="00DA659A" w:rsidP="0045134A">
            <w:pPr>
              <w:pStyle w:val="Normal-pool"/>
              <w:tabs>
                <w:tab w:val="clear" w:pos="1247"/>
                <w:tab w:val="clear" w:pos="1814"/>
                <w:tab w:val="clear" w:pos="2381"/>
                <w:tab w:val="clear" w:pos="2948"/>
                <w:tab w:val="clear" w:pos="3515"/>
                <w:tab w:val="clear" w:pos="4082"/>
              </w:tabs>
              <w:spacing w:before="40" w:after="40"/>
              <w:ind w:left="883" w:hanging="883"/>
              <w:rPr>
                <w:color w:val="000000"/>
                <w:sz w:val="18"/>
              </w:rPr>
            </w:pPr>
            <w:r w:rsidRPr="00A7082A">
              <w:rPr>
                <w:color w:val="000000"/>
                <w:sz w:val="18"/>
              </w:rPr>
              <w:t>1.1 Fourth meeting</w:t>
            </w:r>
          </w:p>
        </w:tc>
        <w:tc>
          <w:tcPr>
            <w:tcW w:w="1238" w:type="dxa"/>
            <w:shd w:val="clear" w:color="auto" w:fill="auto"/>
            <w:noWrap/>
            <w:hideMark/>
          </w:tcPr>
          <w:p w14:paraId="638DFEA4"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shd w:val="clear" w:color="auto" w:fill="auto"/>
            <w:noWrap/>
            <w:hideMark/>
          </w:tcPr>
          <w:p w14:paraId="596ED5CF" w14:textId="77777777" w:rsidR="00DA659A" w:rsidRPr="00A7082A" w:rsidRDefault="00DA659A" w:rsidP="009557F8">
            <w:pPr>
              <w:tabs>
                <w:tab w:val="clear" w:pos="1247"/>
                <w:tab w:val="clear" w:pos="1814"/>
                <w:tab w:val="clear" w:pos="2381"/>
                <w:tab w:val="clear" w:pos="2948"/>
                <w:tab w:val="clear" w:pos="3515"/>
              </w:tabs>
              <w:spacing w:before="40" w:after="40"/>
              <w:ind w:right="195"/>
              <w:jc w:val="right"/>
              <w:rPr>
                <w:color w:val="000000"/>
                <w:sz w:val="18"/>
              </w:rPr>
            </w:pPr>
            <w:r w:rsidRPr="00A7082A">
              <w:rPr>
                <w:color w:val="000000"/>
                <w:sz w:val="18"/>
              </w:rPr>
              <w:t> </w:t>
            </w:r>
          </w:p>
        </w:tc>
        <w:tc>
          <w:tcPr>
            <w:tcW w:w="1238" w:type="dxa"/>
            <w:shd w:val="clear" w:color="auto" w:fill="auto"/>
            <w:noWrap/>
            <w:hideMark/>
          </w:tcPr>
          <w:p w14:paraId="0C0D4630" w14:textId="77E73E0C"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1</w:t>
            </w:r>
            <w:r w:rsidR="00F22360" w:rsidRPr="00A7082A">
              <w:rPr>
                <w:color w:val="000000"/>
                <w:sz w:val="18"/>
              </w:rPr>
              <w:t xml:space="preserve"> </w:t>
            </w:r>
            <w:r w:rsidRPr="00A7082A">
              <w:rPr>
                <w:color w:val="000000"/>
                <w:sz w:val="18"/>
              </w:rPr>
              <w:t>055</w:t>
            </w:r>
            <w:r w:rsidR="00F22360" w:rsidRPr="00A7082A">
              <w:rPr>
                <w:color w:val="000000"/>
                <w:sz w:val="18"/>
              </w:rPr>
              <w:t xml:space="preserve"> </w:t>
            </w:r>
            <w:r w:rsidRPr="00A7082A">
              <w:rPr>
                <w:color w:val="000000"/>
                <w:sz w:val="18"/>
              </w:rPr>
              <w:t xml:space="preserve">000 </w:t>
            </w:r>
          </w:p>
        </w:tc>
        <w:tc>
          <w:tcPr>
            <w:tcW w:w="1239" w:type="dxa"/>
            <w:shd w:val="clear" w:color="auto" w:fill="auto"/>
            <w:noWrap/>
            <w:hideMark/>
          </w:tcPr>
          <w:p w14:paraId="744A46B2" w14:textId="528A5F46"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425</w:t>
            </w:r>
            <w:r w:rsidR="00F22360" w:rsidRPr="00A7082A">
              <w:rPr>
                <w:color w:val="000000"/>
                <w:sz w:val="18"/>
              </w:rPr>
              <w:t xml:space="preserve"> </w:t>
            </w:r>
            <w:r w:rsidRPr="00A7082A">
              <w:rPr>
                <w:color w:val="000000"/>
                <w:sz w:val="18"/>
              </w:rPr>
              <w:t xml:space="preserve">000 </w:t>
            </w:r>
          </w:p>
        </w:tc>
      </w:tr>
      <w:tr w:rsidR="00DA659A" w:rsidRPr="00A7082A" w14:paraId="6806C8B2" w14:textId="77777777" w:rsidTr="002E728C">
        <w:trPr>
          <w:trHeight w:val="57"/>
          <w:jc w:val="right"/>
        </w:trPr>
        <w:tc>
          <w:tcPr>
            <w:tcW w:w="993" w:type="dxa"/>
            <w:shd w:val="clear" w:color="auto" w:fill="auto"/>
            <w:noWrap/>
            <w:hideMark/>
          </w:tcPr>
          <w:p w14:paraId="3B26FC7F" w14:textId="77777777" w:rsidR="00DA659A" w:rsidRPr="00A7082A" w:rsidRDefault="00DA659A" w:rsidP="00963095">
            <w:pPr>
              <w:tabs>
                <w:tab w:val="clear" w:pos="1247"/>
                <w:tab w:val="clear" w:pos="1814"/>
                <w:tab w:val="clear" w:pos="2381"/>
                <w:tab w:val="clear" w:pos="2948"/>
                <w:tab w:val="clear" w:pos="3515"/>
              </w:tabs>
              <w:spacing w:before="40" w:after="40"/>
              <w:jc w:val="center"/>
              <w:rPr>
                <w:color w:val="000000"/>
                <w:sz w:val="18"/>
              </w:rPr>
            </w:pPr>
            <w:r w:rsidRPr="00A7082A">
              <w:rPr>
                <w:color w:val="000000"/>
                <w:sz w:val="18"/>
              </w:rPr>
              <w:t> </w:t>
            </w:r>
          </w:p>
        </w:tc>
        <w:tc>
          <w:tcPr>
            <w:tcW w:w="3543" w:type="dxa"/>
            <w:shd w:val="clear" w:color="auto" w:fill="auto"/>
            <w:noWrap/>
            <w:hideMark/>
          </w:tcPr>
          <w:p w14:paraId="61B178FD" w14:textId="50793805" w:rsidR="00DA659A" w:rsidRPr="00A7082A" w:rsidRDefault="00DA659A" w:rsidP="0045134A">
            <w:pPr>
              <w:pStyle w:val="Normal-pool"/>
              <w:tabs>
                <w:tab w:val="clear" w:pos="1247"/>
                <w:tab w:val="clear" w:pos="1814"/>
                <w:tab w:val="clear" w:pos="2381"/>
                <w:tab w:val="clear" w:pos="2948"/>
                <w:tab w:val="clear" w:pos="3515"/>
                <w:tab w:val="clear" w:pos="4082"/>
              </w:tabs>
              <w:spacing w:before="40" w:after="40"/>
              <w:ind w:left="883" w:hanging="883"/>
              <w:rPr>
                <w:color w:val="000000"/>
                <w:sz w:val="18"/>
              </w:rPr>
            </w:pPr>
            <w:r w:rsidRPr="00A7082A">
              <w:rPr>
                <w:color w:val="000000"/>
                <w:sz w:val="18"/>
              </w:rPr>
              <w:t xml:space="preserve">1.2 Regional </w:t>
            </w:r>
            <w:r w:rsidR="00660CBD" w:rsidRPr="00A7082A">
              <w:rPr>
                <w:color w:val="000000"/>
                <w:sz w:val="18"/>
              </w:rPr>
              <w:t>p</w:t>
            </w:r>
            <w:r w:rsidRPr="00A7082A">
              <w:rPr>
                <w:color w:val="000000"/>
                <w:sz w:val="18"/>
              </w:rPr>
              <w:t xml:space="preserve">reparatory </w:t>
            </w:r>
            <w:r w:rsidR="00660CBD" w:rsidRPr="00A7082A">
              <w:rPr>
                <w:color w:val="000000"/>
                <w:sz w:val="18"/>
              </w:rPr>
              <w:t>m</w:t>
            </w:r>
            <w:r w:rsidRPr="00A7082A">
              <w:rPr>
                <w:color w:val="000000"/>
                <w:sz w:val="18"/>
              </w:rPr>
              <w:t>eetings</w:t>
            </w:r>
          </w:p>
        </w:tc>
        <w:tc>
          <w:tcPr>
            <w:tcW w:w="1238" w:type="dxa"/>
            <w:shd w:val="clear" w:color="auto" w:fill="auto"/>
            <w:noWrap/>
            <w:hideMark/>
          </w:tcPr>
          <w:p w14:paraId="707B6E7B"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shd w:val="clear" w:color="auto" w:fill="auto"/>
            <w:noWrap/>
            <w:hideMark/>
          </w:tcPr>
          <w:p w14:paraId="4A4A4617" w14:textId="77777777" w:rsidR="00DA659A" w:rsidRPr="00A7082A" w:rsidRDefault="00DA659A" w:rsidP="009557F8">
            <w:pPr>
              <w:tabs>
                <w:tab w:val="clear" w:pos="1247"/>
                <w:tab w:val="clear" w:pos="1814"/>
                <w:tab w:val="clear" w:pos="2381"/>
                <w:tab w:val="clear" w:pos="2948"/>
                <w:tab w:val="clear" w:pos="3515"/>
              </w:tabs>
              <w:spacing w:before="40" w:after="40"/>
              <w:ind w:right="195"/>
              <w:jc w:val="right"/>
              <w:rPr>
                <w:color w:val="000000"/>
                <w:sz w:val="18"/>
              </w:rPr>
            </w:pPr>
            <w:r w:rsidRPr="00A7082A">
              <w:rPr>
                <w:color w:val="000000"/>
                <w:sz w:val="18"/>
              </w:rPr>
              <w:t> </w:t>
            </w:r>
          </w:p>
        </w:tc>
        <w:tc>
          <w:tcPr>
            <w:tcW w:w="1238" w:type="dxa"/>
            <w:shd w:val="clear" w:color="auto" w:fill="auto"/>
            <w:noWrap/>
            <w:hideMark/>
          </w:tcPr>
          <w:p w14:paraId="1E6FBF4B"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shd w:val="clear" w:color="auto" w:fill="auto"/>
            <w:noWrap/>
            <w:hideMark/>
          </w:tcPr>
          <w:p w14:paraId="400A590B" w14:textId="7EBCAF91"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420</w:t>
            </w:r>
            <w:r w:rsidR="00F22360" w:rsidRPr="00A7082A">
              <w:rPr>
                <w:color w:val="000000"/>
                <w:sz w:val="18"/>
              </w:rPr>
              <w:t xml:space="preserve"> </w:t>
            </w:r>
            <w:r w:rsidRPr="00A7082A">
              <w:rPr>
                <w:color w:val="000000"/>
                <w:sz w:val="18"/>
              </w:rPr>
              <w:t xml:space="preserve">000 </w:t>
            </w:r>
          </w:p>
        </w:tc>
      </w:tr>
      <w:tr w:rsidR="00DA659A" w:rsidRPr="00A7082A" w14:paraId="2F423F6B" w14:textId="77777777" w:rsidTr="002E728C">
        <w:trPr>
          <w:trHeight w:val="57"/>
          <w:jc w:val="right"/>
        </w:trPr>
        <w:tc>
          <w:tcPr>
            <w:tcW w:w="993" w:type="dxa"/>
            <w:tcBorders>
              <w:bottom w:val="single" w:sz="4" w:space="0" w:color="000000" w:themeColor="text1"/>
            </w:tcBorders>
            <w:shd w:val="clear" w:color="auto" w:fill="auto"/>
            <w:noWrap/>
            <w:hideMark/>
          </w:tcPr>
          <w:p w14:paraId="674E3C5D" w14:textId="77777777" w:rsidR="00DA659A" w:rsidRPr="00A7082A" w:rsidRDefault="00DA659A" w:rsidP="00963095">
            <w:pPr>
              <w:tabs>
                <w:tab w:val="clear" w:pos="1247"/>
                <w:tab w:val="clear" w:pos="1814"/>
                <w:tab w:val="clear" w:pos="2381"/>
                <w:tab w:val="clear" w:pos="2948"/>
                <w:tab w:val="clear" w:pos="3515"/>
              </w:tabs>
              <w:spacing w:before="40" w:after="40"/>
              <w:jc w:val="center"/>
              <w:rPr>
                <w:color w:val="000000"/>
                <w:sz w:val="18"/>
              </w:rPr>
            </w:pPr>
            <w:r w:rsidRPr="00A7082A">
              <w:rPr>
                <w:color w:val="000000"/>
                <w:sz w:val="18"/>
              </w:rPr>
              <w:t> </w:t>
            </w:r>
          </w:p>
        </w:tc>
        <w:tc>
          <w:tcPr>
            <w:tcW w:w="3543" w:type="dxa"/>
            <w:tcBorders>
              <w:bottom w:val="single" w:sz="4" w:space="0" w:color="000000" w:themeColor="text1"/>
            </w:tcBorders>
            <w:shd w:val="clear" w:color="auto" w:fill="auto"/>
            <w:hideMark/>
          </w:tcPr>
          <w:p w14:paraId="3F6EA49C" w14:textId="77777777" w:rsidR="00DA659A" w:rsidRPr="00A7082A" w:rsidRDefault="00DA659A" w:rsidP="009557F8">
            <w:pPr>
              <w:pStyle w:val="Normal-pool"/>
              <w:tabs>
                <w:tab w:val="clear" w:pos="1247"/>
                <w:tab w:val="clear" w:pos="1814"/>
                <w:tab w:val="clear" w:pos="2381"/>
                <w:tab w:val="clear" w:pos="2948"/>
                <w:tab w:val="clear" w:pos="3515"/>
                <w:tab w:val="clear" w:pos="4082"/>
              </w:tabs>
              <w:spacing w:before="40" w:after="40"/>
              <w:ind w:left="284" w:hanging="284"/>
              <w:rPr>
                <w:color w:val="000000"/>
                <w:sz w:val="18"/>
              </w:rPr>
            </w:pPr>
            <w:r w:rsidRPr="00A7082A">
              <w:rPr>
                <w:color w:val="000000"/>
                <w:sz w:val="18"/>
              </w:rPr>
              <w:t>1</w:t>
            </w:r>
            <w:r w:rsidRPr="00A7082A">
              <w:rPr>
                <w:sz w:val="18"/>
                <w:szCs w:val="18"/>
                <w:lang w:eastAsia="zh-CN"/>
              </w:rPr>
              <w:t xml:space="preserve">.3 </w:t>
            </w:r>
            <w:r w:rsidRPr="00A7082A">
              <w:rPr>
                <w:color w:val="000000"/>
                <w:sz w:val="18"/>
              </w:rPr>
              <w:t>Intersessional</w:t>
            </w:r>
            <w:r w:rsidRPr="00A7082A">
              <w:rPr>
                <w:sz w:val="18"/>
                <w:szCs w:val="18"/>
                <w:lang w:eastAsia="zh-CN"/>
              </w:rPr>
              <w:t xml:space="preserve"> time-based expert groups mandated by the Conference of the Parties</w:t>
            </w:r>
          </w:p>
        </w:tc>
        <w:tc>
          <w:tcPr>
            <w:tcW w:w="1238" w:type="dxa"/>
            <w:tcBorders>
              <w:bottom w:val="single" w:sz="4" w:space="0" w:color="000000" w:themeColor="text1"/>
            </w:tcBorders>
            <w:shd w:val="clear" w:color="auto" w:fill="auto"/>
            <w:noWrap/>
            <w:hideMark/>
          </w:tcPr>
          <w:p w14:paraId="12ADD2EF" w14:textId="1270C3F1"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100</w:t>
            </w:r>
            <w:r w:rsidR="00F22360" w:rsidRPr="00A7082A">
              <w:rPr>
                <w:color w:val="000000"/>
                <w:sz w:val="18"/>
              </w:rPr>
              <w:t xml:space="preserve"> </w:t>
            </w:r>
            <w:r w:rsidRPr="00A7082A">
              <w:rPr>
                <w:color w:val="000000"/>
                <w:sz w:val="18"/>
              </w:rPr>
              <w:t xml:space="preserve">000 </w:t>
            </w:r>
          </w:p>
        </w:tc>
        <w:tc>
          <w:tcPr>
            <w:tcW w:w="1239" w:type="dxa"/>
            <w:tcBorders>
              <w:bottom w:val="single" w:sz="4" w:space="0" w:color="000000" w:themeColor="text1"/>
            </w:tcBorders>
            <w:shd w:val="clear" w:color="auto" w:fill="auto"/>
            <w:noWrap/>
            <w:hideMark/>
          </w:tcPr>
          <w:p w14:paraId="3181E1A2" w14:textId="79B6DD5A" w:rsidR="00DA659A" w:rsidRPr="00A7082A" w:rsidRDefault="00DA659A" w:rsidP="009557F8">
            <w:pPr>
              <w:tabs>
                <w:tab w:val="clear" w:pos="1247"/>
                <w:tab w:val="clear" w:pos="1814"/>
                <w:tab w:val="clear" w:pos="2381"/>
                <w:tab w:val="clear" w:pos="2948"/>
                <w:tab w:val="clear" w:pos="3515"/>
              </w:tabs>
              <w:spacing w:before="40" w:after="40"/>
              <w:ind w:right="195"/>
              <w:jc w:val="right"/>
              <w:rPr>
                <w:color w:val="000000"/>
                <w:sz w:val="18"/>
              </w:rPr>
            </w:pPr>
            <w:r w:rsidRPr="00A7082A">
              <w:rPr>
                <w:color w:val="000000"/>
                <w:sz w:val="18"/>
              </w:rPr>
              <w:t>85</w:t>
            </w:r>
            <w:r w:rsidR="00F22360" w:rsidRPr="00A7082A">
              <w:rPr>
                <w:color w:val="000000"/>
                <w:sz w:val="18"/>
              </w:rPr>
              <w:t xml:space="preserve"> </w:t>
            </w:r>
            <w:r w:rsidRPr="00A7082A">
              <w:rPr>
                <w:color w:val="000000"/>
                <w:sz w:val="18"/>
              </w:rPr>
              <w:t xml:space="preserve">000 </w:t>
            </w:r>
          </w:p>
        </w:tc>
        <w:tc>
          <w:tcPr>
            <w:tcW w:w="1238" w:type="dxa"/>
            <w:tcBorders>
              <w:bottom w:val="single" w:sz="4" w:space="0" w:color="000000" w:themeColor="text1"/>
            </w:tcBorders>
            <w:shd w:val="clear" w:color="auto" w:fill="auto"/>
            <w:noWrap/>
            <w:hideMark/>
          </w:tcPr>
          <w:p w14:paraId="5EB9D047" w14:textId="77777777" w:rsidR="00DA659A" w:rsidRPr="00A7082A" w:rsidRDefault="00DA659A" w:rsidP="009557F8">
            <w:pPr>
              <w:tabs>
                <w:tab w:val="clear" w:pos="1247"/>
                <w:tab w:val="clear" w:pos="1814"/>
                <w:tab w:val="clear" w:pos="2381"/>
                <w:tab w:val="clear" w:pos="2948"/>
                <w:tab w:val="clear" w:pos="3515"/>
              </w:tabs>
              <w:spacing w:before="40" w:after="40"/>
              <w:jc w:val="right"/>
              <w:rPr>
                <w:sz w:val="18"/>
              </w:rPr>
            </w:pPr>
            <w:r w:rsidRPr="00A7082A">
              <w:rPr>
                <w:sz w:val="18"/>
              </w:rPr>
              <w:t> </w:t>
            </w:r>
          </w:p>
        </w:tc>
        <w:tc>
          <w:tcPr>
            <w:tcW w:w="1239" w:type="dxa"/>
            <w:tcBorders>
              <w:bottom w:val="single" w:sz="4" w:space="0" w:color="000000" w:themeColor="text1"/>
            </w:tcBorders>
            <w:shd w:val="clear" w:color="auto" w:fill="auto"/>
            <w:noWrap/>
            <w:hideMark/>
          </w:tcPr>
          <w:p w14:paraId="19781820" w14:textId="7E6C2AD2" w:rsidR="00DA659A" w:rsidRPr="00A7082A" w:rsidRDefault="00DA659A" w:rsidP="009557F8">
            <w:pPr>
              <w:tabs>
                <w:tab w:val="clear" w:pos="1247"/>
                <w:tab w:val="clear" w:pos="1814"/>
                <w:tab w:val="clear" w:pos="2381"/>
                <w:tab w:val="clear" w:pos="2948"/>
                <w:tab w:val="clear" w:pos="3515"/>
              </w:tabs>
              <w:spacing w:before="40" w:after="40"/>
              <w:jc w:val="right"/>
              <w:rPr>
                <w:sz w:val="18"/>
              </w:rPr>
            </w:pPr>
            <w:r w:rsidRPr="00A7082A">
              <w:rPr>
                <w:sz w:val="18"/>
              </w:rPr>
              <w:t>100</w:t>
            </w:r>
            <w:r w:rsidR="00F22360" w:rsidRPr="00A7082A">
              <w:rPr>
                <w:sz w:val="18"/>
              </w:rPr>
              <w:t xml:space="preserve"> </w:t>
            </w:r>
            <w:r w:rsidRPr="00A7082A">
              <w:rPr>
                <w:sz w:val="18"/>
              </w:rPr>
              <w:t xml:space="preserve">000 </w:t>
            </w:r>
          </w:p>
        </w:tc>
      </w:tr>
      <w:tr w:rsidR="00DA659A" w:rsidRPr="00A7082A" w14:paraId="6C2BB300" w14:textId="77777777" w:rsidTr="002E728C">
        <w:trPr>
          <w:trHeight w:val="57"/>
          <w:jc w:val="right"/>
        </w:trPr>
        <w:tc>
          <w:tcPr>
            <w:tcW w:w="993" w:type="dxa"/>
            <w:tcBorders>
              <w:top w:val="single" w:sz="4" w:space="0" w:color="000000" w:themeColor="text1"/>
              <w:bottom w:val="single" w:sz="4" w:space="0" w:color="000000" w:themeColor="text1"/>
            </w:tcBorders>
            <w:shd w:val="clear" w:color="auto" w:fill="auto"/>
            <w:noWrap/>
            <w:hideMark/>
          </w:tcPr>
          <w:p w14:paraId="1B87C3C4" w14:textId="77777777" w:rsidR="00DA659A" w:rsidRPr="00A7082A" w:rsidRDefault="00DA659A" w:rsidP="00963095">
            <w:pPr>
              <w:tabs>
                <w:tab w:val="clear" w:pos="1247"/>
                <w:tab w:val="clear" w:pos="1814"/>
                <w:tab w:val="clear" w:pos="2381"/>
                <w:tab w:val="clear" w:pos="2948"/>
                <w:tab w:val="clear" w:pos="3515"/>
              </w:tabs>
              <w:spacing w:before="40" w:after="40"/>
              <w:jc w:val="center"/>
              <w:rPr>
                <w:color w:val="000000"/>
                <w:sz w:val="18"/>
              </w:rPr>
            </w:pPr>
            <w:r w:rsidRPr="00A7082A">
              <w:rPr>
                <w:color w:val="000000"/>
                <w:sz w:val="18"/>
              </w:rPr>
              <w:t> </w:t>
            </w:r>
          </w:p>
        </w:tc>
        <w:tc>
          <w:tcPr>
            <w:tcW w:w="3543" w:type="dxa"/>
            <w:tcBorders>
              <w:top w:val="single" w:sz="4" w:space="0" w:color="000000" w:themeColor="text1"/>
              <w:bottom w:val="single" w:sz="4" w:space="0" w:color="000000" w:themeColor="text1"/>
            </w:tcBorders>
            <w:shd w:val="clear" w:color="auto" w:fill="auto"/>
            <w:noWrap/>
            <w:hideMark/>
          </w:tcPr>
          <w:p w14:paraId="426DEC27" w14:textId="556702F6" w:rsidR="00DA659A" w:rsidRPr="00A7082A" w:rsidRDefault="00DA659A" w:rsidP="00963095">
            <w:pPr>
              <w:tabs>
                <w:tab w:val="clear" w:pos="1247"/>
                <w:tab w:val="clear" w:pos="1814"/>
                <w:tab w:val="clear" w:pos="2381"/>
                <w:tab w:val="clear" w:pos="2948"/>
                <w:tab w:val="clear" w:pos="3515"/>
              </w:tabs>
              <w:spacing w:before="40" w:after="40"/>
              <w:rPr>
                <w:b/>
                <w:color w:val="000000"/>
                <w:sz w:val="18"/>
              </w:rPr>
            </w:pPr>
            <w:r w:rsidRPr="00A7082A">
              <w:rPr>
                <w:b/>
                <w:color w:val="000000"/>
                <w:sz w:val="18"/>
              </w:rPr>
              <w:t xml:space="preserve">Component </w:t>
            </w:r>
            <w:r w:rsidR="00660CBD" w:rsidRPr="00A7082A">
              <w:rPr>
                <w:b/>
                <w:color w:val="000000"/>
                <w:sz w:val="18"/>
              </w:rPr>
              <w:t>t</w:t>
            </w:r>
            <w:r w:rsidRPr="00A7082A">
              <w:rPr>
                <w:b/>
                <w:color w:val="000000"/>
                <w:sz w:val="18"/>
              </w:rPr>
              <w:t>otal</w:t>
            </w:r>
          </w:p>
        </w:tc>
        <w:tc>
          <w:tcPr>
            <w:tcW w:w="1238" w:type="dxa"/>
            <w:tcBorders>
              <w:top w:val="single" w:sz="4" w:space="0" w:color="000000" w:themeColor="text1"/>
              <w:bottom w:val="single" w:sz="4" w:space="0" w:color="000000" w:themeColor="text1"/>
            </w:tcBorders>
            <w:shd w:val="clear" w:color="auto" w:fill="auto"/>
            <w:noWrap/>
            <w:hideMark/>
          </w:tcPr>
          <w:p w14:paraId="0E09659E" w14:textId="6AEE131A"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100</w:t>
            </w:r>
            <w:r w:rsidR="00F22360" w:rsidRPr="00A7082A">
              <w:rPr>
                <w:b/>
                <w:color w:val="000000"/>
                <w:sz w:val="18"/>
              </w:rPr>
              <w:t xml:space="preserve"> </w:t>
            </w:r>
            <w:r w:rsidRPr="00A7082A">
              <w:rPr>
                <w:b/>
                <w:color w:val="000000"/>
                <w:sz w:val="18"/>
              </w:rPr>
              <w:t xml:space="preserve">000 </w:t>
            </w:r>
          </w:p>
        </w:tc>
        <w:tc>
          <w:tcPr>
            <w:tcW w:w="1239" w:type="dxa"/>
            <w:tcBorders>
              <w:top w:val="single" w:sz="4" w:space="0" w:color="000000" w:themeColor="text1"/>
              <w:bottom w:val="single" w:sz="4" w:space="0" w:color="000000" w:themeColor="text1"/>
            </w:tcBorders>
            <w:shd w:val="clear" w:color="auto" w:fill="auto"/>
            <w:noWrap/>
            <w:hideMark/>
          </w:tcPr>
          <w:p w14:paraId="198C22E3" w14:textId="70316C3B" w:rsidR="00DA659A" w:rsidRPr="00A7082A" w:rsidRDefault="00DA659A" w:rsidP="009557F8">
            <w:pPr>
              <w:tabs>
                <w:tab w:val="clear" w:pos="1247"/>
                <w:tab w:val="clear" w:pos="1814"/>
                <w:tab w:val="clear" w:pos="2381"/>
                <w:tab w:val="clear" w:pos="2948"/>
                <w:tab w:val="clear" w:pos="3515"/>
              </w:tabs>
              <w:spacing w:before="40" w:after="40"/>
              <w:ind w:right="195"/>
              <w:jc w:val="right"/>
              <w:rPr>
                <w:b/>
                <w:color w:val="000000"/>
                <w:sz w:val="18"/>
              </w:rPr>
            </w:pPr>
            <w:r w:rsidRPr="00A7082A">
              <w:rPr>
                <w:b/>
                <w:color w:val="000000"/>
                <w:sz w:val="18"/>
              </w:rPr>
              <w:t>85</w:t>
            </w:r>
            <w:r w:rsidR="00F22360" w:rsidRPr="00A7082A">
              <w:rPr>
                <w:b/>
                <w:color w:val="000000"/>
                <w:sz w:val="18"/>
              </w:rPr>
              <w:t xml:space="preserve"> </w:t>
            </w:r>
            <w:r w:rsidRPr="00A7082A">
              <w:rPr>
                <w:b/>
                <w:color w:val="000000"/>
                <w:sz w:val="18"/>
              </w:rPr>
              <w:t xml:space="preserve">000 </w:t>
            </w:r>
          </w:p>
        </w:tc>
        <w:tc>
          <w:tcPr>
            <w:tcW w:w="1238" w:type="dxa"/>
            <w:tcBorders>
              <w:top w:val="single" w:sz="4" w:space="0" w:color="000000" w:themeColor="text1"/>
              <w:bottom w:val="single" w:sz="4" w:space="0" w:color="000000" w:themeColor="text1"/>
            </w:tcBorders>
            <w:shd w:val="clear" w:color="auto" w:fill="auto"/>
            <w:noWrap/>
            <w:hideMark/>
          </w:tcPr>
          <w:p w14:paraId="302312B1" w14:textId="04F319DE"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1</w:t>
            </w:r>
            <w:r w:rsidR="00F22360" w:rsidRPr="00A7082A">
              <w:rPr>
                <w:b/>
                <w:color w:val="000000"/>
                <w:sz w:val="18"/>
              </w:rPr>
              <w:t xml:space="preserve"> </w:t>
            </w:r>
            <w:r w:rsidRPr="00A7082A">
              <w:rPr>
                <w:b/>
                <w:color w:val="000000"/>
                <w:sz w:val="18"/>
              </w:rPr>
              <w:t>055</w:t>
            </w:r>
            <w:r w:rsidR="00F22360" w:rsidRPr="00A7082A">
              <w:rPr>
                <w:b/>
                <w:color w:val="000000"/>
                <w:sz w:val="18"/>
              </w:rPr>
              <w:t xml:space="preserve"> </w:t>
            </w:r>
            <w:r w:rsidRPr="00A7082A">
              <w:rPr>
                <w:b/>
                <w:color w:val="000000"/>
                <w:sz w:val="18"/>
              </w:rPr>
              <w:t xml:space="preserve">000 </w:t>
            </w:r>
          </w:p>
        </w:tc>
        <w:tc>
          <w:tcPr>
            <w:tcW w:w="1239" w:type="dxa"/>
            <w:tcBorders>
              <w:top w:val="single" w:sz="4" w:space="0" w:color="000000" w:themeColor="text1"/>
              <w:bottom w:val="single" w:sz="4" w:space="0" w:color="000000" w:themeColor="text1"/>
            </w:tcBorders>
            <w:shd w:val="clear" w:color="auto" w:fill="auto"/>
            <w:noWrap/>
            <w:hideMark/>
          </w:tcPr>
          <w:p w14:paraId="4C90DAEE" w14:textId="133C0ABC"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945</w:t>
            </w:r>
            <w:r w:rsidR="00F22360" w:rsidRPr="00A7082A">
              <w:rPr>
                <w:b/>
                <w:color w:val="000000"/>
                <w:sz w:val="18"/>
              </w:rPr>
              <w:t xml:space="preserve"> </w:t>
            </w:r>
            <w:r w:rsidRPr="00A7082A">
              <w:rPr>
                <w:b/>
                <w:color w:val="000000"/>
                <w:sz w:val="18"/>
              </w:rPr>
              <w:t xml:space="preserve">000 </w:t>
            </w:r>
          </w:p>
        </w:tc>
      </w:tr>
      <w:tr w:rsidR="00DA659A" w:rsidRPr="00A7082A" w14:paraId="5C62B1EB" w14:textId="77777777" w:rsidTr="002E728C">
        <w:trPr>
          <w:trHeight w:val="57"/>
          <w:jc w:val="right"/>
        </w:trPr>
        <w:tc>
          <w:tcPr>
            <w:tcW w:w="993" w:type="dxa"/>
            <w:tcBorders>
              <w:top w:val="single" w:sz="4" w:space="0" w:color="000000" w:themeColor="text1"/>
            </w:tcBorders>
            <w:shd w:val="clear" w:color="auto" w:fill="auto"/>
            <w:noWrap/>
            <w:hideMark/>
          </w:tcPr>
          <w:p w14:paraId="637EFF55" w14:textId="77777777" w:rsidR="00DA659A" w:rsidRPr="00A7082A" w:rsidRDefault="00DA659A" w:rsidP="00963095">
            <w:pPr>
              <w:tabs>
                <w:tab w:val="clear" w:pos="1247"/>
                <w:tab w:val="clear" w:pos="1814"/>
                <w:tab w:val="clear" w:pos="2381"/>
                <w:tab w:val="clear" w:pos="2948"/>
                <w:tab w:val="clear" w:pos="3515"/>
              </w:tabs>
              <w:spacing w:before="40" w:after="40"/>
              <w:jc w:val="center"/>
              <w:rPr>
                <w:b/>
                <w:color w:val="000000"/>
                <w:sz w:val="18"/>
              </w:rPr>
            </w:pPr>
            <w:r w:rsidRPr="00A7082A">
              <w:rPr>
                <w:b/>
                <w:color w:val="000000"/>
                <w:sz w:val="18"/>
              </w:rPr>
              <w:t>2</w:t>
            </w:r>
          </w:p>
        </w:tc>
        <w:tc>
          <w:tcPr>
            <w:tcW w:w="3543" w:type="dxa"/>
            <w:tcBorders>
              <w:top w:val="single" w:sz="4" w:space="0" w:color="000000" w:themeColor="text1"/>
            </w:tcBorders>
            <w:shd w:val="clear" w:color="auto" w:fill="auto"/>
            <w:noWrap/>
            <w:hideMark/>
          </w:tcPr>
          <w:p w14:paraId="1A16554B" w14:textId="77777777" w:rsidR="00DA659A" w:rsidRPr="00A7082A" w:rsidRDefault="00DA659A" w:rsidP="00963095">
            <w:pPr>
              <w:tabs>
                <w:tab w:val="clear" w:pos="1247"/>
                <w:tab w:val="clear" w:pos="1814"/>
                <w:tab w:val="clear" w:pos="2381"/>
                <w:tab w:val="clear" w:pos="2948"/>
                <w:tab w:val="clear" w:pos="3515"/>
              </w:tabs>
              <w:spacing w:before="40" w:after="40"/>
              <w:rPr>
                <w:b/>
                <w:color w:val="000000"/>
                <w:sz w:val="18"/>
              </w:rPr>
            </w:pPr>
            <w:r w:rsidRPr="00A7082A">
              <w:rPr>
                <w:b/>
                <w:color w:val="000000"/>
                <w:sz w:val="18"/>
              </w:rPr>
              <w:t>Bureau of the Conference of the Parties</w:t>
            </w:r>
          </w:p>
        </w:tc>
        <w:tc>
          <w:tcPr>
            <w:tcW w:w="1238" w:type="dxa"/>
            <w:tcBorders>
              <w:top w:val="single" w:sz="4" w:space="0" w:color="000000" w:themeColor="text1"/>
            </w:tcBorders>
            <w:shd w:val="clear" w:color="auto" w:fill="auto"/>
            <w:noWrap/>
            <w:hideMark/>
          </w:tcPr>
          <w:p w14:paraId="65D2E9EC"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tcBorders>
              <w:top w:val="single" w:sz="4" w:space="0" w:color="000000" w:themeColor="text1"/>
            </w:tcBorders>
            <w:shd w:val="clear" w:color="auto" w:fill="auto"/>
            <w:noWrap/>
            <w:hideMark/>
          </w:tcPr>
          <w:p w14:paraId="6764EE1B" w14:textId="77777777" w:rsidR="00DA659A" w:rsidRPr="00A7082A" w:rsidRDefault="00DA659A" w:rsidP="009557F8">
            <w:pPr>
              <w:tabs>
                <w:tab w:val="clear" w:pos="1247"/>
                <w:tab w:val="clear" w:pos="1814"/>
                <w:tab w:val="clear" w:pos="2381"/>
                <w:tab w:val="clear" w:pos="2948"/>
                <w:tab w:val="clear" w:pos="3515"/>
              </w:tabs>
              <w:spacing w:before="40" w:after="40"/>
              <w:ind w:right="195"/>
              <w:jc w:val="right"/>
              <w:rPr>
                <w:color w:val="000000"/>
                <w:sz w:val="18"/>
              </w:rPr>
            </w:pPr>
            <w:r w:rsidRPr="00A7082A">
              <w:rPr>
                <w:color w:val="000000"/>
                <w:sz w:val="18"/>
              </w:rPr>
              <w:t> </w:t>
            </w:r>
          </w:p>
        </w:tc>
        <w:tc>
          <w:tcPr>
            <w:tcW w:w="1238" w:type="dxa"/>
            <w:tcBorders>
              <w:top w:val="single" w:sz="4" w:space="0" w:color="000000" w:themeColor="text1"/>
            </w:tcBorders>
            <w:shd w:val="clear" w:color="auto" w:fill="auto"/>
            <w:noWrap/>
            <w:hideMark/>
          </w:tcPr>
          <w:p w14:paraId="260F66D0"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tcBorders>
              <w:top w:val="single" w:sz="4" w:space="0" w:color="000000" w:themeColor="text1"/>
            </w:tcBorders>
            <w:shd w:val="clear" w:color="auto" w:fill="auto"/>
            <w:noWrap/>
            <w:hideMark/>
          </w:tcPr>
          <w:p w14:paraId="37E80DB5"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r>
      <w:tr w:rsidR="00DA659A" w:rsidRPr="00A7082A" w14:paraId="40257B59" w14:textId="77777777" w:rsidTr="002E728C">
        <w:trPr>
          <w:trHeight w:val="57"/>
          <w:jc w:val="right"/>
        </w:trPr>
        <w:tc>
          <w:tcPr>
            <w:tcW w:w="993" w:type="dxa"/>
            <w:tcBorders>
              <w:bottom w:val="single" w:sz="4" w:space="0" w:color="000000" w:themeColor="text1"/>
            </w:tcBorders>
            <w:shd w:val="clear" w:color="auto" w:fill="auto"/>
            <w:noWrap/>
            <w:hideMark/>
          </w:tcPr>
          <w:p w14:paraId="5150640E" w14:textId="77777777" w:rsidR="00DA659A" w:rsidRPr="00A7082A" w:rsidRDefault="00DA659A" w:rsidP="00963095">
            <w:pPr>
              <w:tabs>
                <w:tab w:val="clear" w:pos="1247"/>
                <w:tab w:val="clear" w:pos="1814"/>
                <w:tab w:val="clear" w:pos="2381"/>
                <w:tab w:val="clear" w:pos="2948"/>
                <w:tab w:val="clear" w:pos="3515"/>
              </w:tabs>
              <w:spacing w:before="40" w:after="40"/>
              <w:jc w:val="center"/>
              <w:rPr>
                <w:color w:val="000000"/>
                <w:sz w:val="18"/>
              </w:rPr>
            </w:pPr>
            <w:r w:rsidRPr="00A7082A">
              <w:rPr>
                <w:color w:val="000000"/>
                <w:sz w:val="18"/>
              </w:rPr>
              <w:t> </w:t>
            </w:r>
          </w:p>
        </w:tc>
        <w:tc>
          <w:tcPr>
            <w:tcW w:w="3543" w:type="dxa"/>
            <w:tcBorders>
              <w:bottom w:val="single" w:sz="4" w:space="0" w:color="000000" w:themeColor="text1"/>
            </w:tcBorders>
            <w:shd w:val="clear" w:color="auto" w:fill="auto"/>
            <w:noWrap/>
            <w:hideMark/>
          </w:tcPr>
          <w:p w14:paraId="141B4534" w14:textId="77777777" w:rsidR="00DA659A" w:rsidRPr="00A7082A" w:rsidRDefault="00DA659A" w:rsidP="0045134A">
            <w:pPr>
              <w:pStyle w:val="Normal-pool"/>
              <w:tabs>
                <w:tab w:val="clear" w:pos="1247"/>
                <w:tab w:val="clear" w:pos="1814"/>
                <w:tab w:val="clear" w:pos="2381"/>
                <w:tab w:val="clear" w:pos="2948"/>
                <w:tab w:val="clear" w:pos="3515"/>
                <w:tab w:val="clear" w:pos="4082"/>
              </w:tabs>
              <w:spacing w:before="40" w:after="40"/>
              <w:ind w:left="883" w:hanging="883"/>
              <w:rPr>
                <w:color w:val="000000"/>
                <w:sz w:val="18"/>
              </w:rPr>
            </w:pPr>
            <w:r w:rsidRPr="00A7082A">
              <w:rPr>
                <w:color w:val="000000"/>
                <w:sz w:val="18"/>
              </w:rPr>
              <w:t xml:space="preserve">2.1 </w:t>
            </w:r>
            <w:r w:rsidRPr="00A7082A">
              <w:rPr>
                <w:sz w:val="18"/>
                <w:szCs w:val="18"/>
                <w:lang w:eastAsia="zh-CN"/>
              </w:rPr>
              <w:t>Meeting</w:t>
            </w:r>
            <w:r w:rsidRPr="00A7082A">
              <w:rPr>
                <w:color w:val="000000"/>
                <w:sz w:val="18"/>
              </w:rPr>
              <w:t xml:space="preserve"> of the Bureau</w:t>
            </w:r>
          </w:p>
        </w:tc>
        <w:tc>
          <w:tcPr>
            <w:tcW w:w="1238" w:type="dxa"/>
            <w:tcBorders>
              <w:bottom w:val="single" w:sz="4" w:space="0" w:color="000000" w:themeColor="text1"/>
            </w:tcBorders>
            <w:shd w:val="clear" w:color="auto" w:fill="auto"/>
            <w:noWrap/>
            <w:hideMark/>
          </w:tcPr>
          <w:p w14:paraId="753AA6BE"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p>
        </w:tc>
        <w:tc>
          <w:tcPr>
            <w:tcW w:w="1239" w:type="dxa"/>
            <w:tcBorders>
              <w:bottom w:val="single" w:sz="4" w:space="0" w:color="000000" w:themeColor="text1"/>
            </w:tcBorders>
            <w:shd w:val="clear" w:color="auto" w:fill="auto"/>
            <w:noWrap/>
            <w:hideMark/>
          </w:tcPr>
          <w:p w14:paraId="661BB278" w14:textId="77777777" w:rsidR="00DA659A" w:rsidRPr="00A7082A" w:rsidRDefault="00DA659A" w:rsidP="009557F8">
            <w:pPr>
              <w:tabs>
                <w:tab w:val="clear" w:pos="1247"/>
                <w:tab w:val="clear" w:pos="1814"/>
                <w:tab w:val="clear" w:pos="2381"/>
                <w:tab w:val="clear" w:pos="2948"/>
                <w:tab w:val="clear" w:pos="3515"/>
              </w:tabs>
              <w:spacing w:before="40" w:after="40"/>
              <w:ind w:right="195"/>
              <w:jc w:val="right"/>
              <w:rPr>
                <w:color w:val="000000"/>
                <w:sz w:val="18"/>
              </w:rPr>
            </w:pPr>
            <w:r w:rsidRPr="00A7082A">
              <w:rPr>
                <w:color w:val="000000"/>
                <w:sz w:val="18"/>
              </w:rPr>
              <w:t> </w:t>
            </w:r>
          </w:p>
        </w:tc>
        <w:tc>
          <w:tcPr>
            <w:tcW w:w="1238" w:type="dxa"/>
            <w:tcBorders>
              <w:bottom w:val="single" w:sz="4" w:space="0" w:color="000000" w:themeColor="text1"/>
            </w:tcBorders>
            <w:shd w:val="clear" w:color="auto" w:fill="auto"/>
            <w:noWrap/>
            <w:hideMark/>
          </w:tcPr>
          <w:p w14:paraId="4F9A91B7" w14:textId="241A23B1"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26</w:t>
            </w:r>
            <w:r w:rsidR="00F22360" w:rsidRPr="00A7082A">
              <w:rPr>
                <w:color w:val="000000"/>
                <w:sz w:val="18"/>
              </w:rPr>
              <w:t xml:space="preserve"> </w:t>
            </w:r>
            <w:r w:rsidRPr="00A7082A">
              <w:rPr>
                <w:color w:val="000000"/>
                <w:sz w:val="18"/>
              </w:rPr>
              <w:t xml:space="preserve">000 </w:t>
            </w:r>
          </w:p>
        </w:tc>
        <w:tc>
          <w:tcPr>
            <w:tcW w:w="1239" w:type="dxa"/>
            <w:tcBorders>
              <w:bottom w:val="single" w:sz="4" w:space="0" w:color="000000" w:themeColor="text1"/>
            </w:tcBorders>
            <w:shd w:val="clear" w:color="auto" w:fill="auto"/>
            <w:noWrap/>
            <w:hideMark/>
          </w:tcPr>
          <w:p w14:paraId="77D4F770"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r>
      <w:tr w:rsidR="00DA659A" w:rsidRPr="00A7082A" w14:paraId="34D3F9E7" w14:textId="77777777" w:rsidTr="002E728C">
        <w:trPr>
          <w:trHeight w:val="57"/>
          <w:jc w:val="right"/>
        </w:trPr>
        <w:tc>
          <w:tcPr>
            <w:tcW w:w="993" w:type="dxa"/>
            <w:tcBorders>
              <w:top w:val="single" w:sz="4" w:space="0" w:color="000000" w:themeColor="text1"/>
              <w:bottom w:val="single" w:sz="4" w:space="0" w:color="000000" w:themeColor="text1"/>
            </w:tcBorders>
            <w:shd w:val="clear" w:color="auto" w:fill="auto"/>
            <w:noWrap/>
            <w:hideMark/>
          </w:tcPr>
          <w:p w14:paraId="78F9E251" w14:textId="77777777" w:rsidR="00DA659A" w:rsidRPr="00A7082A" w:rsidRDefault="00DA659A" w:rsidP="00963095">
            <w:pPr>
              <w:tabs>
                <w:tab w:val="clear" w:pos="1247"/>
                <w:tab w:val="clear" w:pos="1814"/>
                <w:tab w:val="clear" w:pos="2381"/>
                <w:tab w:val="clear" w:pos="2948"/>
                <w:tab w:val="clear" w:pos="3515"/>
              </w:tabs>
              <w:spacing w:before="40" w:after="40"/>
              <w:jc w:val="center"/>
              <w:rPr>
                <w:color w:val="000000"/>
                <w:sz w:val="18"/>
              </w:rPr>
            </w:pPr>
            <w:r w:rsidRPr="00A7082A">
              <w:rPr>
                <w:color w:val="000000"/>
                <w:sz w:val="18"/>
              </w:rPr>
              <w:t> </w:t>
            </w:r>
          </w:p>
        </w:tc>
        <w:tc>
          <w:tcPr>
            <w:tcW w:w="3543" w:type="dxa"/>
            <w:tcBorders>
              <w:top w:val="single" w:sz="4" w:space="0" w:color="000000" w:themeColor="text1"/>
              <w:bottom w:val="single" w:sz="4" w:space="0" w:color="000000" w:themeColor="text1"/>
            </w:tcBorders>
            <w:shd w:val="clear" w:color="auto" w:fill="auto"/>
            <w:noWrap/>
            <w:hideMark/>
          </w:tcPr>
          <w:p w14:paraId="256C273A" w14:textId="6BE98DD4" w:rsidR="00DA659A" w:rsidRPr="00A7082A" w:rsidRDefault="00DA659A" w:rsidP="00963095">
            <w:pPr>
              <w:tabs>
                <w:tab w:val="clear" w:pos="1247"/>
                <w:tab w:val="clear" w:pos="1814"/>
                <w:tab w:val="clear" w:pos="2381"/>
                <w:tab w:val="clear" w:pos="2948"/>
                <w:tab w:val="clear" w:pos="3515"/>
              </w:tabs>
              <w:spacing w:before="40" w:after="40"/>
              <w:rPr>
                <w:b/>
                <w:color w:val="000000"/>
                <w:sz w:val="18"/>
              </w:rPr>
            </w:pPr>
            <w:r w:rsidRPr="00A7082A">
              <w:rPr>
                <w:b/>
                <w:color w:val="000000"/>
                <w:sz w:val="18"/>
              </w:rPr>
              <w:t xml:space="preserve">Component </w:t>
            </w:r>
            <w:r w:rsidR="00660CBD" w:rsidRPr="00A7082A">
              <w:rPr>
                <w:b/>
                <w:color w:val="000000"/>
                <w:sz w:val="18"/>
              </w:rPr>
              <w:t>t</w:t>
            </w:r>
            <w:r w:rsidRPr="00A7082A">
              <w:rPr>
                <w:b/>
                <w:color w:val="000000"/>
                <w:sz w:val="18"/>
              </w:rPr>
              <w:t>otal</w:t>
            </w:r>
          </w:p>
        </w:tc>
        <w:tc>
          <w:tcPr>
            <w:tcW w:w="1238" w:type="dxa"/>
            <w:tcBorders>
              <w:top w:val="single" w:sz="4" w:space="0" w:color="000000" w:themeColor="text1"/>
              <w:bottom w:val="single" w:sz="4" w:space="0" w:color="000000" w:themeColor="text1"/>
            </w:tcBorders>
            <w:shd w:val="clear" w:color="auto" w:fill="auto"/>
            <w:noWrap/>
            <w:hideMark/>
          </w:tcPr>
          <w:p w14:paraId="4129A1D4" w14:textId="77777777"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 </w:t>
            </w:r>
          </w:p>
        </w:tc>
        <w:tc>
          <w:tcPr>
            <w:tcW w:w="1239" w:type="dxa"/>
            <w:tcBorders>
              <w:top w:val="single" w:sz="4" w:space="0" w:color="000000" w:themeColor="text1"/>
              <w:bottom w:val="single" w:sz="4" w:space="0" w:color="000000" w:themeColor="text1"/>
            </w:tcBorders>
            <w:shd w:val="clear" w:color="auto" w:fill="auto"/>
            <w:noWrap/>
            <w:hideMark/>
          </w:tcPr>
          <w:p w14:paraId="75321FF9" w14:textId="77777777" w:rsidR="00DA659A" w:rsidRPr="00A7082A" w:rsidRDefault="00DA659A" w:rsidP="009557F8">
            <w:pPr>
              <w:tabs>
                <w:tab w:val="clear" w:pos="1247"/>
                <w:tab w:val="clear" w:pos="1814"/>
                <w:tab w:val="clear" w:pos="2381"/>
                <w:tab w:val="clear" w:pos="2948"/>
                <w:tab w:val="clear" w:pos="3515"/>
              </w:tabs>
              <w:spacing w:before="40" w:after="40"/>
              <w:ind w:right="195"/>
              <w:jc w:val="right"/>
              <w:rPr>
                <w:b/>
                <w:color w:val="000000"/>
                <w:sz w:val="18"/>
              </w:rPr>
            </w:pPr>
            <w:r w:rsidRPr="00A7082A">
              <w:rPr>
                <w:b/>
                <w:color w:val="000000"/>
                <w:sz w:val="18"/>
              </w:rPr>
              <w:t> </w:t>
            </w:r>
          </w:p>
        </w:tc>
        <w:tc>
          <w:tcPr>
            <w:tcW w:w="1238" w:type="dxa"/>
            <w:tcBorders>
              <w:top w:val="single" w:sz="4" w:space="0" w:color="000000" w:themeColor="text1"/>
              <w:bottom w:val="single" w:sz="4" w:space="0" w:color="000000" w:themeColor="text1"/>
            </w:tcBorders>
            <w:shd w:val="clear" w:color="auto" w:fill="auto"/>
            <w:noWrap/>
            <w:hideMark/>
          </w:tcPr>
          <w:p w14:paraId="1F018B1F" w14:textId="0BAB41EF"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26</w:t>
            </w:r>
            <w:r w:rsidR="00F22360" w:rsidRPr="00A7082A">
              <w:rPr>
                <w:b/>
                <w:color w:val="000000"/>
                <w:sz w:val="18"/>
              </w:rPr>
              <w:t xml:space="preserve"> </w:t>
            </w:r>
            <w:r w:rsidRPr="00A7082A">
              <w:rPr>
                <w:b/>
                <w:color w:val="000000"/>
                <w:sz w:val="18"/>
              </w:rPr>
              <w:t xml:space="preserve">000 </w:t>
            </w:r>
          </w:p>
        </w:tc>
        <w:tc>
          <w:tcPr>
            <w:tcW w:w="1239" w:type="dxa"/>
            <w:tcBorders>
              <w:top w:val="single" w:sz="4" w:space="0" w:color="000000" w:themeColor="text1"/>
              <w:bottom w:val="single" w:sz="4" w:space="0" w:color="000000" w:themeColor="text1"/>
            </w:tcBorders>
            <w:shd w:val="clear" w:color="auto" w:fill="auto"/>
            <w:noWrap/>
            <w:hideMark/>
          </w:tcPr>
          <w:p w14:paraId="1942DAE3" w14:textId="77777777"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 </w:t>
            </w:r>
          </w:p>
        </w:tc>
      </w:tr>
      <w:tr w:rsidR="00DA659A" w:rsidRPr="00A7082A" w14:paraId="1A0E9DCD" w14:textId="77777777" w:rsidTr="002E728C">
        <w:trPr>
          <w:trHeight w:val="57"/>
          <w:jc w:val="right"/>
        </w:trPr>
        <w:tc>
          <w:tcPr>
            <w:tcW w:w="993" w:type="dxa"/>
            <w:tcBorders>
              <w:top w:val="single" w:sz="4" w:space="0" w:color="000000" w:themeColor="text1"/>
            </w:tcBorders>
            <w:shd w:val="clear" w:color="auto" w:fill="auto"/>
            <w:noWrap/>
            <w:hideMark/>
          </w:tcPr>
          <w:p w14:paraId="4326D8AD" w14:textId="77777777" w:rsidR="00DA659A" w:rsidRPr="00A7082A" w:rsidRDefault="00DA659A" w:rsidP="00963095">
            <w:pPr>
              <w:tabs>
                <w:tab w:val="clear" w:pos="1247"/>
                <w:tab w:val="clear" w:pos="1814"/>
                <w:tab w:val="clear" w:pos="2381"/>
                <w:tab w:val="clear" w:pos="2948"/>
                <w:tab w:val="clear" w:pos="3515"/>
              </w:tabs>
              <w:spacing w:before="40" w:after="40"/>
              <w:jc w:val="center"/>
              <w:rPr>
                <w:b/>
                <w:color w:val="000000"/>
                <w:sz w:val="18"/>
              </w:rPr>
            </w:pPr>
            <w:r w:rsidRPr="00A7082A">
              <w:rPr>
                <w:b/>
                <w:color w:val="000000"/>
                <w:sz w:val="18"/>
              </w:rPr>
              <w:t>3</w:t>
            </w:r>
          </w:p>
        </w:tc>
        <w:tc>
          <w:tcPr>
            <w:tcW w:w="3543" w:type="dxa"/>
            <w:tcBorders>
              <w:top w:val="single" w:sz="4" w:space="0" w:color="000000" w:themeColor="text1"/>
            </w:tcBorders>
            <w:shd w:val="clear" w:color="auto" w:fill="auto"/>
            <w:noWrap/>
            <w:hideMark/>
          </w:tcPr>
          <w:p w14:paraId="445342CF" w14:textId="754F92B8" w:rsidR="00DA659A" w:rsidRPr="00A7082A" w:rsidRDefault="00DA659A" w:rsidP="00963095">
            <w:pPr>
              <w:tabs>
                <w:tab w:val="clear" w:pos="1247"/>
                <w:tab w:val="clear" w:pos="1814"/>
                <w:tab w:val="clear" w:pos="2381"/>
                <w:tab w:val="clear" w:pos="2948"/>
                <w:tab w:val="clear" w:pos="3515"/>
              </w:tabs>
              <w:spacing w:before="40" w:after="40"/>
              <w:rPr>
                <w:b/>
                <w:color w:val="000000"/>
                <w:sz w:val="18"/>
              </w:rPr>
            </w:pPr>
            <w:r w:rsidRPr="00A7082A">
              <w:rPr>
                <w:b/>
                <w:color w:val="000000"/>
                <w:sz w:val="18"/>
              </w:rPr>
              <w:t xml:space="preserve">Implementation and </w:t>
            </w:r>
            <w:r w:rsidR="00660CBD" w:rsidRPr="00A7082A">
              <w:rPr>
                <w:b/>
                <w:color w:val="000000"/>
                <w:sz w:val="18"/>
              </w:rPr>
              <w:t>C</w:t>
            </w:r>
            <w:r w:rsidRPr="00A7082A">
              <w:rPr>
                <w:b/>
                <w:color w:val="000000"/>
                <w:sz w:val="18"/>
              </w:rPr>
              <w:t xml:space="preserve">ompliance </w:t>
            </w:r>
            <w:r w:rsidR="00660CBD" w:rsidRPr="00A7082A">
              <w:rPr>
                <w:b/>
                <w:color w:val="000000"/>
                <w:sz w:val="18"/>
              </w:rPr>
              <w:t>C</w:t>
            </w:r>
            <w:r w:rsidRPr="00A7082A">
              <w:rPr>
                <w:b/>
                <w:color w:val="000000"/>
                <w:sz w:val="18"/>
              </w:rPr>
              <w:t>ommittee</w:t>
            </w:r>
          </w:p>
        </w:tc>
        <w:tc>
          <w:tcPr>
            <w:tcW w:w="1238" w:type="dxa"/>
            <w:tcBorders>
              <w:top w:val="single" w:sz="4" w:space="0" w:color="000000" w:themeColor="text1"/>
            </w:tcBorders>
            <w:shd w:val="clear" w:color="auto" w:fill="auto"/>
            <w:noWrap/>
            <w:hideMark/>
          </w:tcPr>
          <w:p w14:paraId="4936D07F"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tcBorders>
              <w:top w:val="single" w:sz="4" w:space="0" w:color="000000" w:themeColor="text1"/>
            </w:tcBorders>
            <w:shd w:val="clear" w:color="auto" w:fill="auto"/>
            <w:noWrap/>
            <w:hideMark/>
          </w:tcPr>
          <w:p w14:paraId="56E9750C" w14:textId="77777777" w:rsidR="00DA659A" w:rsidRPr="00A7082A" w:rsidRDefault="00DA659A" w:rsidP="009557F8">
            <w:pPr>
              <w:tabs>
                <w:tab w:val="clear" w:pos="1247"/>
                <w:tab w:val="clear" w:pos="1814"/>
                <w:tab w:val="clear" w:pos="2381"/>
                <w:tab w:val="clear" w:pos="2948"/>
                <w:tab w:val="clear" w:pos="3515"/>
              </w:tabs>
              <w:spacing w:before="40" w:after="40"/>
              <w:ind w:right="195"/>
              <w:jc w:val="right"/>
              <w:rPr>
                <w:color w:val="000000"/>
                <w:sz w:val="18"/>
              </w:rPr>
            </w:pPr>
            <w:r w:rsidRPr="00A7082A">
              <w:rPr>
                <w:color w:val="000000"/>
                <w:sz w:val="18"/>
              </w:rPr>
              <w:t> </w:t>
            </w:r>
          </w:p>
        </w:tc>
        <w:tc>
          <w:tcPr>
            <w:tcW w:w="1238" w:type="dxa"/>
            <w:tcBorders>
              <w:top w:val="single" w:sz="4" w:space="0" w:color="000000" w:themeColor="text1"/>
            </w:tcBorders>
            <w:shd w:val="clear" w:color="auto" w:fill="auto"/>
            <w:noWrap/>
            <w:hideMark/>
          </w:tcPr>
          <w:p w14:paraId="553C3030"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tcBorders>
              <w:top w:val="single" w:sz="4" w:space="0" w:color="000000" w:themeColor="text1"/>
            </w:tcBorders>
            <w:shd w:val="clear" w:color="auto" w:fill="auto"/>
            <w:noWrap/>
            <w:hideMark/>
          </w:tcPr>
          <w:p w14:paraId="011191AF"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r>
      <w:tr w:rsidR="00DA659A" w:rsidRPr="00A7082A" w14:paraId="1E248D58" w14:textId="77777777" w:rsidTr="002E728C">
        <w:trPr>
          <w:trHeight w:val="57"/>
          <w:jc w:val="right"/>
        </w:trPr>
        <w:tc>
          <w:tcPr>
            <w:tcW w:w="993" w:type="dxa"/>
            <w:tcBorders>
              <w:bottom w:val="single" w:sz="4" w:space="0" w:color="000000" w:themeColor="text1"/>
            </w:tcBorders>
            <w:shd w:val="clear" w:color="auto" w:fill="auto"/>
            <w:noWrap/>
            <w:hideMark/>
          </w:tcPr>
          <w:p w14:paraId="3DC86FEE" w14:textId="77777777" w:rsidR="00DA659A" w:rsidRPr="00A7082A" w:rsidRDefault="00DA659A" w:rsidP="00963095">
            <w:pPr>
              <w:tabs>
                <w:tab w:val="clear" w:pos="1247"/>
                <w:tab w:val="clear" w:pos="1814"/>
                <w:tab w:val="clear" w:pos="2381"/>
                <w:tab w:val="clear" w:pos="2948"/>
                <w:tab w:val="clear" w:pos="3515"/>
              </w:tabs>
              <w:spacing w:before="40" w:after="40"/>
              <w:jc w:val="center"/>
              <w:rPr>
                <w:color w:val="000000"/>
                <w:sz w:val="18"/>
              </w:rPr>
            </w:pPr>
            <w:r w:rsidRPr="00A7082A">
              <w:rPr>
                <w:color w:val="000000"/>
                <w:sz w:val="18"/>
              </w:rPr>
              <w:t> </w:t>
            </w:r>
          </w:p>
        </w:tc>
        <w:tc>
          <w:tcPr>
            <w:tcW w:w="3543" w:type="dxa"/>
            <w:tcBorders>
              <w:bottom w:val="single" w:sz="4" w:space="0" w:color="000000" w:themeColor="text1"/>
            </w:tcBorders>
            <w:shd w:val="clear" w:color="auto" w:fill="auto"/>
            <w:noWrap/>
            <w:hideMark/>
          </w:tcPr>
          <w:p w14:paraId="4D7AD41D" w14:textId="77777777" w:rsidR="00DA659A" w:rsidRPr="00A7082A" w:rsidRDefault="00DA659A" w:rsidP="0045134A">
            <w:pPr>
              <w:pStyle w:val="Normal-pool"/>
              <w:tabs>
                <w:tab w:val="clear" w:pos="1247"/>
                <w:tab w:val="clear" w:pos="1814"/>
                <w:tab w:val="clear" w:pos="2381"/>
                <w:tab w:val="clear" w:pos="2948"/>
                <w:tab w:val="clear" w:pos="3515"/>
                <w:tab w:val="clear" w:pos="4082"/>
              </w:tabs>
              <w:spacing w:before="40" w:after="40"/>
              <w:ind w:left="883" w:hanging="883"/>
              <w:rPr>
                <w:color w:val="000000"/>
                <w:sz w:val="18"/>
              </w:rPr>
            </w:pPr>
            <w:r w:rsidRPr="00A7082A">
              <w:rPr>
                <w:color w:val="000000"/>
                <w:sz w:val="18"/>
              </w:rPr>
              <w:t>3.1 Meeting of the Committee</w:t>
            </w:r>
          </w:p>
        </w:tc>
        <w:tc>
          <w:tcPr>
            <w:tcW w:w="1238" w:type="dxa"/>
            <w:tcBorders>
              <w:bottom w:val="single" w:sz="4" w:space="0" w:color="000000" w:themeColor="text1"/>
            </w:tcBorders>
            <w:shd w:val="clear" w:color="auto" w:fill="auto"/>
            <w:noWrap/>
            <w:hideMark/>
          </w:tcPr>
          <w:p w14:paraId="7C284C2D"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tcBorders>
              <w:bottom w:val="single" w:sz="4" w:space="0" w:color="000000" w:themeColor="text1"/>
            </w:tcBorders>
            <w:shd w:val="clear" w:color="auto" w:fill="auto"/>
            <w:noWrap/>
            <w:hideMark/>
          </w:tcPr>
          <w:p w14:paraId="30FF4CEA" w14:textId="77777777" w:rsidR="00DA659A" w:rsidRPr="00A7082A" w:rsidRDefault="00DA659A" w:rsidP="009557F8">
            <w:pPr>
              <w:tabs>
                <w:tab w:val="clear" w:pos="1247"/>
                <w:tab w:val="clear" w:pos="1814"/>
                <w:tab w:val="clear" w:pos="2381"/>
                <w:tab w:val="clear" w:pos="2948"/>
                <w:tab w:val="clear" w:pos="3515"/>
              </w:tabs>
              <w:spacing w:before="40" w:after="40"/>
              <w:ind w:right="195"/>
              <w:jc w:val="right"/>
              <w:rPr>
                <w:color w:val="000000"/>
                <w:sz w:val="18"/>
              </w:rPr>
            </w:pPr>
            <w:r w:rsidRPr="00A7082A">
              <w:rPr>
                <w:color w:val="000000"/>
                <w:sz w:val="18"/>
              </w:rPr>
              <w:t> </w:t>
            </w:r>
          </w:p>
        </w:tc>
        <w:tc>
          <w:tcPr>
            <w:tcW w:w="1238" w:type="dxa"/>
            <w:tcBorders>
              <w:bottom w:val="single" w:sz="4" w:space="0" w:color="000000" w:themeColor="text1"/>
            </w:tcBorders>
            <w:shd w:val="clear" w:color="auto" w:fill="auto"/>
            <w:noWrap/>
            <w:hideMark/>
          </w:tcPr>
          <w:p w14:paraId="4D367C82" w14:textId="68ED3752"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53</w:t>
            </w:r>
            <w:r w:rsidR="00F22360" w:rsidRPr="00A7082A">
              <w:rPr>
                <w:color w:val="000000"/>
                <w:sz w:val="18"/>
              </w:rPr>
              <w:t xml:space="preserve"> </w:t>
            </w:r>
            <w:r w:rsidRPr="00A7082A">
              <w:rPr>
                <w:color w:val="000000"/>
                <w:sz w:val="18"/>
              </w:rPr>
              <w:t xml:space="preserve">000 </w:t>
            </w:r>
          </w:p>
        </w:tc>
        <w:tc>
          <w:tcPr>
            <w:tcW w:w="1239" w:type="dxa"/>
            <w:tcBorders>
              <w:bottom w:val="single" w:sz="4" w:space="0" w:color="000000" w:themeColor="text1"/>
            </w:tcBorders>
            <w:shd w:val="clear" w:color="auto" w:fill="auto"/>
            <w:noWrap/>
            <w:hideMark/>
          </w:tcPr>
          <w:p w14:paraId="3E53565A"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r>
      <w:tr w:rsidR="00DA659A" w:rsidRPr="00A7082A" w14:paraId="3306A265" w14:textId="77777777" w:rsidTr="002E728C">
        <w:trPr>
          <w:trHeight w:val="57"/>
          <w:jc w:val="right"/>
        </w:trPr>
        <w:tc>
          <w:tcPr>
            <w:tcW w:w="993" w:type="dxa"/>
            <w:tcBorders>
              <w:top w:val="single" w:sz="4" w:space="0" w:color="000000" w:themeColor="text1"/>
              <w:bottom w:val="single" w:sz="4" w:space="0" w:color="000000" w:themeColor="text1"/>
            </w:tcBorders>
            <w:shd w:val="clear" w:color="auto" w:fill="auto"/>
            <w:noWrap/>
            <w:hideMark/>
          </w:tcPr>
          <w:p w14:paraId="7B4F29DA" w14:textId="77777777" w:rsidR="00DA659A" w:rsidRPr="00A7082A" w:rsidRDefault="00DA659A" w:rsidP="00963095">
            <w:pPr>
              <w:tabs>
                <w:tab w:val="clear" w:pos="1247"/>
                <w:tab w:val="clear" w:pos="1814"/>
                <w:tab w:val="clear" w:pos="2381"/>
                <w:tab w:val="clear" w:pos="2948"/>
                <w:tab w:val="clear" w:pos="3515"/>
              </w:tabs>
              <w:spacing w:before="40" w:after="40"/>
              <w:jc w:val="center"/>
              <w:rPr>
                <w:color w:val="000000"/>
                <w:sz w:val="18"/>
              </w:rPr>
            </w:pPr>
            <w:r w:rsidRPr="00A7082A">
              <w:rPr>
                <w:color w:val="000000"/>
                <w:sz w:val="18"/>
              </w:rPr>
              <w:t> </w:t>
            </w:r>
          </w:p>
        </w:tc>
        <w:tc>
          <w:tcPr>
            <w:tcW w:w="3543" w:type="dxa"/>
            <w:tcBorders>
              <w:top w:val="single" w:sz="4" w:space="0" w:color="000000" w:themeColor="text1"/>
              <w:bottom w:val="single" w:sz="4" w:space="0" w:color="000000" w:themeColor="text1"/>
            </w:tcBorders>
            <w:shd w:val="clear" w:color="auto" w:fill="auto"/>
            <w:noWrap/>
            <w:hideMark/>
          </w:tcPr>
          <w:p w14:paraId="27059BF0" w14:textId="08BC872C" w:rsidR="00DA659A" w:rsidRPr="00A7082A" w:rsidRDefault="00DA659A" w:rsidP="00963095">
            <w:pPr>
              <w:tabs>
                <w:tab w:val="clear" w:pos="1247"/>
                <w:tab w:val="clear" w:pos="1814"/>
                <w:tab w:val="clear" w:pos="2381"/>
                <w:tab w:val="clear" w:pos="2948"/>
                <w:tab w:val="clear" w:pos="3515"/>
              </w:tabs>
              <w:spacing w:before="40" w:after="40"/>
              <w:rPr>
                <w:b/>
                <w:color w:val="000000"/>
                <w:sz w:val="18"/>
              </w:rPr>
            </w:pPr>
            <w:r w:rsidRPr="00A7082A">
              <w:rPr>
                <w:b/>
                <w:color w:val="000000"/>
                <w:sz w:val="18"/>
              </w:rPr>
              <w:t xml:space="preserve">Component </w:t>
            </w:r>
            <w:r w:rsidR="00660CBD" w:rsidRPr="00A7082A">
              <w:rPr>
                <w:b/>
                <w:color w:val="000000"/>
                <w:sz w:val="18"/>
              </w:rPr>
              <w:t>t</w:t>
            </w:r>
            <w:r w:rsidRPr="00A7082A">
              <w:rPr>
                <w:b/>
                <w:color w:val="000000"/>
                <w:sz w:val="18"/>
              </w:rPr>
              <w:t>otal</w:t>
            </w:r>
          </w:p>
        </w:tc>
        <w:tc>
          <w:tcPr>
            <w:tcW w:w="1238" w:type="dxa"/>
            <w:tcBorders>
              <w:top w:val="single" w:sz="4" w:space="0" w:color="000000" w:themeColor="text1"/>
              <w:bottom w:val="single" w:sz="4" w:space="0" w:color="000000" w:themeColor="text1"/>
            </w:tcBorders>
            <w:shd w:val="clear" w:color="auto" w:fill="auto"/>
            <w:noWrap/>
            <w:hideMark/>
          </w:tcPr>
          <w:p w14:paraId="1D3C16E3" w14:textId="77777777"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 </w:t>
            </w:r>
          </w:p>
        </w:tc>
        <w:tc>
          <w:tcPr>
            <w:tcW w:w="1239" w:type="dxa"/>
            <w:tcBorders>
              <w:top w:val="single" w:sz="4" w:space="0" w:color="000000" w:themeColor="text1"/>
              <w:bottom w:val="single" w:sz="4" w:space="0" w:color="000000" w:themeColor="text1"/>
            </w:tcBorders>
            <w:shd w:val="clear" w:color="auto" w:fill="auto"/>
            <w:noWrap/>
            <w:hideMark/>
          </w:tcPr>
          <w:p w14:paraId="2546CDFF" w14:textId="77777777" w:rsidR="00DA659A" w:rsidRPr="00A7082A" w:rsidRDefault="00DA659A" w:rsidP="009557F8">
            <w:pPr>
              <w:tabs>
                <w:tab w:val="clear" w:pos="1247"/>
                <w:tab w:val="clear" w:pos="1814"/>
                <w:tab w:val="clear" w:pos="2381"/>
                <w:tab w:val="clear" w:pos="2948"/>
                <w:tab w:val="clear" w:pos="3515"/>
              </w:tabs>
              <w:spacing w:before="40" w:after="40"/>
              <w:ind w:right="195"/>
              <w:jc w:val="right"/>
              <w:rPr>
                <w:b/>
                <w:color w:val="000000"/>
                <w:sz w:val="18"/>
              </w:rPr>
            </w:pPr>
            <w:r w:rsidRPr="00A7082A">
              <w:rPr>
                <w:b/>
                <w:color w:val="000000"/>
                <w:sz w:val="18"/>
              </w:rPr>
              <w:t> </w:t>
            </w:r>
          </w:p>
        </w:tc>
        <w:tc>
          <w:tcPr>
            <w:tcW w:w="1238" w:type="dxa"/>
            <w:tcBorders>
              <w:top w:val="single" w:sz="4" w:space="0" w:color="000000" w:themeColor="text1"/>
              <w:bottom w:val="single" w:sz="4" w:space="0" w:color="000000" w:themeColor="text1"/>
            </w:tcBorders>
            <w:shd w:val="clear" w:color="auto" w:fill="auto"/>
            <w:noWrap/>
            <w:hideMark/>
          </w:tcPr>
          <w:p w14:paraId="285966B6" w14:textId="69A6D692"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53</w:t>
            </w:r>
            <w:r w:rsidR="00F22360" w:rsidRPr="00A7082A">
              <w:rPr>
                <w:b/>
                <w:color w:val="000000"/>
                <w:sz w:val="18"/>
              </w:rPr>
              <w:t xml:space="preserve"> </w:t>
            </w:r>
            <w:r w:rsidRPr="00A7082A">
              <w:rPr>
                <w:b/>
                <w:color w:val="000000"/>
                <w:sz w:val="18"/>
              </w:rPr>
              <w:t xml:space="preserve">000 </w:t>
            </w:r>
          </w:p>
        </w:tc>
        <w:tc>
          <w:tcPr>
            <w:tcW w:w="1239" w:type="dxa"/>
            <w:tcBorders>
              <w:top w:val="single" w:sz="4" w:space="0" w:color="000000" w:themeColor="text1"/>
              <w:bottom w:val="single" w:sz="4" w:space="0" w:color="000000" w:themeColor="text1"/>
            </w:tcBorders>
            <w:shd w:val="clear" w:color="auto" w:fill="auto"/>
            <w:noWrap/>
            <w:hideMark/>
          </w:tcPr>
          <w:p w14:paraId="08C61B01" w14:textId="77777777"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 </w:t>
            </w:r>
          </w:p>
        </w:tc>
      </w:tr>
      <w:tr w:rsidR="00DA659A" w:rsidRPr="00A7082A" w14:paraId="4170A8CE" w14:textId="77777777" w:rsidTr="002E728C">
        <w:trPr>
          <w:trHeight w:val="57"/>
          <w:jc w:val="right"/>
        </w:trPr>
        <w:tc>
          <w:tcPr>
            <w:tcW w:w="993" w:type="dxa"/>
            <w:tcBorders>
              <w:top w:val="single" w:sz="4" w:space="0" w:color="000000" w:themeColor="text1"/>
              <w:bottom w:val="single" w:sz="4" w:space="0" w:color="000000" w:themeColor="text1"/>
            </w:tcBorders>
            <w:shd w:val="clear" w:color="auto" w:fill="auto"/>
            <w:noWrap/>
            <w:hideMark/>
          </w:tcPr>
          <w:p w14:paraId="2090DCE7" w14:textId="77777777" w:rsidR="00DA659A" w:rsidRPr="00A7082A" w:rsidRDefault="00DA659A" w:rsidP="00963095">
            <w:pPr>
              <w:tabs>
                <w:tab w:val="clear" w:pos="1247"/>
                <w:tab w:val="clear" w:pos="1814"/>
                <w:tab w:val="clear" w:pos="2381"/>
                <w:tab w:val="clear" w:pos="2948"/>
                <w:tab w:val="clear" w:pos="3515"/>
              </w:tabs>
              <w:spacing w:before="40" w:after="40"/>
              <w:jc w:val="center"/>
              <w:rPr>
                <w:color w:val="000000"/>
                <w:sz w:val="18"/>
              </w:rPr>
            </w:pPr>
            <w:r w:rsidRPr="00A7082A">
              <w:rPr>
                <w:color w:val="000000"/>
                <w:sz w:val="18"/>
              </w:rPr>
              <w:lastRenderedPageBreak/>
              <w:t> </w:t>
            </w:r>
          </w:p>
        </w:tc>
        <w:tc>
          <w:tcPr>
            <w:tcW w:w="3543" w:type="dxa"/>
            <w:tcBorders>
              <w:top w:val="single" w:sz="4" w:space="0" w:color="000000" w:themeColor="text1"/>
              <w:bottom w:val="single" w:sz="4" w:space="0" w:color="000000" w:themeColor="text1"/>
            </w:tcBorders>
            <w:shd w:val="clear" w:color="auto" w:fill="auto"/>
            <w:noWrap/>
            <w:hideMark/>
          </w:tcPr>
          <w:p w14:paraId="70774615" w14:textId="77777777" w:rsidR="00DA659A" w:rsidRPr="00A7082A" w:rsidRDefault="00DA659A" w:rsidP="00963095">
            <w:pPr>
              <w:tabs>
                <w:tab w:val="clear" w:pos="1247"/>
                <w:tab w:val="clear" w:pos="1814"/>
                <w:tab w:val="clear" w:pos="2381"/>
                <w:tab w:val="clear" w:pos="2948"/>
                <w:tab w:val="clear" w:pos="3515"/>
              </w:tabs>
              <w:spacing w:before="40" w:after="40"/>
              <w:rPr>
                <w:b/>
                <w:color w:val="000000"/>
                <w:sz w:val="18"/>
              </w:rPr>
            </w:pPr>
            <w:r w:rsidRPr="00A7082A">
              <w:rPr>
                <w:b/>
                <w:color w:val="000000"/>
                <w:sz w:val="18"/>
              </w:rPr>
              <w:t>Total (A)</w:t>
            </w:r>
          </w:p>
        </w:tc>
        <w:tc>
          <w:tcPr>
            <w:tcW w:w="1238" w:type="dxa"/>
            <w:tcBorders>
              <w:top w:val="single" w:sz="4" w:space="0" w:color="000000" w:themeColor="text1"/>
              <w:bottom w:val="single" w:sz="4" w:space="0" w:color="000000" w:themeColor="text1"/>
            </w:tcBorders>
            <w:shd w:val="clear" w:color="auto" w:fill="auto"/>
            <w:noWrap/>
            <w:hideMark/>
          </w:tcPr>
          <w:p w14:paraId="2AC88E5D" w14:textId="3D1F9A53"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100</w:t>
            </w:r>
            <w:r w:rsidR="00F22360" w:rsidRPr="00A7082A">
              <w:rPr>
                <w:b/>
                <w:color w:val="000000"/>
                <w:sz w:val="18"/>
              </w:rPr>
              <w:t xml:space="preserve"> </w:t>
            </w:r>
            <w:r w:rsidRPr="00A7082A">
              <w:rPr>
                <w:b/>
                <w:color w:val="000000"/>
                <w:sz w:val="18"/>
              </w:rPr>
              <w:t xml:space="preserve">000 </w:t>
            </w:r>
          </w:p>
        </w:tc>
        <w:tc>
          <w:tcPr>
            <w:tcW w:w="1239" w:type="dxa"/>
            <w:tcBorders>
              <w:top w:val="single" w:sz="4" w:space="0" w:color="000000" w:themeColor="text1"/>
              <w:bottom w:val="single" w:sz="4" w:space="0" w:color="000000" w:themeColor="text1"/>
            </w:tcBorders>
            <w:shd w:val="clear" w:color="auto" w:fill="auto"/>
            <w:noWrap/>
            <w:hideMark/>
          </w:tcPr>
          <w:p w14:paraId="6B0A4DA4" w14:textId="28BEEED8" w:rsidR="00DA659A" w:rsidRPr="00A7082A" w:rsidRDefault="00DA659A" w:rsidP="009557F8">
            <w:pPr>
              <w:tabs>
                <w:tab w:val="clear" w:pos="1247"/>
                <w:tab w:val="clear" w:pos="1814"/>
                <w:tab w:val="clear" w:pos="2381"/>
                <w:tab w:val="clear" w:pos="2948"/>
                <w:tab w:val="clear" w:pos="3515"/>
              </w:tabs>
              <w:spacing w:before="40" w:after="40"/>
              <w:ind w:right="195"/>
              <w:jc w:val="right"/>
              <w:rPr>
                <w:b/>
                <w:color w:val="000000"/>
                <w:sz w:val="18"/>
              </w:rPr>
            </w:pPr>
            <w:r w:rsidRPr="00A7082A">
              <w:rPr>
                <w:b/>
                <w:color w:val="000000"/>
                <w:sz w:val="18"/>
              </w:rPr>
              <w:t>85</w:t>
            </w:r>
            <w:r w:rsidR="00F22360" w:rsidRPr="00A7082A">
              <w:rPr>
                <w:b/>
                <w:color w:val="000000"/>
                <w:sz w:val="18"/>
              </w:rPr>
              <w:t xml:space="preserve"> </w:t>
            </w:r>
            <w:r w:rsidRPr="00A7082A">
              <w:rPr>
                <w:b/>
                <w:color w:val="000000"/>
                <w:sz w:val="18"/>
              </w:rPr>
              <w:t xml:space="preserve">000 </w:t>
            </w:r>
          </w:p>
        </w:tc>
        <w:tc>
          <w:tcPr>
            <w:tcW w:w="1238" w:type="dxa"/>
            <w:tcBorders>
              <w:top w:val="single" w:sz="4" w:space="0" w:color="000000" w:themeColor="text1"/>
              <w:bottom w:val="single" w:sz="4" w:space="0" w:color="000000" w:themeColor="text1"/>
            </w:tcBorders>
            <w:shd w:val="clear" w:color="auto" w:fill="auto"/>
            <w:noWrap/>
            <w:hideMark/>
          </w:tcPr>
          <w:p w14:paraId="05516DD7" w14:textId="6C72A83D"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1</w:t>
            </w:r>
            <w:r w:rsidR="00F22360" w:rsidRPr="00A7082A">
              <w:rPr>
                <w:b/>
                <w:color w:val="000000"/>
                <w:sz w:val="18"/>
              </w:rPr>
              <w:t xml:space="preserve"> </w:t>
            </w:r>
            <w:r w:rsidRPr="00A7082A">
              <w:rPr>
                <w:b/>
                <w:color w:val="000000"/>
                <w:sz w:val="18"/>
              </w:rPr>
              <w:t>134</w:t>
            </w:r>
            <w:r w:rsidR="00F22360" w:rsidRPr="00A7082A">
              <w:rPr>
                <w:b/>
                <w:color w:val="000000"/>
                <w:sz w:val="18"/>
              </w:rPr>
              <w:t xml:space="preserve"> </w:t>
            </w:r>
            <w:r w:rsidRPr="00A7082A">
              <w:rPr>
                <w:b/>
                <w:color w:val="000000"/>
                <w:sz w:val="18"/>
              </w:rPr>
              <w:t xml:space="preserve">000 </w:t>
            </w:r>
          </w:p>
        </w:tc>
        <w:tc>
          <w:tcPr>
            <w:tcW w:w="1239" w:type="dxa"/>
            <w:tcBorders>
              <w:top w:val="single" w:sz="4" w:space="0" w:color="000000" w:themeColor="text1"/>
              <w:bottom w:val="single" w:sz="4" w:space="0" w:color="000000" w:themeColor="text1"/>
            </w:tcBorders>
            <w:shd w:val="clear" w:color="auto" w:fill="auto"/>
            <w:noWrap/>
            <w:hideMark/>
          </w:tcPr>
          <w:p w14:paraId="1FEF7BE4" w14:textId="4B8AF544"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945</w:t>
            </w:r>
            <w:r w:rsidR="00F22360" w:rsidRPr="00A7082A">
              <w:rPr>
                <w:b/>
                <w:color w:val="000000"/>
                <w:sz w:val="18"/>
              </w:rPr>
              <w:t xml:space="preserve"> </w:t>
            </w:r>
            <w:r w:rsidRPr="00A7082A">
              <w:rPr>
                <w:b/>
                <w:color w:val="000000"/>
                <w:sz w:val="18"/>
              </w:rPr>
              <w:t xml:space="preserve">000 </w:t>
            </w:r>
          </w:p>
        </w:tc>
      </w:tr>
      <w:tr w:rsidR="00DA659A" w:rsidRPr="00A7082A" w14:paraId="34429D74" w14:textId="77777777" w:rsidTr="002E728C">
        <w:trPr>
          <w:trHeight w:val="57"/>
          <w:jc w:val="right"/>
        </w:trPr>
        <w:tc>
          <w:tcPr>
            <w:tcW w:w="993" w:type="dxa"/>
            <w:tcBorders>
              <w:top w:val="single" w:sz="4" w:space="0" w:color="000000" w:themeColor="text1"/>
            </w:tcBorders>
            <w:shd w:val="clear" w:color="auto" w:fill="auto"/>
            <w:noWrap/>
            <w:hideMark/>
          </w:tcPr>
          <w:p w14:paraId="1A08AB8C" w14:textId="77777777" w:rsidR="00DA659A" w:rsidRPr="00A7082A" w:rsidRDefault="00DA659A" w:rsidP="00963095">
            <w:pPr>
              <w:tabs>
                <w:tab w:val="clear" w:pos="1247"/>
                <w:tab w:val="clear" w:pos="1814"/>
                <w:tab w:val="clear" w:pos="2381"/>
                <w:tab w:val="clear" w:pos="2948"/>
                <w:tab w:val="clear" w:pos="3515"/>
              </w:tabs>
              <w:spacing w:before="40" w:after="40"/>
              <w:jc w:val="center"/>
              <w:rPr>
                <w:b/>
                <w:color w:val="000000"/>
                <w:sz w:val="18"/>
              </w:rPr>
            </w:pPr>
            <w:r w:rsidRPr="00A7082A">
              <w:rPr>
                <w:b/>
                <w:color w:val="000000"/>
                <w:sz w:val="18"/>
              </w:rPr>
              <w:t>B.</w:t>
            </w:r>
          </w:p>
        </w:tc>
        <w:tc>
          <w:tcPr>
            <w:tcW w:w="3543" w:type="dxa"/>
            <w:tcBorders>
              <w:top w:val="single" w:sz="4" w:space="0" w:color="000000" w:themeColor="text1"/>
            </w:tcBorders>
            <w:shd w:val="clear" w:color="auto" w:fill="auto"/>
            <w:noWrap/>
            <w:hideMark/>
          </w:tcPr>
          <w:p w14:paraId="59A9E2FD" w14:textId="35688DAB" w:rsidR="00DA659A" w:rsidRPr="00A7082A" w:rsidRDefault="00F22310" w:rsidP="00963095">
            <w:pPr>
              <w:tabs>
                <w:tab w:val="clear" w:pos="1247"/>
                <w:tab w:val="clear" w:pos="1814"/>
                <w:tab w:val="clear" w:pos="2381"/>
                <w:tab w:val="clear" w:pos="2948"/>
                <w:tab w:val="clear" w:pos="3515"/>
              </w:tabs>
              <w:spacing w:before="40" w:after="40"/>
              <w:rPr>
                <w:b/>
                <w:color w:val="000000"/>
                <w:sz w:val="18"/>
              </w:rPr>
            </w:pPr>
            <w:r w:rsidRPr="00A7082A">
              <w:rPr>
                <w:b/>
                <w:color w:val="000000"/>
                <w:sz w:val="18"/>
              </w:rPr>
              <w:t>Capacity</w:t>
            </w:r>
            <w:r w:rsidRPr="00A7082A">
              <w:rPr>
                <w:b/>
                <w:color w:val="000000"/>
                <w:sz w:val="18"/>
              </w:rPr>
              <w:noBreakHyphen/>
              <w:t>building</w:t>
            </w:r>
            <w:r w:rsidR="00DA659A" w:rsidRPr="00A7082A">
              <w:rPr>
                <w:b/>
                <w:color w:val="000000"/>
                <w:sz w:val="18"/>
              </w:rPr>
              <w:t xml:space="preserve"> and technical assistance</w:t>
            </w:r>
          </w:p>
        </w:tc>
        <w:tc>
          <w:tcPr>
            <w:tcW w:w="1238" w:type="dxa"/>
            <w:tcBorders>
              <w:top w:val="single" w:sz="4" w:space="0" w:color="000000" w:themeColor="text1"/>
            </w:tcBorders>
            <w:shd w:val="clear" w:color="auto" w:fill="auto"/>
            <w:noWrap/>
            <w:hideMark/>
          </w:tcPr>
          <w:p w14:paraId="6575E889"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tcBorders>
              <w:top w:val="single" w:sz="4" w:space="0" w:color="000000" w:themeColor="text1"/>
            </w:tcBorders>
            <w:shd w:val="clear" w:color="auto" w:fill="auto"/>
            <w:noWrap/>
            <w:hideMark/>
          </w:tcPr>
          <w:p w14:paraId="7766CDCC" w14:textId="77777777" w:rsidR="00DA659A" w:rsidRPr="00A7082A" w:rsidRDefault="00DA659A" w:rsidP="009557F8">
            <w:pPr>
              <w:tabs>
                <w:tab w:val="clear" w:pos="1247"/>
                <w:tab w:val="clear" w:pos="1814"/>
                <w:tab w:val="clear" w:pos="2381"/>
                <w:tab w:val="clear" w:pos="2948"/>
                <w:tab w:val="clear" w:pos="3515"/>
              </w:tabs>
              <w:spacing w:before="40" w:after="40"/>
              <w:ind w:right="195"/>
              <w:jc w:val="right"/>
              <w:rPr>
                <w:color w:val="000000"/>
                <w:sz w:val="18"/>
              </w:rPr>
            </w:pPr>
            <w:r w:rsidRPr="00A7082A">
              <w:rPr>
                <w:color w:val="000000"/>
                <w:sz w:val="18"/>
              </w:rPr>
              <w:t> </w:t>
            </w:r>
          </w:p>
        </w:tc>
        <w:tc>
          <w:tcPr>
            <w:tcW w:w="1238" w:type="dxa"/>
            <w:tcBorders>
              <w:top w:val="single" w:sz="4" w:space="0" w:color="000000" w:themeColor="text1"/>
            </w:tcBorders>
            <w:shd w:val="clear" w:color="auto" w:fill="auto"/>
            <w:noWrap/>
            <w:hideMark/>
          </w:tcPr>
          <w:p w14:paraId="3DF1F8E1"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tcBorders>
              <w:top w:val="single" w:sz="4" w:space="0" w:color="000000" w:themeColor="text1"/>
            </w:tcBorders>
            <w:shd w:val="clear" w:color="auto" w:fill="auto"/>
            <w:noWrap/>
            <w:hideMark/>
          </w:tcPr>
          <w:p w14:paraId="06E5ADA1"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r>
      <w:tr w:rsidR="00DA659A" w:rsidRPr="00A7082A" w14:paraId="796A461A" w14:textId="77777777" w:rsidTr="002E728C">
        <w:trPr>
          <w:trHeight w:val="57"/>
          <w:jc w:val="right"/>
        </w:trPr>
        <w:tc>
          <w:tcPr>
            <w:tcW w:w="993" w:type="dxa"/>
            <w:shd w:val="clear" w:color="auto" w:fill="auto"/>
            <w:noWrap/>
            <w:hideMark/>
          </w:tcPr>
          <w:p w14:paraId="7A9F4C2B" w14:textId="77777777" w:rsidR="00DA659A" w:rsidRPr="00A7082A" w:rsidRDefault="00DA659A" w:rsidP="00963095">
            <w:pPr>
              <w:tabs>
                <w:tab w:val="clear" w:pos="1247"/>
                <w:tab w:val="clear" w:pos="1814"/>
                <w:tab w:val="clear" w:pos="2381"/>
                <w:tab w:val="clear" w:pos="2948"/>
                <w:tab w:val="clear" w:pos="3515"/>
              </w:tabs>
              <w:spacing w:before="40" w:after="40"/>
              <w:jc w:val="center"/>
              <w:rPr>
                <w:b/>
                <w:color w:val="000000"/>
                <w:sz w:val="18"/>
              </w:rPr>
            </w:pPr>
            <w:r w:rsidRPr="00A7082A">
              <w:rPr>
                <w:b/>
                <w:color w:val="000000"/>
                <w:sz w:val="18"/>
              </w:rPr>
              <w:t>4</w:t>
            </w:r>
          </w:p>
        </w:tc>
        <w:tc>
          <w:tcPr>
            <w:tcW w:w="3543" w:type="dxa"/>
            <w:shd w:val="clear" w:color="000000" w:fill="FFFFFF"/>
            <w:noWrap/>
            <w:hideMark/>
          </w:tcPr>
          <w:p w14:paraId="4C3A1671" w14:textId="7CE1C09C" w:rsidR="00DA659A" w:rsidRPr="00A7082A" w:rsidRDefault="00F22310" w:rsidP="00963095">
            <w:pPr>
              <w:tabs>
                <w:tab w:val="clear" w:pos="1247"/>
                <w:tab w:val="clear" w:pos="1814"/>
                <w:tab w:val="clear" w:pos="2381"/>
                <w:tab w:val="clear" w:pos="2948"/>
                <w:tab w:val="clear" w:pos="3515"/>
              </w:tabs>
              <w:spacing w:before="40" w:after="40"/>
              <w:rPr>
                <w:b/>
                <w:color w:val="000000"/>
                <w:sz w:val="18"/>
              </w:rPr>
            </w:pPr>
            <w:r w:rsidRPr="00A7082A">
              <w:rPr>
                <w:b/>
                <w:color w:val="000000"/>
                <w:sz w:val="18"/>
              </w:rPr>
              <w:t>Capacity</w:t>
            </w:r>
            <w:r w:rsidRPr="00A7082A">
              <w:rPr>
                <w:b/>
                <w:color w:val="000000"/>
                <w:sz w:val="18"/>
              </w:rPr>
              <w:noBreakHyphen/>
              <w:t>building</w:t>
            </w:r>
            <w:r w:rsidR="00DA659A" w:rsidRPr="00A7082A">
              <w:rPr>
                <w:b/>
                <w:color w:val="000000"/>
                <w:sz w:val="18"/>
              </w:rPr>
              <w:t xml:space="preserve"> and technical assistance programme of the Minamata Convention</w:t>
            </w:r>
          </w:p>
        </w:tc>
        <w:tc>
          <w:tcPr>
            <w:tcW w:w="1238" w:type="dxa"/>
            <w:shd w:val="clear" w:color="auto" w:fill="auto"/>
            <w:noWrap/>
            <w:hideMark/>
          </w:tcPr>
          <w:p w14:paraId="6B7BBA99"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shd w:val="clear" w:color="auto" w:fill="auto"/>
            <w:noWrap/>
            <w:hideMark/>
          </w:tcPr>
          <w:p w14:paraId="04B27FB7" w14:textId="77777777" w:rsidR="00DA659A" w:rsidRPr="00A7082A" w:rsidRDefault="00DA659A" w:rsidP="009557F8">
            <w:pPr>
              <w:tabs>
                <w:tab w:val="clear" w:pos="1247"/>
                <w:tab w:val="clear" w:pos="1814"/>
                <w:tab w:val="clear" w:pos="2381"/>
                <w:tab w:val="clear" w:pos="2948"/>
                <w:tab w:val="clear" w:pos="3515"/>
              </w:tabs>
              <w:spacing w:before="40" w:after="40"/>
              <w:ind w:right="195"/>
              <w:jc w:val="right"/>
              <w:rPr>
                <w:color w:val="000000"/>
                <w:sz w:val="18"/>
              </w:rPr>
            </w:pPr>
            <w:r w:rsidRPr="00A7082A">
              <w:rPr>
                <w:color w:val="000000"/>
                <w:sz w:val="18"/>
              </w:rPr>
              <w:t> </w:t>
            </w:r>
          </w:p>
        </w:tc>
        <w:tc>
          <w:tcPr>
            <w:tcW w:w="1238" w:type="dxa"/>
            <w:shd w:val="clear" w:color="auto" w:fill="auto"/>
            <w:noWrap/>
            <w:hideMark/>
          </w:tcPr>
          <w:p w14:paraId="4EDA33F8"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shd w:val="clear" w:color="auto" w:fill="auto"/>
            <w:noWrap/>
            <w:hideMark/>
          </w:tcPr>
          <w:p w14:paraId="24089C8B"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r>
      <w:tr w:rsidR="00DA659A" w:rsidRPr="00A7082A" w14:paraId="71EEE6CB" w14:textId="77777777" w:rsidTr="002E728C">
        <w:trPr>
          <w:trHeight w:val="57"/>
          <w:jc w:val="right"/>
        </w:trPr>
        <w:tc>
          <w:tcPr>
            <w:tcW w:w="993" w:type="dxa"/>
            <w:shd w:val="clear" w:color="auto" w:fill="auto"/>
            <w:noWrap/>
            <w:hideMark/>
          </w:tcPr>
          <w:p w14:paraId="7D1049D4" w14:textId="77777777" w:rsidR="00DA659A" w:rsidRPr="00A7082A" w:rsidRDefault="00DA659A" w:rsidP="00963095">
            <w:pPr>
              <w:tabs>
                <w:tab w:val="clear" w:pos="1247"/>
                <w:tab w:val="clear" w:pos="1814"/>
                <w:tab w:val="clear" w:pos="2381"/>
                <w:tab w:val="clear" w:pos="2948"/>
                <w:tab w:val="clear" w:pos="3515"/>
              </w:tabs>
              <w:spacing w:before="40" w:after="40"/>
              <w:jc w:val="center"/>
              <w:rPr>
                <w:color w:val="000000"/>
                <w:sz w:val="18"/>
              </w:rPr>
            </w:pPr>
            <w:r w:rsidRPr="00A7082A">
              <w:rPr>
                <w:color w:val="000000"/>
                <w:sz w:val="18"/>
              </w:rPr>
              <w:t> </w:t>
            </w:r>
          </w:p>
        </w:tc>
        <w:tc>
          <w:tcPr>
            <w:tcW w:w="3543" w:type="dxa"/>
            <w:shd w:val="clear" w:color="000000" w:fill="FFFFFF"/>
            <w:noWrap/>
            <w:hideMark/>
          </w:tcPr>
          <w:p w14:paraId="74ED49EA" w14:textId="77777777" w:rsidR="00DA659A" w:rsidRPr="00A7082A" w:rsidRDefault="00DA659A" w:rsidP="0045134A">
            <w:pPr>
              <w:pStyle w:val="Normal-pool"/>
              <w:tabs>
                <w:tab w:val="clear" w:pos="1247"/>
                <w:tab w:val="clear" w:pos="1814"/>
                <w:tab w:val="clear" w:pos="2381"/>
                <w:tab w:val="clear" w:pos="2948"/>
                <w:tab w:val="clear" w:pos="3515"/>
                <w:tab w:val="clear" w:pos="4082"/>
              </w:tabs>
              <w:spacing w:before="40" w:after="40"/>
              <w:ind w:left="883" w:hanging="883"/>
              <w:rPr>
                <w:color w:val="000000"/>
                <w:sz w:val="18"/>
              </w:rPr>
            </w:pPr>
            <w:r w:rsidRPr="00A7082A">
              <w:rPr>
                <w:color w:val="000000"/>
                <w:sz w:val="18"/>
              </w:rPr>
              <w:t>4.1 Tools and methodologies</w:t>
            </w:r>
          </w:p>
        </w:tc>
        <w:tc>
          <w:tcPr>
            <w:tcW w:w="1238" w:type="dxa"/>
            <w:shd w:val="clear" w:color="auto" w:fill="auto"/>
            <w:noWrap/>
            <w:hideMark/>
          </w:tcPr>
          <w:p w14:paraId="4E39989B"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shd w:val="clear" w:color="auto" w:fill="auto"/>
            <w:noWrap/>
            <w:hideMark/>
          </w:tcPr>
          <w:p w14:paraId="12A0633B" w14:textId="78EE79FF" w:rsidR="00DA659A" w:rsidRPr="00A7082A" w:rsidRDefault="00DA659A" w:rsidP="009557F8">
            <w:pPr>
              <w:tabs>
                <w:tab w:val="clear" w:pos="1247"/>
                <w:tab w:val="clear" w:pos="1814"/>
                <w:tab w:val="clear" w:pos="2381"/>
                <w:tab w:val="clear" w:pos="2948"/>
                <w:tab w:val="clear" w:pos="3515"/>
              </w:tabs>
              <w:spacing w:before="40" w:after="40"/>
              <w:ind w:right="195"/>
              <w:jc w:val="right"/>
              <w:rPr>
                <w:color w:val="000000"/>
                <w:sz w:val="18"/>
              </w:rPr>
            </w:pPr>
            <w:r w:rsidRPr="00A7082A">
              <w:rPr>
                <w:color w:val="000000"/>
                <w:sz w:val="18"/>
              </w:rPr>
              <w:t xml:space="preserve">40,000 </w:t>
            </w:r>
          </w:p>
        </w:tc>
        <w:tc>
          <w:tcPr>
            <w:tcW w:w="1238" w:type="dxa"/>
            <w:shd w:val="clear" w:color="auto" w:fill="auto"/>
            <w:noWrap/>
            <w:hideMark/>
          </w:tcPr>
          <w:p w14:paraId="2E0B77A5"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shd w:val="clear" w:color="auto" w:fill="auto"/>
            <w:noWrap/>
            <w:hideMark/>
          </w:tcPr>
          <w:p w14:paraId="08F9CB0A" w14:textId="56A4A56E"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60</w:t>
            </w:r>
            <w:r w:rsidR="00F22360" w:rsidRPr="00A7082A">
              <w:rPr>
                <w:color w:val="000000"/>
                <w:sz w:val="18"/>
              </w:rPr>
              <w:t xml:space="preserve"> </w:t>
            </w:r>
            <w:r w:rsidRPr="00A7082A">
              <w:rPr>
                <w:color w:val="000000"/>
                <w:sz w:val="18"/>
              </w:rPr>
              <w:t xml:space="preserve">000 </w:t>
            </w:r>
          </w:p>
        </w:tc>
      </w:tr>
      <w:tr w:rsidR="00DA659A" w:rsidRPr="00A7082A" w14:paraId="0208C898" w14:textId="77777777" w:rsidTr="002E728C">
        <w:trPr>
          <w:trHeight w:val="57"/>
          <w:jc w:val="right"/>
        </w:trPr>
        <w:tc>
          <w:tcPr>
            <w:tcW w:w="993" w:type="dxa"/>
            <w:shd w:val="clear" w:color="auto" w:fill="auto"/>
            <w:noWrap/>
            <w:hideMark/>
          </w:tcPr>
          <w:p w14:paraId="7518E15E" w14:textId="77777777" w:rsidR="00DA659A" w:rsidRPr="00A7082A" w:rsidRDefault="00DA659A" w:rsidP="00963095">
            <w:pPr>
              <w:tabs>
                <w:tab w:val="clear" w:pos="1247"/>
                <w:tab w:val="clear" w:pos="1814"/>
                <w:tab w:val="clear" w:pos="2381"/>
                <w:tab w:val="clear" w:pos="2948"/>
                <w:tab w:val="clear" w:pos="3515"/>
              </w:tabs>
              <w:spacing w:before="40" w:after="40"/>
              <w:jc w:val="center"/>
              <w:rPr>
                <w:color w:val="000000"/>
                <w:sz w:val="18"/>
              </w:rPr>
            </w:pPr>
            <w:r w:rsidRPr="00A7082A">
              <w:rPr>
                <w:color w:val="000000"/>
                <w:sz w:val="18"/>
              </w:rPr>
              <w:t> </w:t>
            </w:r>
          </w:p>
        </w:tc>
        <w:tc>
          <w:tcPr>
            <w:tcW w:w="3543" w:type="dxa"/>
            <w:shd w:val="clear" w:color="auto" w:fill="auto"/>
            <w:noWrap/>
            <w:hideMark/>
          </w:tcPr>
          <w:p w14:paraId="568ADB71" w14:textId="77777777" w:rsidR="00DA659A" w:rsidRPr="00A7082A" w:rsidRDefault="00DA659A" w:rsidP="0045134A">
            <w:pPr>
              <w:pStyle w:val="Normal-pool"/>
              <w:tabs>
                <w:tab w:val="clear" w:pos="1247"/>
                <w:tab w:val="clear" w:pos="1814"/>
                <w:tab w:val="clear" w:pos="2381"/>
                <w:tab w:val="clear" w:pos="2948"/>
                <w:tab w:val="clear" w:pos="3515"/>
                <w:tab w:val="clear" w:pos="4082"/>
              </w:tabs>
              <w:spacing w:before="40" w:after="40"/>
              <w:ind w:left="883" w:hanging="883"/>
              <w:rPr>
                <w:color w:val="000000"/>
                <w:sz w:val="18"/>
              </w:rPr>
            </w:pPr>
            <w:r w:rsidRPr="00A7082A">
              <w:rPr>
                <w:color w:val="000000"/>
                <w:sz w:val="18"/>
              </w:rPr>
              <w:t xml:space="preserve">4.2 Specific capacity development activities </w:t>
            </w:r>
          </w:p>
        </w:tc>
        <w:tc>
          <w:tcPr>
            <w:tcW w:w="1238" w:type="dxa"/>
            <w:shd w:val="clear" w:color="auto" w:fill="auto"/>
            <w:noWrap/>
            <w:hideMark/>
          </w:tcPr>
          <w:p w14:paraId="2811677A"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shd w:val="clear" w:color="auto" w:fill="auto"/>
            <w:noWrap/>
            <w:hideMark/>
          </w:tcPr>
          <w:p w14:paraId="3EBB7C9A" w14:textId="063E01AE" w:rsidR="00DA659A" w:rsidRPr="00A7082A" w:rsidRDefault="00DA659A" w:rsidP="009557F8">
            <w:pPr>
              <w:tabs>
                <w:tab w:val="clear" w:pos="1247"/>
                <w:tab w:val="clear" w:pos="1814"/>
                <w:tab w:val="clear" w:pos="2381"/>
                <w:tab w:val="clear" w:pos="2948"/>
                <w:tab w:val="clear" w:pos="3515"/>
              </w:tabs>
              <w:spacing w:before="40" w:after="40"/>
              <w:ind w:right="195"/>
              <w:jc w:val="right"/>
              <w:rPr>
                <w:color w:val="000000"/>
                <w:sz w:val="18"/>
              </w:rPr>
            </w:pPr>
            <w:r w:rsidRPr="00A7082A">
              <w:rPr>
                <w:color w:val="000000"/>
                <w:sz w:val="18"/>
              </w:rPr>
              <w:t>270</w:t>
            </w:r>
            <w:r w:rsidR="00F22360" w:rsidRPr="00A7082A">
              <w:rPr>
                <w:color w:val="000000"/>
                <w:sz w:val="18"/>
              </w:rPr>
              <w:t xml:space="preserve"> </w:t>
            </w:r>
            <w:r w:rsidRPr="00A7082A">
              <w:rPr>
                <w:color w:val="000000"/>
                <w:sz w:val="18"/>
              </w:rPr>
              <w:t xml:space="preserve">000 </w:t>
            </w:r>
          </w:p>
        </w:tc>
        <w:tc>
          <w:tcPr>
            <w:tcW w:w="1238" w:type="dxa"/>
            <w:shd w:val="clear" w:color="auto" w:fill="auto"/>
            <w:noWrap/>
            <w:hideMark/>
          </w:tcPr>
          <w:p w14:paraId="39A7EC26"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shd w:val="clear" w:color="auto" w:fill="auto"/>
            <w:noWrap/>
            <w:hideMark/>
          </w:tcPr>
          <w:p w14:paraId="7A1B3D3A" w14:textId="0FD1910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270</w:t>
            </w:r>
            <w:r w:rsidR="00F22360" w:rsidRPr="00A7082A">
              <w:rPr>
                <w:color w:val="000000"/>
                <w:sz w:val="18"/>
              </w:rPr>
              <w:t xml:space="preserve"> </w:t>
            </w:r>
            <w:r w:rsidRPr="00A7082A">
              <w:rPr>
                <w:color w:val="000000"/>
                <w:sz w:val="18"/>
              </w:rPr>
              <w:t xml:space="preserve">000 </w:t>
            </w:r>
          </w:p>
        </w:tc>
      </w:tr>
      <w:tr w:rsidR="00DA659A" w:rsidRPr="00A7082A" w14:paraId="54894BBB" w14:textId="77777777" w:rsidTr="002E728C">
        <w:trPr>
          <w:trHeight w:val="57"/>
          <w:jc w:val="right"/>
        </w:trPr>
        <w:tc>
          <w:tcPr>
            <w:tcW w:w="993" w:type="dxa"/>
            <w:shd w:val="clear" w:color="auto" w:fill="auto"/>
            <w:noWrap/>
            <w:hideMark/>
          </w:tcPr>
          <w:p w14:paraId="26041FB3" w14:textId="77777777" w:rsidR="00DA659A" w:rsidRPr="00A7082A" w:rsidRDefault="00DA659A" w:rsidP="00963095">
            <w:pPr>
              <w:tabs>
                <w:tab w:val="clear" w:pos="1247"/>
                <w:tab w:val="clear" w:pos="1814"/>
                <w:tab w:val="clear" w:pos="2381"/>
                <w:tab w:val="clear" w:pos="2948"/>
                <w:tab w:val="clear" w:pos="3515"/>
              </w:tabs>
              <w:spacing w:before="40" w:after="40"/>
              <w:jc w:val="center"/>
              <w:rPr>
                <w:color w:val="000000"/>
                <w:sz w:val="18"/>
              </w:rPr>
            </w:pPr>
            <w:r w:rsidRPr="00A7082A">
              <w:rPr>
                <w:color w:val="000000"/>
                <w:sz w:val="18"/>
              </w:rPr>
              <w:t> </w:t>
            </w:r>
          </w:p>
        </w:tc>
        <w:tc>
          <w:tcPr>
            <w:tcW w:w="3543" w:type="dxa"/>
            <w:shd w:val="clear" w:color="auto" w:fill="auto"/>
            <w:noWrap/>
            <w:hideMark/>
          </w:tcPr>
          <w:p w14:paraId="0740DD84" w14:textId="54D60C6F" w:rsidR="00DA659A" w:rsidRPr="00A7082A" w:rsidRDefault="00DA659A" w:rsidP="0045134A">
            <w:pPr>
              <w:pStyle w:val="Normal-pool"/>
              <w:tabs>
                <w:tab w:val="clear" w:pos="1247"/>
                <w:tab w:val="clear" w:pos="1814"/>
                <w:tab w:val="clear" w:pos="2381"/>
                <w:tab w:val="clear" w:pos="2948"/>
                <w:tab w:val="clear" w:pos="3515"/>
                <w:tab w:val="clear" w:pos="4082"/>
              </w:tabs>
              <w:spacing w:before="40" w:after="40"/>
              <w:ind w:left="883" w:hanging="883"/>
              <w:rPr>
                <w:color w:val="000000"/>
                <w:sz w:val="18"/>
              </w:rPr>
            </w:pPr>
            <w:r w:rsidRPr="00A7082A">
              <w:rPr>
                <w:color w:val="000000"/>
                <w:sz w:val="18"/>
              </w:rPr>
              <w:t xml:space="preserve">4.3 </w:t>
            </w:r>
            <w:r w:rsidR="00F22310" w:rsidRPr="00A7082A">
              <w:rPr>
                <w:color w:val="000000"/>
                <w:sz w:val="18"/>
              </w:rPr>
              <w:t>Capacity</w:t>
            </w:r>
            <w:r w:rsidR="00F22310" w:rsidRPr="00A7082A">
              <w:rPr>
                <w:color w:val="000000"/>
                <w:sz w:val="18"/>
              </w:rPr>
              <w:noBreakHyphen/>
              <w:t>building</w:t>
            </w:r>
            <w:r w:rsidRPr="00A7082A">
              <w:rPr>
                <w:color w:val="000000"/>
                <w:sz w:val="18"/>
              </w:rPr>
              <w:t xml:space="preserve"> activities on request</w:t>
            </w:r>
          </w:p>
        </w:tc>
        <w:tc>
          <w:tcPr>
            <w:tcW w:w="1238" w:type="dxa"/>
            <w:shd w:val="clear" w:color="auto" w:fill="auto"/>
            <w:noWrap/>
            <w:hideMark/>
          </w:tcPr>
          <w:p w14:paraId="5E7EC002"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shd w:val="clear" w:color="auto" w:fill="auto"/>
            <w:noWrap/>
            <w:hideMark/>
          </w:tcPr>
          <w:p w14:paraId="3F98E943" w14:textId="56AA5920" w:rsidR="00DA659A" w:rsidRPr="00A7082A" w:rsidRDefault="00DA659A" w:rsidP="009557F8">
            <w:pPr>
              <w:tabs>
                <w:tab w:val="clear" w:pos="1247"/>
                <w:tab w:val="clear" w:pos="1814"/>
                <w:tab w:val="clear" w:pos="2381"/>
                <w:tab w:val="clear" w:pos="2948"/>
                <w:tab w:val="clear" w:pos="3515"/>
              </w:tabs>
              <w:spacing w:before="40" w:after="40"/>
              <w:ind w:right="195"/>
              <w:jc w:val="right"/>
              <w:rPr>
                <w:color w:val="000000"/>
                <w:sz w:val="18"/>
              </w:rPr>
            </w:pPr>
            <w:r w:rsidRPr="00A7082A">
              <w:rPr>
                <w:color w:val="000000"/>
                <w:sz w:val="18"/>
              </w:rPr>
              <w:t>45</w:t>
            </w:r>
            <w:r w:rsidR="00F22360" w:rsidRPr="00A7082A">
              <w:rPr>
                <w:color w:val="000000"/>
                <w:sz w:val="18"/>
              </w:rPr>
              <w:t xml:space="preserve"> </w:t>
            </w:r>
            <w:r w:rsidRPr="00A7082A">
              <w:rPr>
                <w:color w:val="000000"/>
                <w:sz w:val="18"/>
              </w:rPr>
              <w:t xml:space="preserve">000 </w:t>
            </w:r>
          </w:p>
        </w:tc>
        <w:tc>
          <w:tcPr>
            <w:tcW w:w="1238" w:type="dxa"/>
            <w:shd w:val="clear" w:color="auto" w:fill="auto"/>
            <w:noWrap/>
            <w:hideMark/>
          </w:tcPr>
          <w:p w14:paraId="683995B1"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shd w:val="clear" w:color="auto" w:fill="auto"/>
            <w:noWrap/>
            <w:hideMark/>
          </w:tcPr>
          <w:p w14:paraId="043085CA" w14:textId="2F56F7A3"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90</w:t>
            </w:r>
            <w:r w:rsidR="00F22360" w:rsidRPr="00A7082A">
              <w:rPr>
                <w:color w:val="000000"/>
                <w:sz w:val="18"/>
              </w:rPr>
              <w:t xml:space="preserve"> </w:t>
            </w:r>
            <w:r w:rsidRPr="00A7082A">
              <w:rPr>
                <w:color w:val="000000"/>
                <w:sz w:val="18"/>
              </w:rPr>
              <w:t xml:space="preserve">000 </w:t>
            </w:r>
          </w:p>
        </w:tc>
      </w:tr>
      <w:tr w:rsidR="00DA659A" w:rsidRPr="00A7082A" w14:paraId="25860388" w14:textId="77777777" w:rsidTr="002E728C">
        <w:trPr>
          <w:trHeight w:val="57"/>
          <w:jc w:val="right"/>
        </w:trPr>
        <w:tc>
          <w:tcPr>
            <w:tcW w:w="993" w:type="dxa"/>
            <w:tcBorders>
              <w:bottom w:val="single" w:sz="4" w:space="0" w:color="000000" w:themeColor="text1"/>
            </w:tcBorders>
            <w:shd w:val="clear" w:color="auto" w:fill="auto"/>
            <w:noWrap/>
            <w:hideMark/>
          </w:tcPr>
          <w:p w14:paraId="322B2B5D" w14:textId="77777777" w:rsidR="00DA659A" w:rsidRPr="00A7082A" w:rsidRDefault="00DA659A" w:rsidP="00963095">
            <w:pPr>
              <w:tabs>
                <w:tab w:val="clear" w:pos="1247"/>
                <w:tab w:val="clear" w:pos="1814"/>
                <w:tab w:val="clear" w:pos="2381"/>
                <w:tab w:val="clear" w:pos="2948"/>
                <w:tab w:val="clear" w:pos="3515"/>
              </w:tabs>
              <w:spacing w:before="40" w:after="40"/>
              <w:jc w:val="center"/>
              <w:rPr>
                <w:color w:val="000000"/>
                <w:sz w:val="18"/>
              </w:rPr>
            </w:pPr>
            <w:r w:rsidRPr="00A7082A">
              <w:rPr>
                <w:color w:val="000000"/>
                <w:sz w:val="18"/>
              </w:rPr>
              <w:t> </w:t>
            </w:r>
          </w:p>
        </w:tc>
        <w:tc>
          <w:tcPr>
            <w:tcW w:w="3543" w:type="dxa"/>
            <w:tcBorders>
              <w:bottom w:val="single" w:sz="4" w:space="0" w:color="000000" w:themeColor="text1"/>
            </w:tcBorders>
            <w:shd w:val="clear" w:color="auto" w:fill="auto"/>
            <w:noWrap/>
            <w:hideMark/>
          </w:tcPr>
          <w:p w14:paraId="3D2B4DE0" w14:textId="77777777" w:rsidR="00DA659A" w:rsidRPr="00A7082A" w:rsidRDefault="00DA659A" w:rsidP="0045134A">
            <w:pPr>
              <w:pStyle w:val="Normal-pool"/>
              <w:tabs>
                <w:tab w:val="clear" w:pos="1247"/>
                <w:tab w:val="clear" w:pos="1814"/>
                <w:tab w:val="clear" w:pos="2381"/>
                <w:tab w:val="clear" w:pos="2948"/>
                <w:tab w:val="clear" w:pos="3515"/>
                <w:tab w:val="clear" w:pos="4082"/>
              </w:tabs>
              <w:spacing w:before="40" w:after="40"/>
              <w:ind w:left="883" w:hanging="883"/>
              <w:rPr>
                <w:color w:val="000000"/>
                <w:sz w:val="18"/>
              </w:rPr>
            </w:pPr>
            <w:r w:rsidRPr="00A7082A">
              <w:rPr>
                <w:color w:val="000000"/>
                <w:sz w:val="18"/>
              </w:rPr>
              <w:t>4.4 Cross-cutting activities</w:t>
            </w:r>
          </w:p>
        </w:tc>
        <w:tc>
          <w:tcPr>
            <w:tcW w:w="1238" w:type="dxa"/>
            <w:tcBorders>
              <w:bottom w:val="single" w:sz="4" w:space="0" w:color="000000" w:themeColor="text1"/>
            </w:tcBorders>
            <w:shd w:val="clear" w:color="auto" w:fill="auto"/>
            <w:noWrap/>
            <w:hideMark/>
          </w:tcPr>
          <w:p w14:paraId="415761F7"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tcBorders>
              <w:bottom w:val="single" w:sz="4" w:space="0" w:color="000000" w:themeColor="text1"/>
            </w:tcBorders>
            <w:shd w:val="clear" w:color="auto" w:fill="auto"/>
            <w:noWrap/>
            <w:hideMark/>
          </w:tcPr>
          <w:p w14:paraId="50562788" w14:textId="1544AC3C" w:rsidR="00DA659A" w:rsidRPr="00A7082A" w:rsidRDefault="00DA659A" w:rsidP="009557F8">
            <w:pPr>
              <w:tabs>
                <w:tab w:val="clear" w:pos="1247"/>
                <w:tab w:val="clear" w:pos="1814"/>
                <w:tab w:val="clear" w:pos="2381"/>
                <w:tab w:val="clear" w:pos="2948"/>
                <w:tab w:val="clear" w:pos="3515"/>
              </w:tabs>
              <w:spacing w:before="40" w:after="40"/>
              <w:ind w:right="195"/>
              <w:jc w:val="right"/>
              <w:rPr>
                <w:color w:val="000000"/>
                <w:sz w:val="18"/>
              </w:rPr>
            </w:pPr>
            <w:r w:rsidRPr="00A7082A">
              <w:rPr>
                <w:color w:val="000000"/>
                <w:sz w:val="18"/>
              </w:rPr>
              <w:t>230</w:t>
            </w:r>
            <w:r w:rsidR="00F22360" w:rsidRPr="00A7082A">
              <w:rPr>
                <w:color w:val="000000"/>
                <w:sz w:val="18"/>
              </w:rPr>
              <w:t xml:space="preserve"> </w:t>
            </w:r>
            <w:r w:rsidRPr="00A7082A">
              <w:rPr>
                <w:color w:val="000000"/>
                <w:sz w:val="18"/>
              </w:rPr>
              <w:t xml:space="preserve">000 </w:t>
            </w:r>
          </w:p>
        </w:tc>
        <w:tc>
          <w:tcPr>
            <w:tcW w:w="1238" w:type="dxa"/>
            <w:tcBorders>
              <w:bottom w:val="single" w:sz="4" w:space="0" w:color="000000" w:themeColor="text1"/>
            </w:tcBorders>
            <w:shd w:val="clear" w:color="auto" w:fill="auto"/>
            <w:noWrap/>
            <w:hideMark/>
          </w:tcPr>
          <w:p w14:paraId="14376E57"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tcBorders>
              <w:bottom w:val="single" w:sz="4" w:space="0" w:color="000000" w:themeColor="text1"/>
            </w:tcBorders>
            <w:shd w:val="clear" w:color="auto" w:fill="auto"/>
            <w:noWrap/>
            <w:hideMark/>
          </w:tcPr>
          <w:p w14:paraId="2D90C298" w14:textId="4F9AE6F5"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230</w:t>
            </w:r>
            <w:r w:rsidR="00F22360" w:rsidRPr="00A7082A">
              <w:rPr>
                <w:color w:val="000000"/>
                <w:sz w:val="18"/>
              </w:rPr>
              <w:t xml:space="preserve"> </w:t>
            </w:r>
            <w:r w:rsidRPr="00A7082A">
              <w:rPr>
                <w:color w:val="000000"/>
                <w:sz w:val="18"/>
              </w:rPr>
              <w:t xml:space="preserve">000 </w:t>
            </w:r>
          </w:p>
        </w:tc>
      </w:tr>
      <w:tr w:rsidR="00DA659A" w:rsidRPr="00A7082A" w14:paraId="2D8FECDC" w14:textId="77777777" w:rsidTr="002E728C">
        <w:trPr>
          <w:trHeight w:val="57"/>
          <w:jc w:val="right"/>
        </w:trPr>
        <w:tc>
          <w:tcPr>
            <w:tcW w:w="993" w:type="dxa"/>
            <w:tcBorders>
              <w:top w:val="single" w:sz="4" w:space="0" w:color="000000" w:themeColor="text1"/>
              <w:bottom w:val="single" w:sz="4" w:space="0" w:color="000000" w:themeColor="text1"/>
            </w:tcBorders>
            <w:shd w:val="clear" w:color="auto" w:fill="auto"/>
            <w:noWrap/>
            <w:hideMark/>
          </w:tcPr>
          <w:p w14:paraId="214248BB" w14:textId="77777777" w:rsidR="00DA659A" w:rsidRPr="00A7082A" w:rsidRDefault="00DA659A" w:rsidP="00963095">
            <w:pPr>
              <w:tabs>
                <w:tab w:val="clear" w:pos="1247"/>
                <w:tab w:val="clear" w:pos="1814"/>
                <w:tab w:val="clear" w:pos="2381"/>
                <w:tab w:val="clear" w:pos="2948"/>
                <w:tab w:val="clear" w:pos="3515"/>
              </w:tabs>
              <w:spacing w:before="40" w:after="40"/>
              <w:jc w:val="center"/>
              <w:rPr>
                <w:color w:val="000000"/>
                <w:sz w:val="18"/>
              </w:rPr>
            </w:pPr>
            <w:r w:rsidRPr="00A7082A">
              <w:rPr>
                <w:color w:val="000000"/>
                <w:sz w:val="18"/>
              </w:rPr>
              <w:t> </w:t>
            </w:r>
          </w:p>
        </w:tc>
        <w:tc>
          <w:tcPr>
            <w:tcW w:w="3543" w:type="dxa"/>
            <w:tcBorders>
              <w:top w:val="single" w:sz="4" w:space="0" w:color="000000" w:themeColor="text1"/>
              <w:bottom w:val="single" w:sz="4" w:space="0" w:color="000000" w:themeColor="text1"/>
            </w:tcBorders>
            <w:shd w:val="clear" w:color="auto" w:fill="auto"/>
            <w:noWrap/>
            <w:hideMark/>
          </w:tcPr>
          <w:p w14:paraId="06ECFCFD" w14:textId="439A4CDF" w:rsidR="00DA659A" w:rsidRPr="00A7082A" w:rsidRDefault="00DA659A" w:rsidP="00963095">
            <w:pPr>
              <w:tabs>
                <w:tab w:val="clear" w:pos="1247"/>
                <w:tab w:val="clear" w:pos="1814"/>
                <w:tab w:val="clear" w:pos="2381"/>
                <w:tab w:val="clear" w:pos="2948"/>
                <w:tab w:val="clear" w:pos="3515"/>
              </w:tabs>
              <w:spacing w:before="40" w:after="40"/>
              <w:rPr>
                <w:b/>
                <w:color w:val="000000"/>
                <w:sz w:val="18"/>
              </w:rPr>
            </w:pPr>
            <w:r w:rsidRPr="00A7082A">
              <w:rPr>
                <w:b/>
                <w:color w:val="000000"/>
                <w:sz w:val="18"/>
              </w:rPr>
              <w:t xml:space="preserve">Component </w:t>
            </w:r>
            <w:r w:rsidR="00660CBD" w:rsidRPr="00A7082A">
              <w:rPr>
                <w:b/>
                <w:color w:val="000000"/>
                <w:sz w:val="18"/>
              </w:rPr>
              <w:t>t</w:t>
            </w:r>
            <w:r w:rsidRPr="00A7082A">
              <w:rPr>
                <w:b/>
                <w:color w:val="000000"/>
                <w:sz w:val="18"/>
              </w:rPr>
              <w:t>otal</w:t>
            </w:r>
          </w:p>
        </w:tc>
        <w:tc>
          <w:tcPr>
            <w:tcW w:w="1238" w:type="dxa"/>
            <w:tcBorders>
              <w:top w:val="single" w:sz="4" w:space="0" w:color="000000" w:themeColor="text1"/>
              <w:bottom w:val="single" w:sz="4" w:space="0" w:color="000000" w:themeColor="text1"/>
            </w:tcBorders>
            <w:shd w:val="clear" w:color="auto" w:fill="auto"/>
            <w:noWrap/>
            <w:hideMark/>
          </w:tcPr>
          <w:p w14:paraId="4CB21B39" w14:textId="77777777"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 </w:t>
            </w:r>
          </w:p>
        </w:tc>
        <w:tc>
          <w:tcPr>
            <w:tcW w:w="1239" w:type="dxa"/>
            <w:tcBorders>
              <w:top w:val="single" w:sz="4" w:space="0" w:color="000000" w:themeColor="text1"/>
              <w:bottom w:val="single" w:sz="4" w:space="0" w:color="000000" w:themeColor="text1"/>
            </w:tcBorders>
            <w:shd w:val="clear" w:color="auto" w:fill="auto"/>
            <w:noWrap/>
            <w:hideMark/>
          </w:tcPr>
          <w:p w14:paraId="67CB4514" w14:textId="4A109F18" w:rsidR="00DA659A" w:rsidRPr="00A7082A" w:rsidRDefault="00DA659A" w:rsidP="009557F8">
            <w:pPr>
              <w:tabs>
                <w:tab w:val="clear" w:pos="1247"/>
                <w:tab w:val="clear" w:pos="1814"/>
                <w:tab w:val="clear" w:pos="2381"/>
                <w:tab w:val="clear" w:pos="2948"/>
                <w:tab w:val="clear" w:pos="3515"/>
              </w:tabs>
              <w:spacing w:before="40" w:after="40"/>
              <w:ind w:right="195"/>
              <w:jc w:val="right"/>
              <w:rPr>
                <w:b/>
                <w:color w:val="000000"/>
                <w:sz w:val="18"/>
              </w:rPr>
            </w:pPr>
            <w:r w:rsidRPr="00A7082A">
              <w:rPr>
                <w:b/>
                <w:color w:val="000000"/>
                <w:sz w:val="18"/>
              </w:rPr>
              <w:t>585</w:t>
            </w:r>
            <w:r w:rsidR="00F22360" w:rsidRPr="00A7082A">
              <w:rPr>
                <w:b/>
                <w:color w:val="000000"/>
                <w:sz w:val="18"/>
              </w:rPr>
              <w:t xml:space="preserve"> </w:t>
            </w:r>
            <w:r w:rsidRPr="00A7082A">
              <w:rPr>
                <w:b/>
                <w:color w:val="000000"/>
                <w:sz w:val="18"/>
              </w:rPr>
              <w:t xml:space="preserve">000 </w:t>
            </w:r>
          </w:p>
        </w:tc>
        <w:tc>
          <w:tcPr>
            <w:tcW w:w="1238" w:type="dxa"/>
            <w:tcBorders>
              <w:top w:val="single" w:sz="4" w:space="0" w:color="000000" w:themeColor="text1"/>
              <w:bottom w:val="single" w:sz="4" w:space="0" w:color="000000" w:themeColor="text1"/>
            </w:tcBorders>
            <w:shd w:val="clear" w:color="auto" w:fill="auto"/>
            <w:noWrap/>
            <w:hideMark/>
          </w:tcPr>
          <w:p w14:paraId="7C25F544" w14:textId="77777777"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 </w:t>
            </w:r>
          </w:p>
        </w:tc>
        <w:tc>
          <w:tcPr>
            <w:tcW w:w="1239" w:type="dxa"/>
            <w:tcBorders>
              <w:top w:val="single" w:sz="4" w:space="0" w:color="000000" w:themeColor="text1"/>
              <w:bottom w:val="single" w:sz="4" w:space="0" w:color="000000" w:themeColor="text1"/>
            </w:tcBorders>
            <w:shd w:val="clear" w:color="auto" w:fill="auto"/>
            <w:noWrap/>
            <w:hideMark/>
          </w:tcPr>
          <w:p w14:paraId="573F2C36" w14:textId="7FFECA7E"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650</w:t>
            </w:r>
            <w:r w:rsidR="00F22360" w:rsidRPr="00A7082A">
              <w:rPr>
                <w:b/>
                <w:color w:val="000000"/>
                <w:sz w:val="18"/>
              </w:rPr>
              <w:t xml:space="preserve"> </w:t>
            </w:r>
            <w:r w:rsidRPr="00A7082A">
              <w:rPr>
                <w:b/>
                <w:color w:val="000000"/>
                <w:sz w:val="18"/>
              </w:rPr>
              <w:t xml:space="preserve">000 </w:t>
            </w:r>
          </w:p>
        </w:tc>
      </w:tr>
      <w:tr w:rsidR="00DA659A" w:rsidRPr="00A7082A" w14:paraId="20085B9F" w14:textId="77777777" w:rsidTr="002E728C">
        <w:trPr>
          <w:trHeight w:val="57"/>
          <w:jc w:val="right"/>
        </w:trPr>
        <w:tc>
          <w:tcPr>
            <w:tcW w:w="993" w:type="dxa"/>
            <w:tcBorders>
              <w:top w:val="single" w:sz="4" w:space="0" w:color="000000" w:themeColor="text1"/>
              <w:bottom w:val="single" w:sz="4" w:space="0" w:color="000000" w:themeColor="text1"/>
            </w:tcBorders>
            <w:shd w:val="clear" w:color="auto" w:fill="auto"/>
            <w:noWrap/>
            <w:hideMark/>
          </w:tcPr>
          <w:p w14:paraId="057E7437" w14:textId="77777777" w:rsidR="00DA659A" w:rsidRPr="00A7082A" w:rsidRDefault="00DA659A" w:rsidP="00963095">
            <w:pPr>
              <w:tabs>
                <w:tab w:val="clear" w:pos="1247"/>
                <w:tab w:val="clear" w:pos="1814"/>
                <w:tab w:val="clear" w:pos="2381"/>
                <w:tab w:val="clear" w:pos="2948"/>
                <w:tab w:val="clear" w:pos="3515"/>
              </w:tabs>
              <w:spacing w:before="40" w:after="40"/>
              <w:jc w:val="center"/>
              <w:rPr>
                <w:color w:val="000000"/>
                <w:sz w:val="18"/>
              </w:rPr>
            </w:pPr>
            <w:r w:rsidRPr="00A7082A">
              <w:rPr>
                <w:color w:val="000000"/>
                <w:sz w:val="18"/>
              </w:rPr>
              <w:t> </w:t>
            </w:r>
          </w:p>
        </w:tc>
        <w:tc>
          <w:tcPr>
            <w:tcW w:w="3543" w:type="dxa"/>
            <w:tcBorders>
              <w:top w:val="single" w:sz="4" w:space="0" w:color="000000" w:themeColor="text1"/>
              <w:bottom w:val="single" w:sz="4" w:space="0" w:color="000000" w:themeColor="text1"/>
            </w:tcBorders>
            <w:shd w:val="clear" w:color="auto" w:fill="auto"/>
            <w:noWrap/>
            <w:hideMark/>
          </w:tcPr>
          <w:p w14:paraId="5F3D0F9C" w14:textId="77777777" w:rsidR="00DA659A" w:rsidRPr="00A7082A" w:rsidRDefault="00DA659A" w:rsidP="00963095">
            <w:pPr>
              <w:tabs>
                <w:tab w:val="clear" w:pos="1247"/>
                <w:tab w:val="clear" w:pos="1814"/>
                <w:tab w:val="clear" w:pos="2381"/>
                <w:tab w:val="clear" w:pos="2948"/>
                <w:tab w:val="clear" w:pos="3515"/>
              </w:tabs>
              <w:spacing w:before="40" w:after="40"/>
              <w:rPr>
                <w:b/>
                <w:color w:val="000000"/>
                <w:sz w:val="18"/>
              </w:rPr>
            </w:pPr>
            <w:r w:rsidRPr="00A7082A">
              <w:rPr>
                <w:b/>
                <w:color w:val="000000"/>
                <w:sz w:val="18"/>
              </w:rPr>
              <w:t>Total (B)</w:t>
            </w:r>
          </w:p>
        </w:tc>
        <w:tc>
          <w:tcPr>
            <w:tcW w:w="1238" w:type="dxa"/>
            <w:tcBorders>
              <w:top w:val="single" w:sz="4" w:space="0" w:color="000000" w:themeColor="text1"/>
              <w:bottom w:val="single" w:sz="4" w:space="0" w:color="000000" w:themeColor="text1"/>
            </w:tcBorders>
            <w:shd w:val="clear" w:color="auto" w:fill="auto"/>
            <w:noWrap/>
            <w:hideMark/>
          </w:tcPr>
          <w:p w14:paraId="448CC543" w14:textId="77777777"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 </w:t>
            </w:r>
          </w:p>
        </w:tc>
        <w:tc>
          <w:tcPr>
            <w:tcW w:w="1239" w:type="dxa"/>
            <w:tcBorders>
              <w:top w:val="single" w:sz="4" w:space="0" w:color="000000" w:themeColor="text1"/>
              <w:bottom w:val="single" w:sz="4" w:space="0" w:color="000000" w:themeColor="text1"/>
            </w:tcBorders>
            <w:shd w:val="clear" w:color="auto" w:fill="auto"/>
            <w:noWrap/>
            <w:hideMark/>
          </w:tcPr>
          <w:p w14:paraId="67788343" w14:textId="0DFF4104" w:rsidR="00DA659A" w:rsidRPr="00A7082A" w:rsidRDefault="00DA659A" w:rsidP="009557F8">
            <w:pPr>
              <w:tabs>
                <w:tab w:val="clear" w:pos="1247"/>
                <w:tab w:val="clear" w:pos="1814"/>
                <w:tab w:val="clear" w:pos="2381"/>
                <w:tab w:val="clear" w:pos="2948"/>
                <w:tab w:val="clear" w:pos="3515"/>
              </w:tabs>
              <w:spacing w:before="40" w:after="40"/>
              <w:ind w:right="195"/>
              <w:jc w:val="right"/>
              <w:rPr>
                <w:b/>
                <w:color w:val="000000"/>
                <w:sz w:val="18"/>
              </w:rPr>
            </w:pPr>
            <w:r w:rsidRPr="00A7082A">
              <w:rPr>
                <w:b/>
                <w:color w:val="000000"/>
                <w:sz w:val="18"/>
              </w:rPr>
              <w:t>585</w:t>
            </w:r>
            <w:r w:rsidR="00F22360" w:rsidRPr="00A7082A">
              <w:rPr>
                <w:b/>
                <w:color w:val="000000"/>
                <w:sz w:val="18"/>
              </w:rPr>
              <w:t xml:space="preserve"> </w:t>
            </w:r>
            <w:r w:rsidRPr="00A7082A">
              <w:rPr>
                <w:b/>
                <w:color w:val="000000"/>
                <w:sz w:val="18"/>
              </w:rPr>
              <w:t xml:space="preserve">000 </w:t>
            </w:r>
          </w:p>
        </w:tc>
        <w:tc>
          <w:tcPr>
            <w:tcW w:w="1238" w:type="dxa"/>
            <w:tcBorders>
              <w:top w:val="single" w:sz="4" w:space="0" w:color="000000" w:themeColor="text1"/>
              <w:bottom w:val="single" w:sz="4" w:space="0" w:color="000000" w:themeColor="text1"/>
            </w:tcBorders>
            <w:shd w:val="clear" w:color="auto" w:fill="auto"/>
            <w:noWrap/>
            <w:hideMark/>
          </w:tcPr>
          <w:p w14:paraId="15509F13" w14:textId="77777777"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 </w:t>
            </w:r>
          </w:p>
        </w:tc>
        <w:tc>
          <w:tcPr>
            <w:tcW w:w="1239" w:type="dxa"/>
            <w:tcBorders>
              <w:top w:val="single" w:sz="4" w:space="0" w:color="000000" w:themeColor="text1"/>
              <w:bottom w:val="single" w:sz="4" w:space="0" w:color="000000" w:themeColor="text1"/>
            </w:tcBorders>
            <w:shd w:val="clear" w:color="auto" w:fill="auto"/>
            <w:noWrap/>
            <w:hideMark/>
          </w:tcPr>
          <w:p w14:paraId="50F3476F" w14:textId="5D9EBF8C"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650</w:t>
            </w:r>
            <w:r w:rsidR="00F22360" w:rsidRPr="00A7082A">
              <w:rPr>
                <w:b/>
                <w:color w:val="000000"/>
                <w:sz w:val="18"/>
              </w:rPr>
              <w:t xml:space="preserve"> </w:t>
            </w:r>
            <w:r w:rsidRPr="00A7082A">
              <w:rPr>
                <w:b/>
                <w:color w:val="000000"/>
                <w:sz w:val="18"/>
              </w:rPr>
              <w:t xml:space="preserve">000 </w:t>
            </w:r>
          </w:p>
        </w:tc>
      </w:tr>
      <w:tr w:rsidR="00DA659A" w:rsidRPr="00A7082A" w14:paraId="708D1098" w14:textId="77777777" w:rsidTr="002E728C">
        <w:trPr>
          <w:trHeight w:val="57"/>
          <w:jc w:val="right"/>
        </w:trPr>
        <w:tc>
          <w:tcPr>
            <w:tcW w:w="993" w:type="dxa"/>
            <w:tcBorders>
              <w:top w:val="single" w:sz="4" w:space="0" w:color="000000" w:themeColor="text1"/>
            </w:tcBorders>
            <w:shd w:val="clear" w:color="auto" w:fill="auto"/>
            <w:noWrap/>
            <w:hideMark/>
          </w:tcPr>
          <w:p w14:paraId="7BAFA49F" w14:textId="77777777" w:rsidR="00DA659A" w:rsidRPr="00A7082A" w:rsidRDefault="00DA659A" w:rsidP="00963095">
            <w:pPr>
              <w:tabs>
                <w:tab w:val="clear" w:pos="1247"/>
                <w:tab w:val="clear" w:pos="1814"/>
                <w:tab w:val="clear" w:pos="2381"/>
                <w:tab w:val="clear" w:pos="2948"/>
                <w:tab w:val="clear" w:pos="3515"/>
              </w:tabs>
              <w:spacing w:before="40" w:after="40"/>
              <w:jc w:val="center"/>
              <w:rPr>
                <w:b/>
                <w:color w:val="000000"/>
                <w:sz w:val="18"/>
              </w:rPr>
            </w:pPr>
            <w:r w:rsidRPr="00A7082A">
              <w:rPr>
                <w:b/>
                <w:color w:val="000000"/>
                <w:sz w:val="18"/>
              </w:rPr>
              <w:t>C.</w:t>
            </w:r>
          </w:p>
        </w:tc>
        <w:tc>
          <w:tcPr>
            <w:tcW w:w="3543" w:type="dxa"/>
            <w:tcBorders>
              <w:top w:val="single" w:sz="4" w:space="0" w:color="000000" w:themeColor="text1"/>
            </w:tcBorders>
            <w:shd w:val="clear" w:color="auto" w:fill="auto"/>
            <w:noWrap/>
            <w:hideMark/>
          </w:tcPr>
          <w:p w14:paraId="1C4B5B01" w14:textId="77777777" w:rsidR="00DA659A" w:rsidRPr="00A7082A" w:rsidRDefault="00DA659A" w:rsidP="00963095">
            <w:pPr>
              <w:tabs>
                <w:tab w:val="clear" w:pos="1247"/>
                <w:tab w:val="clear" w:pos="1814"/>
                <w:tab w:val="clear" w:pos="2381"/>
                <w:tab w:val="clear" w:pos="2948"/>
                <w:tab w:val="clear" w:pos="3515"/>
              </w:tabs>
              <w:spacing w:before="40" w:after="40"/>
              <w:rPr>
                <w:b/>
                <w:color w:val="000000"/>
                <w:sz w:val="18"/>
              </w:rPr>
            </w:pPr>
            <w:r w:rsidRPr="00A7082A">
              <w:rPr>
                <w:b/>
                <w:color w:val="000000"/>
                <w:sz w:val="18"/>
              </w:rPr>
              <w:t>Scientific and technical activities</w:t>
            </w:r>
          </w:p>
        </w:tc>
        <w:tc>
          <w:tcPr>
            <w:tcW w:w="1238" w:type="dxa"/>
            <w:tcBorders>
              <w:top w:val="single" w:sz="4" w:space="0" w:color="000000" w:themeColor="text1"/>
            </w:tcBorders>
            <w:shd w:val="clear" w:color="auto" w:fill="auto"/>
            <w:noWrap/>
            <w:hideMark/>
          </w:tcPr>
          <w:p w14:paraId="11EEF6EE"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tcBorders>
              <w:top w:val="single" w:sz="4" w:space="0" w:color="000000" w:themeColor="text1"/>
            </w:tcBorders>
            <w:shd w:val="clear" w:color="auto" w:fill="auto"/>
            <w:noWrap/>
            <w:hideMark/>
          </w:tcPr>
          <w:p w14:paraId="1783B978" w14:textId="77777777" w:rsidR="00DA659A" w:rsidRPr="00A7082A" w:rsidRDefault="00DA659A" w:rsidP="009557F8">
            <w:pPr>
              <w:tabs>
                <w:tab w:val="clear" w:pos="1247"/>
                <w:tab w:val="clear" w:pos="1814"/>
                <w:tab w:val="clear" w:pos="2381"/>
                <w:tab w:val="clear" w:pos="2948"/>
                <w:tab w:val="clear" w:pos="3515"/>
              </w:tabs>
              <w:spacing w:before="40" w:after="40"/>
              <w:ind w:right="195"/>
              <w:jc w:val="right"/>
              <w:rPr>
                <w:color w:val="000000"/>
                <w:sz w:val="18"/>
              </w:rPr>
            </w:pPr>
            <w:r w:rsidRPr="00A7082A">
              <w:rPr>
                <w:color w:val="000000"/>
                <w:sz w:val="18"/>
              </w:rPr>
              <w:t> </w:t>
            </w:r>
          </w:p>
        </w:tc>
        <w:tc>
          <w:tcPr>
            <w:tcW w:w="1238" w:type="dxa"/>
            <w:tcBorders>
              <w:top w:val="single" w:sz="4" w:space="0" w:color="000000" w:themeColor="text1"/>
            </w:tcBorders>
            <w:shd w:val="clear" w:color="auto" w:fill="auto"/>
            <w:noWrap/>
            <w:hideMark/>
          </w:tcPr>
          <w:p w14:paraId="336EDC21"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tcBorders>
              <w:top w:val="single" w:sz="4" w:space="0" w:color="000000" w:themeColor="text1"/>
            </w:tcBorders>
            <w:shd w:val="clear" w:color="auto" w:fill="auto"/>
            <w:noWrap/>
            <w:hideMark/>
          </w:tcPr>
          <w:p w14:paraId="3EFFA5EB"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r>
      <w:tr w:rsidR="00DA659A" w:rsidRPr="00A7082A" w14:paraId="3D5F1441" w14:textId="77777777" w:rsidTr="002E728C">
        <w:trPr>
          <w:trHeight w:val="57"/>
          <w:jc w:val="right"/>
        </w:trPr>
        <w:tc>
          <w:tcPr>
            <w:tcW w:w="993" w:type="dxa"/>
            <w:shd w:val="clear" w:color="auto" w:fill="auto"/>
            <w:noWrap/>
            <w:hideMark/>
          </w:tcPr>
          <w:p w14:paraId="6EC28A75" w14:textId="77777777" w:rsidR="00DA659A" w:rsidRPr="00A7082A" w:rsidRDefault="00DA659A" w:rsidP="00963095">
            <w:pPr>
              <w:tabs>
                <w:tab w:val="clear" w:pos="1247"/>
                <w:tab w:val="clear" w:pos="1814"/>
                <w:tab w:val="clear" w:pos="2381"/>
                <w:tab w:val="clear" w:pos="2948"/>
                <w:tab w:val="clear" w:pos="3515"/>
              </w:tabs>
              <w:spacing w:before="40" w:after="40"/>
              <w:jc w:val="center"/>
              <w:rPr>
                <w:b/>
                <w:color w:val="000000"/>
                <w:sz w:val="18"/>
              </w:rPr>
            </w:pPr>
            <w:r w:rsidRPr="00A7082A">
              <w:rPr>
                <w:b/>
                <w:color w:val="000000"/>
                <w:sz w:val="18"/>
              </w:rPr>
              <w:t>5</w:t>
            </w:r>
          </w:p>
        </w:tc>
        <w:tc>
          <w:tcPr>
            <w:tcW w:w="3543" w:type="dxa"/>
            <w:shd w:val="clear" w:color="auto" w:fill="auto"/>
            <w:noWrap/>
            <w:hideMark/>
          </w:tcPr>
          <w:p w14:paraId="3846926E" w14:textId="77777777" w:rsidR="00DA659A" w:rsidRPr="00A7082A" w:rsidRDefault="00DA659A" w:rsidP="00963095">
            <w:pPr>
              <w:tabs>
                <w:tab w:val="clear" w:pos="1247"/>
                <w:tab w:val="clear" w:pos="1814"/>
                <w:tab w:val="clear" w:pos="2381"/>
                <w:tab w:val="clear" w:pos="2948"/>
                <w:tab w:val="clear" w:pos="3515"/>
              </w:tabs>
              <w:spacing w:before="40" w:after="40"/>
              <w:rPr>
                <w:b/>
                <w:color w:val="000000"/>
                <w:sz w:val="18"/>
              </w:rPr>
            </w:pPr>
            <w:r w:rsidRPr="00A7082A">
              <w:rPr>
                <w:b/>
                <w:color w:val="000000"/>
                <w:sz w:val="18"/>
              </w:rPr>
              <w:t>Scientific support to the States parties to the Minamata Convention</w:t>
            </w:r>
          </w:p>
        </w:tc>
        <w:tc>
          <w:tcPr>
            <w:tcW w:w="1238" w:type="dxa"/>
            <w:shd w:val="clear" w:color="auto" w:fill="auto"/>
            <w:noWrap/>
            <w:hideMark/>
          </w:tcPr>
          <w:p w14:paraId="066C5D68"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shd w:val="clear" w:color="auto" w:fill="auto"/>
            <w:noWrap/>
            <w:hideMark/>
          </w:tcPr>
          <w:p w14:paraId="06481149" w14:textId="77777777" w:rsidR="00DA659A" w:rsidRPr="00A7082A" w:rsidRDefault="00DA659A" w:rsidP="009557F8">
            <w:pPr>
              <w:tabs>
                <w:tab w:val="clear" w:pos="1247"/>
                <w:tab w:val="clear" w:pos="1814"/>
                <w:tab w:val="clear" w:pos="2381"/>
                <w:tab w:val="clear" w:pos="2948"/>
                <w:tab w:val="clear" w:pos="3515"/>
              </w:tabs>
              <w:spacing w:before="40" w:after="40"/>
              <w:ind w:right="195"/>
              <w:jc w:val="right"/>
              <w:rPr>
                <w:color w:val="000000"/>
                <w:sz w:val="18"/>
              </w:rPr>
            </w:pPr>
            <w:r w:rsidRPr="00A7082A">
              <w:rPr>
                <w:color w:val="000000"/>
                <w:sz w:val="18"/>
              </w:rPr>
              <w:t> </w:t>
            </w:r>
          </w:p>
        </w:tc>
        <w:tc>
          <w:tcPr>
            <w:tcW w:w="1238" w:type="dxa"/>
            <w:shd w:val="clear" w:color="auto" w:fill="auto"/>
            <w:noWrap/>
            <w:hideMark/>
          </w:tcPr>
          <w:p w14:paraId="15CBE155"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shd w:val="clear" w:color="auto" w:fill="auto"/>
            <w:noWrap/>
            <w:hideMark/>
          </w:tcPr>
          <w:p w14:paraId="49903C1E"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r>
      <w:tr w:rsidR="00DA659A" w:rsidRPr="00A7082A" w14:paraId="6121A891" w14:textId="77777777" w:rsidTr="002E728C">
        <w:trPr>
          <w:trHeight w:val="57"/>
          <w:jc w:val="right"/>
        </w:trPr>
        <w:tc>
          <w:tcPr>
            <w:tcW w:w="993" w:type="dxa"/>
            <w:shd w:val="clear" w:color="auto" w:fill="auto"/>
            <w:noWrap/>
            <w:hideMark/>
          </w:tcPr>
          <w:p w14:paraId="0398D4CA" w14:textId="77777777" w:rsidR="00DA659A" w:rsidRPr="00A7082A" w:rsidRDefault="00DA659A" w:rsidP="00963095">
            <w:pPr>
              <w:tabs>
                <w:tab w:val="clear" w:pos="1247"/>
                <w:tab w:val="clear" w:pos="1814"/>
                <w:tab w:val="clear" w:pos="2381"/>
                <w:tab w:val="clear" w:pos="2948"/>
                <w:tab w:val="clear" w:pos="3515"/>
              </w:tabs>
              <w:spacing w:before="40" w:after="40"/>
              <w:jc w:val="center"/>
              <w:rPr>
                <w:color w:val="000000"/>
                <w:sz w:val="18"/>
              </w:rPr>
            </w:pPr>
            <w:r w:rsidRPr="00A7082A">
              <w:rPr>
                <w:color w:val="000000"/>
                <w:sz w:val="18"/>
              </w:rPr>
              <w:t> </w:t>
            </w:r>
          </w:p>
        </w:tc>
        <w:tc>
          <w:tcPr>
            <w:tcW w:w="3543" w:type="dxa"/>
            <w:shd w:val="clear" w:color="auto" w:fill="auto"/>
            <w:noWrap/>
            <w:hideMark/>
          </w:tcPr>
          <w:p w14:paraId="1927EE53" w14:textId="08AC9B85" w:rsidR="00DA659A" w:rsidRPr="00A7082A" w:rsidRDefault="00DA659A" w:rsidP="0045134A">
            <w:pPr>
              <w:pStyle w:val="Normal-pool"/>
              <w:tabs>
                <w:tab w:val="clear" w:pos="1247"/>
                <w:tab w:val="clear" w:pos="1814"/>
                <w:tab w:val="clear" w:pos="2381"/>
                <w:tab w:val="clear" w:pos="2948"/>
                <w:tab w:val="clear" w:pos="3515"/>
                <w:tab w:val="clear" w:pos="4082"/>
              </w:tabs>
              <w:spacing w:before="40" w:after="40"/>
              <w:ind w:left="180" w:hanging="237"/>
              <w:rPr>
                <w:color w:val="000000"/>
                <w:sz w:val="18"/>
              </w:rPr>
            </w:pPr>
            <w:r w:rsidRPr="00A7082A">
              <w:rPr>
                <w:color w:val="000000"/>
                <w:sz w:val="18"/>
              </w:rPr>
              <w:t>5.1 Information collection and analysis on customs codes/products and processes</w:t>
            </w:r>
          </w:p>
        </w:tc>
        <w:tc>
          <w:tcPr>
            <w:tcW w:w="1238" w:type="dxa"/>
            <w:shd w:val="clear" w:color="auto" w:fill="auto"/>
            <w:noWrap/>
            <w:hideMark/>
          </w:tcPr>
          <w:p w14:paraId="2BEEAEAF" w14:textId="3260E1BF"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30</w:t>
            </w:r>
            <w:r w:rsidR="00F22360" w:rsidRPr="00A7082A">
              <w:rPr>
                <w:color w:val="000000"/>
                <w:sz w:val="18"/>
              </w:rPr>
              <w:t xml:space="preserve"> </w:t>
            </w:r>
            <w:r w:rsidRPr="00A7082A">
              <w:rPr>
                <w:color w:val="000000"/>
                <w:sz w:val="18"/>
              </w:rPr>
              <w:t xml:space="preserve">000 </w:t>
            </w:r>
          </w:p>
        </w:tc>
        <w:tc>
          <w:tcPr>
            <w:tcW w:w="1239" w:type="dxa"/>
            <w:shd w:val="clear" w:color="auto" w:fill="auto"/>
            <w:noWrap/>
            <w:hideMark/>
          </w:tcPr>
          <w:p w14:paraId="7EB042D1" w14:textId="77777777" w:rsidR="00DA659A" w:rsidRPr="00A7082A" w:rsidRDefault="00DA659A" w:rsidP="009557F8">
            <w:pPr>
              <w:tabs>
                <w:tab w:val="clear" w:pos="1247"/>
                <w:tab w:val="clear" w:pos="1814"/>
                <w:tab w:val="clear" w:pos="2381"/>
                <w:tab w:val="clear" w:pos="2948"/>
                <w:tab w:val="clear" w:pos="3515"/>
              </w:tabs>
              <w:spacing w:before="40" w:after="40"/>
              <w:ind w:right="195"/>
              <w:jc w:val="right"/>
              <w:rPr>
                <w:color w:val="000000"/>
                <w:sz w:val="18"/>
              </w:rPr>
            </w:pPr>
            <w:r w:rsidRPr="00A7082A">
              <w:rPr>
                <w:color w:val="000000"/>
                <w:sz w:val="18"/>
              </w:rPr>
              <w:t> </w:t>
            </w:r>
          </w:p>
        </w:tc>
        <w:tc>
          <w:tcPr>
            <w:tcW w:w="1238" w:type="dxa"/>
            <w:shd w:val="clear" w:color="auto" w:fill="auto"/>
            <w:noWrap/>
            <w:hideMark/>
          </w:tcPr>
          <w:p w14:paraId="4B00448F" w14:textId="128C7556"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30</w:t>
            </w:r>
            <w:r w:rsidR="00F22360" w:rsidRPr="00A7082A">
              <w:rPr>
                <w:color w:val="000000"/>
                <w:sz w:val="18"/>
              </w:rPr>
              <w:t xml:space="preserve"> </w:t>
            </w:r>
            <w:r w:rsidRPr="00A7082A">
              <w:rPr>
                <w:color w:val="000000"/>
                <w:sz w:val="18"/>
              </w:rPr>
              <w:t xml:space="preserve">000 </w:t>
            </w:r>
          </w:p>
        </w:tc>
        <w:tc>
          <w:tcPr>
            <w:tcW w:w="1239" w:type="dxa"/>
            <w:shd w:val="clear" w:color="auto" w:fill="auto"/>
            <w:noWrap/>
            <w:hideMark/>
          </w:tcPr>
          <w:p w14:paraId="64530CDF"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r>
      <w:tr w:rsidR="00DA659A" w:rsidRPr="00A7082A" w14:paraId="3CA4385E" w14:textId="77777777" w:rsidTr="002E728C">
        <w:trPr>
          <w:trHeight w:val="57"/>
          <w:jc w:val="right"/>
        </w:trPr>
        <w:tc>
          <w:tcPr>
            <w:tcW w:w="993" w:type="dxa"/>
            <w:shd w:val="clear" w:color="auto" w:fill="auto"/>
            <w:noWrap/>
            <w:hideMark/>
          </w:tcPr>
          <w:p w14:paraId="634CAF8B" w14:textId="77777777" w:rsidR="00DA659A" w:rsidRPr="00A7082A" w:rsidRDefault="00DA659A" w:rsidP="00963095">
            <w:pPr>
              <w:tabs>
                <w:tab w:val="clear" w:pos="1247"/>
                <w:tab w:val="clear" w:pos="1814"/>
                <w:tab w:val="clear" w:pos="2381"/>
                <w:tab w:val="clear" w:pos="2948"/>
                <w:tab w:val="clear" w:pos="3515"/>
              </w:tabs>
              <w:spacing w:before="40" w:after="40"/>
              <w:jc w:val="center"/>
              <w:rPr>
                <w:color w:val="000000"/>
                <w:sz w:val="18"/>
              </w:rPr>
            </w:pPr>
            <w:r w:rsidRPr="00A7082A">
              <w:rPr>
                <w:color w:val="000000"/>
                <w:sz w:val="18"/>
              </w:rPr>
              <w:t> </w:t>
            </w:r>
          </w:p>
        </w:tc>
        <w:tc>
          <w:tcPr>
            <w:tcW w:w="3543" w:type="dxa"/>
            <w:shd w:val="clear" w:color="auto" w:fill="auto"/>
            <w:noWrap/>
            <w:hideMark/>
          </w:tcPr>
          <w:p w14:paraId="0FF764C8" w14:textId="77777777" w:rsidR="00DA659A" w:rsidRPr="00A7082A" w:rsidRDefault="00DA659A" w:rsidP="0045134A">
            <w:pPr>
              <w:pStyle w:val="Normal-pool"/>
              <w:tabs>
                <w:tab w:val="clear" w:pos="1247"/>
                <w:tab w:val="clear" w:pos="1814"/>
                <w:tab w:val="clear" w:pos="2381"/>
                <w:tab w:val="clear" w:pos="2948"/>
                <w:tab w:val="clear" w:pos="3515"/>
                <w:tab w:val="clear" w:pos="4082"/>
              </w:tabs>
              <w:spacing w:before="40" w:after="40"/>
              <w:ind w:left="180" w:hanging="237"/>
              <w:rPr>
                <w:color w:val="000000"/>
                <w:sz w:val="18"/>
              </w:rPr>
            </w:pPr>
            <w:r w:rsidRPr="00A7082A">
              <w:rPr>
                <w:color w:val="000000"/>
                <w:sz w:val="18"/>
              </w:rPr>
              <w:t>5.2 Updating of guidance on ASGM national action plans</w:t>
            </w:r>
          </w:p>
        </w:tc>
        <w:tc>
          <w:tcPr>
            <w:tcW w:w="1238" w:type="dxa"/>
            <w:shd w:val="clear" w:color="auto" w:fill="auto"/>
            <w:noWrap/>
            <w:hideMark/>
          </w:tcPr>
          <w:p w14:paraId="20E1F4BF"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shd w:val="clear" w:color="auto" w:fill="auto"/>
            <w:noWrap/>
            <w:hideMark/>
          </w:tcPr>
          <w:p w14:paraId="1776FDAF" w14:textId="32BC6067" w:rsidR="00DA659A" w:rsidRPr="00A7082A" w:rsidRDefault="00DA659A" w:rsidP="009557F8">
            <w:pPr>
              <w:tabs>
                <w:tab w:val="clear" w:pos="1247"/>
                <w:tab w:val="clear" w:pos="1814"/>
                <w:tab w:val="clear" w:pos="2381"/>
                <w:tab w:val="clear" w:pos="2948"/>
                <w:tab w:val="clear" w:pos="3515"/>
              </w:tabs>
              <w:spacing w:before="40" w:after="40"/>
              <w:ind w:right="195"/>
              <w:jc w:val="right"/>
              <w:rPr>
                <w:color w:val="000000"/>
                <w:sz w:val="18"/>
              </w:rPr>
            </w:pPr>
            <w:r w:rsidRPr="00A7082A">
              <w:rPr>
                <w:color w:val="000000"/>
                <w:sz w:val="18"/>
              </w:rPr>
              <w:t>50</w:t>
            </w:r>
            <w:r w:rsidR="00F22360" w:rsidRPr="00A7082A">
              <w:rPr>
                <w:color w:val="000000"/>
                <w:sz w:val="18"/>
              </w:rPr>
              <w:t xml:space="preserve"> </w:t>
            </w:r>
            <w:r w:rsidRPr="00A7082A">
              <w:rPr>
                <w:color w:val="000000"/>
                <w:sz w:val="18"/>
              </w:rPr>
              <w:t xml:space="preserve">000 </w:t>
            </w:r>
          </w:p>
        </w:tc>
        <w:tc>
          <w:tcPr>
            <w:tcW w:w="1238" w:type="dxa"/>
            <w:shd w:val="clear" w:color="auto" w:fill="auto"/>
            <w:noWrap/>
            <w:hideMark/>
          </w:tcPr>
          <w:p w14:paraId="4AEEE230"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shd w:val="clear" w:color="auto" w:fill="auto"/>
            <w:noWrap/>
            <w:hideMark/>
          </w:tcPr>
          <w:p w14:paraId="49682D72" w14:textId="008DE413"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50</w:t>
            </w:r>
            <w:r w:rsidR="00F22360" w:rsidRPr="00A7082A">
              <w:rPr>
                <w:color w:val="000000"/>
                <w:sz w:val="18"/>
              </w:rPr>
              <w:t xml:space="preserve"> </w:t>
            </w:r>
            <w:r w:rsidRPr="00A7082A">
              <w:rPr>
                <w:color w:val="000000"/>
                <w:sz w:val="18"/>
              </w:rPr>
              <w:t xml:space="preserve">000 </w:t>
            </w:r>
          </w:p>
        </w:tc>
      </w:tr>
      <w:tr w:rsidR="00DA659A" w:rsidRPr="00A7082A" w14:paraId="5AC20429" w14:textId="77777777" w:rsidTr="002E728C">
        <w:trPr>
          <w:trHeight w:val="57"/>
          <w:jc w:val="right"/>
        </w:trPr>
        <w:tc>
          <w:tcPr>
            <w:tcW w:w="993" w:type="dxa"/>
            <w:shd w:val="clear" w:color="auto" w:fill="auto"/>
            <w:noWrap/>
            <w:hideMark/>
          </w:tcPr>
          <w:p w14:paraId="031352B5" w14:textId="77777777" w:rsidR="00DA659A" w:rsidRPr="00A7082A" w:rsidRDefault="00DA659A" w:rsidP="00963095">
            <w:pPr>
              <w:tabs>
                <w:tab w:val="clear" w:pos="1247"/>
                <w:tab w:val="clear" w:pos="1814"/>
                <w:tab w:val="clear" w:pos="2381"/>
                <w:tab w:val="clear" w:pos="2948"/>
                <w:tab w:val="clear" w:pos="3515"/>
              </w:tabs>
              <w:spacing w:before="40" w:after="40"/>
              <w:jc w:val="center"/>
              <w:rPr>
                <w:color w:val="000000"/>
                <w:sz w:val="18"/>
              </w:rPr>
            </w:pPr>
            <w:r w:rsidRPr="00A7082A">
              <w:rPr>
                <w:color w:val="000000"/>
                <w:sz w:val="18"/>
              </w:rPr>
              <w:t> </w:t>
            </w:r>
          </w:p>
        </w:tc>
        <w:tc>
          <w:tcPr>
            <w:tcW w:w="3543" w:type="dxa"/>
            <w:shd w:val="clear" w:color="auto" w:fill="auto"/>
            <w:noWrap/>
            <w:hideMark/>
          </w:tcPr>
          <w:p w14:paraId="17589417" w14:textId="15134600" w:rsidR="00DA659A" w:rsidRPr="00A7082A" w:rsidRDefault="00DA659A" w:rsidP="0045134A">
            <w:pPr>
              <w:pStyle w:val="Normal-pool"/>
              <w:tabs>
                <w:tab w:val="clear" w:pos="1247"/>
                <w:tab w:val="clear" w:pos="1814"/>
                <w:tab w:val="clear" w:pos="2381"/>
                <w:tab w:val="clear" w:pos="2948"/>
                <w:tab w:val="clear" w:pos="3515"/>
                <w:tab w:val="clear" w:pos="4082"/>
              </w:tabs>
              <w:spacing w:before="40" w:after="40"/>
              <w:ind w:left="180" w:hanging="237"/>
              <w:rPr>
                <w:color w:val="000000"/>
                <w:sz w:val="18"/>
              </w:rPr>
            </w:pPr>
            <w:r w:rsidRPr="00A7082A">
              <w:rPr>
                <w:color w:val="000000"/>
                <w:sz w:val="18"/>
              </w:rPr>
              <w:t>5.3 Updating/development of guidance on mercury emissions/releases</w:t>
            </w:r>
          </w:p>
        </w:tc>
        <w:tc>
          <w:tcPr>
            <w:tcW w:w="1238" w:type="dxa"/>
            <w:shd w:val="clear" w:color="auto" w:fill="auto"/>
            <w:noWrap/>
            <w:hideMark/>
          </w:tcPr>
          <w:p w14:paraId="3C3601E3"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shd w:val="clear" w:color="auto" w:fill="auto"/>
            <w:noWrap/>
            <w:hideMark/>
          </w:tcPr>
          <w:p w14:paraId="7EF32F89" w14:textId="774C78C0" w:rsidR="00DA659A" w:rsidRPr="00A7082A" w:rsidRDefault="00DA659A" w:rsidP="009557F8">
            <w:pPr>
              <w:tabs>
                <w:tab w:val="clear" w:pos="1247"/>
                <w:tab w:val="clear" w:pos="1814"/>
                <w:tab w:val="clear" w:pos="2381"/>
                <w:tab w:val="clear" w:pos="2948"/>
                <w:tab w:val="clear" w:pos="3515"/>
              </w:tabs>
              <w:spacing w:before="40" w:after="40"/>
              <w:ind w:right="195"/>
              <w:jc w:val="right"/>
              <w:rPr>
                <w:color w:val="000000"/>
                <w:sz w:val="18"/>
              </w:rPr>
            </w:pPr>
            <w:r w:rsidRPr="00A7082A">
              <w:rPr>
                <w:color w:val="000000"/>
                <w:sz w:val="18"/>
              </w:rPr>
              <w:t>50</w:t>
            </w:r>
            <w:r w:rsidR="00F22360" w:rsidRPr="00A7082A">
              <w:rPr>
                <w:color w:val="000000"/>
                <w:sz w:val="18"/>
              </w:rPr>
              <w:t xml:space="preserve"> </w:t>
            </w:r>
            <w:r w:rsidRPr="00A7082A">
              <w:rPr>
                <w:color w:val="000000"/>
                <w:sz w:val="18"/>
              </w:rPr>
              <w:t xml:space="preserve">000 </w:t>
            </w:r>
          </w:p>
        </w:tc>
        <w:tc>
          <w:tcPr>
            <w:tcW w:w="1238" w:type="dxa"/>
            <w:shd w:val="clear" w:color="auto" w:fill="auto"/>
            <w:noWrap/>
            <w:hideMark/>
          </w:tcPr>
          <w:p w14:paraId="5273A550"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shd w:val="clear" w:color="auto" w:fill="auto"/>
            <w:noWrap/>
            <w:hideMark/>
          </w:tcPr>
          <w:p w14:paraId="3999C25C" w14:textId="26479D9A"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50</w:t>
            </w:r>
            <w:r w:rsidR="00F22360" w:rsidRPr="00A7082A">
              <w:rPr>
                <w:color w:val="000000"/>
                <w:sz w:val="18"/>
              </w:rPr>
              <w:t xml:space="preserve"> </w:t>
            </w:r>
            <w:r w:rsidRPr="00A7082A">
              <w:rPr>
                <w:color w:val="000000"/>
                <w:sz w:val="18"/>
              </w:rPr>
              <w:t xml:space="preserve">000 </w:t>
            </w:r>
          </w:p>
        </w:tc>
      </w:tr>
      <w:tr w:rsidR="00DA659A" w:rsidRPr="00A7082A" w14:paraId="55E0F7A9" w14:textId="77777777" w:rsidTr="002E728C">
        <w:trPr>
          <w:trHeight w:val="57"/>
          <w:jc w:val="right"/>
        </w:trPr>
        <w:tc>
          <w:tcPr>
            <w:tcW w:w="993" w:type="dxa"/>
            <w:shd w:val="clear" w:color="auto" w:fill="auto"/>
            <w:noWrap/>
            <w:hideMark/>
          </w:tcPr>
          <w:p w14:paraId="60267056" w14:textId="77777777" w:rsidR="00DA659A" w:rsidRPr="00A7082A" w:rsidRDefault="00DA659A" w:rsidP="00963095">
            <w:pPr>
              <w:tabs>
                <w:tab w:val="clear" w:pos="1247"/>
                <w:tab w:val="clear" w:pos="1814"/>
                <w:tab w:val="clear" w:pos="2381"/>
                <w:tab w:val="clear" w:pos="2948"/>
                <w:tab w:val="clear" w:pos="3515"/>
              </w:tabs>
              <w:spacing w:before="40" w:after="40"/>
              <w:jc w:val="center"/>
              <w:rPr>
                <w:color w:val="000000"/>
                <w:sz w:val="18"/>
              </w:rPr>
            </w:pPr>
            <w:r w:rsidRPr="00A7082A">
              <w:rPr>
                <w:color w:val="000000"/>
                <w:sz w:val="18"/>
              </w:rPr>
              <w:t> </w:t>
            </w:r>
          </w:p>
        </w:tc>
        <w:tc>
          <w:tcPr>
            <w:tcW w:w="3543" w:type="dxa"/>
            <w:shd w:val="clear" w:color="auto" w:fill="auto"/>
            <w:noWrap/>
            <w:hideMark/>
          </w:tcPr>
          <w:p w14:paraId="3DB06C1C" w14:textId="77777777" w:rsidR="00DA659A" w:rsidRPr="00A7082A" w:rsidRDefault="00DA659A" w:rsidP="0045134A">
            <w:pPr>
              <w:pStyle w:val="Normal-pool"/>
              <w:tabs>
                <w:tab w:val="clear" w:pos="1247"/>
                <w:tab w:val="clear" w:pos="1814"/>
                <w:tab w:val="clear" w:pos="2381"/>
                <w:tab w:val="clear" w:pos="2948"/>
                <w:tab w:val="clear" w:pos="3515"/>
                <w:tab w:val="clear" w:pos="4082"/>
              </w:tabs>
              <w:spacing w:before="40" w:after="40"/>
              <w:ind w:left="180" w:hanging="237"/>
              <w:rPr>
                <w:color w:val="000000"/>
                <w:sz w:val="18"/>
              </w:rPr>
            </w:pPr>
            <w:r w:rsidRPr="00A7082A">
              <w:rPr>
                <w:color w:val="000000"/>
                <w:sz w:val="18"/>
              </w:rPr>
              <w:t>5.4 Information collection and analysis on mercury waste and contaminated sites</w:t>
            </w:r>
          </w:p>
        </w:tc>
        <w:tc>
          <w:tcPr>
            <w:tcW w:w="1238" w:type="dxa"/>
            <w:shd w:val="clear" w:color="auto" w:fill="auto"/>
            <w:noWrap/>
            <w:hideMark/>
          </w:tcPr>
          <w:p w14:paraId="343031FC" w14:textId="036A5B90"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30</w:t>
            </w:r>
            <w:r w:rsidR="00F22360" w:rsidRPr="00A7082A">
              <w:rPr>
                <w:color w:val="000000"/>
                <w:sz w:val="18"/>
              </w:rPr>
              <w:t xml:space="preserve"> </w:t>
            </w:r>
            <w:r w:rsidRPr="00A7082A">
              <w:rPr>
                <w:color w:val="000000"/>
                <w:sz w:val="18"/>
              </w:rPr>
              <w:t xml:space="preserve">000 </w:t>
            </w:r>
          </w:p>
        </w:tc>
        <w:tc>
          <w:tcPr>
            <w:tcW w:w="1239" w:type="dxa"/>
            <w:shd w:val="clear" w:color="auto" w:fill="auto"/>
            <w:noWrap/>
            <w:hideMark/>
          </w:tcPr>
          <w:p w14:paraId="37FA52C9" w14:textId="6D9B77F0" w:rsidR="00DA659A" w:rsidRPr="00A7082A" w:rsidRDefault="00DA659A" w:rsidP="009557F8">
            <w:pPr>
              <w:tabs>
                <w:tab w:val="clear" w:pos="1247"/>
                <w:tab w:val="clear" w:pos="1814"/>
                <w:tab w:val="clear" w:pos="2381"/>
                <w:tab w:val="clear" w:pos="2948"/>
                <w:tab w:val="clear" w:pos="3515"/>
              </w:tabs>
              <w:spacing w:before="40" w:after="40"/>
              <w:ind w:right="195"/>
              <w:jc w:val="right"/>
              <w:rPr>
                <w:color w:val="000000"/>
                <w:sz w:val="18"/>
              </w:rPr>
            </w:pPr>
            <w:r w:rsidRPr="00A7082A">
              <w:rPr>
                <w:color w:val="000000"/>
                <w:sz w:val="18"/>
              </w:rPr>
              <w:t>20</w:t>
            </w:r>
            <w:r w:rsidR="00F22360" w:rsidRPr="00A7082A">
              <w:rPr>
                <w:color w:val="000000"/>
                <w:sz w:val="18"/>
              </w:rPr>
              <w:t xml:space="preserve"> </w:t>
            </w:r>
            <w:r w:rsidRPr="00A7082A">
              <w:rPr>
                <w:color w:val="000000"/>
                <w:sz w:val="18"/>
              </w:rPr>
              <w:t xml:space="preserve">000 </w:t>
            </w:r>
          </w:p>
        </w:tc>
        <w:tc>
          <w:tcPr>
            <w:tcW w:w="1238" w:type="dxa"/>
            <w:shd w:val="clear" w:color="auto" w:fill="auto"/>
            <w:noWrap/>
            <w:hideMark/>
          </w:tcPr>
          <w:p w14:paraId="1946B261" w14:textId="469CDBB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30</w:t>
            </w:r>
            <w:r w:rsidR="00F22360" w:rsidRPr="00A7082A">
              <w:rPr>
                <w:color w:val="000000"/>
                <w:sz w:val="18"/>
              </w:rPr>
              <w:t xml:space="preserve"> </w:t>
            </w:r>
            <w:r w:rsidRPr="00A7082A">
              <w:rPr>
                <w:color w:val="000000"/>
                <w:sz w:val="18"/>
              </w:rPr>
              <w:t xml:space="preserve">000 </w:t>
            </w:r>
          </w:p>
        </w:tc>
        <w:tc>
          <w:tcPr>
            <w:tcW w:w="1239" w:type="dxa"/>
            <w:shd w:val="clear" w:color="auto" w:fill="auto"/>
            <w:noWrap/>
            <w:hideMark/>
          </w:tcPr>
          <w:p w14:paraId="4835E00C" w14:textId="3AA34A4C"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20</w:t>
            </w:r>
            <w:r w:rsidR="00F22360" w:rsidRPr="00A7082A">
              <w:rPr>
                <w:color w:val="000000"/>
                <w:sz w:val="18"/>
              </w:rPr>
              <w:t xml:space="preserve"> </w:t>
            </w:r>
            <w:r w:rsidRPr="00A7082A">
              <w:rPr>
                <w:color w:val="000000"/>
                <w:sz w:val="18"/>
              </w:rPr>
              <w:t xml:space="preserve">000 </w:t>
            </w:r>
          </w:p>
        </w:tc>
      </w:tr>
      <w:tr w:rsidR="00DA659A" w:rsidRPr="00A7082A" w14:paraId="3F8701FD" w14:textId="77777777" w:rsidTr="002E728C">
        <w:trPr>
          <w:trHeight w:val="57"/>
          <w:jc w:val="right"/>
        </w:trPr>
        <w:tc>
          <w:tcPr>
            <w:tcW w:w="993" w:type="dxa"/>
            <w:tcBorders>
              <w:bottom w:val="single" w:sz="4" w:space="0" w:color="000000" w:themeColor="text1"/>
            </w:tcBorders>
            <w:shd w:val="clear" w:color="auto" w:fill="auto"/>
            <w:noWrap/>
            <w:hideMark/>
          </w:tcPr>
          <w:p w14:paraId="3289FD4A" w14:textId="77777777" w:rsidR="00DA659A" w:rsidRPr="00A7082A" w:rsidRDefault="00DA659A" w:rsidP="00963095">
            <w:pPr>
              <w:tabs>
                <w:tab w:val="clear" w:pos="1247"/>
                <w:tab w:val="clear" w:pos="1814"/>
                <w:tab w:val="clear" w:pos="2381"/>
                <w:tab w:val="clear" w:pos="2948"/>
                <w:tab w:val="clear" w:pos="3515"/>
              </w:tabs>
              <w:spacing w:before="40" w:after="40"/>
              <w:jc w:val="center"/>
              <w:rPr>
                <w:color w:val="000000"/>
                <w:sz w:val="18"/>
              </w:rPr>
            </w:pPr>
            <w:r w:rsidRPr="00A7082A">
              <w:rPr>
                <w:color w:val="000000"/>
                <w:sz w:val="18"/>
              </w:rPr>
              <w:t> </w:t>
            </w:r>
          </w:p>
        </w:tc>
        <w:tc>
          <w:tcPr>
            <w:tcW w:w="3543" w:type="dxa"/>
            <w:tcBorders>
              <w:bottom w:val="single" w:sz="4" w:space="0" w:color="000000" w:themeColor="text1"/>
            </w:tcBorders>
            <w:shd w:val="clear" w:color="auto" w:fill="auto"/>
            <w:noWrap/>
            <w:hideMark/>
          </w:tcPr>
          <w:p w14:paraId="72C6D320" w14:textId="77777777" w:rsidR="00DA659A" w:rsidRPr="00A7082A" w:rsidRDefault="00DA659A" w:rsidP="0045134A">
            <w:pPr>
              <w:pStyle w:val="Normal-pool"/>
              <w:tabs>
                <w:tab w:val="clear" w:pos="1247"/>
                <w:tab w:val="clear" w:pos="1814"/>
                <w:tab w:val="clear" w:pos="2381"/>
                <w:tab w:val="clear" w:pos="2948"/>
                <w:tab w:val="clear" w:pos="3515"/>
                <w:tab w:val="clear" w:pos="4082"/>
              </w:tabs>
              <w:spacing w:before="40" w:after="40"/>
              <w:ind w:left="180" w:hanging="237"/>
              <w:rPr>
                <w:color w:val="000000"/>
                <w:sz w:val="18"/>
              </w:rPr>
            </w:pPr>
            <w:r w:rsidRPr="00A7082A">
              <w:rPr>
                <w:color w:val="000000"/>
                <w:sz w:val="18"/>
              </w:rPr>
              <w:t>5.5 Cross-cutting scientific and technical activities</w:t>
            </w:r>
          </w:p>
        </w:tc>
        <w:tc>
          <w:tcPr>
            <w:tcW w:w="1238" w:type="dxa"/>
            <w:tcBorders>
              <w:bottom w:val="single" w:sz="4" w:space="0" w:color="000000" w:themeColor="text1"/>
            </w:tcBorders>
            <w:shd w:val="clear" w:color="auto" w:fill="auto"/>
            <w:noWrap/>
            <w:hideMark/>
          </w:tcPr>
          <w:p w14:paraId="509E6B42"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tcBorders>
              <w:bottom w:val="single" w:sz="4" w:space="0" w:color="000000" w:themeColor="text1"/>
            </w:tcBorders>
            <w:shd w:val="clear" w:color="auto" w:fill="auto"/>
            <w:noWrap/>
            <w:hideMark/>
          </w:tcPr>
          <w:p w14:paraId="6885ADE6" w14:textId="504816AA" w:rsidR="00DA659A" w:rsidRPr="00A7082A" w:rsidRDefault="00DA659A" w:rsidP="009557F8">
            <w:pPr>
              <w:tabs>
                <w:tab w:val="clear" w:pos="1247"/>
                <w:tab w:val="clear" w:pos="1814"/>
                <w:tab w:val="clear" w:pos="2381"/>
                <w:tab w:val="clear" w:pos="2948"/>
                <w:tab w:val="clear" w:pos="3515"/>
              </w:tabs>
              <w:spacing w:before="40" w:after="40"/>
              <w:ind w:right="195"/>
              <w:jc w:val="right"/>
              <w:rPr>
                <w:color w:val="000000"/>
                <w:sz w:val="18"/>
              </w:rPr>
            </w:pPr>
            <w:r w:rsidRPr="00A7082A">
              <w:rPr>
                <w:color w:val="000000"/>
                <w:sz w:val="18"/>
              </w:rPr>
              <w:t>500</w:t>
            </w:r>
            <w:r w:rsidR="00F22360" w:rsidRPr="00A7082A">
              <w:rPr>
                <w:color w:val="000000"/>
                <w:sz w:val="18"/>
              </w:rPr>
              <w:t xml:space="preserve"> </w:t>
            </w:r>
            <w:r w:rsidRPr="00A7082A">
              <w:rPr>
                <w:color w:val="000000"/>
                <w:sz w:val="18"/>
              </w:rPr>
              <w:t xml:space="preserve">000 </w:t>
            </w:r>
          </w:p>
        </w:tc>
        <w:tc>
          <w:tcPr>
            <w:tcW w:w="1238" w:type="dxa"/>
            <w:tcBorders>
              <w:bottom w:val="single" w:sz="4" w:space="0" w:color="000000" w:themeColor="text1"/>
            </w:tcBorders>
            <w:shd w:val="clear" w:color="auto" w:fill="auto"/>
            <w:noWrap/>
            <w:hideMark/>
          </w:tcPr>
          <w:p w14:paraId="6B6D321C"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tcBorders>
              <w:bottom w:val="single" w:sz="4" w:space="0" w:color="000000" w:themeColor="text1"/>
            </w:tcBorders>
            <w:shd w:val="clear" w:color="auto" w:fill="auto"/>
            <w:noWrap/>
            <w:hideMark/>
          </w:tcPr>
          <w:p w14:paraId="5728490B" w14:textId="4C7779BF"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400</w:t>
            </w:r>
            <w:r w:rsidR="00F22360" w:rsidRPr="00A7082A">
              <w:rPr>
                <w:color w:val="000000"/>
                <w:sz w:val="18"/>
              </w:rPr>
              <w:t xml:space="preserve"> </w:t>
            </w:r>
            <w:r w:rsidRPr="00A7082A">
              <w:rPr>
                <w:color w:val="000000"/>
                <w:sz w:val="18"/>
              </w:rPr>
              <w:t xml:space="preserve">000 </w:t>
            </w:r>
          </w:p>
        </w:tc>
      </w:tr>
      <w:tr w:rsidR="00DA659A" w:rsidRPr="00A7082A" w14:paraId="472DF1E2" w14:textId="77777777" w:rsidTr="002E728C">
        <w:trPr>
          <w:trHeight w:val="57"/>
          <w:jc w:val="right"/>
        </w:trPr>
        <w:tc>
          <w:tcPr>
            <w:tcW w:w="993" w:type="dxa"/>
            <w:tcBorders>
              <w:top w:val="single" w:sz="4" w:space="0" w:color="000000" w:themeColor="text1"/>
              <w:bottom w:val="single" w:sz="4" w:space="0" w:color="000000" w:themeColor="text1"/>
            </w:tcBorders>
            <w:shd w:val="clear" w:color="auto" w:fill="auto"/>
            <w:noWrap/>
            <w:hideMark/>
          </w:tcPr>
          <w:p w14:paraId="39641C54" w14:textId="77777777" w:rsidR="00DA659A" w:rsidRPr="00A7082A" w:rsidRDefault="00DA659A" w:rsidP="00963095">
            <w:pPr>
              <w:tabs>
                <w:tab w:val="clear" w:pos="1247"/>
                <w:tab w:val="clear" w:pos="1814"/>
                <w:tab w:val="clear" w:pos="2381"/>
                <w:tab w:val="clear" w:pos="2948"/>
                <w:tab w:val="clear" w:pos="3515"/>
              </w:tabs>
              <w:spacing w:before="40" w:after="40"/>
              <w:jc w:val="center"/>
              <w:rPr>
                <w:color w:val="000000"/>
                <w:sz w:val="18"/>
              </w:rPr>
            </w:pPr>
            <w:r w:rsidRPr="00A7082A">
              <w:rPr>
                <w:color w:val="000000"/>
                <w:sz w:val="18"/>
              </w:rPr>
              <w:t> </w:t>
            </w:r>
          </w:p>
        </w:tc>
        <w:tc>
          <w:tcPr>
            <w:tcW w:w="3543" w:type="dxa"/>
            <w:tcBorders>
              <w:top w:val="single" w:sz="4" w:space="0" w:color="000000" w:themeColor="text1"/>
              <w:bottom w:val="single" w:sz="4" w:space="0" w:color="000000" w:themeColor="text1"/>
            </w:tcBorders>
            <w:shd w:val="clear" w:color="auto" w:fill="auto"/>
            <w:noWrap/>
            <w:hideMark/>
          </w:tcPr>
          <w:p w14:paraId="509F9F0D" w14:textId="1F7138EE" w:rsidR="00DA659A" w:rsidRPr="00A7082A" w:rsidRDefault="00DA659A" w:rsidP="00963095">
            <w:pPr>
              <w:tabs>
                <w:tab w:val="clear" w:pos="1247"/>
                <w:tab w:val="clear" w:pos="1814"/>
                <w:tab w:val="clear" w:pos="2381"/>
                <w:tab w:val="clear" w:pos="2948"/>
                <w:tab w:val="clear" w:pos="3515"/>
              </w:tabs>
              <w:spacing w:before="40" w:after="40"/>
              <w:rPr>
                <w:b/>
                <w:color w:val="000000"/>
                <w:sz w:val="18"/>
              </w:rPr>
            </w:pPr>
            <w:r w:rsidRPr="00A7082A">
              <w:rPr>
                <w:b/>
                <w:color w:val="000000"/>
                <w:sz w:val="18"/>
              </w:rPr>
              <w:t xml:space="preserve">Component </w:t>
            </w:r>
            <w:r w:rsidR="00660CBD" w:rsidRPr="00A7082A">
              <w:rPr>
                <w:b/>
                <w:color w:val="000000"/>
                <w:sz w:val="18"/>
              </w:rPr>
              <w:t>t</w:t>
            </w:r>
            <w:r w:rsidRPr="00A7082A">
              <w:rPr>
                <w:b/>
                <w:color w:val="000000"/>
                <w:sz w:val="18"/>
              </w:rPr>
              <w:t>otal</w:t>
            </w:r>
          </w:p>
        </w:tc>
        <w:tc>
          <w:tcPr>
            <w:tcW w:w="1238" w:type="dxa"/>
            <w:tcBorders>
              <w:top w:val="single" w:sz="4" w:space="0" w:color="000000" w:themeColor="text1"/>
              <w:bottom w:val="single" w:sz="4" w:space="0" w:color="000000" w:themeColor="text1"/>
            </w:tcBorders>
            <w:shd w:val="clear" w:color="auto" w:fill="auto"/>
            <w:noWrap/>
            <w:hideMark/>
          </w:tcPr>
          <w:p w14:paraId="16A59C14" w14:textId="2EDD77F1"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60</w:t>
            </w:r>
            <w:r w:rsidR="00F22360" w:rsidRPr="00A7082A">
              <w:rPr>
                <w:b/>
                <w:color w:val="000000"/>
                <w:sz w:val="18"/>
              </w:rPr>
              <w:t xml:space="preserve"> </w:t>
            </w:r>
            <w:r w:rsidRPr="00A7082A">
              <w:rPr>
                <w:b/>
                <w:color w:val="000000"/>
                <w:sz w:val="18"/>
              </w:rPr>
              <w:t xml:space="preserve">000 </w:t>
            </w:r>
          </w:p>
        </w:tc>
        <w:tc>
          <w:tcPr>
            <w:tcW w:w="1239" w:type="dxa"/>
            <w:tcBorders>
              <w:top w:val="single" w:sz="4" w:space="0" w:color="000000" w:themeColor="text1"/>
              <w:bottom w:val="single" w:sz="4" w:space="0" w:color="000000" w:themeColor="text1"/>
            </w:tcBorders>
            <w:shd w:val="clear" w:color="auto" w:fill="auto"/>
            <w:noWrap/>
            <w:hideMark/>
          </w:tcPr>
          <w:p w14:paraId="6A616362" w14:textId="7586765C" w:rsidR="00DA659A" w:rsidRPr="00A7082A" w:rsidRDefault="00DA659A" w:rsidP="009557F8">
            <w:pPr>
              <w:tabs>
                <w:tab w:val="clear" w:pos="1247"/>
                <w:tab w:val="clear" w:pos="1814"/>
                <w:tab w:val="clear" w:pos="2381"/>
                <w:tab w:val="clear" w:pos="2948"/>
                <w:tab w:val="clear" w:pos="3515"/>
              </w:tabs>
              <w:spacing w:before="40" w:after="40"/>
              <w:ind w:right="195"/>
              <w:jc w:val="right"/>
              <w:rPr>
                <w:b/>
                <w:color w:val="000000"/>
                <w:sz w:val="18"/>
              </w:rPr>
            </w:pPr>
            <w:r w:rsidRPr="00A7082A">
              <w:rPr>
                <w:b/>
                <w:color w:val="000000"/>
                <w:sz w:val="18"/>
              </w:rPr>
              <w:t>620</w:t>
            </w:r>
            <w:r w:rsidR="00F22360" w:rsidRPr="00A7082A">
              <w:rPr>
                <w:b/>
                <w:color w:val="000000"/>
                <w:sz w:val="18"/>
              </w:rPr>
              <w:t xml:space="preserve"> </w:t>
            </w:r>
            <w:r w:rsidRPr="00A7082A">
              <w:rPr>
                <w:b/>
                <w:color w:val="000000"/>
                <w:sz w:val="18"/>
              </w:rPr>
              <w:t xml:space="preserve">000 </w:t>
            </w:r>
          </w:p>
        </w:tc>
        <w:tc>
          <w:tcPr>
            <w:tcW w:w="1238" w:type="dxa"/>
            <w:tcBorders>
              <w:top w:val="single" w:sz="4" w:space="0" w:color="000000" w:themeColor="text1"/>
              <w:bottom w:val="single" w:sz="4" w:space="0" w:color="000000" w:themeColor="text1"/>
            </w:tcBorders>
            <w:shd w:val="clear" w:color="auto" w:fill="auto"/>
            <w:noWrap/>
            <w:hideMark/>
          </w:tcPr>
          <w:p w14:paraId="352EA8AE" w14:textId="4A2C8948"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60</w:t>
            </w:r>
            <w:r w:rsidR="00F22360" w:rsidRPr="00A7082A">
              <w:rPr>
                <w:b/>
                <w:color w:val="000000"/>
                <w:sz w:val="18"/>
              </w:rPr>
              <w:t xml:space="preserve"> </w:t>
            </w:r>
            <w:r w:rsidRPr="00A7082A">
              <w:rPr>
                <w:b/>
                <w:color w:val="000000"/>
                <w:sz w:val="18"/>
              </w:rPr>
              <w:t xml:space="preserve">000 </w:t>
            </w:r>
          </w:p>
        </w:tc>
        <w:tc>
          <w:tcPr>
            <w:tcW w:w="1239" w:type="dxa"/>
            <w:tcBorders>
              <w:top w:val="single" w:sz="4" w:space="0" w:color="000000" w:themeColor="text1"/>
              <w:bottom w:val="single" w:sz="4" w:space="0" w:color="000000" w:themeColor="text1"/>
            </w:tcBorders>
            <w:shd w:val="clear" w:color="auto" w:fill="auto"/>
            <w:noWrap/>
            <w:hideMark/>
          </w:tcPr>
          <w:p w14:paraId="5A09DB46" w14:textId="6109A77F"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520</w:t>
            </w:r>
            <w:r w:rsidR="00F22360" w:rsidRPr="00A7082A">
              <w:rPr>
                <w:b/>
                <w:color w:val="000000"/>
                <w:sz w:val="18"/>
              </w:rPr>
              <w:t xml:space="preserve"> </w:t>
            </w:r>
            <w:r w:rsidRPr="00A7082A">
              <w:rPr>
                <w:b/>
                <w:color w:val="000000"/>
                <w:sz w:val="18"/>
              </w:rPr>
              <w:t xml:space="preserve">000 </w:t>
            </w:r>
          </w:p>
        </w:tc>
      </w:tr>
      <w:tr w:rsidR="00DA659A" w:rsidRPr="00A7082A" w14:paraId="7CC10F25" w14:textId="77777777" w:rsidTr="002E728C">
        <w:trPr>
          <w:trHeight w:val="57"/>
          <w:jc w:val="right"/>
        </w:trPr>
        <w:tc>
          <w:tcPr>
            <w:tcW w:w="993" w:type="dxa"/>
            <w:tcBorders>
              <w:top w:val="single" w:sz="4" w:space="0" w:color="000000" w:themeColor="text1"/>
            </w:tcBorders>
            <w:shd w:val="clear" w:color="auto" w:fill="auto"/>
            <w:noWrap/>
            <w:hideMark/>
          </w:tcPr>
          <w:p w14:paraId="48A542B1" w14:textId="77777777" w:rsidR="00DA659A" w:rsidRPr="00A7082A" w:rsidRDefault="00DA659A" w:rsidP="00963095">
            <w:pPr>
              <w:tabs>
                <w:tab w:val="clear" w:pos="1247"/>
                <w:tab w:val="clear" w:pos="1814"/>
                <w:tab w:val="clear" w:pos="2381"/>
                <w:tab w:val="clear" w:pos="2948"/>
                <w:tab w:val="clear" w:pos="3515"/>
              </w:tabs>
              <w:spacing w:before="40" w:after="40"/>
              <w:jc w:val="center"/>
              <w:rPr>
                <w:b/>
                <w:color w:val="000000"/>
                <w:sz w:val="18"/>
              </w:rPr>
            </w:pPr>
            <w:r w:rsidRPr="00A7082A">
              <w:rPr>
                <w:b/>
                <w:color w:val="000000"/>
                <w:sz w:val="18"/>
              </w:rPr>
              <w:t>6</w:t>
            </w:r>
          </w:p>
        </w:tc>
        <w:tc>
          <w:tcPr>
            <w:tcW w:w="3543" w:type="dxa"/>
            <w:tcBorders>
              <w:top w:val="single" w:sz="4" w:space="0" w:color="000000" w:themeColor="text1"/>
            </w:tcBorders>
            <w:shd w:val="clear" w:color="auto" w:fill="auto"/>
            <w:noWrap/>
            <w:hideMark/>
          </w:tcPr>
          <w:p w14:paraId="06FC671B" w14:textId="6A62D14F" w:rsidR="00DA659A" w:rsidRPr="00A7082A" w:rsidRDefault="00DA659A" w:rsidP="00963095">
            <w:pPr>
              <w:tabs>
                <w:tab w:val="clear" w:pos="1247"/>
                <w:tab w:val="clear" w:pos="1814"/>
                <w:tab w:val="clear" w:pos="2381"/>
                <w:tab w:val="clear" w:pos="2948"/>
                <w:tab w:val="clear" w:pos="3515"/>
              </w:tabs>
              <w:spacing w:before="40" w:after="40"/>
              <w:rPr>
                <w:b/>
                <w:color w:val="000000"/>
                <w:sz w:val="18"/>
              </w:rPr>
            </w:pPr>
            <w:r w:rsidRPr="00A7082A">
              <w:rPr>
                <w:b/>
                <w:color w:val="000000"/>
                <w:sz w:val="18"/>
              </w:rPr>
              <w:t>Effectiveness evaluation</w:t>
            </w:r>
            <w:r w:rsidR="00024235" w:rsidRPr="00A7082A">
              <w:rPr>
                <w:b/>
                <w:color w:val="000000"/>
                <w:sz w:val="18"/>
                <w:vertAlign w:val="superscript"/>
              </w:rPr>
              <w:t>a</w:t>
            </w:r>
            <w:r w:rsidRPr="00A7082A">
              <w:rPr>
                <w:b/>
                <w:color w:val="000000"/>
                <w:sz w:val="18"/>
              </w:rPr>
              <w:t xml:space="preserve"> </w:t>
            </w:r>
          </w:p>
        </w:tc>
        <w:tc>
          <w:tcPr>
            <w:tcW w:w="1238" w:type="dxa"/>
            <w:tcBorders>
              <w:top w:val="single" w:sz="4" w:space="0" w:color="000000" w:themeColor="text1"/>
            </w:tcBorders>
            <w:shd w:val="clear" w:color="auto" w:fill="auto"/>
            <w:noWrap/>
            <w:hideMark/>
          </w:tcPr>
          <w:p w14:paraId="1C0C3261"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tcBorders>
              <w:top w:val="single" w:sz="4" w:space="0" w:color="000000" w:themeColor="text1"/>
            </w:tcBorders>
            <w:shd w:val="clear" w:color="auto" w:fill="auto"/>
            <w:noWrap/>
            <w:hideMark/>
          </w:tcPr>
          <w:p w14:paraId="1AF5763A" w14:textId="77777777" w:rsidR="00DA659A" w:rsidRPr="00A7082A" w:rsidRDefault="00DA659A" w:rsidP="009557F8">
            <w:pPr>
              <w:tabs>
                <w:tab w:val="clear" w:pos="1247"/>
                <w:tab w:val="clear" w:pos="1814"/>
                <w:tab w:val="clear" w:pos="2381"/>
                <w:tab w:val="clear" w:pos="2948"/>
                <w:tab w:val="clear" w:pos="3515"/>
              </w:tabs>
              <w:spacing w:before="40" w:after="40"/>
              <w:ind w:right="195"/>
              <w:jc w:val="right"/>
              <w:rPr>
                <w:color w:val="000000"/>
                <w:sz w:val="18"/>
              </w:rPr>
            </w:pPr>
            <w:r w:rsidRPr="00A7082A">
              <w:rPr>
                <w:color w:val="000000"/>
                <w:sz w:val="18"/>
              </w:rPr>
              <w:t> </w:t>
            </w:r>
          </w:p>
        </w:tc>
        <w:tc>
          <w:tcPr>
            <w:tcW w:w="1238" w:type="dxa"/>
            <w:tcBorders>
              <w:top w:val="single" w:sz="4" w:space="0" w:color="000000" w:themeColor="text1"/>
            </w:tcBorders>
            <w:shd w:val="clear" w:color="auto" w:fill="auto"/>
            <w:noWrap/>
            <w:hideMark/>
          </w:tcPr>
          <w:p w14:paraId="55C55161"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tcBorders>
              <w:top w:val="single" w:sz="4" w:space="0" w:color="000000" w:themeColor="text1"/>
            </w:tcBorders>
            <w:shd w:val="clear" w:color="auto" w:fill="auto"/>
            <w:noWrap/>
            <w:hideMark/>
          </w:tcPr>
          <w:p w14:paraId="0DCFECEE"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r>
      <w:tr w:rsidR="00DA659A" w:rsidRPr="00A7082A" w14:paraId="6CC39EFA" w14:textId="77777777" w:rsidTr="002E728C">
        <w:trPr>
          <w:trHeight w:val="57"/>
          <w:jc w:val="right"/>
        </w:trPr>
        <w:tc>
          <w:tcPr>
            <w:tcW w:w="993" w:type="dxa"/>
            <w:shd w:val="clear" w:color="auto" w:fill="auto"/>
            <w:noWrap/>
            <w:hideMark/>
          </w:tcPr>
          <w:p w14:paraId="156EF07C" w14:textId="77777777" w:rsidR="00DA659A" w:rsidRPr="00A7082A" w:rsidRDefault="00DA659A" w:rsidP="00963095">
            <w:pPr>
              <w:tabs>
                <w:tab w:val="clear" w:pos="1247"/>
                <w:tab w:val="clear" w:pos="1814"/>
                <w:tab w:val="clear" w:pos="2381"/>
                <w:tab w:val="clear" w:pos="2948"/>
                <w:tab w:val="clear" w:pos="3515"/>
              </w:tabs>
              <w:spacing w:before="40" w:after="40"/>
              <w:jc w:val="center"/>
              <w:rPr>
                <w:color w:val="000000"/>
                <w:sz w:val="18"/>
              </w:rPr>
            </w:pPr>
            <w:r w:rsidRPr="00A7082A">
              <w:rPr>
                <w:color w:val="000000"/>
                <w:sz w:val="18"/>
              </w:rPr>
              <w:t> </w:t>
            </w:r>
          </w:p>
        </w:tc>
        <w:tc>
          <w:tcPr>
            <w:tcW w:w="3543" w:type="dxa"/>
            <w:shd w:val="clear" w:color="auto" w:fill="auto"/>
            <w:noWrap/>
            <w:hideMark/>
          </w:tcPr>
          <w:p w14:paraId="5C0C8A34" w14:textId="77777777" w:rsidR="00DA659A" w:rsidRPr="00A7082A" w:rsidRDefault="00DA659A" w:rsidP="0045134A">
            <w:pPr>
              <w:pStyle w:val="Normal-pool"/>
              <w:tabs>
                <w:tab w:val="clear" w:pos="1247"/>
                <w:tab w:val="clear" w:pos="1814"/>
                <w:tab w:val="clear" w:pos="2381"/>
                <w:tab w:val="clear" w:pos="2948"/>
                <w:tab w:val="clear" w:pos="3515"/>
                <w:tab w:val="clear" w:pos="4082"/>
              </w:tabs>
              <w:spacing w:before="40" w:after="40"/>
              <w:ind w:left="180" w:hanging="237"/>
              <w:rPr>
                <w:color w:val="000000"/>
                <w:sz w:val="18"/>
              </w:rPr>
            </w:pPr>
            <w:r w:rsidRPr="00A7082A">
              <w:rPr>
                <w:color w:val="000000"/>
                <w:sz w:val="18"/>
              </w:rPr>
              <w:t xml:space="preserve">6.1 Development of draft guidance on monitoring </w:t>
            </w:r>
          </w:p>
        </w:tc>
        <w:tc>
          <w:tcPr>
            <w:tcW w:w="1238" w:type="dxa"/>
            <w:shd w:val="clear" w:color="auto" w:fill="auto"/>
            <w:noWrap/>
            <w:hideMark/>
          </w:tcPr>
          <w:p w14:paraId="681EDFD4" w14:textId="33E6DD71" w:rsidR="00DA659A" w:rsidRPr="00A7082A" w:rsidRDefault="00DA659A" w:rsidP="009D036D">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85</w:t>
            </w:r>
            <w:r w:rsidR="00F22360" w:rsidRPr="00A7082A">
              <w:rPr>
                <w:color w:val="000000"/>
                <w:sz w:val="18"/>
              </w:rPr>
              <w:t xml:space="preserve"> </w:t>
            </w:r>
            <w:r w:rsidRPr="00A7082A">
              <w:rPr>
                <w:color w:val="000000"/>
                <w:sz w:val="18"/>
              </w:rPr>
              <w:t>000</w:t>
            </w:r>
          </w:p>
        </w:tc>
        <w:tc>
          <w:tcPr>
            <w:tcW w:w="1239" w:type="dxa"/>
            <w:shd w:val="clear" w:color="auto" w:fill="auto"/>
            <w:noWrap/>
            <w:hideMark/>
          </w:tcPr>
          <w:p w14:paraId="037DBA49" w14:textId="2EF8C4CC" w:rsidR="00DA659A" w:rsidRPr="00A7082A" w:rsidRDefault="00DA659A" w:rsidP="009557F8">
            <w:pPr>
              <w:tabs>
                <w:tab w:val="clear" w:pos="1247"/>
                <w:tab w:val="clear" w:pos="1814"/>
                <w:tab w:val="clear" w:pos="2381"/>
                <w:tab w:val="clear" w:pos="2948"/>
                <w:tab w:val="clear" w:pos="3515"/>
              </w:tabs>
              <w:spacing w:before="40" w:after="40"/>
              <w:ind w:right="195"/>
              <w:jc w:val="right"/>
              <w:rPr>
                <w:color w:val="000000"/>
                <w:sz w:val="18"/>
              </w:rPr>
            </w:pPr>
            <w:r w:rsidRPr="00A7082A">
              <w:rPr>
                <w:color w:val="000000"/>
                <w:sz w:val="18"/>
              </w:rPr>
              <w:t>150</w:t>
            </w:r>
            <w:r w:rsidR="00F22360" w:rsidRPr="00A7082A">
              <w:rPr>
                <w:color w:val="000000"/>
                <w:sz w:val="18"/>
              </w:rPr>
              <w:t xml:space="preserve"> </w:t>
            </w:r>
            <w:r w:rsidRPr="00A7082A">
              <w:rPr>
                <w:color w:val="000000"/>
                <w:sz w:val="18"/>
              </w:rPr>
              <w:t xml:space="preserve">000 </w:t>
            </w:r>
          </w:p>
        </w:tc>
        <w:tc>
          <w:tcPr>
            <w:tcW w:w="1238" w:type="dxa"/>
            <w:shd w:val="clear" w:color="auto" w:fill="auto"/>
            <w:noWrap/>
            <w:hideMark/>
          </w:tcPr>
          <w:p w14:paraId="09603613" w14:textId="7C7F55E0"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85</w:t>
            </w:r>
            <w:r w:rsidR="00F22360" w:rsidRPr="00A7082A">
              <w:rPr>
                <w:color w:val="000000"/>
                <w:sz w:val="18"/>
              </w:rPr>
              <w:t xml:space="preserve"> </w:t>
            </w:r>
            <w:r w:rsidRPr="00A7082A">
              <w:rPr>
                <w:color w:val="000000"/>
                <w:sz w:val="18"/>
              </w:rPr>
              <w:t xml:space="preserve">000 </w:t>
            </w:r>
          </w:p>
        </w:tc>
        <w:tc>
          <w:tcPr>
            <w:tcW w:w="1239" w:type="dxa"/>
            <w:shd w:val="clear" w:color="auto" w:fill="auto"/>
            <w:noWrap/>
            <w:hideMark/>
          </w:tcPr>
          <w:p w14:paraId="4B07292E"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r>
      <w:tr w:rsidR="00DA659A" w:rsidRPr="00A7082A" w14:paraId="54E87368" w14:textId="77777777" w:rsidTr="002E728C">
        <w:trPr>
          <w:trHeight w:val="57"/>
          <w:jc w:val="right"/>
        </w:trPr>
        <w:tc>
          <w:tcPr>
            <w:tcW w:w="993" w:type="dxa"/>
            <w:tcBorders>
              <w:bottom w:val="single" w:sz="4" w:space="0" w:color="auto"/>
            </w:tcBorders>
            <w:shd w:val="clear" w:color="auto" w:fill="auto"/>
            <w:noWrap/>
            <w:hideMark/>
          </w:tcPr>
          <w:p w14:paraId="27B6D1C9" w14:textId="77777777" w:rsidR="00DA659A" w:rsidRPr="00A7082A" w:rsidRDefault="00DA659A" w:rsidP="00963095">
            <w:pPr>
              <w:tabs>
                <w:tab w:val="clear" w:pos="1247"/>
                <w:tab w:val="clear" w:pos="1814"/>
                <w:tab w:val="clear" w:pos="2381"/>
                <w:tab w:val="clear" w:pos="2948"/>
                <w:tab w:val="clear" w:pos="3515"/>
              </w:tabs>
              <w:spacing w:before="40" w:after="40"/>
              <w:jc w:val="center"/>
              <w:rPr>
                <w:color w:val="000000"/>
                <w:sz w:val="18"/>
              </w:rPr>
            </w:pPr>
            <w:r w:rsidRPr="00A7082A">
              <w:rPr>
                <w:color w:val="000000"/>
                <w:sz w:val="18"/>
              </w:rPr>
              <w:t> </w:t>
            </w:r>
          </w:p>
        </w:tc>
        <w:tc>
          <w:tcPr>
            <w:tcW w:w="3543" w:type="dxa"/>
            <w:tcBorders>
              <w:bottom w:val="single" w:sz="4" w:space="0" w:color="auto"/>
            </w:tcBorders>
            <w:shd w:val="clear" w:color="auto" w:fill="auto"/>
            <w:noWrap/>
            <w:hideMark/>
          </w:tcPr>
          <w:p w14:paraId="2B9AD454" w14:textId="77777777" w:rsidR="00DA659A" w:rsidRPr="00A7082A" w:rsidRDefault="00DA659A" w:rsidP="0045134A">
            <w:pPr>
              <w:pStyle w:val="Normal-pool"/>
              <w:tabs>
                <w:tab w:val="clear" w:pos="1247"/>
                <w:tab w:val="clear" w:pos="1814"/>
                <w:tab w:val="clear" w:pos="2381"/>
                <w:tab w:val="clear" w:pos="2948"/>
                <w:tab w:val="clear" w:pos="3515"/>
                <w:tab w:val="clear" w:pos="4082"/>
              </w:tabs>
              <w:spacing w:before="40" w:after="40"/>
              <w:ind w:left="180" w:hanging="237"/>
              <w:rPr>
                <w:color w:val="000000"/>
                <w:sz w:val="18"/>
              </w:rPr>
            </w:pPr>
            <w:r w:rsidRPr="00A7082A">
              <w:rPr>
                <w:color w:val="000000"/>
                <w:sz w:val="18"/>
              </w:rPr>
              <w:t xml:space="preserve">6.2 Development of trade, supply and demand report </w:t>
            </w:r>
          </w:p>
        </w:tc>
        <w:tc>
          <w:tcPr>
            <w:tcW w:w="1238" w:type="dxa"/>
            <w:tcBorders>
              <w:bottom w:val="single" w:sz="4" w:space="0" w:color="auto"/>
            </w:tcBorders>
            <w:shd w:val="clear" w:color="auto" w:fill="auto"/>
            <w:noWrap/>
            <w:hideMark/>
          </w:tcPr>
          <w:p w14:paraId="6DD058DA"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tcBorders>
              <w:bottom w:val="single" w:sz="4" w:space="0" w:color="auto"/>
            </w:tcBorders>
            <w:shd w:val="clear" w:color="auto" w:fill="auto"/>
            <w:noWrap/>
            <w:hideMark/>
          </w:tcPr>
          <w:p w14:paraId="6CEDA831" w14:textId="77777777" w:rsidR="00DA659A" w:rsidRPr="00A7082A" w:rsidRDefault="00DA659A" w:rsidP="009557F8">
            <w:pPr>
              <w:tabs>
                <w:tab w:val="clear" w:pos="1247"/>
                <w:tab w:val="clear" w:pos="1814"/>
                <w:tab w:val="clear" w:pos="2381"/>
                <w:tab w:val="clear" w:pos="2948"/>
                <w:tab w:val="clear" w:pos="3515"/>
              </w:tabs>
              <w:spacing w:before="40" w:after="40"/>
              <w:ind w:right="195"/>
              <w:jc w:val="right"/>
              <w:rPr>
                <w:color w:val="000000"/>
                <w:sz w:val="18"/>
              </w:rPr>
            </w:pPr>
            <w:r w:rsidRPr="00A7082A">
              <w:rPr>
                <w:color w:val="000000"/>
                <w:sz w:val="18"/>
              </w:rPr>
              <w:t> </w:t>
            </w:r>
          </w:p>
        </w:tc>
        <w:tc>
          <w:tcPr>
            <w:tcW w:w="1238" w:type="dxa"/>
            <w:tcBorders>
              <w:bottom w:val="single" w:sz="4" w:space="0" w:color="auto"/>
            </w:tcBorders>
            <w:shd w:val="clear" w:color="auto" w:fill="auto"/>
            <w:noWrap/>
            <w:hideMark/>
          </w:tcPr>
          <w:p w14:paraId="745A4986" w14:textId="0990CB4F"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200</w:t>
            </w:r>
            <w:r w:rsidR="00F22360" w:rsidRPr="00A7082A">
              <w:rPr>
                <w:color w:val="000000"/>
                <w:sz w:val="18"/>
              </w:rPr>
              <w:t xml:space="preserve"> </w:t>
            </w:r>
            <w:r w:rsidRPr="00A7082A">
              <w:rPr>
                <w:color w:val="000000"/>
                <w:sz w:val="18"/>
              </w:rPr>
              <w:t xml:space="preserve">000 </w:t>
            </w:r>
          </w:p>
        </w:tc>
        <w:tc>
          <w:tcPr>
            <w:tcW w:w="1239" w:type="dxa"/>
            <w:tcBorders>
              <w:bottom w:val="single" w:sz="4" w:space="0" w:color="auto"/>
            </w:tcBorders>
            <w:shd w:val="clear" w:color="auto" w:fill="auto"/>
            <w:noWrap/>
            <w:hideMark/>
          </w:tcPr>
          <w:p w14:paraId="46C37EE8"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r>
      <w:tr w:rsidR="00DA659A" w:rsidRPr="00A7082A" w14:paraId="658498A1" w14:textId="77777777" w:rsidTr="002E728C">
        <w:trPr>
          <w:trHeight w:val="57"/>
          <w:jc w:val="right"/>
        </w:trPr>
        <w:tc>
          <w:tcPr>
            <w:tcW w:w="993" w:type="dxa"/>
            <w:tcBorders>
              <w:top w:val="single" w:sz="4" w:space="0" w:color="auto"/>
              <w:bottom w:val="single" w:sz="4" w:space="0" w:color="auto"/>
            </w:tcBorders>
            <w:shd w:val="clear" w:color="auto" w:fill="auto"/>
            <w:noWrap/>
            <w:hideMark/>
          </w:tcPr>
          <w:p w14:paraId="74A0308C" w14:textId="77777777" w:rsidR="00DA659A" w:rsidRPr="00A7082A" w:rsidRDefault="00DA659A" w:rsidP="00963095">
            <w:pPr>
              <w:tabs>
                <w:tab w:val="clear" w:pos="1247"/>
                <w:tab w:val="clear" w:pos="1814"/>
                <w:tab w:val="clear" w:pos="2381"/>
                <w:tab w:val="clear" w:pos="2948"/>
                <w:tab w:val="clear" w:pos="3515"/>
              </w:tabs>
              <w:spacing w:before="40" w:after="40"/>
              <w:jc w:val="center"/>
              <w:rPr>
                <w:color w:val="000000"/>
                <w:sz w:val="18"/>
              </w:rPr>
            </w:pPr>
            <w:r w:rsidRPr="00A7082A">
              <w:rPr>
                <w:color w:val="000000"/>
                <w:sz w:val="18"/>
              </w:rPr>
              <w:t> </w:t>
            </w:r>
          </w:p>
        </w:tc>
        <w:tc>
          <w:tcPr>
            <w:tcW w:w="3543" w:type="dxa"/>
            <w:tcBorders>
              <w:top w:val="single" w:sz="4" w:space="0" w:color="auto"/>
              <w:bottom w:val="single" w:sz="4" w:space="0" w:color="auto"/>
            </w:tcBorders>
            <w:shd w:val="clear" w:color="auto" w:fill="auto"/>
            <w:noWrap/>
            <w:hideMark/>
          </w:tcPr>
          <w:p w14:paraId="40736DE9" w14:textId="047A4EE8" w:rsidR="00DA659A" w:rsidRPr="00A7082A" w:rsidRDefault="00DA659A" w:rsidP="00963095">
            <w:pPr>
              <w:tabs>
                <w:tab w:val="clear" w:pos="1247"/>
                <w:tab w:val="clear" w:pos="1814"/>
                <w:tab w:val="clear" w:pos="2381"/>
                <w:tab w:val="clear" w:pos="2948"/>
                <w:tab w:val="clear" w:pos="3515"/>
              </w:tabs>
              <w:spacing w:before="40" w:after="40"/>
              <w:rPr>
                <w:b/>
                <w:color w:val="000000"/>
                <w:sz w:val="18"/>
              </w:rPr>
            </w:pPr>
            <w:r w:rsidRPr="00A7082A">
              <w:rPr>
                <w:b/>
                <w:color w:val="000000"/>
                <w:sz w:val="18"/>
              </w:rPr>
              <w:t xml:space="preserve">Component </w:t>
            </w:r>
            <w:r w:rsidR="00BC351B" w:rsidRPr="00A7082A">
              <w:rPr>
                <w:b/>
                <w:color w:val="000000"/>
                <w:sz w:val="18"/>
              </w:rPr>
              <w:t>t</w:t>
            </w:r>
            <w:r w:rsidRPr="00A7082A">
              <w:rPr>
                <w:b/>
                <w:color w:val="000000"/>
                <w:sz w:val="18"/>
              </w:rPr>
              <w:t>otal</w:t>
            </w:r>
            <w:r w:rsidR="00653DA0" w:rsidRPr="00A7082A">
              <w:rPr>
                <w:b/>
                <w:color w:val="000000"/>
                <w:sz w:val="18"/>
              </w:rPr>
              <w:t xml:space="preserve"> </w:t>
            </w:r>
          </w:p>
        </w:tc>
        <w:tc>
          <w:tcPr>
            <w:tcW w:w="1238" w:type="dxa"/>
            <w:tcBorders>
              <w:top w:val="single" w:sz="4" w:space="0" w:color="auto"/>
              <w:bottom w:val="single" w:sz="4" w:space="0" w:color="auto"/>
            </w:tcBorders>
            <w:shd w:val="clear" w:color="auto" w:fill="auto"/>
            <w:noWrap/>
            <w:hideMark/>
          </w:tcPr>
          <w:p w14:paraId="274C51A6" w14:textId="00883582" w:rsidR="00DA659A" w:rsidRPr="00A7082A" w:rsidRDefault="00DA659A" w:rsidP="009557F8">
            <w:pPr>
              <w:tabs>
                <w:tab w:val="clear" w:pos="1247"/>
                <w:tab w:val="clear" w:pos="1814"/>
                <w:tab w:val="clear" w:pos="2381"/>
                <w:tab w:val="clear" w:pos="2948"/>
                <w:tab w:val="clear" w:pos="3515"/>
              </w:tabs>
              <w:spacing w:before="40" w:after="40"/>
              <w:jc w:val="right"/>
              <w:rPr>
                <w:b/>
                <w:sz w:val="18"/>
              </w:rPr>
            </w:pPr>
            <w:r w:rsidRPr="00A7082A">
              <w:rPr>
                <w:b/>
                <w:sz w:val="18"/>
              </w:rPr>
              <w:t>85</w:t>
            </w:r>
            <w:r w:rsidR="00F22360" w:rsidRPr="00A7082A">
              <w:rPr>
                <w:b/>
                <w:sz w:val="18"/>
              </w:rPr>
              <w:t xml:space="preserve"> </w:t>
            </w:r>
            <w:r w:rsidRPr="00A7082A">
              <w:rPr>
                <w:b/>
                <w:sz w:val="18"/>
              </w:rPr>
              <w:t xml:space="preserve">000 </w:t>
            </w:r>
          </w:p>
        </w:tc>
        <w:tc>
          <w:tcPr>
            <w:tcW w:w="1239" w:type="dxa"/>
            <w:tcBorders>
              <w:top w:val="single" w:sz="4" w:space="0" w:color="auto"/>
              <w:bottom w:val="single" w:sz="4" w:space="0" w:color="auto"/>
            </w:tcBorders>
            <w:shd w:val="clear" w:color="auto" w:fill="auto"/>
            <w:noWrap/>
            <w:hideMark/>
          </w:tcPr>
          <w:p w14:paraId="35E50427" w14:textId="79D85F4D" w:rsidR="00DA659A" w:rsidRPr="00A7082A" w:rsidRDefault="00DA659A" w:rsidP="009557F8">
            <w:pPr>
              <w:tabs>
                <w:tab w:val="clear" w:pos="1247"/>
                <w:tab w:val="clear" w:pos="1814"/>
                <w:tab w:val="clear" w:pos="2381"/>
                <w:tab w:val="clear" w:pos="2948"/>
                <w:tab w:val="clear" w:pos="3515"/>
              </w:tabs>
              <w:spacing w:before="40" w:after="40"/>
              <w:ind w:right="195"/>
              <w:jc w:val="right"/>
              <w:rPr>
                <w:b/>
                <w:sz w:val="18"/>
              </w:rPr>
            </w:pPr>
            <w:r w:rsidRPr="00A7082A">
              <w:rPr>
                <w:b/>
                <w:sz w:val="18"/>
              </w:rPr>
              <w:t>150</w:t>
            </w:r>
            <w:r w:rsidR="00F22360" w:rsidRPr="00A7082A">
              <w:rPr>
                <w:b/>
                <w:sz w:val="18"/>
              </w:rPr>
              <w:t xml:space="preserve"> </w:t>
            </w:r>
            <w:r w:rsidRPr="00A7082A">
              <w:rPr>
                <w:b/>
                <w:sz w:val="18"/>
              </w:rPr>
              <w:t xml:space="preserve">000 </w:t>
            </w:r>
          </w:p>
        </w:tc>
        <w:tc>
          <w:tcPr>
            <w:tcW w:w="1238" w:type="dxa"/>
            <w:tcBorders>
              <w:top w:val="single" w:sz="4" w:space="0" w:color="auto"/>
              <w:bottom w:val="single" w:sz="4" w:space="0" w:color="auto"/>
            </w:tcBorders>
            <w:shd w:val="clear" w:color="auto" w:fill="auto"/>
            <w:noWrap/>
            <w:hideMark/>
          </w:tcPr>
          <w:p w14:paraId="2DDD2483" w14:textId="2B69E528" w:rsidR="00DA659A" w:rsidRPr="00A7082A" w:rsidRDefault="00DA659A" w:rsidP="009557F8">
            <w:pPr>
              <w:tabs>
                <w:tab w:val="clear" w:pos="1247"/>
                <w:tab w:val="clear" w:pos="1814"/>
                <w:tab w:val="clear" w:pos="2381"/>
                <w:tab w:val="clear" w:pos="2948"/>
                <w:tab w:val="clear" w:pos="3515"/>
              </w:tabs>
              <w:spacing w:before="40" w:after="40"/>
              <w:jc w:val="right"/>
              <w:rPr>
                <w:b/>
                <w:sz w:val="18"/>
              </w:rPr>
            </w:pPr>
            <w:r w:rsidRPr="00A7082A">
              <w:rPr>
                <w:b/>
                <w:sz w:val="18"/>
              </w:rPr>
              <w:t>285</w:t>
            </w:r>
            <w:r w:rsidR="00F22360" w:rsidRPr="00A7082A">
              <w:rPr>
                <w:b/>
                <w:sz w:val="18"/>
              </w:rPr>
              <w:t xml:space="preserve"> </w:t>
            </w:r>
            <w:r w:rsidRPr="00A7082A">
              <w:rPr>
                <w:b/>
                <w:sz w:val="18"/>
              </w:rPr>
              <w:t xml:space="preserve">000 </w:t>
            </w:r>
          </w:p>
        </w:tc>
        <w:tc>
          <w:tcPr>
            <w:tcW w:w="1239" w:type="dxa"/>
            <w:tcBorders>
              <w:top w:val="single" w:sz="4" w:space="0" w:color="auto"/>
              <w:bottom w:val="single" w:sz="4" w:space="0" w:color="auto"/>
            </w:tcBorders>
            <w:shd w:val="clear" w:color="auto" w:fill="auto"/>
            <w:noWrap/>
            <w:hideMark/>
          </w:tcPr>
          <w:p w14:paraId="17CE6EFD" w14:textId="77777777" w:rsidR="00DA659A" w:rsidRPr="00A7082A" w:rsidRDefault="00DA659A" w:rsidP="009557F8">
            <w:pPr>
              <w:tabs>
                <w:tab w:val="clear" w:pos="1247"/>
                <w:tab w:val="clear" w:pos="1814"/>
                <w:tab w:val="clear" w:pos="2381"/>
                <w:tab w:val="clear" w:pos="2948"/>
                <w:tab w:val="clear" w:pos="3515"/>
              </w:tabs>
              <w:spacing w:before="40" w:after="40"/>
              <w:jc w:val="right"/>
              <w:rPr>
                <w:b/>
                <w:sz w:val="18"/>
              </w:rPr>
            </w:pPr>
            <w:r w:rsidRPr="00A7082A">
              <w:rPr>
                <w:b/>
                <w:sz w:val="18"/>
              </w:rPr>
              <w:t> </w:t>
            </w:r>
          </w:p>
        </w:tc>
      </w:tr>
      <w:tr w:rsidR="00DA659A" w:rsidRPr="00A7082A" w14:paraId="30ADBA8D" w14:textId="77777777" w:rsidTr="002E728C">
        <w:trPr>
          <w:trHeight w:val="57"/>
          <w:jc w:val="right"/>
        </w:trPr>
        <w:tc>
          <w:tcPr>
            <w:tcW w:w="993" w:type="dxa"/>
            <w:tcBorders>
              <w:top w:val="single" w:sz="4" w:space="0" w:color="auto"/>
            </w:tcBorders>
            <w:shd w:val="clear" w:color="auto" w:fill="auto"/>
            <w:noWrap/>
            <w:hideMark/>
          </w:tcPr>
          <w:p w14:paraId="2AE04596" w14:textId="77777777" w:rsidR="00DA659A" w:rsidRPr="00A7082A" w:rsidRDefault="00DA659A" w:rsidP="00963095">
            <w:pPr>
              <w:tabs>
                <w:tab w:val="clear" w:pos="1247"/>
                <w:tab w:val="clear" w:pos="1814"/>
                <w:tab w:val="clear" w:pos="2381"/>
                <w:tab w:val="clear" w:pos="2948"/>
                <w:tab w:val="clear" w:pos="3515"/>
              </w:tabs>
              <w:spacing w:before="40" w:after="40"/>
              <w:jc w:val="center"/>
              <w:rPr>
                <w:b/>
                <w:color w:val="000000"/>
                <w:sz w:val="18"/>
              </w:rPr>
            </w:pPr>
            <w:r w:rsidRPr="00A7082A">
              <w:rPr>
                <w:b/>
                <w:color w:val="000000"/>
                <w:sz w:val="18"/>
              </w:rPr>
              <w:t>7</w:t>
            </w:r>
          </w:p>
        </w:tc>
        <w:tc>
          <w:tcPr>
            <w:tcW w:w="3543" w:type="dxa"/>
            <w:tcBorders>
              <w:top w:val="single" w:sz="4" w:space="0" w:color="auto"/>
            </w:tcBorders>
            <w:shd w:val="clear" w:color="auto" w:fill="auto"/>
            <w:noWrap/>
            <w:hideMark/>
          </w:tcPr>
          <w:p w14:paraId="78DA50F3" w14:textId="77777777" w:rsidR="00DA659A" w:rsidRPr="00A7082A" w:rsidRDefault="00DA659A" w:rsidP="00963095">
            <w:pPr>
              <w:tabs>
                <w:tab w:val="clear" w:pos="1247"/>
                <w:tab w:val="clear" w:pos="1814"/>
                <w:tab w:val="clear" w:pos="2381"/>
                <w:tab w:val="clear" w:pos="2948"/>
                <w:tab w:val="clear" w:pos="3515"/>
              </w:tabs>
              <w:spacing w:before="40" w:after="40"/>
              <w:rPr>
                <w:b/>
                <w:color w:val="000000"/>
                <w:sz w:val="18"/>
              </w:rPr>
            </w:pPr>
            <w:r w:rsidRPr="00A7082A">
              <w:rPr>
                <w:b/>
                <w:color w:val="000000"/>
                <w:sz w:val="18"/>
              </w:rPr>
              <w:t>National reporting under the Minamata Convention</w:t>
            </w:r>
          </w:p>
        </w:tc>
        <w:tc>
          <w:tcPr>
            <w:tcW w:w="1238" w:type="dxa"/>
            <w:tcBorders>
              <w:top w:val="single" w:sz="4" w:space="0" w:color="auto"/>
            </w:tcBorders>
            <w:shd w:val="clear" w:color="auto" w:fill="auto"/>
            <w:noWrap/>
            <w:hideMark/>
          </w:tcPr>
          <w:p w14:paraId="6A6062BA"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tcBorders>
              <w:top w:val="single" w:sz="4" w:space="0" w:color="auto"/>
            </w:tcBorders>
            <w:shd w:val="clear" w:color="auto" w:fill="auto"/>
            <w:noWrap/>
            <w:hideMark/>
          </w:tcPr>
          <w:p w14:paraId="0EB85B81" w14:textId="77777777" w:rsidR="00DA659A" w:rsidRPr="00A7082A" w:rsidRDefault="00DA659A" w:rsidP="009557F8">
            <w:pPr>
              <w:tabs>
                <w:tab w:val="clear" w:pos="1247"/>
                <w:tab w:val="clear" w:pos="1814"/>
                <w:tab w:val="clear" w:pos="2381"/>
                <w:tab w:val="clear" w:pos="2948"/>
                <w:tab w:val="clear" w:pos="3515"/>
              </w:tabs>
              <w:spacing w:before="40" w:after="40"/>
              <w:ind w:right="195"/>
              <w:jc w:val="right"/>
              <w:rPr>
                <w:color w:val="000000"/>
                <w:sz w:val="18"/>
              </w:rPr>
            </w:pPr>
            <w:r w:rsidRPr="00A7082A">
              <w:rPr>
                <w:color w:val="000000"/>
                <w:sz w:val="18"/>
              </w:rPr>
              <w:t> </w:t>
            </w:r>
          </w:p>
        </w:tc>
        <w:tc>
          <w:tcPr>
            <w:tcW w:w="1238" w:type="dxa"/>
            <w:tcBorders>
              <w:top w:val="single" w:sz="4" w:space="0" w:color="auto"/>
            </w:tcBorders>
            <w:shd w:val="clear" w:color="auto" w:fill="auto"/>
            <w:noWrap/>
            <w:hideMark/>
          </w:tcPr>
          <w:p w14:paraId="519B26D9"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tcBorders>
              <w:top w:val="single" w:sz="4" w:space="0" w:color="auto"/>
            </w:tcBorders>
            <w:shd w:val="clear" w:color="auto" w:fill="auto"/>
            <w:noWrap/>
            <w:hideMark/>
          </w:tcPr>
          <w:p w14:paraId="482E3B82"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r>
      <w:tr w:rsidR="00DA659A" w:rsidRPr="00A7082A" w14:paraId="7C6BB890" w14:textId="77777777" w:rsidTr="002E728C">
        <w:trPr>
          <w:trHeight w:val="57"/>
          <w:jc w:val="right"/>
        </w:trPr>
        <w:tc>
          <w:tcPr>
            <w:tcW w:w="993" w:type="dxa"/>
            <w:tcBorders>
              <w:bottom w:val="single" w:sz="4" w:space="0" w:color="000000" w:themeColor="text1"/>
            </w:tcBorders>
            <w:shd w:val="clear" w:color="auto" w:fill="auto"/>
            <w:noWrap/>
            <w:hideMark/>
          </w:tcPr>
          <w:p w14:paraId="13DA8246" w14:textId="77777777" w:rsidR="00DA659A" w:rsidRPr="00A7082A" w:rsidRDefault="00DA659A" w:rsidP="00963095">
            <w:pPr>
              <w:tabs>
                <w:tab w:val="clear" w:pos="1247"/>
                <w:tab w:val="clear" w:pos="1814"/>
                <w:tab w:val="clear" w:pos="2381"/>
                <w:tab w:val="clear" w:pos="2948"/>
                <w:tab w:val="clear" w:pos="3515"/>
              </w:tabs>
              <w:spacing w:before="40" w:after="40"/>
              <w:jc w:val="center"/>
              <w:rPr>
                <w:color w:val="000000"/>
                <w:sz w:val="18"/>
              </w:rPr>
            </w:pPr>
            <w:r w:rsidRPr="00A7082A">
              <w:rPr>
                <w:color w:val="000000"/>
                <w:sz w:val="18"/>
              </w:rPr>
              <w:t> </w:t>
            </w:r>
          </w:p>
        </w:tc>
        <w:tc>
          <w:tcPr>
            <w:tcW w:w="3543" w:type="dxa"/>
            <w:tcBorders>
              <w:bottom w:val="single" w:sz="4" w:space="0" w:color="000000" w:themeColor="text1"/>
            </w:tcBorders>
            <w:shd w:val="clear" w:color="auto" w:fill="auto"/>
            <w:noWrap/>
            <w:hideMark/>
          </w:tcPr>
          <w:p w14:paraId="40C4831C" w14:textId="77777777" w:rsidR="00DA659A" w:rsidRPr="00A7082A" w:rsidRDefault="00DA659A" w:rsidP="0045134A">
            <w:pPr>
              <w:pStyle w:val="Normal-pool"/>
              <w:tabs>
                <w:tab w:val="clear" w:pos="1247"/>
                <w:tab w:val="clear" w:pos="1814"/>
                <w:tab w:val="clear" w:pos="2381"/>
                <w:tab w:val="clear" w:pos="2948"/>
                <w:tab w:val="clear" w:pos="3515"/>
                <w:tab w:val="clear" w:pos="4082"/>
              </w:tabs>
              <w:spacing w:before="40" w:after="40"/>
              <w:ind w:left="180" w:hanging="237"/>
              <w:rPr>
                <w:color w:val="000000"/>
                <w:sz w:val="18"/>
              </w:rPr>
            </w:pPr>
            <w:r w:rsidRPr="00A7082A">
              <w:rPr>
                <w:color w:val="000000"/>
                <w:sz w:val="18"/>
              </w:rPr>
              <w:t>7.1 National reporting under the Minamata Convention</w:t>
            </w:r>
          </w:p>
        </w:tc>
        <w:tc>
          <w:tcPr>
            <w:tcW w:w="1238" w:type="dxa"/>
            <w:tcBorders>
              <w:bottom w:val="single" w:sz="4" w:space="0" w:color="000000" w:themeColor="text1"/>
            </w:tcBorders>
            <w:shd w:val="clear" w:color="auto" w:fill="auto"/>
            <w:noWrap/>
            <w:hideMark/>
          </w:tcPr>
          <w:p w14:paraId="4DE68E2E" w14:textId="2826F13F"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40</w:t>
            </w:r>
            <w:r w:rsidR="00F22360" w:rsidRPr="00A7082A">
              <w:rPr>
                <w:color w:val="000000"/>
                <w:sz w:val="18"/>
              </w:rPr>
              <w:t xml:space="preserve"> </w:t>
            </w:r>
            <w:r w:rsidRPr="00A7082A">
              <w:rPr>
                <w:color w:val="000000"/>
                <w:sz w:val="18"/>
              </w:rPr>
              <w:t xml:space="preserve">000 </w:t>
            </w:r>
          </w:p>
        </w:tc>
        <w:tc>
          <w:tcPr>
            <w:tcW w:w="1239" w:type="dxa"/>
            <w:tcBorders>
              <w:bottom w:val="single" w:sz="4" w:space="0" w:color="000000" w:themeColor="text1"/>
            </w:tcBorders>
            <w:shd w:val="clear" w:color="auto" w:fill="auto"/>
            <w:noWrap/>
            <w:hideMark/>
          </w:tcPr>
          <w:p w14:paraId="20E95FB7" w14:textId="77777777" w:rsidR="00DA659A" w:rsidRPr="00A7082A" w:rsidRDefault="00DA659A" w:rsidP="009557F8">
            <w:pPr>
              <w:tabs>
                <w:tab w:val="clear" w:pos="1247"/>
                <w:tab w:val="clear" w:pos="1814"/>
                <w:tab w:val="clear" w:pos="2381"/>
                <w:tab w:val="clear" w:pos="2948"/>
                <w:tab w:val="clear" w:pos="3515"/>
              </w:tabs>
              <w:spacing w:before="40" w:after="40"/>
              <w:ind w:right="195"/>
              <w:jc w:val="right"/>
              <w:rPr>
                <w:color w:val="000000"/>
                <w:sz w:val="18"/>
              </w:rPr>
            </w:pPr>
            <w:r w:rsidRPr="00A7082A">
              <w:rPr>
                <w:color w:val="000000"/>
                <w:sz w:val="18"/>
              </w:rPr>
              <w:t> </w:t>
            </w:r>
          </w:p>
        </w:tc>
        <w:tc>
          <w:tcPr>
            <w:tcW w:w="1238" w:type="dxa"/>
            <w:tcBorders>
              <w:bottom w:val="single" w:sz="4" w:space="0" w:color="000000" w:themeColor="text1"/>
            </w:tcBorders>
            <w:shd w:val="clear" w:color="auto" w:fill="auto"/>
            <w:noWrap/>
            <w:hideMark/>
          </w:tcPr>
          <w:p w14:paraId="3409C3A0" w14:textId="7EE5CC22"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76</w:t>
            </w:r>
            <w:r w:rsidR="00F22360" w:rsidRPr="00A7082A">
              <w:rPr>
                <w:color w:val="000000"/>
                <w:sz w:val="18"/>
              </w:rPr>
              <w:t xml:space="preserve"> </w:t>
            </w:r>
            <w:r w:rsidRPr="00A7082A">
              <w:rPr>
                <w:color w:val="000000"/>
                <w:sz w:val="18"/>
              </w:rPr>
              <w:t xml:space="preserve">500 </w:t>
            </w:r>
          </w:p>
        </w:tc>
        <w:tc>
          <w:tcPr>
            <w:tcW w:w="1239" w:type="dxa"/>
            <w:tcBorders>
              <w:bottom w:val="single" w:sz="4" w:space="0" w:color="000000" w:themeColor="text1"/>
            </w:tcBorders>
            <w:shd w:val="clear" w:color="auto" w:fill="auto"/>
            <w:noWrap/>
            <w:hideMark/>
          </w:tcPr>
          <w:p w14:paraId="75A2AA49"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r>
      <w:tr w:rsidR="00DA659A" w:rsidRPr="00A7082A" w14:paraId="6AAEA0A4" w14:textId="77777777" w:rsidTr="002E728C">
        <w:trPr>
          <w:trHeight w:val="57"/>
          <w:jc w:val="right"/>
        </w:trPr>
        <w:tc>
          <w:tcPr>
            <w:tcW w:w="993" w:type="dxa"/>
            <w:tcBorders>
              <w:top w:val="single" w:sz="4" w:space="0" w:color="000000" w:themeColor="text1"/>
              <w:bottom w:val="single" w:sz="4" w:space="0" w:color="000000" w:themeColor="text1"/>
            </w:tcBorders>
            <w:shd w:val="clear" w:color="auto" w:fill="auto"/>
            <w:noWrap/>
            <w:hideMark/>
          </w:tcPr>
          <w:p w14:paraId="4B946ADE" w14:textId="77777777" w:rsidR="00DA659A" w:rsidRPr="00A7082A" w:rsidRDefault="00DA659A" w:rsidP="00963095">
            <w:pPr>
              <w:tabs>
                <w:tab w:val="clear" w:pos="1247"/>
                <w:tab w:val="clear" w:pos="1814"/>
                <w:tab w:val="clear" w:pos="2381"/>
                <w:tab w:val="clear" w:pos="2948"/>
                <w:tab w:val="clear" w:pos="3515"/>
              </w:tabs>
              <w:spacing w:before="40" w:after="40"/>
              <w:jc w:val="center"/>
              <w:rPr>
                <w:color w:val="000000"/>
                <w:sz w:val="18"/>
              </w:rPr>
            </w:pPr>
            <w:r w:rsidRPr="00A7082A">
              <w:rPr>
                <w:color w:val="000000"/>
                <w:sz w:val="18"/>
              </w:rPr>
              <w:t> </w:t>
            </w:r>
          </w:p>
        </w:tc>
        <w:tc>
          <w:tcPr>
            <w:tcW w:w="3543" w:type="dxa"/>
            <w:tcBorders>
              <w:top w:val="single" w:sz="4" w:space="0" w:color="000000" w:themeColor="text1"/>
              <w:bottom w:val="single" w:sz="4" w:space="0" w:color="000000" w:themeColor="text1"/>
            </w:tcBorders>
            <w:shd w:val="clear" w:color="auto" w:fill="auto"/>
            <w:noWrap/>
            <w:hideMark/>
          </w:tcPr>
          <w:p w14:paraId="17D4988C" w14:textId="6331C703" w:rsidR="00DA659A" w:rsidRPr="00A7082A" w:rsidRDefault="00DA659A" w:rsidP="00963095">
            <w:pPr>
              <w:tabs>
                <w:tab w:val="clear" w:pos="1247"/>
                <w:tab w:val="clear" w:pos="1814"/>
                <w:tab w:val="clear" w:pos="2381"/>
                <w:tab w:val="clear" w:pos="2948"/>
                <w:tab w:val="clear" w:pos="3515"/>
              </w:tabs>
              <w:spacing w:before="40" w:after="40"/>
              <w:rPr>
                <w:b/>
                <w:color w:val="000000"/>
                <w:sz w:val="18"/>
              </w:rPr>
            </w:pPr>
            <w:r w:rsidRPr="00A7082A">
              <w:rPr>
                <w:b/>
                <w:color w:val="000000"/>
                <w:sz w:val="18"/>
              </w:rPr>
              <w:t xml:space="preserve">Component </w:t>
            </w:r>
            <w:r w:rsidR="00BC351B" w:rsidRPr="00A7082A">
              <w:rPr>
                <w:b/>
                <w:color w:val="000000"/>
                <w:sz w:val="18"/>
              </w:rPr>
              <w:t>t</w:t>
            </w:r>
            <w:r w:rsidRPr="00A7082A">
              <w:rPr>
                <w:b/>
                <w:color w:val="000000"/>
                <w:sz w:val="18"/>
              </w:rPr>
              <w:t>otal</w:t>
            </w:r>
          </w:p>
        </w:tc>
        <w:tc>
          <w:tcPr>
            <w:tcW w:w="1238" w:type="dxa"/>
            <w:tcBorders>
              <w:top w:val="single" w:sz="4" w:space="0" w:color="000000" w:themeColor="text1"/>
              <w:bottom w:val="single" w:sz="4" w:space="0" w:color="000000" w:themeColor="text1"/>
            </w:tcBorders>
            <w:shd w:val="clear" w:color="auto" w:fill="auto"/>
            <w:noWrap/>
            <w:hideMark/>
          </w:tcPr>
          <w:p w14:paraId="51ECFACA" w14:textId="2305BDDD"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40</w:t>
            </w:r>
            <w:r w:rsidR="00F22360" w:rsidRPr="00A7082A">
              <w:rPr>
                <w:b/>
                <w:color w:val="000000"/>
                <w:sz w:val="18"/>
              </w:rPr>
              <w:t xml:space="preserve"> </w:t>
            </w:r>
            <w:r w:rsidRPr="00A7082A">
              <w:rPr>
                <w:b/>
                <w:color w:val="000000"/>
                <w:sz w:val="18"/>
              </w:rPr>
              <w:t xml:space="preserve">000 </w:t>
            </w:r>
          </w:p>
        </w:tc>
        <w:tc>
          <w:tcPr>
            <w:tcW w:w="1239" w:type="dxa"/>
            <w:tcBorders>
              <w:top w:val="single" w:sz="4" w:space="0" w:color="000000" w:themeColor="text1"/>
              <w:bottom w:val="single" w:sz="4" w:space="0" w:color="000000" w:themeColor="text1"/>
            </w:tcBorders>
            <w:shd w:val="clear" w:color="auto" w:fill="auto"/>
            <w:noWrap/>
            <w:hideMark/>
          </w:tcPr>
          <w:p w14:paraId="0B5DFF9D" w14:textId="77777777" w:rsidR="00DA659A" w:rsidRPr="00A7082A" w:rsidRDefault="00DA659A" w:rsidP="009557F8">
            <w:pPr>
              <w:tabs>
                <w:tab w:val="clear" w:pos="1247"/>
                <w:tab w:val="clear" w:pos="1814"/>
                <w:tab w:val="clear" w:pos="2381"/>
                <w:tab w:val="clear" w:pos="2948"/>
                <w:tab w:val="clear" w:pos="3515"/>
              </w:tabs>
              <w:spacing w:before="40" w:after="40"/>
              <w:ind w:right="195"/>
              <w:jc w:val="right"/>
              <w:rPr>
                <w:b/>
                <w:color w:val="000000"/>
                <w:sz w:val="18"/>
              </w:rPr>
            </w:pPr>
            <w:r w:rsidRPr="00A7082A">
              <w:rPr>
                <w:b/>
                <w:color w:val="000000"/>
                <w:sz w:val="18"/>
              </w:rPr>
              <w:t> </w:t>
            </w:r>
          </w:p>
        </w:tc>
        <w:tc>
          <w:tcPr>
            <w:tcW w:w="1238" w:type="dxa"/>
            <w:tcBorders>
              <w:top w:val="single" w:sz="4" w:space="0" w:color="000000" w:themeColor="text1"/>
              <w:bottom w:val="single" w:sz="4" w:space="0" w:color="000000" w:themeColor="text1"/>
            </w:tcBorders>
            <w:shd w:val="clear" w:color="auto" w:fill="auto"/>
            <w:noWrap/>
            <w:hideMark/>
          </w:tcPr>
          <w:p w14:paraId="3023D08D" w14:textId="1C6AA5E2"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76</w:t>
            </w:r>
            <w:r w:rsidR="00F22360" w:rsidRPr="00A7082A">
              <w:rPr>
                <w:b/>
                <w:color w:val="000000"/>
                <w:sz w:val="18"/>
              </w:rPr>
              <w:t xml:space="preserve"> </w:t>
            </w:r>
            <w:r w:rsidRPr="00A7082A">
              <w:rPr>
                <w:b/>
                <w:color w:val="000000"/>
                <w:sz w:val="18"/>
              </w:rPr>
              <w:t xml:space="preserve">500 </w:t>
            </w:r>
          </w:p>
        </w:tc>
        <w:tc>
          <w:tcPr>
            <w:tcW w:w="1239" w:type="dxa"/>
            <w:tcBorders>
              <w:top w:val="single" w:sz="4" w:space="0" w:color="000000" w:themeColor="text1"/>
              <w:bottom w:val="single" w:sz="4" w:space="0" w:color="000000" w:themeColor="text1"/>
            </w:tcBorders>
            <w:shd w:val="clear" w:color="auto" w:fill="auto"/>
            <w:noWrap/>
            <w:hideMark/>
          </w:tcPr>
          <w:p w14:paraId="690472A2" w14:textId="77777777"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 </w:t>
            </w:r>
          </w:p>
        </w:tc>
      </w:tr>
      <w:tr w:rsidR="00DA659A" w:rsidRPr="00A7082A" w14:paraId="117F1766" w14:textId="77777777" w:rsidTr="002E728C">
        <w:trPr>
          <w:trHeight w:val="57"/>
          <w:jc w:val="right"/>
        </w:trPr>
        <w:tc>
          <w:tcPr>
            <w:tcW w:w="993" w:type="dxa"/>
            <w:tcBorders>
              <w:top w:val="single" w:sz="4" w:space="0" w:color="000000" w:themeColor="text1"/>
              <w:bottom w:val="single" w:sz="4" w:space="0" w:color="000000" w:themeColor="text1"/>
            </w:tcBorders>
            <w:shd w:val="clear" w:color="auto" w:fill="auto"/>
            <w:noWrap/>
            <w:hideMark/>
          </w:tcPr>
          <w:p w14:paraId="4855B414" w14:textId="77777777" w:rsidR="00DA659A" w:rsidRPr="00A7082A" w:rsidRDefault="00DA659A" w:rsidP="00963095">
            <w:pPr>
              <w:tabs>
                <w:tab w:val="clear" w:pos="1247"/>
                <w:tab w:val="clear" w:pos="1814"/>
                <w:tab w:val="clear" w:pos="2381"/>
                <w:tab w:val="clear" w:pos="2948"/>
                <w:tab w:val="clear" w:pos="3515"/>
              </w:tabs>
              <w:spacing w:before="40" w:after="40"/>
              <w:jc w:val="center"/>
              <w:rPr>
                <w:color w:val="000000"/>
                <w:sz w:val="18"/>
              </w:rPr>
            </w:pPr>
            <w:r w:rsidRPr="00A7082A">
              <w:rPr>
                <w:color w:val="000000"/>
                <w:sz w:val="18"/>
              </w:rPr>
              <w:t> </w:t>
            </w:r>
          </w:p>
        </w:tc>
        <w:tc>
          <w:tcPr>
            <w:tcW w:w="3543" w:type="dxa"/>
            <w:tcBorders>
              <w:top w:val="single" w:sz="4" w:space="0" w:color="000000" w:themeColor="text1"/>
              <w:bottom w:val="single" w:sz="4" w:space="0" w:color="000000" w:themeColor="text1"/>
            </w:tcBorders>
            <w:shd w:val="clear" w:color="auto" w:fill="auto"/>
            <w:noWrap/>
            <w:hideMark/>
          </w:tcPr>
          <w:p w14:paraId="1AEA50D0" w14:textId="77777777" w:rsidR="00DA659A" w:rsidRPr="00A7082A" w:rsidRDefault="00DA659A" w:rsidP="00963095">
            <w:pPr>
              <w:tabs>
                <w:tab w:val="clear" w:pos="1247"/>
                <w:tab w:val="clear" w:pos="1814"/>
                <w:tab w:val="clear" w:pos="2381"/>
                <w:tab w:val="clear" w:pos="2948"/>
                <w:tab w:val="clear" w:pos="3515"/>
              </w:tabs>
              <w:spacing w:before="40" w:after="40"/>
              <w:rPr>
                <w:b/>
                <w:color w:val="000000"/>
                <w:sz w:val="18"/>
              </w:rPr>
            </w:pPr>
            <w:r w:rsidRPr="00A7082A">
              <w:rPr>
                <w:b/>
                <w:color w:val="000000"/>
                <w:sz w:val="18"/>
              </w:rPr>
              <w:t>Total (C)</w:t>
            </w:r>
          </w:p>
        </w:tc>
        <w:tc>
          <w:tcPr>
            <w:tcW w:w="1238" w:type="dxa"/>
            <w:tcBorders>
              <w:top w:val="single" w:sz="4" w:space="0" w:color="000000" w:themeColor="text1"/>
              <w:bottom w:val="single" w:sz="4" w:space="0" w:color="000000" w:themeColor="text1"/>
            </w:tcBorders>
            <w:shd w:val="clear" w:color="auto" w:fill="auto"/>
            <w:noWrap/>
            <w:hideMark/>
          </w:tcPr>
          <w:p w14:paraId="2A2B0478" w14:textId="5DAD4F50"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185</w:t>
            </w:r>
            <w:r w:rsidR="00F22360" w:rsidRPr="00A7082A">
              <w:rPr>
                <w:b/>
                <w:color w:val="000000"/>
                <w:sz w:val="18"/>
              </w:rPr>
              <w:t xml:space="preserve"> </w:t>
            </w:r>
            <w:r w:rsidRPr="00A7082A">
              <w:rPr>
                <w:b/>
                <w:color w:val="000000"/>
                <w:sz w:val="18"/>
              </w:rPr>
              <w:t xml:space="preserve">000 </w:t>
            </w:r>
          </w:p>
        </w:tc>
        <w:tc>
          <w:tcPr>
            <w:tcW w:w="1239" w:type="dxa"/>
            <w:tcBorders>
              <w:top w:val="single" w:sz="4" w:space="0" w:color="000000" w:themeColor="text1"/>
              <w:bottom w:val="single" w:sz="4" w:space="0" w:color="000000" w:themeColor="text1"/>
            </w:tcBorders>
            <w:shd w:val="clear" w:color="auto" w:fill="auto"/>
            <w:noWrap/>
            <w:hideMark/>
          </w:tcPr>
          <w:p w14:paraId="4F573F51" w14:textId="4A7CB25D"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770</w:t>
            </w:r>
            <w:r w:rsidR="00F22360" w:rsidRPr="00A7082A">
              <w:rPr>
                <w:b/>
                <w:color w:val="000000"/>
                <w:sz w:val="18"/>
              </w:rPr>
              <w:t xml:space="preserve"> </w:t>
            </w:r>
            <w:r w:rsidRPr="00A7082A">
              <w:rPr>
                <w:b/>
                <w:color w:val="000000"/>
                <w:sz w:val="18"/>
              </w:rPr>
              <w:t xml:space="preserve">000 </w:t>
            </w:r>
          </w:p>
        </w:tc>
        <w:tc>
          <w:tcPr>
            <w:tcW w:w="1238" w:type="dxa"/>
            <w:tcBorders>
              <w:top w:val="single" w:sz="4" w:space="0" w:color="000000" w:themeColor="text1"/>
              <w:bottom w:val="single" w:sz="4" w:space="0" w:color="000000" w:themeColor="text1"/>
            </w:tcBorders>
            <w:shd w:val="clear" w:color="auto" w:fill="auto"/>
            <w:noWrap/>
            <w:hideMark/>
          </w:tcPr>
          <w:p w14:paraId="6124EA74" w14:textId="2DC35BEB"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421</w:t>
            </w:r>
            <w:r w:rsidR="00F22360" w:rsidRPr="00A7082A">
              <w:rPr>
                <w:b/>
                <w:color w:val="000000"/>
                <w:sz w:val="18"/>
              </w:rPr>
              <w:t xml:space="preserve"> </w:t>
            </w:r>
            <w:r w:rsidRPr="00A7082A">
              <w:rPr>
                <w:b/>
                <w:color w:val="000000"/>
                <w:sz w:val="18"/>
              </w:rPr>
              <w:t xml:space="preserve">500 </w:t>
            </w:r>
          </w:p>
        </w:tc>
        <w:tc>
          <w:tcPr>
            <w:tcW w:w="1239" w:type="dxa"/>
            <w:tcBorders>
              <w:top w:val="single" w:sz="4" w:space="0" w:color="000000" w:themeColor="text1"/>
              <w:bottom w:val="single" w:sz="4" w:space="0" w:color="000000" w:themeColor="text1"/>
            </w:tcBorders>
            <w:shd w:val="clear" w:color="auto" w:fill="auto"/>
            <w:noWrap/>
            <w:hideMark/>
          </w:tcPr>
          <w:p w14:paraId="604350C9" w14:textId="1A2B7209"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520</w:t>
            </w:r>
            <w:r w:rsidR="00F22360" w:rsidRPr="00A7082A">
              <w:rPr>
                <w:b/>
                <w:color w:val="000000"/>
                <w:sz w:val="18"/>
              </w:rPr>
              <w:t xml:space="preserve"> </w:t>
            </w:r>
            <w:r w:rsidRPr="00A7082A">
              <w:rPr>
                <w:b/>
                <w:color w:val="000000"/>
                <w:sz w:val="18"/>
              </w:rPr>
              <w:t xml:space="preserve">000 </w:t>
            </w:r>
          </w:p>
        </w:tc>
      </w:tr>
      <w:tr w:rsidR="00DA659A" w:rsidRPr="00A7082A" w14:paraId="08F8D68A" w14:textId="77777777" w:rsidTr="002E728C">
        <w:trPr>
          <w:trHeight w:val="57"/>
          <w:jc w:val="right"/>
        </w:trPr>
        <w:tc>
          <w:tcPr>
            <w:tcW w:w="993" w:type="dxa"/>
            <w:tcBorders>
              <w:top w:val="single" w:sz="4" w:space="0" w:color="000000" w:themeColor="text1"/>
            </w:tcBorders>
            <w:shd w:val="clear" w:color="auto" w:fill="auto"/>
            <w:noWrap/>
            <w:hideMark/>
          </w:tcPr>
          <w:p w14:paraId="53B15881" w14:textId="77777777" w:rsidR="00DA659A" w:rsidRPr="00A7082A" w:rsidRDefault="00DA659A" w:rsidP="00963095">
            <w:pPr>
              <w:tabs>
                <w:tab w:val="clear" w:pos="1247"/>
                <w:tab w:val="clear" w:pos="1814"/>
                <w:tab w:val="clear" w:pos="2381"/>
                <w:tab w:val="clear" w:pos="2948"/>
                <w:tab w:val="clear" w:pos="3515"/>
              </w:tabs>
              <w:spacing w:before="40" w:after="40"/>
              <w:jc w:val="center"/>
              <w:rPr>
                <w:b/>
                <w:color w:val="000000"/>
                <w:sz w:val="18"/>
              </w:rPr>
            </w:pPr>
            <w:r w:rsidRPr="00A7082A">
              <w:rPr>
                <w:b/>
                <w:color w:val="000000"/>
                <w:sz w:val="18"/>
              </w:rPr>
              <w:t>D.</w:t>
            </w:r>
          </w:p>
        </w:tc>
        <w:tc>
          <w:tcPr>
            <w:tcW w:w="3543" w:type="dxa"/>
            <w:tcBorders>
              <w:top w:val="single" w:sz="4" w:space="0" w:color="000000" w:themeColor="text1"/>
            </w:tcBorders>
            <w:shd w:val="clear" w:color="auto" w:fill="auto"/>
            <w:noWrap/>
            <w:hideMark/>
          </w:tcPr>
          <w:p w14:paraId="559D2C65" w14:textId="77777777" w:rsidR="00DA659A" w:rsidRPr="00A7082A" w:rsidRDefault="00DA659A" w:rsidP="00963095">
            <w:pPr>
              <w:tabs>
                <w:tab w:val="clear" w:pos="1247"/>
                <w:tab w:val="clear" w:pos="1814"/>
                <w:tab w:val="clear" w:pos="2381"/>
                <w:tab w:val="clear" w:pos="2948"/>
                <w:tab w:val="clear" w:pos="3515"/>
              </w:tabs>
              <w:spacing w:before="40" w:after="40"/>
              <w:rPr>
                <w:b/>
                <w:color w:val="000000"/>
                <w:sz w:val="18"/>
              </w:rPr>
            </w:pPr>
            <w:r w:rsidRPr="00A7082A">
              <w:rPr>
                <w:b/>
                <w:color w:val="000000"/>
                <w:sz w:val="18"/>
              </w:rPr>
              <w:t xml:space="preserve">Knowledge and information management, and outreach </w:t>
            </w:r>
          </w:p>
        </w:tc>
        <w:tc>
          <w:tcPr>
            <w:tcW w:w="1238" w:type="dxa"/>
            <w:tcBorders>
              <w:top w:val="single" w:sz="4" w:space="0" w:color="000000" w:themeColor="text1"/>
            </w:tcBorders>
            <w:shd w:val="clear" w:color="auto" w:fill="auto"/>
            <w:noWrap/>
            <w:hideMark/>
          </w:tcPr>
          <w:p w14:paraId="09BD0F3D"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tcBorders>
              <w:top w:val="single" w:sz="4" w:space="0" w:color="000000" w:themeColor="text1"/>
            </w:tcBorders>
            <w:shd w:val="clear" w:color="auto" w:fill="auto"/>
            <w:noWrap/>
            <w:hideMark/>
          </w:tcPr>
          <w:p w14:paraId="34FE43E5"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8" w:type="dxa"/>
            <w:tcBorders>
              <w:top w:val="single" w:sz="4" w:space="0" w:color="000000" w:themeColor="text1"/>
            </w:tcBorders>
            <w:shd w:val="clear" w:color="auto" w:fill="auto"/>
            <w:noWrap/>
            <w:hideMark/>
          </w:tcPr>
          <w:p w14:paraId="197F6C87"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tcBorders>
              <w:top w:val="single" w:sz="4" w:space="0" w:color="000000" w:themeColor="text1"/>
            </w:tcBorders>
            <w:shd w:val="clear" w:color="auto" w:fill="auto"/>
            <w:noWrap/>
            <w:hideMark/>
          </w:tcPr>
          <w:p w14:paraId="487343B2"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r>
      <w:tr w:rsidR="00DA659A" w:rsidRPr="00A7082A" w14:paraId="07835625" w14:textId="77777777" w:rsidTr="002E728C">
        <w:trPr>
          <w:trHeight w:val="57"/>
          <w:jc w:val="right"/>
        </w:trPr>
        <w:tc>
          <w:tcPr>
            <w:tcW w:w="993" w:type="dxa"/>
            <w:shd w:val="clear" w:color="auto" w:fill="auto"/>
            <w:noWrap/>
            <w:hideMark/>
          </w:tcPr>
          <w:p w14:paraId="4D4B1B90" w14:textId="77777777" w:rsidR="00DA659A" w:rsidRPr="00A7082A" w:rsidRDefault="00DA659A" w:rsidP="00963095">
            <w:pPr>
              <w:tabs>
                <w:tab w:val="clear" w:pos="1247"/>
                <w:tab w:val="clear" w:pos="1814"/>
                <w:tab w:val="clear" w:pos="2381"/>
                <w:tab w:val="clear" w:pos="2948"/>
                <w:tab w:val="clear" w:pos="3515"/>
              </w:tabs>
              <w:spacing w:before="40" w:after="40"/>
              <w:jc w:val="center"/>
              <w:rPr>
                <w:b/>
                <w:color w:val="000000"/>
                <w:sz w:val="18"/>
              </w:rPr>
            </w:pPr>
            <w:r w:rsidRPr="00A7082A">
              <w:rPr>
                <w:b/>
                <w:color w:val="000000"/>
                <w:sz w:val="18"/>
              </w:rPr>
              <w:t>8</w:t>
            </w:r>
          </w:p>
        </w:tc>
        <w:tc>
          <w:tcPr>
            <w:tcW w:w="3543" w:type="dxa"/>
            <w:shd w:val="clear" w:color="auto" w:fill="auto"/>
            <w:noWrap/>
            <w:hideMark/>
          </w:tcPr>
          <w:p w14:paraId="556D3C54" w14:textId="77777777" w:rsidR="00DA659A" w:rsidRPr="00A7082A" w:rsidRDefault="00DA659A" w:rsidP="00963095">
            <w:pPr>
              <w:tabs>
                <w:tab w:val="clear" w:pos="1247"/>
                <w:tab w:val="clear" w:pos="1814"/>
                <w:tab w:val="clear" w:pos="2381"/>
                <w:tab w:val="clear" w:pos="2948"/>
                <w:tab w:val="clear" w:pos="3515"/>
              </w:tabs>
              <w:spacing w:before="40" w:after="40"/>
              <w:rPr>
                <w:b/>
                <w:color w:val="000000"/>
                <w:sz w:val="18"/>
              </w:rPr>
            </w:pPr>
            <w:r w:rsidRPr="00A7082A">
              <w:rPr>
                <w:b/>
                <w:color w:val="000000"/>
                <w:sz w:val="18"/>
              </w:rPr>
              <w:t>Publications</w:t>
            </w:r>
          </w:p>
        </w:tc>
        <w:tc>
          <w:tcPr>
            <w:tcW w:w="1238" w:type="dxa"/>
            <w:shd w:val="clear" w:color="auto" w:fill="auto"/>
            <w:noWrap/>
            <w:hideMark/>
          </w:tcPr>
          <w:p w14:paraId="5AB03443"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shd w:val="clear" w:color="auto" w:fill="auto"/>
            <w:noWrap/>
            <w:hideMark/>
          </w:tcPr>
          <w:p w14:paraId="34D1CEB3"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8" w:type="dxa"/>
            <w:shd w:val="clear" w:color="auto" w:fill="auto"/>
            <w:noWrap/>
            <w:hideMark/>
          </w:tcPr>
          <w:p w14:paraId="6FF37321"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shd w:val="clear" w:color="auto" w:fill="auto"/>
            <w:noWrap/>
            <w:hideMark/>
          </w:tcPr>
          <w:p w14:paraId="6994AB7A"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r>
      <w:tr w:rsidR="00DA659A" w:rsidRPr="00A7082A" w14:paraId="37754F3D" w14:textId="77777777" w:rsidTr="002E728C">
        <w:trPr>
          <w:trHeight w:val="57"/>
          <w:jc w:val="right"/>
        </w:trPr>
        <w:tc>
          <w:tcPr>
            <w:tcW w:w="993" w:type="dxa"/>
            <w:tcBorders>
              <w:bottom w:val="single" w:sz="4" w:space="0" w:color="000000" w:themeColor="text1"/>
            </w:tcBorders>
            <w:shd w:val="clear" w:color="auto" w:fill="auto"/>
            <w:noWrap/>
            <w:hideMark/>
          </w:tcPr>
          <w:p w14:paraId="548C6F5B" w14:textId="77777777" w:rsidR="00DA659A" w:rsidRPr="00A7082A" w:rsidRDefault="00DA659A" w:rsidP="00963095">
            <w:pPr>
              <w:tabs>
                <w:tab w:val="clear" w:pos="1247"/>
                <w:tab w:val="clear" w:pos="1814"/>
                <w:tab w:val="clear" w:pos="2381"/>
                <w:tab w:val="clear" w:pos="2948"/>
                <w:tab w:val="clear" w:pos="3515"/>
              </w:tabs>
              <w:spacing w:before="40" w:after="40"/>
              <w:jc w:val="center"/>
              <w:rPr>
                <w:color w:val="000000"/>
                <w:sz w:val="18"/>
              </w:rPr>
            </w:pPr>
            <w:r w:rsidRPr="00A7082A">
              <w:rPr>
                <w:color w:val="000000"/>
                <w:sz w:val="18"/>
              </w:rPr>
              <w:t> </w:t>
            </w:r>
          </w:p>
        </w:tc>
        <w:tc>
          <w:tcPr>
            <w:tcW w:w="3543" w:type="dxa"/>
            <w:tcBorders>
              <w:bottom w:val="single" w:sz="4" w:space="0" w:color="000000" w:themeColor="text1"/>
            </w:tcBorders>
            <w:shd w:val="clear" w:color="auto" w:fill="auto"/>
            <w:noWrap/>
            <w:hideMark/>
          </w:tcPr>
          <w:p w14:paraId="2A98CC74" w14:textId="77777777" w:rsidR="00DA659A" w:rsidRPr="00A7082A" w:rsidRDefault="00DA659A" w:rsidP="0045134A">
            <w:pPr>
              <w:pStyle w:val="Normal-pool"/>
              <w:tabs>
                <w:tab w:val="clear" w:pos="1247"/>
                <w:tab w:val="clear" w:pos="1814"/>
                <w:tab w:val="clear" w:pos="2381"/>
                <w:tab w:val="clear" w:pos="2948"/>
                <w:tab w:val="clear" w:pos="3515"/>
                <w:tab w:val="clear" w:pos="4082"/>
              </w:tabs>
              <w:spacing w:before="40" w:after="40"/>
              <w:ind w:left="180" w:hanging="237"/>
              <w:rPr>
                <w:color w:val="000000"/>
                <w:sz w:val="18"/>
              </w:rPr>
            </w:pPr>
            <w:r w:rsidRPr="00A7082A">
              <w:rPr>
                <w:color w:val="000000"/>
                <w:sz w:val="18"/>
              </w:rPr>
              <w:t>8.1 Publications</w:t>
            </w:r>
          </w:p>
        </w:tc>
        <w:tc>
          <w:tcPr>
            <w:tcW w:w="1238" w:type="dxa"/>
            <w:tcBorders>
              <w:bottom w:val="single" w:sz="4" w:space="0" w:color="000000" w:themeColor="text1"/>
            </w:tcBorders>
            <w:shd w:val="clear" w:color="auto" w:fill="auto"/>
            <w:noWrap/>
            <w:hideMark/>
          </w:tcPr>
          <w:p w14:paraId="42E8422D" w14:textId="139763B5"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25</w:t>
            </w:r>
            <w:r w:rsidR="00F22360" w:rsidRPr="00A7082A">
              <w:rPr>
                <w:color w:val="000000"/>
                <w:sz w:val="18"/>
              </w:rPr>
              <w:t xml:space="preserve"> </w:t>
            </w:r>
            <w:r w:rsidRPr="00A7082A">
              <w:rPr>
                <w:color w:val="000000"/>
                <w:sz w:val="18"/>
              </w:rPr>
              <w:t xml:space="preserve">000 </w:t>
            </w:r>
          </w:p>
        </w:tc>
        <w:tc>
          <w:tcPr>
            <w:tcW w:w="1239" w:type="dxa"/>
            <w:tcBorders>
              <w:bottom w:val="single" w:sz="4" w:space="0" w:color="000000" w:themeColor="text1"/>
            </w:tcBorders>
            <w:shd w:val="clear" w:color="auto" w:fill="auto"/>
            <w:noWrap/>
            <w:hideMark/>
          </w:tcPr>
          <w:p w14:paraId="633F8F7D" w14:textId="5147E760"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30</w:t>
            </w:r>
            <w:r w:rsidR="00F22360" w:rsidRPr="00A7082A">
              <w:rPr>
                <w:color w:val="000000"/>
                <w:sz w:val="18"/>
              </w:rPr>
              <w:t xml:space="preserve"> </w:t>
            </w:r>
            <w:r w:rsidRPr="00A7082A">
              <w:rPr>
                <w:color w:val="000000"/>
                <w:sz w:val="18"/>
              </w:rPr>
              <w:t xml:space="preserve">000 </w:t>
            </w:r>
          </w:p>
        </w:tc>
        <w:tc>
          <w:tcPr>
            <w:tcW w:w="1238" w:type="dxa"/>
            <w:tcBorders>
              <w:bottom w:val="single" w:sz="4" w:space="0" w:color="000000" w:themeColor="text1"/>
            </w:tcBorders>
            <w:shd w:val="clear" w:color="auto" w:fill="auto"/>
            <w:noWrap/>
            <w:hideMark/>
          </w:tcPr>
          <w:p w14:paraId="187091C5" w14:textId="0884F022"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20</w:t>
            </w:r>
            <w:r w:rsidR="00F22360" w:rsidRPr="00A7082A">
              <w:rPr>
                <w:color w:val="000000"/>
                <w:sz w:val="18"/>
              </w:rPr>
              <w:t xml:space="preserve"> </w:t>
            </w:r>
            <w:r w:rsidRPr="00A7082A">
              <w:rPr>
                <w:color w:val="000000"/>
                <w:sz w:val="18"/>
              </w:rPr>
              <w:t xml:space="preserve">000 </w:t>
            </w:r>
          </w:p>
        </w:tc>
        <w:tc>
          <w:tcPr>
            <w:tcW w:w="1239" w:type="dxa"/>
            <w:tcBorders>
              <w:bottom w:val="single" w:sz="4" w:space="0" w:color="000000" w:themeColor="text1"/>
            </w:tcBorders>
            <w:shd w:val="clear" w:color="auto" w:fill="auto"/>
            <w:noWrap/>
            <w:hideMark/>
          </w:tcPr>
          <w:p w14:paraId="3194E080" w14:textId="6C96A9C0"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30</w:t>
            </w:r>
            <w:r w:rsidR="00F22360" w:rsidRPr="00A7082A">
              <w:rPr>
                <w:color w:val="000000"/>
                <w:sz w:val="18"/>
              </w:rPr>
              <w:t xml:space="preserve"> </w:t>
            </w:r>
            <w:r w:rsidRPr="00A7082A">
              <w:rPr>
                <w:color w:val="000000"/>
                <w:sz w:val="18"/>
              </w:rPr>
              <w:t xml:space="preserve">000 </w:t>
            </w:r>
          </w:p>
        </w:tc>
      </w:tr>
      <w:tr w:rsidR="00DA659A" w:rsidRPr="00A7082A" w14:paraId="02C14C4F" w14:textId="77777777" w:rsidTr="002E728C">
        <w:trPr>
          <w:trHeight w:val="57"/>
          <w:jc w:val="right"/>
        </w:trPr>
        <w:tc>
          <w:tcPr>
            <w:tcW w:w="993" w:type="dxa"/>
            <w:tcBorders>
              <w:top w:val="single" w:sz="4" w:space="0" w:color="000000" w:themeColor="text1"/>
              <w:bottom w:val="single" w:sz="4" w:space="0" w:color="000000" w:themeColor="text1"/>
            </w:tcBorders>
            <w:shd w:val="clear" w:color="auto" w:fill="auto"/>
            <w:noWrap/>
            <w:hideMark/>
          </w:tcPr>
          <w:p w14:paraId="2A6DAE9A" w14:textId="77777777" w:rsidR="00DA659A" w:rsidRPr="00A7082A" w:rsidRDefault="00DA659A" w:rsidP="00963095">
            <w:pPr>
              <w:tabs>
                <w:tab w:val="clear" w:pos="1247"/>
                <w:tab w:val="clear" w:pos="1814"/>
                <w:tab w:val="clear" w:pos="2381"/>
                <w:tab w:val="clear" w:pos="2948"/>
                <w:tab w:val="clear" w:pos="3515"/>
              </w:tabs>
              <w:spacing w:before="40" w:after="40"/>
              <w:jc w:val="center"/>
              <w:rPr>
                <w:color w:val="000000"/>
                <w:sz w:val="18"/>
              </w:rPr>
            </w:pPr>
            <w:r w:rsidRPr="00A7082A">
              <w:rPr>
                <w:color w:val="000000"/>
                <w:sz w:val="18"/>
              </w:rPr>
              <w:t> </w:t>
            </w:r>
          </w:p>
        </w:tc>
        <w:tc>
          <w:tcPr>
            <w:tcW w:w="3543" w:type="dxa"/>
            <w:tcBorders>
              <w:top w:val="single" w:sz="4" w:space="0" w:color="000000" w:themeColor="text1"/>
              <w:bottom w:val="single" w:sz="4" w:space="0" w:color="000000" w:themeColor="text1"/>
            </w:tcBorders>
            <w:shd w:val="clear" w:color="auto" w:fill="auto"/>
            <w:noWrap/>
            <w:hideMark/>
          </w:tcPr>
          <w:p w14:paraId="4CD022CF" w14:textId="55A1CE83" w:rsidR="00DA659A" w:rsidRPr="00A7082A" w:rsidRDefault="00DA659A" w:rsidP="00963095">
            <w:pPr>
              <w:tabs>
                <w:tab w:val="clear" w:pos="1247"/>
                <w:tab w:val="clear" w:pos="1814"/>
                <w:tab w:val="clear" w:pos="2381"/>
                <w:tab w:val="clear" w:pos="2948"/>
                <w:tab w:val="clear" w:pos="3515"/>
              </w:tabs>
              <w:spacing w:before="40" w:after="40"/>
              <w:rPr>
                <w:b/>
                <w:color w:val="000000"/>
                <w:sz w:val="18"/>
              </w:rPr>
            </w:pPr>
            <w:r w:rsidRPr="00A7082A">
              <w:rPr>
                <w:b/>
                <w:color w:val="000000"/>
                <w:sz w:val="18"/>
              </w:rPr>
              <w:t xml:space="preserve">Component </w:t>
            </w:r>
            <w:r w:rsidR="00660CBD" w:rsidRPr="00A7082A">
              <w:rPr>
                <w:b/>
                <w:color w:val="000000"/>
                <w:sz w:val="18"/>
              </w:rPr>
              <w:t>t</w:t>
            </w:r>
            <w:r w:rsidRPr="00A7082A">
              <w:rPr>
                <w:b/>
                <w:color w:val="000000"/>
                <w:sz w:val="18"/>
              </w:rPr>
              <w:t>otal</w:t>
            </w:r>
          </w:p>
        </w:tc>
        <w:tc>
          <w:tcPr>
            <w:tcW w:w="1238" w:type="dxa"/>
            <w:tcBorders>
              <w:top w:val="single" w:sz="4" w:space="0" w:color="000000" w:themeColor="text1"/>
              <w:bottom w:val="single" w:sz="4" w:space="0" w:color="000000" w:themeColor="text1"/>
            </w:tcBorders>
            <w:shd w:val="clear" w:color="auto" w:fill="auto"/>
            <w:noWrap/>
            <w:hideMark/>
          </w:tcPr>
          <w:p w14:paraId="67D4495F" w14:textId="1F426C90"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25</w:t>
            </w:r>
            <w:r w:rsidR="00F22360" w:rsidRPr="00A7082A">
              <w:rPr>
                <w:b/>
                <w:color w:val="000000"/>
                <w:sz w:val="18"/>
              </w:rPr>
              <w:t xml:space="preserve"> </w:t>
            </w:r>
            <w:r w:rsidRPr="00A7082A">
              <w:rPr>
                <w:b/>
                <w:color w:val="000000"/>
                <w:sz w:val="18"/>
              </w:rPr>
              <w:t xml:space="preserve">000 </w:t>
            </w:r>
          </w:p>
        </w:tc>
        <w:tc>
          <w:tcPr>
            <w:tcW w:w="1239" w:type="dxa"/>
            <w:tcBorders>
              <w:top w:val="single" w:sz="4" w:space="0" w:color="000000" w:themeColor="text1"/>
              <w:bottom w:val="single" w:sz="4" w:space="0" w:color="000000" w:themeColor="text1"/>
            </w:tcBorders>
            <w:shd w:val="clear" w:color="auto" w:fill="auto"/>
            <w:noWrap/>
            <w:hideMark/>
          </w:tcPr>
          <w:p w14:paraId="560FAA1C" w14:textId="3A6D5EF5"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30</w:t>
            </w:r>
            <w:r w:rsidR="00F22360" w:rsidRPr="00A7082A">
              <w:rPr>
                <w:b/>
                <w:color w:val="000000"/>
                <w:sz w:val="18"/>
              </w:rPr>
              <w:t xml:space="preserve"> </w:t>
            </w:r>
            <w:r w:rsidRPr="00A7082A">
              <w:rPr>
                <w:b/>
                <w:color w:val="000000"/>
                <w:sz w:val="18"/>
              </w:rPr>
              <w:t xml:space="preserve">000 </w:t>
            </w:r>
          </w:p>
        </w:tc>
        <w:tc>
          <w:tcPr>
            <w:tcW w:w="1238" w:type="dxa"/>
            <w:tcBorders>
              <w:top w:val="single" w:sz="4" w:space="0" w:color="000000" w:themeColor="text1"/>
              <w:bottom w:val="single" w:sz="4" w:space="0" w:color="000000" w:themeColor="text1"/>
            </w:tcBorders>
            <w:shd w:val="clear" w:color="auto" w:fill="auto"/>
            <w:noWrap/>
            <w:hideMark/>
          </w:tcPr>
          <w:p w14:paraId="31FDE3E4" w14:textId="23CF23EC"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20</w:t>
            </w:r>
            <w:r w:rsidR="00F22360" w:rsidRPr="00A7082A">
              <w:rPr>
                <w:b/>
                <w:color w:val="000000"/>
                <w:sz w:val="18"/>
              </w:rPr>
              <w:t xml:space="preserve"> </w:t>
            </w:r>
            <w:r w:rsidRPr="00A7082A">
              <w:rPr>
                <w:b/>
                <w:color w:val="000000"/>
                <w:sz w:val="18"/>
              </w:rPr>
              <w:t xml:space="preserve">000 </w:t>
            </w:r>
          </w:p>
        </w:tc>
        <w:tc>
          <w:tcPr>
            <w:tcW w:w="1239" w:type="dxa"/>
            <w:tcBorders>
              <w:top w:val="single" w:sz="4" w:space="0" w:color="000000" w:themeColor="text1"/>
              <w:bottom w:val="single" w:sz="4" w:space="0" w:color="000000" w:themeColor="text1"/>
            </w:tcBorders>
            <w:shd w:val="clear" w:color="auto" w:fill="auto"/>
            <w:noWrap/>
            <w:hideMark/>
          </w:tcPr>
          <w:p w14:paraId="741C74FF" w14:textId="0B7B1408"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30</w:t>
            </w:r>
            <w:r w:rsidR="00F22360" w:rsidRPr="00A7082A">
              <w:rPr>
                <w:b/>
                <w:color w:val="000000"/>
                <w:sz w:val="18"/>
              </w:rPr>
              <w:t xml:space="preserve"> </w:t>
            </w:r>
            <w:r w:rsidRPr="00A7082A">
              <w:rPr>
                <w:b/>
                <w:color w:val="000000"/>
                <w:sz w:val="18"/>
              </w:rPr>
              <w:t xml:space="preserve">000 </w:t>
            </w:r>
          </w:p>
        </w:tc>
      </w:tr>
      <w:tr w:rsidR="00DA659A" w:rsidRPr="00A7082A" w14:paraId="256AF566" w14:textId="77777777" w:rsidTr="002E728C">
        <w:trPr>
          <w:trHeight w:val="57"/>
          <w:jc w:val="right"/>
        </w:trPr>
        <w:tc>
          <w:tcPr>
            <w:tcW w:w="993" w:type="dxa"/>
            <w:tcBorders>
              <w:top w:val="single" w:sz="4" w:space="0" w:color="000000" w:themeColor="text1"/>
            </w:tcBorders>
            <w:shd w:val="clear" w:color="auto" w:fill="auto"/>
            <w:noWrap/>
            <w:hideMark/>
          </w:tcPr>
          <w:p w14:paraId="4C9914F1" w14:textId="77777777" w:rsidR="00DA659A" w:rsidRPr="00A7082A" w:rsidRDefault="00DA659A" w:rsidP="00963095">
            <w:pPr>
              <w:tabs>
                <w:tab w:val="clear" w:pos="1247"/>
                <w:tab w:val="clear" w:pos="1814"/>
                <w:tab w:val="clear" w:pos="2381"/>
                <w:tab w:val="clear" w:pos="2948"/>
                <w:tab w:val="clear" w:pos="3515"/>
              </w:tabs>
              <w:spacing w:before="40" w:after="40"/>
              <w:jc w:val="center"/>
              <w:rPr>
                <w:b/>
                <w:color w:val="000000"/>
                <w:sz w:val="18"/>
              </w:rPr>
            </w:pPr>
            <w:r w:rsidRPr="00A7082A">
              <w:rPr>
                <w:b/>
                <w:color w:val="000000"/>
                <w:sz w:val="18"/>
              </w:rPr>
              <w:t>9</w:t>
            </w:r>
          </w:p>
        </w:tc>
        <w:tc>
          <w:tcPr>
            <w:tcW w:w="3543" w:type="dxa"/>
            <w:tcBorders>
              <w:top w:val="single" w:sz="4" w:space="0" w:color="000000" w:themeColor="text1"/>
            </w:tcBorders>
            <w:shd w:val="clear" w:color="auto" w:fill="auto"/>
            <w:noWrap/>
            <w:hideMark/>
          </w:tcPr>
          <w:p w14:paraId="27C53BC5" w14:textId="77777777" w:rsidR="00DA659A" w:rsidRPr="00A7082A" w:rsidRDefault="00DA659A" w:rsidP="00963095">
            <w:pPr>
              <w:tabs>
                <w:tab w:val="clear" w:pos="1247"/>
                <w:tab w:val="clear" w:pos="1814"/>
                <w:tab w:val="clear" w:pos="2381"/>
                <w:tab w:val="clear" w:pos="2948"/>
                <w:tab w:val="clear" w:pos="3515"/>
              </w:tabs>
              <w:spacing w:before="40" w:after="40"/>
              <w:rPr>
                <w:b/>
                <w:color w:val="000000"/>
                <w:sz w:val="18"/>
              </w:rPr>
            </w:pPr>
            <w:r w:rsidRPr="00A7082A">
              <w:rPr>
                <w:b/>
                <w:color w:val="000000"/>
                <w:sz w:val="18"/>
              </w:rPr>
              <w:t>Communication, outreach and public awareness</w:t>
            </w:r>
          </w:p>
        </w:tc>
        <w:tc>
          <w:tcPr>
            <w:tcW w:w="1238" w:type="dxa"/>
            <w:tcBorders>
              <w:top w:val="single" w:sz="4" w:space="0" w:color="000000" w:themeColor="text1"/>
            </w:tcBorders>
            <w:shd w:val="clear" w:color="auto" w:fill="auto"/>
            <w:noWrap/>
            <w:hideMark/>
          </w:tcPr>
          <w:p w14:paraId="5492B35B"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tcBorders>
              <w:top w:val="single" w:sz="4" w:space="0" w:color="000000" w:themeColor="text1"/>
            </w:tcBorders>
            <w:shd w:val="clear" w:color="auto" w:fill="auto"/>
            <w:noWrap/>
            <w:hideMark/>
          </w:tcPr>
          <w:p w14:paraId="1AF78C24"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8" w:type="dxa"/>
            <w:tcBorders>
              <w:top w:val="single" w:sz="4" w:space="0" w:color="000000" w:themeColor="text1"/>
            </w:tcBorders>
            <w:shd w:val="clear" w:color="auto" w:fill="auto"/>
            <w:noWrap/>
            <w:hideMark/>
          </w:tcPr>
          <w:p w14:paraId="25C81201"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tcBorders>
              <w:top w:val="single" w:sz="4" w:space="0" w:color="000000" w:themeColor="text1"/>
            </w:tcBorders>
            <w:shd w:val="clear" w:color="auto" w:fill="auto"/>
            <w:noWrap/>
            <w:hideMark/>
          </w:tcPr>
          <w:p w14:paraId="07676A70"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r>
      <w:tr w:rsidR="00DA659A" w:rsidRPr="00A7082A" w14:paraId="70FED4B7" w14:textId="77777777" w:rsidTr="002E728C">
        <w:trPr>
          <w:trHeight w:val="57"/>
          <w:jc w:val="right"/>
        </w:trPr>
        <w:tc>
          <w:tcPr>
            <w:tcW w:w="993" w:type="dxa"/>
            <w:tcBorders>
              <w:bottom w:val="single" w:sz="4" w:space="0" w:color="000000" w:themeColor="text1"/>
            </w:tcBorders>
            <w:shd w:val="clear" w:color="auto" w:fill="auto"/>
            <w:noWrap/>
            <w:hideMark/>
          </w:tcPr>
          <w:p w14:paraId="13551210" w14:textId="77777777" w:rsidR="00DA659A" w:rsidRPr="00A7082A" w:rsidRDefault="00DA659A" w:rsidP="00963095">
            <w:pPr>
              <w:tabs>
                <w:tab w:val="clear" w:pos="1247"/>
                <w:tab w:val="clear" w:pos="1814"/>
                <w:tab w:val="clear" w:pos="2381"/>
                <w:tab w:val="clear" w:pos="2948"/>
                <w:tab w:val="clear" w:pos="3515"/>
              </w:tabs>
              <w:spacing w:before="40" w:after="40"/>
              <w:jc w:val="center"/>
              <w:rPr>
                <w:color w:val="000000"/>
                <w:sz w:val="18"/>
              </w:rPr>
            </w:pPr>
            <w:r w:rsidRPr="00A7082A">
              <w:rPr>
                <w:color w:val="000000"/>
                <w:sz w:val="18"/>
              </w:rPr>
              <w:t> </w:t>
            </w:r>
          </w:p>
        </w:tc>
        <w:tc>
          <w:tcPr>
            <w:tcW w:w="3543" w:type="dxa"/>
            <w:tcBorders>
              <w:bottom w:val="single" w:sz="4" w:space="0" w:color="000000" w:themeColor="text1"/>
            </w:tcBorders>
            <w:shd w:val="clear" w:color="auto" w:fill="auto"/>
            <w:noWrap/>
            <w:hideMark/>
          </w:tcPr>
          <w:p w14:paraId="41A2B8A5" w14:textId="77777777" w:rsidR="00DA659A" w:rsidRPr="00A7082A" w:rsidRDefault="00DA659A" w:rsidP="0045134A">
            <w:pPr>
              <w:pStyle w:val="Normal-pool"/>
              <w:tabs>
                <w:tab w:val="clear" w:pos="1247"/>
                <w:tab w:val="clear" w:pos="1814"/>
                <w:tab w:val="clear" w:pos="2381"/>
                <w:tab w:val="clear" w:pos="2948"/>
                <w:tab w:val="clear" w:pos="3515"/>
                <w:tab w:val="clear" w:pos="4082"/>
              </w:tabs>
              <w:spacing w:before="40" w:after="40"/>
              <w:ind w:left="180" w:hanging="237"/>
              <w:rPr>
                <w:color w:val="000000"/>
                <w:sz w:val="18"/>
              </w:rPr>
            </w:pPr>
            <w:r w:rsidRPr="00A7082A">
              <w:rPr>
                <w:color w:val="000000"/>
                <w:sz w:val="18"/>
              </w:rPr>
              <w:t>9.1 Communication, outreach and public awareness</w:t>
            </w:r>
          </w:p>
        </w:tc>
        <w:tc>
          <w:tcPr>
            <w:tcW w:w="1238" w:type="dxa"/>
            <w:tcBorders>
              <w:bottom w:val="single" w:sz="4" w:space="0" w:color="000000" w:themeColor="text1"/>
            </w:tcBorders>
            <w:shd w:val="clear" w:color="auto" w:fill="auto"/>
            <w:noWrap/>
            <w:hideMark/>
          </w:tcPr>
          <w:p w14:paraId="1A925AB3" w14:textId="4CD30A3A"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85</w:t>
            </w:r>
            <w:r w:rsidR="00F22360" w:rsidRPr="00A7082A">
              <w:rPr>
                <w:color w:val="000000"/>
                <w:sz w:val="18"/>
              </w:rPr>
              <w:t xml:space="preserve"> </w:t>
            </w:r>
            <w:r w:rsidRPr="00A7082A">
              <w:rPr>
                <w:color w:val="000000"/>
                <w:sz w:val="18"/>
              </w:rPr>
              <w:t xml:space="preserve">000 </w:t>
            </w:r>
          </w:p>
        </w:tc>
        <w:tc>
          <w:tcPr>
            <w:tcW w:w="1239" w:type="dxa"/>
            <w:tcBorders>
              <w:bottom w:val="single" w:sz="4" w:space="0" w:color="000000" w:themeColor="text1"/>
            </w:tcBorders>
            <w:shd w:val="clear" w:color="auto" w:fill="auto"/>
            <w:noWrap/>
            <w:hideMark/>
          </w:tcPr>
          <w:p w14:paraId="7BAE46D0" w14:textId="2B356A90"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25</w:t>
            </w:r>
            <w:r w:rsidR="00F22360" w:rsidRPr="00A7082A">
              <w:rPr>
                <w:color w:val="000000"/>
                <w:sz w:val="18"/>
              </w:rPr>
              <w:t xml:space="preserve"> </w:t>
            </w:r>
            <w:r w:rsidRPr="00A7082A">
              <w:rPr>
                <w:color w:val="000000"/>
                <w:sz w:val="18"/>
              </w:rPr>
              <w:t xml:space="preserve">000 </w:t>
            </w:r>
          </w:p>
        </w:tc>
        <w:tc>
          <w:tcPr>
            <w:tcW w:w="1238" w:type="dxa"/>
            <w:tcBorders>
              <w:bottom w:val="single" w:sz="4" w:space="0" w:color="000000" w:themeColor="text1"/>
            </w:tcBorders>
            <w:shd w:val="clear" w:color="auto" w:fill="auto"/>
            <w:noWrap/>
            <w:hideMark/>
          </w:tcPr>
          <w:p w14:paraId="67DF85D5" w14:textId="3F073B9A"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70</w:t>
            </w:r>
            <w:r w:rsidR="00F22360" w:rsidRPr="00A7082A">
              <w:rPr>
                <w:color w:val="000000"/>
                <w:sz w:val="18"/>
              </w:rPr>
              <w:t xml:space="preserve"> </w:t>
            </w:r>
            <w:r w:rsidRPr="00A7082A">
              <w:rPr>
                <w:color w:val="000000"/>
                <w:sz w:val="18"/>
              </w:rPr>
              <w:t xml:space="preserve">000 </w:t>
            </w:r>
          </w:p>
        </w:tc>
        <w:tc>
          <w:tcPr>
            <w:tcW w:w="1239" w:type="dxa"/>
            <w:tcBorders>
              <w:bottom w:val="single" w:sz="4" w:space="0" w:color="000000" w:themeColor="text1"/>
            </w:tcBorders>
            <w:shd w:val="clear" w:color="auto" w:fill="auto"/>
            <w:noWrap/>
            <w:hideMark/>
          </w:tcPr>
          <w:p w14:paraId="051E285B"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r>
      <w:tr w:rsidR="00DA659A" w:rsidRPr="00A7082A" w14:paraId="6452A332" w14:textId="77777777" w:rsidTr="002E728C">
        <w:trPr>
          <w:trHeight w:val="57"/>
          <w:jc w:val="right"/>
        </w:trPr>
        <w:tc>
          <w:tcPr>
            <w:tcW w:w="993" w:type="dxa"/>
            <w:tcBorders>
              <w:top w:val="single" w:sz="4" w:space="0" w:color="000000" w:themeColor="text1"/>
              <w:bottom w:val="single" w:sz="4" w:space="0" w:color="000000" w:themeColor="text1"/>
            </w:tcBorders>
            <w:shd w:val="clear" w:color="auto" w:fill="auto"/>
            <w:noWrap/>
            <w:hideMark/>
          </w:tcPr>
          <w:p w14:paraId="7B337061" w14:textId="77777777" w:rsidR="00DA659A" w:rsidRPr="00A7082A" w:rsidRDefault="00DA659A" w:rsidP="00963095">
            <w:pPr>
              <w:tabs>
                <w:tab w:val="clear" w:pos="1247"/>
                <w:tab w:val="clear" w:pos="1814"/>
                <w:tab w:val="clear" w:pos="2381"/>
                <w:tab w:val="clear" w:pos="2948"/>
                <w:tab w:val="clear" w:pos="3515"/>
              </w:tabs>
              <w:spacing w:before="40" w:after="40"/>
              <w:jc w:val="center"/>
              <w:rPr>
                <w:color w:val="000000"/>
                <w:sz w:val="18"/>
              </w:rPr>
            </w:pPr>
            <w:r w:rsidRPr="00A7082A">
              <w:rPr>
                <w:color w:val="000000"/>
                <w:sz w:val="18"/>
              </w:rPr>
              <w:t> </w:t>
            </w:r>
          </w:p>
        </w:tc>
        <w:tc>
          <w:tcPr>
            <w:tcW w:w="3543" w:type="dxa"/>
            <w:tcBorders>
              <w:top w:val="single" w:sz="4" w:space="0" w:color="000000" w:themeColor="text1"/>
              <w:bottom w:val="single" w:sz="4" w:space="0" w:color="000000" w:themeColor="text1"/>
            </w:tcBorders>
            <w:shd w:val="clear" w:color="auto" w:fill="auto"/>
            <w:noWrap/>
            <w:hideMark/>
          </w:tcPr>
          <w:p w14:paraId="7F6B3BD6" w14:textId="3B7C5F71" w:rsidR="00DA659A" w:rsidRPr="00A7082A" w:rsidRDefault="00DA659A" w:rsidP="00963095">
            <w:pPr>
              <w:tabs>
                <w:tab w:val="clear" w:pos="1247"/>
                <w:tab w:val="clear" w:pos="1814"/>
                <w:tab w:val="clear" w:pos="2381"/>
                <w:tab w:val="clear" w:pos="2948"/>
                <w:tab w:val="clear" w:pos="3515"/>
              </w:tabs>
              <w:spacing w:before="40" w:after="40"/>
              <w:rPr>
                <w:b/>
                <w:color w:val="000000"/>
                <w:sz w:val="18"/>
              </w:rPr>
            </w:pPr>
            <w:r w:rsidRPr="00A7082A">
              <w:rPr>
                <w:b/>
                <w:color w:val="000000"/>
                <w:sz w:val="18"/>
              </w:rPr>
              <w:t xml:space="preserve">Component </w:t>
            </w:r>
            <w:r w:rsidR="00660CBD" w:rsidRPr="00A7082A">
              <w:rPr>
                <w:b/>
                <w:color w:val="000000"/>
                <w:sz w:val="18"/>
              </w:rPr>
              <w:t>t</w:t>
            </w:r>
            <w:r w:rsidRPr="00A7082A">
              <w:rPr>
                <w:b/>
                <w:color w:val="000000"/>
                <w:sz w:val="18"/>
              </w:rPr>
              <w:t>otal</w:t>
            </w:r>
          </w:p>
        </w:tc>
        <w:tc>
          <w:tcPr>
            <w:tcW w:w="1238" w:type="dxa"/>
            <w:tcBorders>
              <w:top w:val="single" w:sz="4" w:space="0" w:color="000000" w:themeColor="text1"/>
              <w:bottom w:val="single" w:sz="4" w:space="0" w:color="000000" w:themeColor="text1"/>
            </w:tcBorders>
            <w:shd w:val="clear" w:color="auto" w:fill="auto"/>
            <w:noWrap/>
            <w:hideMark/>
          </w:tcPr>
          <w:p w14:paraId="4FE371A9" w14:textId="41A7CAB9"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85</w:t>
            </w:r>
            <w:r w:rsidR="00F22360" w:rsidRPr="00A7082A">
              <w:rPr>
                <w:b/>
                <w:color w:val="000000"/>
                <w:sz w:val="18"/>
              </w:rPr>
              <w:t xml:space="preserve"> </w:t>
            </w:r>
            <w:r w:rsidRPr="00A7082A">
              <w:rPr>
                <w:b/>
                <w:color w:val="000000"/>
                <w:sz w:val="18"/>
              </w:rPr>
              <w:t xml:space="preserve">000 </w:t>
            </w:r>
          </w:p>
        </w:tc>
        <w:tc>
          <w:tcPr>
            <w:tcW w:w="1239" w:type="dxa"/>
            <w:tcBorders>
              <w:top w:val="single" w:sz="4" w:space="0" w:color="000000" w:themeColor="text1"/>
              <w:bottom w:val="single" w:sz="4" w:space="0" w:color="000000" w:themeColor="text1"/>
            </w:tcBorders>
            <w:shd w:val="clear" w:color="auto" w:fill="auto"/>
            <w:noWrap/>
            <w:hideMark/>
          </w:tcPr>
          <w:p w14:paraId="638C300B" w14:textId="54CD7936"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25</w:t>
            </w:r>
            <w:r w:rsidR="00F22360" w:rsidRPr="00A7082A">
              <w:rPr>
                <w:b/>
                <w:color w:val="000000"/>
                <w:sz w:val="18"/>
              </w:rPr>
              <w:t xml:space="preserve"> </w:t>
            </w:r>
            <w:r w:rsidRPr="00A7082A">
              <w:rPr>
                <w:b/>
                <w:color w:val="000000"/>
                <w:sz w:val="18"/>
              </w:rPr>
              <w:t xml:space="preserve">000 </w:t>
            </w:r>
          </w:p>
        </w:tc>
        <w:tc>
          <w:tcPr>
            <w:tcW w:w="1238" w:type="dxa"/>
            <w:tcBorders>
              <w:top w:val="single" w:sz="4" w:space="0" w:color="000000" w:themeColor="text1"/>
              <w:bottom w:val="single" w:sz="4" w:space="0" w:color="000000" w:themeColor="text1"/>
            </w:tcBorders>
            <w:shd w:val="clear" w:color="auto" w:fill="auto"/>
            <w:noWrap/>
            <w:hideMark/>
          </w:tcPr>
          <w:p w14:paraId="141BF30F" w14:textId="09B790E0"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70</w:t>
            </w:r>
            <w:r w:rsidR="00F22360" w:rsidRPr="00A7082A">
              <w:rPr>
                <w:b/>
                <w:color w:val="000000"/>
                <w:sz w:val="18"/>
              </w:rPr>
              <w:t xml:space="preserve"> </w:t>
            </w:r>
            <w:r w:rsidRPr="00A7082A">
              <w:rPr>
                <w:b/>
                <w:color w:val="000000"/>
                <w:sz w:val="18"/>
              </w:rPr>
              <w:t xml:space="preserve">000 </w:t>
            </w:r>
          </w:p>
        </w:tc>
        <w:tc>
          <w:tcPr>
            <w:tcW w:w="1239" w:type="dxa"/>
            <w:tcBorders>
              <w:top w:val="single" w:sz="4" w:space="0" w:color="000000" w:themeColor="text1"/>
              <w:bottom w:val="single" w:sz="4" w:space="0" w:color="000000" w:themeColor="text1"/>
            </w:tcBorders>
            <w:shd w:val="clear" w:color="auto" w:fill="auto"/>
            <w:noWrap/>
            <w:hideMark/>
          </w:tcPr>
          <w:p w14:paraId="0F4850DB" w14:textId="77777777"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 </w:t>
            </w:r>
          </w:p>
        </w:tc>
      </w:tr>
      <w:tr w:rsidR="00DA659A" w:rsidRPr="00A7082A" w14:paraId="743950FB" w14:textId="77777777" w:rsidTr="002E728C">
        <w:trPr>
          <w:trHeight w:val="57"/>
          <w:jc w:val="right"/>
        </w:trPr>
        <w:tc>
          <w:tcPr>
            <w:tcW w:w="993" w:type="dxa"/>
            <w:tcBorders>
              <w:top w:val="single" w:sz="4" w:space="0" w:color="000000" w:themeColor="text1"/>
              <w:bottom w:val="single" w:sz="4" w:space="0" w:color="000000" w:themeColor="text1"/>
            </w:tcBorders>
            <w:shd w:val="clear" w:color="auto" w:fill="auto"/>
            <w:noWrap/>
            <w:hideMark/>
          </w:tcPr>
          <w:p w14:paraId="514B9380" w14:textId="77777777" w:rsidR="00DA659A" w:rsidRPr="00A7082A" w:rsidRDefault="00DA659A" w:rsidP="00963095">
            <w:pPr>
              <w:tabs>
                <w:tab w:val="clear" w:pos="1247"/>
                <w:tab w:val="clear" w:pos="1814"/>
                <w:tab w:val="clear" w:pos="2381"/>
                <w:tab w:val="clear" w:pos="2948"/>
                <w:tab w:val="clear" w:pos="3515"/>
              </w:tabs>
              <w:spacing w:before="40" w:after="40"/>
              <w:jc w:val="center"/>
              <w:rPr>
                <w:color w:val="000000"/>
                <w:sz w:val="18"/>
              </w:rPr>
            </w:pPr>
            <w:r w:rsidRPr="00A7082A">
              <w:rPr>
                <w:color w:val="000000"/>
                <w:sz w:val="18"/>
              </w:rPr>
              <w:t> </w:t>
            </w:r>
          </w:p>
        </w:tc>
        <w:tc>
          <w:tcPr>
            <w:tcW w:w="3543" w:type="dxa"/>
            <w:tcBorders>
              <w:top w:val="single" w:sz="4" w:space="0" w:color="000000" w:themeColor="text1"/>
              <w:bottom w:val="single" w:sz="4" w:space="0" w:color="000000" w:themeColor="text1"/>
            </w:tcBorders>
            <w:shd w:val="clear" w:color="auto" w:fill="auto"/>
            <w:noWrap/>
            <w:hideMark/>
          </w:tcPr>
          <w:p w14:paraId="5B666346" w14:textId="77777777" w:rsidR="00DA659A" w:rsidRPr="00A7082A" w:rsidRDefault="00DA659A" w:rsidP="00963095">
            <w:pPr>
              <w:tabs>
                <w:tab w:val="clear" w:pos="1247"/>
                <w:tab w:val="clear" w:pos="1814"/>
                <w:tab w:val="clear" w:pos="2381"/>
                <w:tab w:val="clear" w:pos="2948"/>
                <w:tab w:val="clear" w:pos="3515"/>
              </w:tabs>
              <w:spacing w:before="40" w:after="40"/>
              <w:rPr>
                <w:b/>
                <w:color w:val="000000"/>
                <w:sz w:val="18"/>
              </w:rPr>
            </w:pPr>
            <w:r w:rsidRPr="00A7082A">
              <w:rPr>
                <w:b/>
                <w:color w:val="000000"/>
                <w:sz w:val="18"/>
              </w:rPr>
              <w:t>Total (D)</w:t>
            </w:r>
          </w:p>
        </w:tc>
        <w:tc>
          <w:tcPr>
            <w:tcW w:w="1238" w:type="dxa"/>
            <w:tcBorders>
              <w:top w:val="single" w:sz="4" w:space="0" w:color="000000" w:themeColor="text1"/>
              <w:bottom w:val="single" w:sz="4" w:space="0" w:color="000000" w:themeColor="text1"/>
            </w:tcBorders>
            <w:shd w:val="clear" w:color="auto" w:fill="auto"/>
            <w:noWrap/>
            <w:hideMark/>
          </w:tcPr>
          <w:p w14:paraId="01FB631A" w14:textId="1145A352"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110</w:t>
            </w:r>
            <w:r w:rsidR="00F22360" w:rsidRPr="00A7082A">
              <w:rPr>
                <w:b/>
                <w:color w:val="000000"/>
                <w:sz w:val="18"/>
              </w:rPr>
              <w:t xml:space="preserve"> </w:t>
            </w:r>
            <w:r w:rsidRPr="00A7082A">
              <w:rPr>
                <w:b/>
                <w:color w:val="000000"/>
                <w:sz w:val="18"/>
              </w:rPr>
              <w:t xml:space="preserve">000 </w:t>
            </w:r>
          </w:p>
        </w:tc>
        <w:tc>
          <w:tcPr>
            <w:tcW w:w="1239" w:type="dxa"/>
            <w:tcBorders>
              <w:top w:val="single" w:sz="4" w:space="0" w:color="000000" w:themeColor="text1"/>
              <w:bottom w:val="single" w:sz="4" w:space="0" w:color="000000" w:themeColor="text1"/>
            </w:tcBorders>
            <w:shd w:val="clear" w:color="auto" w:fill="auto"/>
            <w:noWrap/>
            <w:hideMark/>
          </w:tcPr>
          <w:p w14:paraId="24159ACA" w14:textId="49F5A271"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55</w:t>
            </w:r>
            <w:r w:rsidR="00F22360" w:rsidRPr="00A7082A">
              <w:rPr>
                <w:b/>
                <w:color w:val="000000"/>
                <w:sz w:val="18"/>
              </w:rPr>
              <w:t xml:space="preserve"> </w:t>
            </w:r>
            <w:r w:rsidRPr="00A7082A">
              <w:rPr>
                <w:b/>
                <w:color w:val="000000"/>
                <w:sz w:val="18"/>
              </w:rPr>
              <w:t xml:space="preserve">000 </w:t>
            </w:r>
          </w:p>
        </w:tc>
        <w:tc>
          <w:tcPr>
            <w:tcW w:w="1238" w:type="dxa"/>
            <w:tcBorders>
              <w:top w:val="single" w:sz="4" w:space="0" w:color="000000" w:themeColor="text1"/>
              <w:bottom w:val="single" w:sz="4" w:space="0" w:color="000000" w:themeColor="text1"/>
            </w:tcBorders>
            <w:shd w:val="clear" w:color="auto" w:fill="auto"/>
            <w:noWrap/>
            <w:hideMark/>
          </w:tcPr>
          <w:p w14:paraId="6BDFEFA7" w14:textId="5989397F"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90</w:t>
            </w:r>
            <w:r w:rsidR="00F22360" w:rsidRPr="00A7082A">
              <w:rPr>
                <w:b/>
                <w:color w:val="000000"/>
                <w:sz w:val="18"/>
              </w:rPr>
              <w:t xml:space="preserve"> </w:t>
            </w:r>
            <w:r w:rsidRPr="00A7082A">
              <w:rPr>
                <w:b/>
                <w:color w:val="000000"/>
                <w:sz w:val="18"/>
              </w:rPr>
              <w:t xml:space="preserve">000 </w:t>
            </w:r>
          </w:p>
        </w:tc>
        <w:tc>
          <w:tcPr>
            <w:tcW w:w="1239" w:type="dxa"/>
            <w:tcBorders>
              <w:top w:val="single" w:sz="4" w:space="0" w:color="000000" w:themeColor="text1"/>
              <w:bottom w:val="single" w:sz="4" w:space="0" w:color="000000" w:themeColor="text1"/>
            </w:tcBorders>
            <w:shd w:val="clear" w:color="auto" w:fill="auto"/>
            <w:noWrap/>
            <w:hideMark/>
          </w:tcPr>
          <w:p w14:paraId="08F9DA53" w14:textId="0769CD39"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30</w:t>
            </w:r>
            <w:r w:rsidR="00F22360" w:rsidRPr="00A7082A">
              <w:rPr>
                <w:b/>
                <w:color w:val="000000"/>
                <w:sz w:val="18"/>
              </w:rPr>
              <w:t xml:space="preserve"> </w:t>
            </w:r>
            <w:r w:rsidRPr="00A7082A">
              <w:rPr>
                <w:b/>
                <w:color w:val="000000"/>
                <w:sz w:val="18"/>
              </w:rPr>
              <w:t xml:space="preserve">000 </w:t>
            </w:r>
          </w:p>
        </w:tc>
      </w:tr>
      <w:tr w:rsidR="00DA659A" w:rsidRPr="00A7082A" w14:paraId="7FC50160" w14:textId="77777777" w:rsidTr="002E728C">
        <w:trPr>
          <w:trHeight w:val="57"/>
          <w:jc w:val="right"/>
        </w:trPr>
        <w:tc>
          <w:tcPr>
            <w:tcW w:w="993" w:type="dxa"/>
            <w:tcBorders>
              <w:top w:val="single" w:sz="4" w:space="0" w:color="000000" w:themeColor="text1"/>
            </w:tcBorders>
            <w:shd w:val="clear" w:color="auto" w:fill="auto"/>
            <w:noWrap/>
            <w:hideMark/>
          </w:tcPr>
          <w:p w14:paraId="55E49B2D" w14:textId="77777777" w:rsidR="00DA659A" w:rsidRPr="00A7082A" w:rsidRDefault="00DA659A" w:rsidP="00024235">
            <w:pPr>
              <w:keepNext/>
              <w:keepLines/>
              <w:tabs>
                <w:tab w:val="clear" w:pos="1247"/>
                <w:tab w:val="clear" w:pos="1814"/>
                <w:tab w:val="clear" w:pos="2381"/>
                <w:tab w:val="clear" w:pos="2948"/>
                <w:tab w:val="clear" w:pos="3515"/>
              </w:tabs>
              <w:spacing w:before="40" w:after="40"/>
              <w:jc w:val="center"/>
              <w:rPr>
                <w:b/>
                <w:color w:val="000000"/>
                <w:sz w:val="18"/>
              </w:rPr>
            </w:pPr>
            <w:r w:rsidRPr="00A7082A">
              <w:rPr>
                <w:b/>
                <w:color w:val="000000"/>
                <w:sz w:val="18"/>
              </w:rPr>
              <w:lastRenderedPageBreak/>
              <w:t>E.</w:t>
            </w:r>
          </w:p>
        </w:tc>
        <w:tc>
          <w:tcPr>
            <w:tcW w:w="3543" w:type="dxa"/>
            <w:tcBorders>
              <w:top w:val="single" w:sz="4" w:space="0" w:color="000000" w:themeColor="text1"/>
            </w:tcBorders>
            <w:shd w:val="clear" w:color="auto" w:fill="auto"/>
            <w:noWrap/>
            <w:hideMark/>
          </w:tcPr>
          <w:p w14:paraId="3E220010" w14:textId="77777777" w:rsidR="00DA659A" w:rsidRPr="00A7082A" w:rsidRDefault="00DA659A" w:rsidP="00024235">
            <w:pPr>
              <w:keepNext/>
              <w:keepLines/>
              <w:tabs>
                <w:tab w:val="clear" w:pos="1247"/>
                <w:tab w:val="clear" w:pos="1814"/>
                <w:tab w:val="clear" w:pos="2381"/>
                <w:tab w:val="clear" w:pos="2948"/>
                <w:tab w:val="clear" w:pos="3515"/>
              </w:tabs>
              <w:spacing w:before="40" w:after="40"/>
              <w:rPr>
                <w:b/>
                <w:color w:val="000000"/>
                <w:sz w:val="18"/>
              </w:rPr>
            </w:pPr>
            <w:r w:rsidRPr="00A7082A">
              <w:rPr>
                <w:b/>
                <w:color w:val="000000"/>
                <w:sz w:val="18"/>
              </w:rPr>
              <w:t>Overall management</w:t>
            </w:r>
          </w:p>
        </w:tc>
        <w:tc>
          <w:tcPr>
            <w:tcW w:w="1238" w:type="dxa"/>
            <w:tcBorders>
              <w:top w:val="single" w:sz="4" w:space="0" w:color="000000" w:themeColor="text1"/>
            </w:tcBorders>
            <w:shd w:val="clear" w:color="auto" w:fill="auto"/>
            <w:noWrap/>
            <w:hideMark/>
          </w:tcPr>
          <w:p w14:paraId="3969432D" w14:textId="77777777" w:rsidR="00DA659A" w:rsidRPr="00A7082A" w:rsidRDefault="00DA659A" w:rsidP="00024235">
            <w:pPr>
              <w:keepNext/>
              <w:keepLines/>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tcBorders>
              <w:top w:val="single" w:sz="4" w:space="0" w:color="000000" w:themeColor="text1"/>
            </w:tcBorders>
            <w:shd w:val="clear" w:color="auto" w:fill="auto"/>
            <w:noWrap/>
            <w:hideMark/>
          </w:tcPr>
          <w:p w14:paraId="1642D544" w14:textId="77777777" w:rsidR="00DA659A" w:rsidRPr="00A7082A" w:rsidRDefault="00DA659A" w:rsidP="008541DC">
            <w:pPr>
              <w:keepNext/>
              <w:keepLines/>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8" w:type="dxa"/>
            <w:tcBorders>
              <w:top w:val="single" w:sz="4" w:space="0" w:color="000000" w:themeColor="text1"/>
            </w:tcBorders>
            <w:shd w:val="clear" w:color="auto" w:fill="auto"/>
            <w:noWrap/>
            <w:hideMark/>
          </w:tcPr>
          <w:p w14:paraId="1CFC42DC" w14:textId="77777777" w:rsidR="00DA659A" w:rsidRPr="00A7082A" w:rsidRDefault="00DA659A" w:rsidP="008541DC">
            <w:pPr>
              <w:keepNext/>
              <w:keepLines/>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tcBorders>
              <w:top w:val="single" w:sz="4" w:space="0" w:color="000000" w:themeColor="text1"/>
            </w:tcBorders>
            <w:shd w:val="clear" w:color="auto" w:fill="auto"/>
            <w:noWrap/>
            <w:hideMark/>
          </w:tcPr>
          <w:p w14:paraId="149DAB65" w14:textId="77777777" w:rsidR="00DA659A" w:rsidRPr="00A7082A" w:rsidRDefault="00DA659A" w:rsidP="002D275C">
            <w:pPr>
              <w:keepNext/>
              <w:keepLines/>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r>
      <w:tr w:rsidR="00DA659A" w:rsidRPr="00A7082A" w14:paraId="28A1EC62" w14:textId="77777777" w:rsidTr="002E728C">
        <w:trPr>
          <w:trHeight w:val="57"/>
          <w:jc w:val="right"/>
        </w:trPr>
        <w:tc>
          <w:tcPr>
            <w:tcW w:w="993" w:type="dxa"/>
            <w:shd w:val="clear" w:color="auto" w:fill="auto"/>
            <w:noWrap/>
            <w:hideMark/>
          </w:tcPr>
          <w:p w14:paraId="43D2CF37" w14:textId="77777777" w:rsidR="00DA659A" w:rsidRPr="00A7082A" w:rsidRDefault="00DA659A" w:rsidP="006D4DE3">
            <w:pPr>
              <w:keepNext/>
              <w:keepLines/>
              <w:tabs>
                <w:tab w:val="clear" w:pos="1247"/>
                <w:tab w:val="clear" w:pos="1814"/>
                <w:tab w:val="clear" w:pos="2381"/>
                <w:tab w:val="clear" w:pos="2948"/>
                <w:tab w:val="clear" w:pos="3515"/>
              </w:tabs>
              <w:spacing w:before="40" w:after="40"/>
              <w:jc w:val="center"/>
              <w:rPr>
                <w:b/>
                <w:color w:val="000000"/>
                <w:sz w:val="18"/>
              </w:rPr>
            </w:pPr>
            <w:r w:rsidRPr="00A7082A">
              <w:rPr>
                <w:b/>
                <w:color w:val="000000"/>
                <w:sz w:val="18"/>
              </w:rPr>
              <w:t>10</w:t>
            </w:r>
          </w:p>
        </w:tc>
        <w:tc>
          <w:tcPr>
            <w:tcW w:w="3543" w:type="dxa"/>
            <w:shd w:val="clear" w:color="auto" w:fill="auto"/>
            <w:noWrap/>
            <w:hideMark/>
          </w:tcPr>
          <w:p w14:paraId="096436E4" w14:textId="77777777" w:rsidR="00DA659A" w:rsidRPr="00A7082A" w:rsidRDefault="00DA659A" w:rsidP="006D4DE3">
            <w:pPr>
              <w:keepNext/>
              <w:keepLines/>
              <w:tabs>
                <w:tab w:val="clear" w:pos="1247"/>
                <w:tab w:val="clear" w:pos="1814"/>
                <w:tab w:val="clear" w:pos="2381"/>
                <w:tab w:val="clear" w:pos="2948"/>
                <w:tab w:val="clear" w:pos="3515"/>
              </w:tabs>
              <w:spacing w:before="40" w:after="40"/>
              <w:rPr>
                <w:b/>
                <w:color w:val="000000"/>
                <w:sz w:val="18"/>
              </w:rPr>
            </w:pPr>
            <w:r w:rsidRPr="00A7082A">
              <w:rPr>
                <w:b/>
                <w:color w:val="000000"/>
                <w:sz w:val="18"/>
              </w:rPr>
              <w:t>Executive direction and management</w:t>
            </w:r>
          </w:p>
        </w:tc>
        <w:tc>
          <w:tcPr>
            <w:tcW w:w="1238" w:type="dxa"/>
            <w:shd w:val="clear" w:color="auto" w:fill="auto"/>
            <w:noWrap/>
            <w:hideMark/>
          </w:tcPr>
          <w:p w14:paraId="649A8E5C" w14:textId="77777777" w:rsidR="00DA659A" w:rsidRPr="00A7082A" w:rsidRDefault="00DA659A" w:rsidP="006D4DE3">
            <w:pPr>
              <w:keepNext/>
              <w:keepLines/>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shd w:val="clear" w:color="auto" w:fill="auto"/>
            <w:noWrap/>
            <w:hideMark/>
          </w:tcPr>
          <w:p w14:paraId="18544ED8" w14:textId="77777777" w:rsidR="00DA659A" w:rsidRPr="00A7082A" w:rsidRDefault="00DA659A" w:rsidP="006D4DE3">
            <w:pPr>
              <w:keepNext/>
              <w:keepLines/>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8" w:type="dxa"/>
            <w:shd w:val="clear" w:color="auto" w:fill="auto"/>
            <w:noWrap/>
            <w:hideMark/>
          </w:tcPr>
          <w:p w14:paraId="75616BC3" w14:textId="77777777" w:rsidR="00DA659A" w:rsidRPr="00A7082A" w:rsidRDefault="00DA659A" w:rsidP="006D4DE3">
            <w:pPr>
              <w:keepNext/>
              <w:keepLines/>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shd w:val="clear" w:color="auto" w:fill="auto"/>
            <w:noWrap/>
            <w:hideMark/>
          </w:tcPr>
          <w:p w14:paraId="357019FE" w14:textId="77777777" w:rsidR="00DA659A" w:rsidRPr="00A7082A" w:rsidRDefault="00DA659A" w:rsidP="006D4DE3">
            <w:pPr>
              <w:keepNext/>
              <w:keepLines/>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r>
      <w:tr w:rsidR="00DA659A" w:rsidRPr="00A7082A" w14:paraId="13252F03" w14:textId="77777777" w:rsidTr="002E728C">
        <w:trPr>
          <w:trHeight w:val="57"/>
          <w:jc w:val="right"/>
        </w:trPr>
        <w:tc>
          <w:tcPr>
            <w:tcW w:w="993" w:type="dxa"/>
            <w:shd w:val="clear" w:color="auto" w:fill="auto"/>
            <w:noWrap/>
            <w:hideMark/>
          </w:tcPr>
          <w:p w14:paraId="66F62D89" w14:textId="77777777" w:rsidR="00DA659A" w:rsidRPr="00A7082A" w:rsidRDefault="00DA659A" w:rsidP="006D4DE3">
            <w:pPr>
              <w:keepNext/>
              <w:keepLines/>
              <w:tabs>
                <w:tab w:val="clear" w:pos="1247"/>
                <w:tab w:val="clear" w:pos="1814"/>
                <w:tab w:val="clear" w:pos="2381"/>
                <w:tab w:val="clear" w:pos="2948"/>
                <w:tab w:val="clear" w:pos="3515"/>
              </w:tabs>
              <w:spacing w:before="40" w:after="40"/>
              <w:jc w:val="center"/>
              <w:rPr>
                <w:color w:val="000000"/>
                <w:sz w:val="18"/>
              </w:rPr>
            </w:pPr>
            <w:r w:rsidRPr="00A7082A">
              <w:rPr>
                <w:color w:val="000000"/>
                <w:sz w:val="18"/>
              </w:rPr>
              <w:t> </w:t>
            </w:r>
          </w:p>
        </w:tc>
        <w:tc>
          <w:tcPr>
            <w:tcW w:w="3543" w:type="dxa"/>
            <w:shd w:val="clear" w:color="auto" w:fill="auto"/>
            <w:noWrap/>
            <w:hideMark/>
          </w:tcPr>
          <w:p w14:paraId="0D3DDAFB" w14:textId="77777777" w:rsidR="00DA659A" w:rsidRPr="00A7082A" w:rsidRDefault="00DA659A" w:rsidP="006D4DE3">
            <w:pPr>
              <w:pStyle w:val="Normal-pool"/>
              <w:keepNext/>
              <w:keepLines/>
              <w:tabs>
                <w:tab w:val="clear" w:pos="1247"/>
                <w:tab w:val="clear" w:pos="1814"/>
                <w:tab w:val="clear" w:pos="2381"/>
                <w:tab w:val="clear" w:pos="2948"/>
                <w:tab w:val="clear" w:pos="3515"/>
                <w:tab w:val="clear" w:pos="4082"/>
              </w:tabs>
              <w:spacing w:before="40" w:after="40"/>
              <w:ind w:left="180" w:hanging="237"/>
              <w:rPr>
                <w:color w:val="000000"/>
                <w:sz w:val="18"/>
              </w:rPr>
            </w:pPr>
            <w:r w:rsidRPr="00A7082A">
              <w:rPr>
                <w:color w:val="000000"/>
                <w:sz w:val="18"/>
              </w:rPr>
              <w:t>10.1 Overall management*</w:t>
            </w:r>
          </w:p>
        </w:tc>
        <w:tc>
          <w:tcPr>
            <w:tcW w:w="1238" w:type="dxa"/>
            <w:shd w:val="clear" w:color="auto" w:fill="auto"/>
            <w:noWrap/>
            <w:hideMark/>
          </w:tcPr>
          <w:p w14:paraId="19068C7A" w14:textId="134BE128" w:rsidR="00DA659A" w:rsidRPr="00A7082A" w:rsidRDefault="00DA659A" w:rsidP="006D4DE3">
            <w:pPr>
              <w:keepNext/>
              <w:keepLines/>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1</w:t>
            </w:r>
            <w:r w:rsidR="00F22360" w:rsidRPr="00A7082A">
              <w:rPr>
                <w:color w:val="000000"/>
                <w:sz w:val="18"/>
              </w:rPr>
              <w:t xml:space="preserve"> </w:t>
            </w:r>
            <w:r w:rsidRPr="00A7082A">
              <w:rPr>
                <w:color w:val="000000"/>
                <w:sz w:val="18"/>
              </w:rPr>
              <w:t>967</w:t>
            </w:r>
            <w:r w:rsidR="00F22360" w:rsidRPr="00A7082A">
              <w:rPr>
                <w:color w:val="000000"/>
                <w:sz w:val="18"/>
              </w:rPr>
              <w:t xml:space="preserve"> </w:t>
            </w:r>
            <w:r w:rsidRPr="00A7082A">
              <w:rPr>
                <w:color w:val="000000"/>
                <w:sz w:val="18"/>
              </w:rPr>
              <w:t xml:space="preserve">600 </w:t>
            </w:r>
          </w:p>
        </w:tc>
        <w:tc>
          <w:tcPr>
            <w:tcW w:w="1239" w:type="dxa"/>
            <w:shd w:val="clear" w:color="auto" w:fill="auto"/>
            <w:noWrap/>
            <w:hideMark/>
          </w:tcPr>
          <w:p w14:paraId="2B47EE20" w14:textId="77777777" w:rsidR="00DA659A" w:rsidRPr="00A7082A" w:rsidRDefault="00DA659A" w:rsidP="006D4DE3">
            <w:pPr>
              <w:keepNext/>
              <w:keepLines/>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8" w:type="dxa"/>
            <w:shd w:val="clear" w:color="auto" w:fill="auto"/>
            <w:noWrap/>
            <w:hideMark/>
          </w:tcPr>
          <w:p w14:paraId="0187183F" w14:textId="543652BE" w:rsidR="00DA659A" w:rsidRPr="00A7082A" w:rsidRDefault="00DA659A" w:rsidP="006D4DE3">
            <w:pPr>
              <w:keepNext/>
              <w:keepLines/>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2</w:t>
            </w:r>
            <w:r w:rsidR="00F22360" w:rsidRPr="00A7082A">
              <w:rPr>
                <w:color w:val="000000"/>
                <w:sz w:val="18"/>
              </w:rPr>
              <w:t xml:space="preserve"> </w:t>
            </w:r>
            <w:r w:rsidRPr="00A7082A">
              <w:rPr>
                <w:color w:val="000000"/>
                <w:sz w:val="18"/>
              </w:rPr>
              <w:t>026</w:t>
            </w:r>
            <w:r w:rsidR="00F22360" w:rsidRPr="00A7082A">
              <w:rPr>
                <w:color w:val="000000"/>
                <w:sz w:val="18"/>
              </w:rPr>
              <w:t xml:space="preserve"> </w:t>
            </w:r>
            <w:r w:rsidRPr="00A7082A">
              <w:rPr>
                <w:color w:val="000000"/>
                <w:sz w:val="18"/>
              </w:rPr>
              <w:t xml:space="preserve">328 </w:t>
            </w:r>
          </w:p>
        </w:tc>
        <w:tc>
          <w:tcPr>
            <w:tcW w:w="1239" w:type="dxa"/>
            <w:shd w:val="clear" w:color="auto" w:fill="auto"/>
            <w:noWrap/>
            <w:hideMark/>
          </w:tcPr>
          <w:p w14:paraId="36B9DB77" w14:textId="77777777" w:rsidR="00DA659A" w:rsidRPr="00A7082A" w:rsidRDefault="00DA659A" w:rsidP="006D4DE3">
            <w:pPr>
              <w:keepNext/>
              <w:keepLines/>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r>
      <w:tr w:rsidR="00DA659A" w:rsidRPr="00A7082A" w14:paraId="7543A4B5" w14:textId="77777777" w:rsidTr="002E728C">
        <w:trPr>
          <w:trHeight w:val="57"/>
          <w:jc w:val="right"/>
        </w:trPr>
        <w:tc>
          <w:tcPr>
            <w:tcW w:w="993" w:type="dxa"/>
            <w:tcBorders>
              <w:bottom w:val="single" w:sz="4" w:space="0" w:color="000000" w:themeColor="text1"/>
            </w:tcBorders>
            <w:shd w:val="clear" w:color="auto" w:fill="auto"/>
            <w:noWrap/>
            <w:hideMark/>
          </w:tcPr>
          <w:p w14:paraId="14894FAC" w14:textId="77777777" w:rsidR="00DA659A" w:rsidRPr="00A7082A" w:rsidRDefault="00DA659A" w:rsidP="006D4DE3">
            <w:pPr>
              <w:keepNext/>
              <w:keepLines/>
              <w:tabs>
                <w:tab w:val="clear" w:pos="1247"/>
                <w:tab w:val="clear" w:pos="1814"/>
                <w:tab w:val="clear" w:pos="2381"/>
                <w:tab w:val="clear" w:pos="2948"/>
                <w:tab w:val="clear" w:pos="3515"/>
              </w:tabs>
              <w:spacing w:before="40" w:after="40"/>
              <w:jc w:val="center"/>
              <w:rPr>
                <w:color w:val="000000"/>
                <w:sz w:val="18"/>
              </w:rPr>
            </w:pPr>
            <w:r w:rsidRPr="00A7082A">
              <w:rPr>
                <w:color w:val="000000"/>
                <w:sz w:val="18"/>
              </w:rPr>
              <w:t> </w:t>
            </w:r>
          </w:p>
        </w:tc>
        <w:tc>
          <w:tcPr>
            <w:tcW w:w="3543" w:type="dxa"/>
            <w:tcBorders>
              <w:bottom w:val="single" w:sz="4" w:space="0" w:color="000000" w:themeColor="text1"/>
            </w:tcBorders>
            <w:shd w:val="clear" w:color="auto" w:fill="auto"/>
            <w:noWrap/>
            <w:hideMark/>
          </w:tcPr>
          <w:p w14:paraId="72C23B32" w14:textId="77777777" w:rsidR="00DA659A" w:rsidRPr="00A7082A" w:rsidRDefault="00DA659A" w:rsidP="006D4DE3">
            <w:pPr>
              <w:pStyle w:val="Normal-pool"/>
              <w:keepNext/>
              <w:keepLines/>
              <w:tabs>
                <w:tab w:val="clear" w:pos="1247"/>
                <w:tab w:val="clear" w:pos="1814"/>
                <w:tab w:val="clear" w:pos="2381"/>
                <w:tab w:val="clear" w:pos="2948"/>
                <w:tab w:val="clear" w:pos="3515"/>
                <w:tab w:val="clear" w:pos="4082"/>
              </w:tabs>
              <w:spacing w:before="40" w:after="40"/>
              <w:ind w:left="180" w:hanging="237"/>
              <w:rPr>
                <w:color w:val="000000"/>
                <w:sz w:val="18"/>
              </w:rPr>
            </w:pPr>
            <w:r w:rsidRPr="00A7082A">
              <w:rPr>
                <w:color w:val="000000"/>
                <w:sz w:val="18"/>
              </w:rPr>
              <w:t>10.2 Staff travel</w:t>
            </w:r>
          </w:p>
        </w:tc>
        <w:tc>
          <w:tcPr>
            <w:tcW w:w="1238" w:type="dxa"/>
            <w:tcBorders>
              <w:bottom w:val="single" w:sz="4" w:space="0" w:color="000000" w:themeColor="text1"/>
            </w:tcBorders>
            <w:shd w:val="clear" w:color="auto" w:fill="auto"/>
            <w:noWrap/>
            <w:hideMark/>
          </w:tcPr>
          <w:p w14:paraId="2065D278" w14:textId="073CDB02" w:rsidR="00DA659A" w:rsidRPr="00A7082A" w:rsidRDefault="00DA659A" w:rsidP="006D4DE3">
            <w:pPr>
              <w:keepNext/>
              <w:keepLines/>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140</w:t>
            </w:r>
            <w:r w:rsidR="00F22360" w:rsidRPr="00A7082A">
              <w:rPr>
                <w:color w:val="000000"/>
                <w:sz w:val="18"/>
              </w:rPr>
              <w:t xml:space="preserve"> </w:t>
            </w:r>
            <w:r w:rsidRPr="00A7082A">
              <w:rPr>
                <w:color w:val="000000"/>
                <w:sz w:val="18"/>
              </w:rPr>
              <w:t xml:space="preserve">000 </w:t>
            </w:r>
          </w:p>
        </w:tc>
        <w:tc>
          <w:tcPr>
            <w:tcW w:w="1239" w:type="dxa"/>
            <w:tcBorders>
              <w:bottom w:val="single" w:sz="4" w:space="0" w:color="000000" w:themeColor="text1"/>
            </w:tcBorders>
            <w:shd w:val="clear" w:color="auto" w:fill="auto"/>
            <w:noWrap/>
            <w:hideMark/>
          </w:tcPr>
          <w:p w14:paraId="7D480F3F" w14:textId="77777777" w:rsidR="00DA659A" w:rsidRPr="00A7082A" w:rsidRDefault="00DA659A" w:rsidP="006D4DE3">
            <w:pPr>
              <w:keepNext/>
              <w:keepLines/>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8" w:type="dxa"/>
            <w:tcBorders>
              <w:bottom w:val="single" w:sz="4" w:space="0" w:color="000000" w:themeColor="text1"/>
            </w:tcBorders>
            <w:shd w:val="clear" w:color="auto" w:fill="auto"/>
            <w:noWrap/>
            <w:hideMark/>
          </w:tcPr>
          <w:p w14:paraId="507DD2EE" w14:textId="10790585" w:rsidR="00DA659A" w:rsidRPr="00A7082A" w:rsidRDefault="00DA659A" w:rsidP="006D4DE3">
            <w:pPr>
              <w:keepNext/>
              <w:keepLines/>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140</w:t>
            </w:r>
            <w:r w:rsidR="00F22360" w:rsidRPr="00A7082A">
              <w:rPr>
                <w:color w:val="000000"/>
                <w:sz w:val="18"/>
              </w:rPr>
              <w:t xml:space="preserve"> </w:t>
            </w:r>
            <w:r w:rsidRPr="00A7082A">
              <w:rPr>
                <w:color w:val="000000"/>
                <w:sz w:val="18"/>
              </w:rPr>
              <w:t xml:space="preserve">000 </w:t>
            </w:r>
          </w:p>
        </w:tc>
        <w:tc>
          <w:tcPr>
            <w:tcW w:w="1239" w:type="dxa"/>
            <w:tcBorders>
              <w:bottom w:val="single" w:sz="4" w:space="0" w:color="000000" w:themeColor="text1"/>
            </w:tcBorders>
            <w:shd w:val="clear" w:color="auto" w:fill="auto"/>
            <w:noWrap/>
            <w:hideMark/>
          </w:tcPr>
          <w:p w14:paraId="0611D5CC" w14:textId="77777777" w:rsidR="00DA659A" w:rsidRPr="00A7082A" w:rsidRDefault="00DA659A" w:rsidP="006D4DE3">
            <w:pPr>
              <w:keepNext/>
              <w:keepLines/>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r>
      <w:tr w:rsidR="00DA659A" w:rsidRPr="00A7082A" w14:paraId="0C09EB6F" w14:textId="77777777" w:rsidTr="002E728C">
        <w:trPr>
          <w:trHeight w:val="57"/>
          <w:jc w:val="right"/>
        </w:trPr>
        <w:tc>
          <w:tcPr>
            <w:tcW w:w="993" w:type="dxa"/>
            <w:tcBorders>
              <w:top w:val="single" w:sz="4" w:space="0" w:color="000000" w:themeColor="text1"/>
              <w:bottom w:val="single" w:sz="4" w:space="0" w:color="000000" w:themeColor="text1"/>
            </w:tcBorders>
            <w:shd w:val="clear" w:color="auto" w:fill="auto"/>
            <w:noWrap/>
            <w:hideMark/>
          </w:tcPr>
          <w:p w14:paraId="3F12BD66" w14:textId="77777777" w:rsidR="00DA659A" w:rsidRPr="00A7082A" w:rsidRDefault="00DA659A" w:rsidP="00963095">
            <w:pPr>
              <w:tabs>
                <w:tab w:val="clear" w:pos="1247"/>
                <w:tab w:val="clear" w:pos="1814"/>
                <w:tab w:val="clear" w:pos="2381"/>
                <w:tab w:val="clear" w:pos="2948"/>
                <w:tab w:val="clear" w:pos="3515"/>
              </w:tabs>
              <w:spacing w:before="40" w:after="40"/>
              <w:jc w:val="center"/>
              <w:rPr>
                <w:color w:val="000000"/>
                <w:sz w:val="18"/>
              </w:rPr>
            </w:pPr>
            <w:r w:rsidRPr="00A7082A">
              <w:rPr>
                <w:color w:val="000000"/>
                <w:sz w:val="18"/>
              </w:rPr>
              <w:t> </w:t>
            </w:r>
          </w:p>
        </w:tc>
        <w:tc>
          <w:tcPr>
            <w:tcW w:w="3543" w:type="dxa"/>
            <w:tcBorders>
              <w:top w:val="single" w:sz="4" w:space="0" w:color="000000" w:themeColor="text1"/>
              <w:bottom w:val="single" w:sz="4" w:space="0" w:color="000000" w:themeColor="text1"/>
            </w:tcBorders>
            <w:shd w:val="clear" w:color="auto" w:fill="auto"/>
            <w:noWrap/>
            <w:hideMark/>
          </w:tcPr>
          <w:p w14:paraId="4CF8BF75" w14:textId="2D664273" w:rsidR="00DA659A" w:rsidRPr="00A7082A" w:rsidRDefault="00DA659A" w:rsidP="00963095">
            <w:pPr>
              <w:tabs>
                <w:tab w:val="clear" w:pos="1247"/>
                <w:tab w:val="clear" w:pos="1814"/>
                <w:tab w:val="clear" w:pos="2381"/>
                <w:tab w:val="clear" w:pos="2948"/>
                <w:tab w:val="clear" w:pos="3515"/>
              </w:tabs>
              <w:spacing w:before="40" w:after="40"/>
              <w:rPr>
                <w:b/>
                <w:color w:val="000000"/>
                <w:sz w:val="18"/>
              </w:rPr>
            </w:pPr>
            <w:r w:rsidRPr="00A7082A">
              <w:rPr>
                <w:b/>
                <w:color w:val="000000"/>
                <w:sz w:val="18"/>
              </w:rPr>
              <w:t xml:space="preserve">Component </w:t>
            </w:r>
            <w:r w:rsidR="00660CBD" w:rsidRPr="00A7082A">
              <w:rPr>
                <w:b/>
                <w:color w:val="000000"/>
                <w:sz w:val="18"/>
              </w:rPr>
              <w:t>t</w:t>
            </w:r>
            <w:r w:rsidRPr="00A7082A">
              <w:rPr>
                <w:b/>
                <w:color w:val="000000"/>
                <w:sz w:val="18"/>
              </w:rPr>
              <w:t>otal</w:t>
            </w:r>
          </w:p>
        </w:tc>
        <w:tc>
          <w:tcPr>
            <w:tcW w:w="1238" w:type="dxa"/>
            <w:tcBorders>
              <w:top w:val="single" w:sz="4" w:space="0" w:color="000000" w:themeColor="text1"/>
              <w:bottom w:val="single" w:sz="4" w:space="0" w:color="000000" w:themeColor="text1"/>
            </w:tcBorders>
            <w:shd w:val="clear" w:color="auto" w:fill="auto"/>
            <w:noWrap/>
            <w:hideMark/>
          </w:tcPr>
          <w:p w14:paraId="7DD5B754" w14:textId="48A10945"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2</w:t>
            </w:r>
            <w:r w:rsidR="00F22360" w:rsidRPr="00A7082A">
              <w:rPr>
                <w:b/>
                <w:color w:val="000000"/>
                <w:sz w:val="18"/>
              </w:rPr>
              <w:t xml:space="preserve"> </w:t>
            </w:r>
            <w:r w:rsidRPr="00A7082A">
              <w:rPr>
                <w:b/>
                <w:color w:val="000000"/>
                <w:sz w:val="18"/>
              </w:rPr>
              <w:t>107</w:t>
            </w:r>
            <w:r w:rsidR="00F22360" w:rsidRPr="00A7082A">
              <w:rPr>
                <w:b/>
                <w:color w:val="000000"/>
                <w:sz w:val="18"/>
              </w:rPr>
              <w:t xml:space="preserve"> </w:t>
            </w:r>
            <w:r w:rsidRPr="00A7082A">
              <w:rPr>
                <w:b/>
                <w:color w:val="000000"/>
                <w:sz w:val="18"/>
              </w:rPr>
              <w:t xml:space="preserve">600 </w:t>
            </w:r>
          </w:p>
        </w:tc>
        <w:tc>
          <w:tcPr>
            <w:tcW w:w="1239" w:type="dxa"/>
            <w:tcBorders>
              <w:top w:val="single" w:sz="4" w:space="0" w:color="000000" w:themeColor="text1"/>
              <w:bottom w:val="single" w:sz="4" w:space="0" w:color="000000" w:themeColor="text1"/>
            </w:tcBorders>
            <w:shd w:val="clear" w:color="auto" w:fill="auto"/>
            <w:noWrap/>
            <w:hideMark/>
          </w:tcPr>
          <w:p w14:paraId="0AE70AD4" w14:textId="77777777"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 </w:t>
            </w:r>
          </w:p>
        </w:tc>
        <w:tc>
          <w:tcPr>
            <w:tcW w:w="1238" w:type="dxa"/>
            <w:tcBorders>
              <w:top w:val="single" w:sz="4" w:space="0" w:color="000000" w:themeColor="text1"/>
              <w:bottom w:val="single" w:sz="4" w:space="0" w:color="000000" w:themeColor="text1"/>
            </w:tcBorders>
            <w:shd w:val="clear" w:color="auto" w:fill="auto"/>
            <w:noWrap/>
            <w:hideMark/>
          </w:tcPr>
          <w:p w14:paraId="5C971D7D" w14:textId="49E0ED5D"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2</w:t>
            </w:r>
            <w:r w:rsidR="00F22360" w:rsidRPr="00A7082A">
              <w:rPr>
                <w:b/>
                <w:color w:val="000000"/>
                <w:sz w:val="18"/>
              </w:rPr>
              <w:t xml:space="preserve"> </w:t>
            </w:r>
            <w:r w:rsidRPr="00A7082A">
              <w:rPr>
                <w:b/>
                <w:color w:val="000000"/>
                <w:sz w:val="18"/>
              </w:rPr>
              <w:t>166</w:t>
            </w:r>
            <w:r w:rsidR="00F22360" w:rsidRPr="00A7082A">
              <w:rPr>
                <w:b/>
                <w:color w:val="000000"/>
                <w:sz w:val="18"/>
              </w:rPr>
              <w:t xml:space="preserve"> </w:t>
            </w:r>
            <w:r w:rsidRPr="00A7082A">
              <w:rPr>
                <w:b/>
                <w:color w:val="000000"/>
                <w:sz w:val="18"/>
              </w:rPr>
              <w:t xml:space="preserve">328 </w:t>
            </w:r>
          </w:p>
        </w:tc>
        <w:tc>
          <w:tcPr>
            <w:tcW w:w="1239" w:type="dxa"/>
            <w:tcBorders>
              <w:top w:val="single" w:sz="4" w:space="0" w:color="000000" w:themeColor="text1"/>
              <w:bottom w:val="single" w:sz="4" w:space="0" w:color="000000" w:themeColor="text1"/>
            </w:tcBorders>
            <w:shd w:val="clear" w:color="auto" w:fill="auto"/>
            <w:noWrap/>
            <w:hideMark/>
          </w:tcPr>
          <w:p w14:paraId="2C532046" w14:textId="77777777"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 </w:t>
            </w:r>
          </w:p>
        </w:tc>
      </w:tr>
      <w:tr w:rsidR="00DA659A" w:rsidRPr="00A7082A" w14:paraId="4FD02EC9" w14:textId="77777777" w:rsidTr="002E728C">
        <w:trPr>
          <w:trHeight w:val="57"/>
          <w:jc w:val="right"/>
        </w:trPr>
        <w:tc>
          <w:tcPr>
            <w:tcW w:w="993" w:type="dxa"/>
            <w:tcBorders>
              <w:top w:val="single" w:sz="4" w:space="0" w:color="000000" w:themeColor="text1"/>
            </w:tcBorders>
            <w:shd w:val="clear" w:color="auto" w:fill="auto"/>
            <w:noWrap/>
            <w:hideMark/>
          </w:tcPr>
          <w:p w14:paraId="7399B82B" w14:textId="77777777" w:rsidR="00DA659A" w:rsidRPr="00A7082A" w:rsidRDefault="00DA659A" w:rsidP="00963095">
            <w:pPr>
              <w:tabs>
                <w:tab w:val="clear" w:pos="1247"/>
                <w:tab w:val="clear" w:pos="1814"/>
                <w:tab w:val="clear" w:pos="2381"/>
                <w:tab w:val="clear" w:pos="2948"/>
                <w:tab w:val="clear" w:pos="3515"/>
              </w:tabs>
              <w:spacing w:before="40" w:after="40"/>
              <w:jc w:val="center"/>
              <w:rPr>
                <w:b/>
                <w:color w:val="000000"/>
                <w:sz w:val="18"/>
              </w:rPr>
            </w:pPr>
            <w:r w:rsidRPr="00A7082A">
              <w:rPr>
                <w:b/>
                <w:color w:val="000000"/>
                <w:sz w:val="18"/>
              </w:rPr>
              <w:t>11</w:t>
            </w:r>
          </w:p>
        </w:tc>
        <w:tc>
          <w:tcPr>
            <w:tcW w:w="3543" w:type="dxa"/>
            <w:tcBorders>
              <w:top w:val="single" w:sz="4" w:space="0" w:color="000000" w:themeColor="text1"/>
            </w:tcBorders>
            <w:shd w:val="clear" w:color="auto" w:fill="auto"/>
            <w:noWrap/>
            <w:hideMark/>
          </w:tcPr>
          <w:p w14:paraId="6B3B4853" w14:textId="77777777" w:rsidR="00DA659A" w:rsidRPr="00A7082A" w:rsidRDefault="00DA659A" w:rsidP="00963095">
            <w:pPr>
              <w:tabs>
                <w:tab w:val="clear" w:pos="1247"/>
                <w:tab w:val="clear" w:pos="1814"/>
                <w:tab w:val="clear" w:pos="2381"/>
                <w:tab w:val="clear" w:pos="2948"/>
                <w:tab w:val="clear" w:pos="3515"/>
              </w:tabs>
              <w:spacing w:before="40" w:after="40"/>
              <w:rPr>
                <w:b/>
                <w:color w:val="000000"/>
                <w:sz w:val="18"/>
              </w:rPr>
            </w:pPr>
            <w:r w:rsidRPr="00A7082A">
              <w:rPr>
                <w:b/>
                <w:color w:val="000000"/>
                <w:sz w:val="18"/>
              </w:rPr>
              <w:t>International cooperation and coordination</w:t>
            </w:r>
          </w:p>
        </w:tc>
        <w:tc>
          <w:tcPr>
            <w:tcW w:w="1238" w:type="dxa"/>
            <w:tcBorders>
              <w:top w:val="single" w:sz="4" w:space="0" w:color="000000" w:themeColor="text1"/>
            </w:tcBorders>
            <w:shd w:val="clear" w:color="auto" w:fill="auto"/>
            <w:noWrap/>
            <w:hideMark/>
          </w:tcPr>
          <w:p w14:paraId="5C5277FC"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tcBorders>
              <w:top w:val="single" w:sz="4" w:space="0" w:color="000000" w:themeColor="text1"/>
            </w:tcBorders>
            <w:shd w:val="clear" w:color="auto" w:fill="auto"/>
            <w:noWrap/>
            <w:hideMark/>
          </w:tcPr>
          <w:p w14:paraId="62D1E4AC"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8" w:type="dxa"/>
            <w:tcBorders>
              <w:top w:val="single" w:sz="4" w:space="0" w:color="000000" w:themeColor="text1"/>
            </w:tcBorders>
            <w:shd w:val="clear" w:color="auto" w:fill="auto"/>
            <w:noWrap/>
            <w:hideMark/>
          </w:tcPr>
          <w:p w14:paraId="293E8A6E"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tcBorders>
              <w:top w:val="single" w:sz="4" w:space="0" w:color="000000" w:themeColor="text1"/>
            </w:tcBorders>
            <w:shd w:val="clear" w:color="auto" w:fill="auto"/>
            <w:noWrap/>
            <w:hideMark/>
          </w:tcPr>
          <w:p w14:paraId="5F515FAC"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r>
      <w:tr w:rsidR="00DA659A" w:rsidRPr="00A7082A" w14:paraId="632D55AB" w14:textId="77777777" w:rsidTr="002E728C">
        <w:trPr>
          <w:trHeight w:val="57"/>
          <w:jc w:val="right"/>
        </w:trPr>
        <w:tc>
          <w:tcPr>
            <w:tcW w:w="993" w:type="dxa"/>
            <w:shd w:val="clear" w:color="auto" w:fill="auto"/>
            <w:noWrap/>
            <w:hideMark/>
          </w:tcPr>
          <w:p w14:paraId="009FC50B" w14:textId="77777777" w:rsidR="00DA659A" w:rsidRPr="00A7082A" w:rsidRDefault="00DA659A" w:rsidP="00963095">
            <w:pPr>
              <w:tabs>
                <w:tab w:val="clear" w:pos="1247"/>
                <w:tab w:val="clear" w:pos="1814"/>
                <w:tab w:val="clear" w:pos="2381"/>
                <w:tab w:val="clear" w:pos="2948"/>
                <w:tab w:val="clear" w:pos="3515"/>
              </w:tabs>
              <w:spacing w:before="40" w:after="40"/>
              <w:jc w:val="center"/>
              <w:rPr>
                <w:color w:val="000000"/>
                <w:sz w:val="18"/>
              </w:rPr>
            </w:pPr>
            <w:r w:rsidRPr="00A7082A">
              <w:rPr>
                <w:color w:val="000000"/>
                <w:sz w:val="18"/>
              </w:rPr>
              <w:t> </w:t>
            </w:r>
          </w:p>
        </w:tc>
        <w:tc>
          <w:tcPr>
            <w:tcW w:w="3543" w:type="dxa"/>
            <w:shd w:val="clear" w:color="auto" w:fill="auto"/>
            <w:noWrap/>
            <w:hideMark/>
          </w:tcPr>
          <w:p w14:paraId="0C56D951" w14:textId="34F79E24" w:rsidR="00DA659A" w:rsidRPr="00A7082A" w:rsidRDefault="00DA659A" w:rsidP="0045134A">
            <w:pPr>
              <w:pStyle w:val="Normal-pool"/>
              <w:tabs>
                <w:tab w:val="clear" w:pos="1247"/>
                <w:tab w:val="clear" w:pos="1814"/>
                <w:tab w:val="clear" w:pos="2381"/>
                <w:tab w:val="clear" w:pos="2948"/>
                <w:tab w:val="clear" w:pos="3515"/>
                <w:tab w:val="clear" w:pos="4082"/>
              </w:tabs>
              <w:spacing w:before="40" w:after="40"/>
              <w:ind w:left="322" w:hanging="379"/>
              <w:rPr>
                <w:color w:val="000000"/>
                <w:sz w:val="18"/>
              </w:rPr>
            </w:pPr>
            <w:r w:rsidRPr="00A7082A">
              <w:rPr>
                <w:color w:val="000000"/>
                <w:sz w:val="18"/>
              </w:rPr>
              <w:t>11.1</w:t>
            </w:r>
            <w:r w:rsidR="00F55A86" w:rsidRPr="00A7082A">
              <w:rPr>
                <w:color w:val="000000"/>
                <w:sz w:val="18"/>
              </w:rPr>
              <w:t xml:space="preserve"> </w:t>
            </w:r>
            <w:r w:rsidRPr="00A7082A">
              <w:rPr>
                <w:color w:val="000000"/>
                <w:sz w:val="18"/>
              </w:rPr>
              <w:t>Cooperation on the broader sustainable development and environment agenda</w:t>
            </w:r>
          </w:p>
        </w:tc>
        <w:tc>
          <w:tcPr>
            <w:tcW w:w="1238" w:type="dxa"/>
            <w:shd w:val="clear" w:color="auto" w:fill="auto"/>
            <w:noWrap/>
            <w:hideMark/>
          </w:tcPr>
          <w:p w14:paraId="7ADBB33E"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shd w:val="clear" w:color="auto" w:fill="auto"/>
            <w:noWrap/>
            <w:hideMark/>
          </w:tcPr>
          <w:p w14:paraId="59784D6B"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8" w:type="dxa"/>
            <w:shd w:val="clear" w:color="auto" w:fill="auto"/>
            <w:noWrap/>
            <w:hideMark/>
          </w:tcPr>
          <w:p w14:paraId="773ED5B6"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shd w:val="clear" w:color="auto" w:fill="auto"/>
            <w:noWrap/>
            <w:hideMark/>
          </w:tcPr>
          <w:p w14:paraId="4099B123"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r>
      <w:tr w:rsidR="00DA659A" w:rsidRPr="00A7082A" w14:paraId="5B05205B" w14:textId="77777777" w:rsidTr="002E728C">
        <w:trPr>
          <w:trHeight w:val="57"/>
          <w:jc w:val="right"/>
        </w:trPr>
        <w:tc>
          <w:tcPr>
            <w:tcW w:w="993" w:type="dxa"/>
            <w:shd w:val="clear" w:color="auto" w:fill="auto"/>
            <w:noWrap/>
            <w:hideMark/>
          </w:tcPr>
          <w:p w14:paraId="5D3C65AC" w14:textId="77777777" w:rsidR="00DA659A" w:rsidRPr="00A7082A" w:rsidRDefault="00DA659A" w:rsidP="00963095">
            <w:pPr>
              <w:tabs>
                <w:tab w:val="clear" w:pos="1247"/>
                <w:tab w:val="clear" w:pos="1814"/>
                <w:tab w:val="clear" w:pos="2381"/>
                <w:tab w:val="clear" w:pos="2948"/>
                <w:tab w:val="clear" w:pos="3515"/>
              </w:tabs>
              <w:spacing w:before="40" w:after="40"/>
              <w:jc w:val="center"/>
              <w:rPr>
                <w:color w:val="000000"/>
                <w:sz w:val="18"/>
              </w:rPr>
            </w:pPr>
            <w:r w:rsidRPr="00A7082A">
              <w:rPr>
                <w:color w:val="000000"/>
                <w:sz w:val="18"/>
              </w:rPr>
              <w:t> </w:t>
            </w:r>
          </w:p>
        </w:tc>
        <w:tc>
          <w:tcPr>
            <w:tcW w:w="3543" w:type="dxa"/>
            <w:shd w:val="clear" w:color="auto" w:fill="auto"/>
            <w:noWrap/>
            <w:hideMark/>
          </w:tcPr>
          <w:p w14:paraId="71156E8B" w14:textId="0B5C324B" w:rsidR="00DA659A" w:rsidRPr="00A7082A" w:rsidRDefault="00DA659A" w:rsidP="0045134A">
            <w:pPr>
              <w:pStyle w:val="Normal-pool"/>
              <w:tabs>
                <w:tab w:val="clear" w:pos="1247"/>
                <w:tab w:val="clear" w:pos="1814"/>
                <w:tab w:val="clear" w:pos="2381"/>
                <w:tab w:val="clear" w:pos="2948"/>
                <w:tab w:val="clear" w:pos="3515"/>
                <w:tab w:val="clear" w:pos="4082"/>
              </w:tabs>
              <w:spacing w:before="40" w:after="40"/>
              <w:ind w:left="322" w:hanging="379"/>
              <w:rPr>
                <w:color w:val="000000"/>
                <w:sz w:val="18"/>
              </w:rPr>
            </w:pPr>
            <w:r w:rsidRPr="00A7082A">
              <w:rPr>
                <w:color w:val="000000"/>
                <w:sz w:val="18"/>
              </w:rPr>
              <w:t>11.2</w:t>
            </w:r>
            <w:r w:rsidR="00F55A86" w:rsidRPr="00A7082A">
              <w:rPr>
                <w:color w:val="000000"/>
                <w:sz w:val="18"/>
              </w:rPr>
              <w:t xml:space="preserve"> </w:t>
            </w:r>
            <w:r w:rsidRPr="00A7082A">
              <w:rPr>
                <w:color w:val="000000"/>
                <w:sz w:val="18"/>
              </w:rPr>
              <w:t>Cooperation within the chemicals and waste cluster</w:t>
            </w:r>
          </w:p>
        </w:tc>
        <w:tc>
          <w:tcPr>
            <w:tcW w:w="1238" w:type="dxa"/>
            <w:shd w:val="clear" w:color="auto" w:fill="auto"/>
            <w:noWrap/>
            <w:hideMark/>
          </w:tcPr>
          <w:p w14:paraId="5E3EBC63"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shd w:val="clear" w:color="auto" w:fill="auto"/>
            <w:noWrap/>
            <w:hideMark/>
          </w:tcPr>
          <w:p w14:paraId="27CDFF67"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8" w:type="dxa"/>
            <w:shd w:val="clear" w:color="auto" w:fill="auto"/>
            <w:noWrap/>
            <w:hideMark/>
          </w:tcPr>
          <w:p w14:paraId="24CBD94D"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shd w:val="clear" w:color="auto" w:fill="auto"/>
            <w:noWrap/>
            <w:hideMark/>
          </w:tcPr>
          <w:p w14:paraId="3B5C325E"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r>
      <w:tr w:rsidR="00DA659A" w:rsidRPr="00A7082A" w14:paraId="0E0DE1B0" w14:textId="77777777" w:rsidTr="002E728C">
        <w:trPr>
          <w:trHeight w:val="57"/>
          <w:jc w:val="right"/>
        </w:trPr>
        <w:tc>
          <w:tcPr>
            <w:tcW w:w="993" w:type="dxa"/>
            <w:tcBorders>
              <w:bottom w:val="single" w:sz="4" w:space="0" w:color="000000" w:themeColor="text1"/>
            </w:tcBorders>
            <w:shd w:val="clear" w:color="auto" w:fill="auto"/>
            <w:noWrap/>
            <w:hideMark/>
          </w:tcPr>
          <w:p w14:paraId="6EB72596" w14:textId="77777777" w:rsidR="00DA659A" w:rsidRPr="00A7082A" w:rsidRDefault="00DA659A" w:rsidP="00963095">
            <w:pPr>
              <w:tabs>
                <w:tab w:val="clear" w:pos="1247"/>
                <w:tab w:val="clear" w:pos="1814"/>
                <w:tab w:val="clear" w:pos="2381"/>
                <w:tab w:val="clear" w:pos="2948"/>
                <w:tab w:val="clear" w:pos="3515"/>
              </w:tabs>
              <w:spacing w:before="40" w:after="40"/>
              <w:jc w:val="center"/>
              <w:rPr>
                <w:color w:val="000000"/>
                <w:sz w:val="18"/>
              </w:rPr>
            </w:pPr>
            <w:r w:rsidRPr="00A7082A">
              <w:rPr>
                <w:color w:val="000000"/>
                <w:sz w:val="18"/>
              </w:rPr>
              <w:t> </w:t>
            </w:r>
          </w:p>
        </w:tc>
        <w:tc>
          <w:tcPr>
            <w:tcW w:w="3543" w:type="dxa"/>
            <w:tcBorders>
              <w:bottom w:val="single" w:sz="4" w:space="0" w:color="000000" w:themeColor="text1"/>
            </w:tcBorders>
            <w:shd w:val="clear" w:color="auto" w:fill="auto"/>
            <w:noWrap/>
            <w:hideMark/>
          </w:tcPr>
          <w:p w14:paraId="0329E63B" w14:textId="5D7183A8" w:rsidR="00DA659A" w:rsidRPr="00A7082A" w:rsidRDefault="00DA659A" w:rsidP="0045134A">
            <w:pPr>
              <w:pStyle w:val="Normal-pool"/>
              <w:tabs>
                <w:tab w:val="clear" w:pos="1247"/>
                <w:tab w:val="clear" w:pos="1814"/>
                <w:tab w:val="clear" w:pos="2381"/>
                <w:tab w:val="clear" w:pos="2948"/>
                <w:tab w:val="clear" w:pos="3515"/>
                <w:tab w:val="clear" w:pos="4082"/>
              </w:tabs>
              <w:spacing w:before="40" w:after="40"/>
              <w:ind w:left="180" w:hanging="237"/>
              <w:rPr>
                <w:color w:val="000000"/>
                <w:sz w:val="18"/>
              </w:rPr>
            </w:pPr>
            <w:r w:rsidRPr="00A7082A">
              <w:rPr>
                <w:color w:val="000000"/>
                <w:sz w:val="18"/>
              </w:rPr>
              <w:t>11.3</w:t>
            </w:r>
            <w:r w:rsidR="00F55A86" w:rsidRPr="00A7082A">
              <w:rPr>
                <w:color w:val="000000"/>
                <w:sz w:val="18"/>
              </w:rPr>
              <w:t xml:space="preserve"> </w:t>
            </w:r>
            <w:r w:rsidRPr="00A7082A">
              <w:rPr>
                <w:color w:val="000000"/>
                <w:sz w:val="18"/>
              </w:rPr>
              <w:t>Other cooperation and coordination</w:t>
            </w:r>
          </w:p>
        </w:tc>
        <w:tc>
          <w:tcPr>
            <w:tcW w:w="1238" w:type="dxa"/>
            <w:tcBorders>
              <w:bottom w:val="single" w:sz="4" w:space="0" w:color="000000" w:themeColor="text1"/>
            </w:tcBorders>
            <w:shd w:val="clear" w:color="auto" w:fill="auto"/>
            <w:noWrap/>
            <w:hideMark/>
          </w:tcPr>
          <w:p w14:paraId="797206EC"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tcBorders>
              <w:bottom w:val="single" w:sz="4" w:space="0" w:color="000000" w:themeColor="text1"/>
            </w:tcBorders>
            <w:shd w:val="clear" w:color="auto" w:fill="auto"/>
            <w:noWrap/>
            <w:hideMark/>
          </w:tcPr>
          <w:p w14:paraId="2680935C"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8" w:type="dxa"/>
            <w:tcBorders>
              <w:bottom w:val="single" w:sz="4" w:space="0" w:color="000000" w:themeColor="text1"/>
            </w:tcBorders>
            <w:shd w:val="clear" w:color="auto" w:fill="auto"/>
            <w:noWrap/>
            <w:hideMark/>
          </w:tcPr>
          <w:p w14:paraId="2DA1F223"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tcBorders>
              <w:bottom w:val="single" w:sz="4" w:space="0" w:color="000000" w:themeColor="text1"/>
            </w:tcBorders>
            <w:shd w:val="clear" w:color="auto" w:fill="auto"/>
            <w:noWrap/>
            <w:hideMark/>
          </w:tcPr>
          <w:p w14:paraId="38D2E7A8"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r>
      <w:tr w:rsidR="00DA659A" w:rsidRPr="00A7082A" w14:paraId="1FFEEE50" w14:textId="77777777" w:rsidTr="002E728C">
        <w:trPr>
          <w:trHeight w:val="57"/>
          <w:jc w:val="right"/>
        </w:trPr>
        <w:tc>
          <w:tcPr>
            <w:tcW w:w="993" w:type="dxa"/>
            <w:tcBorders>
              <w:top w:val="single" w:sz="4" w:space="0" w:color="000000" w:themeColor="text1"/>
              <w:bottom w:val="single" w:sz="4" w:space="0" w:color="000000" w:themeColor="text1"/>
            </w:tcBorders>
            <w:shd w:val="clear" w:color="auto" w:fill="auto"/>
            <w:noWrap/>
            <w:hideMark/>
          </w:tcPr>
          <w:p w14:paraId="4597E59E" w14:textId="77777777" w:rsidR="00DA659A" w:rsidRPr="00A7082A" w:rsidRDefault="00DA659A" w:rsidP="00963095">
            <w:pPr>
              <w:tabs>
                <w:tab w:val="clear" w:pos="1247"/>
                <w:tab w:val="clear" w:pos="1814"/>
                <w:tab w:val="clear" w:pos="2381"/>
                <w:tab w:val="clear" w:pos="2948"/>
                <w:tab w:val="clear" w:pos="3515"/>
              </w:tabs>
              <w:spacing w:before="40" w:after="40"/>
              <w:jc w:val="center"/>
              <w:rPr>
                <w:b/>
                <w:color w:val="000000"/>
                <w:sz w:val="18"/>
              </w:rPr>
            </w:pPr>
            <w:r w:rsidRPr="00A7082A">
              <w:rPr>
                <w:b/>
                <w:color w:val="000000"/>
                <w:sz w:val="18"/>
              </w:rPr>
              <w:t> </w:t>
            </w:r>
          </w:p>
        </w:tc>
        <w:tc>
          <w:tcPr>
            <w:tcW w:w="3543" w:type="dxa"/>
            <w:tcBorders>
              <w:top w:val="single" w:sz="4" w:space="0" w:color="000000" w:themeColor="text1"/>
              <w:bottom w:val="single" w:sz="4" w:space="0" w:color="000000" w:themeColor="text1"/>
            </w:tcBorders>
            <w:shd w:val="clear" w:color="auto" w:fill="auto"/>
            <w:noWrap/>
            <w:hideMark/>
          </w:tcPr>
          <w:p w14:paraId="6F50BF94" w14:textId="47100BCB" w:rsidR="00DA659A" w:rsidRPr="00A7082A" w:rsidRDefault="00DA659A" w:rsidP="00963095">
            <w:pPr>
              <w:tabs>
                <w:tab w:val="clear" w:pos="1247"/>
                <w:tab w:val="clear" w:pos="1814"/>
                <w:tab w:val="clear" w:pos="2381"/>
                <w:tab w:val="clear" w:pos="2948"/>
                <w:tab w:val="clear" w:pos="3515"/>
              </w:tabs>
              <w:spacing w:before="40" w:after="40"/>
              <w:rPr>
                <w:b/>
                <w:color w:val="000000"/>
                <w:sz w:val="18"/>
              </w:rPr>
            </w:pPr>
            <w:r w:rsidRPr="00A7082A">
              <w:rPr>
                <w:b/>
                <w:color w:val="000000"/>
                <w:sz w:val="18"/>
              </w:rPr>
              <w:t xml:space="preserve">Component </w:t>
            </w:r>
            <w:r w:rsidR="00660CBD" w:rsidRPr="00A7082A">
              <w:rPr>
                <w:b/>
                <w:color w:val="000000"/>
                <w:sz w:val="18"/>
              </w:rPr>
              <w:t>t</w:t>
            </w:r>
            <w:r w:rsidRPr="00A7082A">
              <w:rPr>
                <w:b/>
                <w:color w:val="000000"/>
                <w:sz w:val="18"/>
              </w:rPr>
              <w:t>otal</w:t>
            </w:r>
          </w:p>
        </w:tc>
        <w:tc>
          <w:tcPr>
            <w:tcW w:w="1238" w:type="dxa"/>
            <w:tcBorders>
              <w:top w:val="single" w:sz="4" w:space="0" w:color="000000" w:themeColor="text1"/>
              <w:bottom w:val="single" w:sz="4" w:space="0" w:color="000000" w:themeColor="text1"/>
            </w:tcBorders>
            <w:shd w:val="clear" w:color="auto" w:fill="auto"/>
            <w:noWrap/>
            <w:hideMark/>
          </w:tcPr>
          <w:p w14:paraId="07D28129"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tcBorders>
              <w:top w:val="single" w:sz="4" w:space="0" w:color="000000" w:themeColor="text1"/>
              <w:bottom w:val="single" w:sz="4" w:space="0" w:color="000000" w:themeColor="text1"/>
            </w:tcBorders>
            <w:shd w:val="clear" w:color="auto" w:fill="auto"/>
            <w:noWrap/>
            <w:hideMark/>
          </w:tcPr>
          <w:p w14:paraId="31B1C70E"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8" w:type="dxa"/>
            <w:tcBorders>
              <w:top w:val="single" w:sz="4" w:space="0" w:color="000000" w:themeColor="text1"/>
              <w:bottom w:val="single" w:sz="4" w:space="0" w:color="000000" w:themeColor="text1"/>
            </w:tcBorders>
            <w:shd w:val="clear" w:color="auto" w:fill="auto"/>
            <w:noWrap/>
            <w:hideMark/>
          </w:tcPr>
          <w:p w14:paraId="0C2E30AB"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tcBorders>
              <w:top w:val="single" w:sz="4" w:space="0" w:color="000000" w:themeColor="text1"/>
              <w:bottom w:val="single" w:sz="4" w:space="0" w:color="000000" w:themeColor="text1"/>
            </w:tcBorders>
            <w:shd w:val="clear" w:color="auto" w:fill="auto"/>
            <w:noWrap/>
            <w:hideMark/>
          </w:tcPr>
          <w:p w14:paraId="630DB5A9"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r>
      <w:tr w:rsidR="00DA659A" w:rsidRPr="00A7082A" w14:paraId="2A6DE941" w14:textId="77777777" w:rsidTr="002E728C">
        <w:trPr>
          <w:trHeight w:val="57"/>
          <w:jc w:val="right"/>
        </w:trPr>
        <w:tc>
          <w:tcPr>
            <w:tcW w:w="993" w:type="dxa"/>
            <w:tcBorders>
              <w:top w:val="single" w:sz="4" w:space="0" w:color="000000" w:themeColor="text1"/>
            </w:tcBorders>
            <w:shd w:val="clear" w:color="auto" w:fill="auto"/>
            <w:noWrap/>
            <w:hideMark/>
          </w:tcPr>
          <w:p w14:paraId="12092558" w14:textId="77777777" w:rsidR="00DA659A" w:rsidRPr="00A7082A" w:rsidRDefault="00DA659A" w:rsidP="00963095">
            <w:pPr>
              <w:tabs>
                <w:tab w:val="clear" w:pos="1247"/>
                <w:tab w:val="clear" w:pos="1814"/>
                <w:tab w:val="clear" w:pos="2381"/>
                <w:tab w:val="clear" w:pos="2948"/>
                <w:tab w:val="clear" w:pos="3515"/>
              </w:tabs>
              <w:spacing w:before="40" w:after="40"/>
              <w:jc w:val="center"/>
              <w:rPr>
                <w:b/>
                <w:color w:val="000000"/>
                <w:sz w:val="18"/>
              </w:rPr>
            </w:pPr>
            <w:r w:rsidRPr="00A7082A">
              <w:rPr>
                <w:b/>
                <w:color w:val="000000"/>
                <w:sz w:val="18"/>
              </w:rPr>
              <w:t>12</w:t>
            </w:r>
          </w:p>
        </w:tc>
        <w:tc>
          <w:tcPr>
            <w:tcW w:w="3543" w:type="dxa"/>
            <w:tcBorders>
              <w:top w:val="single" w:sz="4" w:space="0" w:color="000000" w:themeColor="text1"/>
            </w:tcBorders>
            <w:shd w:val="clear" w:color="auto" w:fill="auto"/>
            <w:noWrap/>
            <w:hideMark/>
          </w:tcPr>
          <w:p w14:paraId="03EA4FE1" w14:textId="77777777" w:rsidR="00DA659A" w:rsidRPr="00A7082A" w:rsidRDefault="00DA659A" w:rsidP="00963095">
            <w:pPr>
              <w:tabs>
                <w:tab w:val="clear" w:pos="1247"/>
                <w:tab w:val="clear" w:pos="1814"/>
                <w:tab w:val="clear" w:pos="2381"/>
                <w:tab w:val="clear" w:pos="2948"/>
                <w:tab w:val="clear" w:pos="3515"/>
              </w:tabs>
              <w:spacing w:before="40" w:after="40"/>
              <w:rPr>
                <w:b/>
                <w:color w:val="000000"/>
                <w:sz w:val="18"/>
              </w:rPr>
            </w:pPr>
            <w:r w:rsidRPr="00A7082A">
              <w:rPr>
                <w:b/>
                <w:color w:val="000000"/>
                <w:sz w:val="18"/>
              </w:rPr>
              <w:t xml:space="preserve">Financial resources and mechanism </w:t>
            </w:r>
          </w:p>
        </w:tc>
        <w:tc>
          <w:tcPr>
            <w:tcW w:w="1238" w:type="dxa"/>
            <w:tcBorders>
              <w:top w:val="single" w:sz="4" w:space="0" w:color="000000" w:themeColor="text1"/>
            </w:tcBorders>
            <w:shd w:val="clear" w:color="auto" w:fill="auto"/>
            <w:noWrap/>
            <w:hideMark/>
          </w:tcPr>
          <w:p w14:paraId="4F0712F9"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tcBorders>
              <w:top w:val="single" w:sz="4" w:space="0" w:color="000000" w:themeColor="text1"/>
            </w:tcBorders>
            <w:shd w:val="clear" w:color="auto" w:fill="auto"/>
            <w:noWrap/>
            <w:hideMark/>
          </w:tcPr>
          <w:p w14:paraId="5D6FC90D"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8" w:type="dxa"/>
            <w:tcBorders>
              <w:top w:val="single" w:sz="4" w:space="0" w:color="000000" w:themeColor="text1"/>
            </w:tcBorders>
            <w:shd w:val="clear" w:color="auto" w:fill="auto"/>
            <w:noWrap/>
            <w:hideMark/>
          </w:tcPr>
          <w:p w14:paraId="2480D576"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tcBorders>
              <w:top w:val="single" w:sz="4" w:space="0" w:color="000000" w:themeColor="text1"/>
            </w:tcBorders>
            <w:shd w:val="clear" w:color="auto" w:fill="auto"/>
            <w:noWrap/>
            <w:hideMark/>
          </w:tcPr>
          <w:p w14:paraId="7D89CC42"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r>
      <w:tr w:rsidR="00DA659A" w:rsidRPr="00A7082A" w14:paraId="7E5C70DC" w14:textId="77777777" w:rsidTr="002E728C">
        <w:trPr>
          <w:trHeight w:val="57"/>
          <w:jc w:val="right"/>
        </w:trPr>
        <w:tc>
          <w:tcPr>
            <w:tcW w:w="993" w:type="dxa"/>
            <w:shd w:val="clear" w:color="auto" w:fill="auto"/>
            <w:noWrap/>
            <w:hideMark/>
          </w:tcPr>
          <w:p w14:paraId="559A1E08" w14:textId="77777777" w:rsidR="00DA659A" w:rsidRPr="00A7082A" w:rsidRDefault="00DA659A" w:rsidP="00963095">
            <w:pPr>
              <w:tabs>
                <w:tab w:val="clear" w:pos="1247"/>
                <w:tab w:val="clear" w:pos="1814"/>
                <w:tab w:val="clear" w:pos="2381"/>
                <w:tab w:val="clear" w:pos="2948"/>
                <w:tab w:val="clear" w:pos="3515"/>
              </w:tabs>
              <w:spacing w:before="40" w:after="40"/>
              <w:jc w:val="center"/>
              <w:rPr>
                <w:color w:val="000000"/>
                <w:sz w:val="18"/>
              </w:rPr>
            </w:pPr>
            <w:r w:rsidRPr="00A7082A">
              <w:rPr>
                <w:color w:val="000000"/>
                <w:sz w:val="18"/>
              </w:rPr>
              <w:t> </w:t>
            </w:r>
          </w:p>
        </w:tc>
        <w:tc>
          <w:tcPr>
            <w:tcW w:w="3543" w:type="dxa"/>
            <w:shd w:val="clear" w:color="auto" w:fill="auto"/>
            <w:noWrap/>
            <w:hideMark/>
          </w:tcPr>
          <w:p w14:paraId="147EF452" w14:textId="066C2E73" w:rsidR="00DA659A" w:rsidRPr="00A7082A" w:rsidRDefault="00DA659A" w:rsidP="0045134A">
            <w:pPr>
              <w:pStyle w:val="Normal-pool"/>
              <w:tabs>
                <w:tab w:val="clear" w:pos="1247"/>
                <w:tab w:val="clear" w:pos="1814"/>
                <w:tab w:val="clear" w:pos="2381"/>
                <w:tab w:val="clear" w:pos="2948"/>
                <w:tab w:val="clear" w:pos="3515"/>
                <w:tab w:val="clear" w:pos="4082"/>
              </w:tabs>
              <w:spacing w:before="40" w:after="40"/>
              <w:ind w:left="322" w:hanging="379"/>
              <w:rPr>
                <w:color w:val="000000"/>
                <w:sz w:val="18"/>
              </w:rPr>
            </w:pPr>
            <w:r w:rsidRPr="00A7082A">
              <w:rPr>
                <w:color w:val="000000"/>
                <w:sz w:val="18"/>
              </w:rPr>
              <w:t>12.1</w:t>
            </w:r>
            <w:r w:rsidR="00F55A86" w:rsidRPr="00A7082A">
              <w:rPr>
                <w:color w:val="000000"/>
                <w:sz w:val="18"/>
              </w:rPr>
              <w:t xml:space="preserve"> </w:t>
            </w:r>
            <w:r w:rsidRPr="00A7082A">
              <w:rPr>
                <w:color w:val="000000"/>
                <w:sz w:val="18"/>
              </w:rPr>
              <w:t>Financial mechanism</w:t>
            </w:r>
          </w:p>
        </w:tc>
        <w:tc>
          <w:tcPr>
            <w:tcW w:w="1238" w:type="dxa"/>
            <w:shd w:val="clear" w:color="auto" w:fill="auto"/>
            <w:noWrap/>
            <w:hideMark/>
          </w:tcPr>
          <w:p w14:paraId="656FB857"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shd w:val="clear" w:color="auto" w:fill="auto"/>
            <w:noWrap/>
            <w:hideMark/>
          </w:tcPr>
          <w:p w14:paraId="09FFD78C"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8" w:type="dxa"/>
            <w:shd w:val="clear" w:color="auto" w:fill="auto"/>
            <w:noWrap/>
            <w:hideMark/>
          </w:tcPr>
          <w:p w14:paraId="36FCC597"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shd w:val="clear" w:color="auto" w:fill="auto"/>
            <w:noWrap/>
            <w:hideMark/>
          </w:tcPr>
          <w:p w14:paraId="1A350062"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r>
      <w:tr w:rsidR="00DA659A" w:rsidRPr="00A7082A" w14:paraId="6A6EB399" w14:textId="77777777" w:rsidTr="002E728C">
        <w:trPr>
          <w:trHeight w:val="57"/>
          <w:jc w:val="right"/>
        </w:trPr>
        <w:tc>
          <w:tcPr>
            <w:tcW w:w="993" w:type="dxa"/>
            <w:tcBorders>
              <w:bottom w:val="single" w:sz="4" w:space="0" w:color="000000" w:themeColor="text1"/>
            </w:tcBorders>
            <w:shd w:val="clear" w:color="auto" w:fill="auto"/>
            <w:noWrap/>
            <w:hideMark/>
          </w:tcPr>
          <w:p w14:paraId="3B62B024" w14:textId="77777777" w:rsidR="00DA659A" w:rsidRPr="00A7082A" w:rsidRDefault="00DA659A" w:rsidP="00963095">
            <w:pPr>
              <w:tabs>
                <w:tab w:val="clear" w:pos="1247"/>
                <w:tab w:val="clear" w:pos="1814"/>
                <w:tab w:val="clear" w:pos="2381"/>
                <w:tab w:val="clear" w:pos="2948"/>
                <w:tab w:val="clear" w:pos="3515"/>
              </w:tabs>
              <w:spacing w:before="40" w:after="40"/>
              <w:jc w:val="center"/>
              <w:rPr>
                <w:color w:val="000000"/>
                <w:sz w:val="18"/>
              </w:rPr>
            </w:pPr>
            <w:r w:rsidRPr="00A7082A">
              <w:rPr>
                <w:color w:val="000000"/>
                <w:sz w:val="18"/>
              </w:rPr>
              <w:t> </w:t>
            </w:r>
          </w:p>
        </w:tc>
        <w:tc>
          <w:tcPr>
            <w:tcW w:w="3543" w:type="dxa"/>
            <w:tcBorders>
              <w:bottom w:val="single" w:sz="4" w:space="0" w:color="000000" w:themeColor="text1"/>
            </w:tcBorders>
            <w:shd w:val="clear" w:color="auto" w:fill="auto"/>
            <w:noWrap/>
            <w:hideMark/>
          </w:tcPr>
          <w:p w14:paraId="540C379C" w14:textId="08532972" w:rsidR="00DA659A" w:rsidRPr="00A7082A" w:rsidRDefault="00DA659A" w:rsidP="0045134A">
            <w:pPr>
              <w:pStyle w:val="Normal-pool"/>
              <w:tabs>
                <w:tab w:val="clear" w:pos="1247"/>
                <w:tab w:val="clear" w:pos="1814"/>
                <w:tab w:val="clear" w:pos="2381"/>
                <w:tab w:val="clear" w:pos="2948"/>
                <w:tab w:val="clear" w:pos="3515"/>
                <w:tab w:val="clear" w:pos="4082"/>
              </w:tabs>
              <w:spacing w:before="40" w:after="40"/>
              <w:ind w:left="322" w:hanging="379"/>
              <w:rPr>
                <w:color w:val="000000"/>
                <w:sz w:val="18"/>
              </w:rPr>
            </w:pPr>
            <w:r w:rsidRPr="00A7082A">
              <w:rPr>
                <w:color w:val="000000"/>
                <w:sz w:val="18"/>
              </w:rPr>
              <w:t>12.2</w:t>
            </w:r>
            <w:r w:rsidR="00F55A86" w:rsidRPr="00A7082A">
              <w:rPr>
                <w:color w:val="000000"/>
                <w:sz w:val="18"/>
              </w:rPr>
              <w:t xml:space="preserve"> </w:t>
            </w:r>
            <w:r w:rsidRPr="00A7082A">
              <w:rPr>
                <w:color w:val="000000"/>
                <w:sz w:val="18"/>
              </w:rPr>
              <w:t>Financial resources</w:t>
            </w:r>
          </w:p>
        </w:tc>
        <w:tc>
          <w:tcPr>
            <w:tcW w:w="1238" w:type="dxa"/>
            <w:tcBorders>
              <w:bottom w:val="single" w:sz="4" w:space="0" w:color="000000" w:themeColor="text1"/>
            </w:tcBorders>
            <w:shd w:val="clear" w:color="auto" w:fill="auto"/>
            <w:noWrap/>
            <w:hideMark/>
          </w:tcPr>
          <w:p w14:paraId="73BE300A"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tcBorders>
              <w:bottom w:val="single" w:sz="4" w:space="0" w:color="000000" w:themeColor="text1"/>
            </w:tcBorders>
            <w:shd w:val="clear" w:color="auto" w:fill="auto"/>
            <w:noWrap/>
            <w:hideMark/>
          </w:tcPr>
          <w:p w14:paraId="6245DDB3"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8" w:type="dxa"/>
            <w:tcBorders>
              <w:bottom w:val="single" w:sz="4" w:space="0" w:color="000000" w:themeColor="text1"/>
            </w:tcBorders>
            <w:shd w:val="clear" w:color="auto" w:fill="auto"/>
            <w:noWrap/>
            <w:hideMark/>
          </w:tcPr>
          <w:p w14:paraId="2D5715CA"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tcBorders>
              <w:bottom w:val="single" w:sz="4" w:space="0" w:color="000000" w:themeColor="text1"/>
            </w:tcBorders>
            <w:shd w:val="clear" w:color="auto" w:fill="auto"/>
            <w:noWrap/>
            <w:hideMark/>
          </w:tcPr>
          <w:p w14:paraId="00EBA03B"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r>
      <w:tr w:rsidR="00DA659A" w:rsidRPr="00A7082A" w14:paraId="497A7149" w14:textId="77777777" w:rsidTr="002E728C">
        <w:trPr>
          <w:trHeight w:val="57"/>
          <w:jc w:val="right"/>
        </w:trPr>
        <w:tc>
          <w:tcPr>
            <w:tcW w:w="993" w:type="dxa"/>
            <w:tcBorders>
              <w:top w:val="single" w:sz="4" w:space="0" w:color="000000" w:themeColor="text1"/>
              <w:bottom w:val="single" w:sz="4" w:space="0" w:color="auto"/>
            </w:tcBorders>
            <w:shd w:val="clear" w:color="auto" w:fill="auto"/>
            <w:noWrap/>
            <w:hideMark/>
          </w:tcPr>
          <w:p w14:paraId="33ECEF51" w14:textId="77777777" w:rsidR="00DA659A" w:rsidRPr="00A7082A" w:rsidRDefault="00DA659A" w:rsidP="00963095">
            <w:pPr>
              <w:tabs>
                <w:tab w:val="clear" w:pos="1247"/>
                <w:tab w:val="clear" w:pos="1814"/>
                <w:tab w:val="clear" w:pos="2381"/>
                <w:tab w:val="clear" w:pos="2948"/>
                <w:tab w:val="clear" w:pos="3515"/>
              </w:tabs>
              <w:spacing w:before="40" w:after="40"/>
              <w:jc w:val="center"/>
              <w:rPr>
                <w:color w:val="000000"/>
                <w:sz w:val="18"/>
              </w:rPr>
            </w:pPr>
            <w:r w:rsidRPr="00A7082A">
              <w:rPr>
                <w:color w:val="000000"/>
                <w:sz w:val="18"/>
              </w:rPr>
              <w:t> </w:t>
            </w:r>
          </w:p>
        </w:tc>
        <w:tc>
          <w:tcPr>
            <w:tcW w:w="3543" w:type="dxa"/>
            <w:tcBorders>
              <w:top w:val="single" w:sz="4" w:space="0" w:color="000000" w:themeColor="text1"/>
              <w:bottom w:val="single" w:sz="4" w:space="0" w:color="auto"/>
            </w:tcBorders>
            <w:shd w:val="clear" w:color="auto" w:fill="auto"/>
            <w:noWrap/>
            <w:hideMark/>
          </w:tcPr>
          <w:p w14:paraId="23A5C999" w14:textId="79699C6E" w:rsidR="00DA659A" w:rsidRPr="00A7082A" w:rsidRDefault="00DA659A" w:rsidP="00963095">
            <w:pPr>
              <w:tabs>
                <w:tab w:val="clear" w:pos="1247"/>
                <w:tab w:val="clear" w:pos="1814"/>
                <w:tab w:val="clear" w:pos="2381"/>
                <w:tab w:val="clear" w:pos="2948"/>
                <w:tab w:val="clear" w:pos="3515"/>
              </w:tabs>
              <w:spacing w:before="40" w:after="40"/>
              <w:rPr>
                <w:b/>
                <w:color w:val="000000"/>
                <w:sz w:val="18"/>
              </w:rPr>
            </w:pPr>
            <w:r w:rsidRPr="00A7082A">
              <w:rPr>
                <w:b/>
                <w:color w:val="000000"/>
                <w:sz w:val="18"/>
              </w:rPr>
              <w:t xml:space="preserve">Component </w:t>
            </w:r>
            <w:r w:rsidR="00660CBD" w:rsidRPr="00A7082A">
              <w:rPr>
                <w:b/>
                <w:color w:val="000000"/>
                <w:sz w:val="18"/>
              </w:rPr>
              <w:t>t</w:t>
            </w:r>
            <w:r w:rsidRPr="00A7082A">
              <w:rPr>
                <w:b/>
                <w:color w:val="000000"/>
                <w:sz w:val="18"/>
              </w:rPr>
              <w:t>otal</w:t>
            </w:r>
            <w:r w:rsidR="00C30206" w:rsidRPr="00A7082A">
              <w:rPr>
                <w:b/>
                <w:color w:val="000000"/>
                <w:sz w:val="18"/>
              </w:rPr>
              <w:t xml:space="preserve"> </w:t>
            </w:r>
          </w:p>
        </w:tc>
        <w:tc>
          <w:tcPr>
            <w:tcW w:w="1238" w:type="dxa"/>
            <w:tcBorders>
              <w:top w:val="single" w:sz="4" w:space="0" w:color="000000" w:themeColor="text1"/>
              <w:bottom w:val="single" w:sz="4" w:space="0" w:color="auto"/>
            </w:tcBorders>
            <w:shd w:val="clear" w:color="auto" w:fill="auto"/>
            <w:noWrap/>
            <w:hideMark/>
          </w:tcPr>
          <w:p w14:paraId="2A33BDE3"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tcBorders>
              <w:top w:val="single" w:sz="4" w:space="0" w:color="000000" w:themeColor="text1"/>
              <w:bottom w:val="single" w:sz="4" w:space="0" w:color="auto"/>
            </w:tcBorders>
            <w:shd w:val="clear" w:color="auto" w:fill="auto"/>
            <w:noWrap/>
            <w:hideMark/>
          </w:tcPr>
          <w:p w14:paraId="1E0875FF"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8" w:type="dxa"/>
            <w:tcBorders>
              <w:top w:val="single" w:sz="4" w:space="0" w:color="000000" w:themeColor="text1"/>
              <w:bottom w:val="single" w:sz="4" w:space="0" w:color="auto"/>
            </w:tcBorders>
            <w:shd w:val="clear" w:color="auto" w:fill="auto"/>
            <w:noWrap/>
            <w:hideMark/>
          </w:tcPr>
          <w:p w14:paraId="45A38AE2"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tcBorders>
              <w:top w:val="single" w:sz="4" w:space="0" w:color="000000" w:themeColor="text1"/>
              <w:bottom w:val="single" w:sz="4" w:space="0" w:color="auto"/>
            </w:tcBorders>
            <w:shd w:val="clear" w:color="auto" w:fill="auto"/>
            <w:noWrap/>
            <w:hideMark/>
          </w:tcPr>
          <w:p w14:paraId="2E13D260"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r>
      <w:tr w:rsidR="00DA659A" w:rsidRPr="00A7082A" w14:paraId="62BA2EB5" w14:textId="77777777" w:rsidTr="002E728C">
        <w:trPr>
          <w:trHeight w:val="57"/>
          <w:jc w:val="right"/>
        </w:trPr>
        <w:tc>
          <w:tcPr>
            <w:tcW w:w="993" w:type="dxa"/>
            <w:tcBorders>
              <w:top w:val="single" w:sz="4" w:space="0" w:color="auto"/>
              <w:bottom w:val="single" w:sz="4" w:space="0" w:color="000000" w:themeColor="text1"/>
            </w:tcBorders>
            <w:shd w:val="clear" w:color="auto" w:fill="auto"/>
            <w:noWrap/>
            <w:hideMark/>
          </w:tcPr>
          <w:p w14:paraId="7958D123" w14:textId="77777777" w:rsidR="00DA659A" w:rsidRPr="00A7082A" w:rsidRDefault="00DA659A" w:rsidP="00963095">
            <w:pPr>
              <w:tabs>
                <w:tab w:val="clear" w:pos="1247"/>
                <w:tab w:val="clear" w:pos="1814"/>
                <w:tab w:val="clear" w:pos="2381"/>
                <w:tab w:val="clear" w:pos="2948"/>
                <w:tab w:val="clear" w:pos="3515"/>
              </w:tabs>
              <w:spacing w:before="40" w:after="40"/>
              <w:jc w:val="center"/>
              <w:rPr>
                <w:b/>
                <w:color w:val="000000"/>
                <w:sz w:val="18"/>
              </w:rPr>
            </w:pPr>
            <w:r w:rsidRPr="00A7082A">
              <w:rPr>
                <w:b/>
                <w:color w:val="000000"/>
                <w:sz w:val="18"/>
              </w:rPr>
              <w:t> </w:t>
            </w:r>
          </w:p>
        </w:tc>
        <w:tc>
          <w:tcPr>
            <w:tcW w:w="3543" w:type="dxa"/>
            <w:tcBorders>
              <w:top w:val="single" w:sz="4" w:space="0" w:color="auto"/>
              <w:bottom w:val="single" w:sz="4" w:space="0" w:color="000000" w:themeColor="text1"/>
            </w:tcBorders>
            <w:shd w:val="clear" w:color="auto" w:fill="auto"/>
            <w:noWrap/>
            <w:hideMark/>
          </w:tcPr>
          <w:p w14:paraId="5F5C20D4" w14:textId="77777777" w:rsidR="00DA659A" w:rsidRPr="00A7082A" w:rsidRDefault="00DA659A" w:rsidP="00963095">
            <w:pPr>
              <w:tabs>
                <w:tab w:val="clear" w:pos="1247"/>
                <w:tab w:val="clear" w:pos="1814"/>
                <w:tab w:val="clear" w:pos="2381"/>
                <w:tab w:val="clear" w:pos="2948"/>
                <w:tab w:val="clear" w:pos="3515"/>
              </w:tabs>
              <w:spacing w:before="40" w:after="40"/>
              <w:rPr>
                <w:b/>
                <w:color w:val="000000"/>
                <w:sz w:val="18"/>
              </w:rPr>
            </w:pPr>
            <w:r w:rsidRPr="00A7082A">
              <w:rPr>
                <w:b/>
                <w:color w:val="000000"/>
                <w:sz w:val="18"/>
              </w:rPr>
              <w:t>Total (E)</w:t>
            </w:r>
          </w:p>
        </w:tc>
        <w:tc>
          <w:tcPr>
            <w:tcW w:w="1238" w:type="dxa"/>
            <w:tcBorders>
              <w:top w:val="single" w:sz="4" w:space="0" w:color="auto"/>
              <w:bottom w:val="single" w:sz="4" w:space="0" w:color="000000" w:themeColor="text1"/>
            </w:tcBorders>
            <w:shd w:val="clear" w:color="auto" w:fill="auto"/>
            <w:noWrap/>
            <w:hideMark/>
          </w:tcPr>
          <w:p w14:paraId="6C643B41" w14:textId="4D8EA5ED"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2</w:t>
            </w:r>
            <w:r w:rsidR="00F22360" w:rsidRPr="00A7082A">
              <w:rPr>
                <w:b/>
                <w:color w:val="000000"/>
                <w:sz w:val="18"/>
              </w:rPr>
              <w:t xml:space="preserve"> </w:t>
            </w:r>
            <w:r w:rsidRPr="00A7082A">
              <w:rPr>
                <w:b/>
                <w:color w:val="000000"/>
                <w:sz w:val="18"/>
              </w:rPr>
              <w:t>107</w:t>
            </w:r>
            <w:r w:rsidR="00F22360" w:rsidRPr="00A7082A">
              <w:rPr>
                <w:b/>
                <w:color w:val="000000"/>
                <w:sz w:val="18"/>
              </w:rPr>
              <w:t xml:space="preserve"> </w:t>
            </w:r>
            <w:r w:rsidRPr="00A7082A">
              <w:rPr>
                <w:b/>
                <w:color w:val="000000"/>
                <w:sz w:val="18"/>
              </w:rPr>
              <w:t xml:space="preserve">600 </w:t>
            </w:r>
          </w:p>
        </w:tc>
        <w:tc>
          <w:tcPr>
            <w:tcW w:w="1239" w:type="dxa"/>
            <w:tcBorders>
              <w:top w:val="single" w:sz="4" w:space="0" w:color="auto"/>
              <w:bottom w:val="single" w:sz="4" w:space="0" w:color="000000" w:themeColor="text1"/>
            </w:tcBorders>
            <w:shd w:val="clear" w:color="auto" w:fill="auto"/>
            <w:noWrap/>
            <w:hideMark/>
          </w:tcPr>
          <w:p w14:paraId="5C422F70" w14:textId="77777777"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 </w:t>
            </w:r>
          </w:p>
        </w:tc>
        <w:tc>
          <w:tcPr>
            <w:tcW w:w="1238" w:type="dxa"/>
            <w:tcBorders>
              <w:top w:val="single" w:sz="4" w:space="0" w:color="auto"/>
              <w:bottom w:val="single" w:sz="4" w:space="0" w:color="000000" w:themeColor="text1"/>
            </w:tcBorders>
            <w:shd w:val="clear" w:color="auto" w:fill="auto"/>
            <w:noWrap/>
            <w:hideMark/>
          </w:tcPr>
          <w:p w14:paraId="7222BB38" w14:textId="6930BF25"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2</w:t>
            </w:r>
            <w:r w:rsidR="00F22360" w:rsidRPr="00A7082A">
              <w:rPr>
                <w:b/>
                <w:color w:val="000000"/>
                <w:sz w:val="18"/>
              </w:rPr>
              <w:t xml:space="preserve"> </w:t>
            </w:r>
            <w:r w:rsidRPr="00A7082A">
              <w:rPr>
                <w:b/>
                <w:color w:val="000000"/>
                <w:sz w:val="18"/>
              </w:rPr>
              <w:t>166</w:t>
            </w:r>
            <w:r w:rsidR="00F22360" w:rsidRPr="00A7082A">
              <w:rPr>
                <w:b/>
                <w:color w:val="000000"/>
                <w:sz w:val="18"/>
              </w:rPr>
              <w:t xml:space="preserve"> </w:t>
            </w:r>
            <w:r w:rsidRPr="00A7082A">
              <w:rPr>
                <w:b/>
                <w:color w:val="000000"/>
                <w:sz w:val="18"/>
              </w:rPr>
              <w:t xml:space="preserve">328 </w:t>
            </w:r>
          </w:p>
        </w:tc>
        <w:tc>
          <w:tcPr>
            <w:tcW w:w="1239" w:type="dxa"/>
            <w:tcBorders>
              <w:top w:val="single" w:sz="4" w:space="0" w:color="auto"/>
              <w:bottom w:val="single" w:sz="4" w:space="0" w:color="000000" w:themeColor="text1"/>
            </w:tcBorders>
            <w:shd w:val="clear" w:color="auto" w:fill="auto"/>
            <w:noWrap/>
            <w:hideMark/>
          </w:tcPr>
          <w:p w14:paraId="397543E3" w14:textId="77777777"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 </w:t>
            </w:r>
          </w:p>
        </w:tc>
      </w:tr>
      <w:tr w:rsidR="00DA659A" w:rsidRPr="00A7082A" w14:paraId="414BED50" w14:textId="77777777" w:rsidTr="002E728C">
        <w:trPr>
          <w:trHeight w:val="57"/>
          <w:jc w:val="right"/>
        </w:trPr>
        <w:tc>
          <w:tcPr>
            <w:tcW w:w="993" w:type="dxa"/>
            <w:tcBorders>
              <w:top w:val="single" w:sz="4" w:space="0" w:color="000000" w:themeColor="text1"/>
            </w:tcBorders>
            <w:shd w:val="clear" w:color="auto" w:fill="auto"/>
            <w:noWrap/>
            <w:hideMark/>
          </w:tcPr>
          <w:p w14:paraId="1B9ECE64" w14:textId="77777777" w:rsidR="00DA659A" w:rsidRPr="00A7082A" w:rsidRDefault="00DA659A" w:rsidP="00963095">
            <w:pPr>
              <w:tabs>
                <w:tab w:val="clear" w:pos="1247"/>
                <w:tab w:val="clear" w:pos="1814"/>
                <w:tab w:val="clear" w:pos="2381"/>
                <w:tab w:val="clear" w:pos="2948"/>
                <w:tab w:val="clear" w:pos="3515"/>
              </w:tabs>
              <w:spacing w:before="40" w:after="40"/>
              <w:jc w:val="center"/>
              <w:rPr>
                <w:b/>
                <w:color w:val="000000"/>
                <w:sz w:val="18"/>
              </w:rPr>
            </w:pPr>
            <w:r w:rsidRPr="00A7082A">
              <w:rPr>
                <w:b/>
                <w:color w:val="000000"/>
                <w:sz w:val="18"/>
              </w:rPr>
              <w:t>F.</w:t>
            </w:r>
          </w:p>
        </w:tc>
        <w:tc>
          <w:tcPr>
            <w:tcW w:w="3543" w:type="dxa"/>
            <w:tcBorders>
              <w:top w:val="single" w:sz="4" w:space="0" w:color="000000" w:themeColor="text1"/>
            </w:tcBorders>
            <w:shd w:val="clear" w:color="auto" w:fill="auto"/>
            <w:noWrap/>
            <w:hideMark/>
          </w:tcPr>
          <w:p w14:paraId="366096BD" w14:textId="77777777" w:rsidR="00DA659A" w:rsidRPr="00A7082A" w:rsidRDefault="00DA659A" w:rsidP="00963095">
            <w:pPr>
              <w:tabs>
                <w:tab w:val="clear" w:pos="1247"/>
                <w:tab w:val="clear" w:pos="1814"/>
                <w:tab w:val="clear" w:pos="2381"/>
                <w:tab w:val="clear" w:pos="2948"/>
                <w:tab w:val="clear" w:pos="3515"/>
              </w:tabs>
              <w:spacing w:before="40" w:after="40"/>
              <w:rPr>
                <w:b/>
                <w:color w:val="000000"/>
                <w:sz w:val="18"/>
              </w:rPr>
            </w:pPr>
            <w:r w:rsidRPr="00A7082A">
              <w:rPr>
                <w:b/>
                <w:color w:val="000000"/>
                <w:sz w:val="18"/>
              </w:rPr>
              <w:t>Legal and policy activities</w:t>
            </w:r>
          </w:p>
        </w:tc>
        <w:tc>
          <w:tcPr>
            <w:tcW w:w="1238" w:type="dxa"/>
            <w:tcBorders>
              <w:top w:val="single" w:sz="4" w:space="0" w:color="000000" w:themeColor="text1"/>
            </w:tcBorders>
            <w:shd w:val="clear" w:color="auto" w:fill="auto"/>
            <w:noWrap/>
            <w:hideMark/>
          </w:tcPr>
          <w:p w14:paraId="3283A448"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tcBorders>
              <w:top w:val="single" w:sz="4" w:space="0" w:color="000000" w:themeColor="text1"/>
            </w:tcBorders>
            <w:shd w:val="clear" w:color="auto" w:fill="auto"/>
            <w:noWrap/>
            <w:hideMark/>
          </w:tcPr>
          <w:p w14:paraId="7F422CE7"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8" w:type="dxa"/>
            <w:tcBorders>
              <w:top w:val="single" w:sz="4" w:space="0" w:color="000000" w:themeColor="text1"/>
            </w:tcBorders>
            <w:shd w:val="clear" w:color="auto" w:fill="auto"/>
            <w:noWrap/>
            <w:hideMark/>
          </w:tcPr>
          <w:p w14:paraId="28C19673"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tcBorders>
              <w:top w:val="single" w:sz="4" w:space="0" w:color="000000" w:themeColor="text1"/>
            </w:tcBorders>
            <w:shd w:val="clear" w:color="auto" w:fill="auto"/>
            <w:noWrap/>
            <w:hideMark/>
          </w:tcPr>
          <w:p w14:paraId="25B58F6C"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r>
      <w:tr w:rsidR="00DA659A" w:rsidRPr="00A7082A" w14:paraId="7965A61C" w14:textId="77777777" w:rsidTr="002E728C">
        <w:trPr>
          <w:trHeight w:val="57"/>
          <w:jc w:val="right"/>
        </w:trPr>
        <w:tc>
          <w:tcPr>
            <w:tcW w:w="993" w:type="dxa"/>
            <w:shd w:val="clear" w:color="auto" w:fill="auto"/>
            <w:noWrap/>
            <w:hideMark/>
          </w:tcPr>
          <w:p w14:paraId="18DBF00E" w14:textId="77777777" w:rsidR="00DA659A" w:rsidRPr="00A7082A" w:rsidRDefault="00DA659A" w:rsidP="00963095">
            <w:pPr>
              <w:tabs>
                <w:tab w:val="clear" w:pos="1247"/>
                <w:tab w:val="clear" w:pos="1814"/>
                <w:tab w:val="clear" w:pos="2381"/>
                <w:tab w:val="clear" w:pos="2948"/>
                <w:tab w:val="clear" w:pos="3515"/>
              </w:tabs>
              <w:spacing w:before="40" w:after="40"/>
              <w:jc w:val="center"/>
              <w:rPr>
                <w:b/>
                <w:color w:val="000000"/>
                <w:sz w:val="18"/>
              </w:rPr>
            </w:pPr>
            <w:r w:rsidRPr="00A7082A">
              <w:rPr>
                <w:b/>
                <w:color w:val="000000"/>
                <w:sz w:val="18"/>
              </w:rPr>
              <w:t>13</w:t>
            </w:r>
          </w:p>
        </w:tc>
        <w:tc>
          <w:tcPr>
            <w:tcW w:w="3543" w:type="dxa"/>
            <w:shd w:val="clear" w:color="auto" w:fill="auto"/>
            <w:noWrap/>
            <w:hideMark/>
          </w:tcPr>
          <w:p w14:paraId="48950255" w14:textId="77777777" w:rsidR="00DA659A" w:rsidRPr="00A7082A" w:rsidRDefault="00DA659A" w:rsidP="00963095">
            <w:pPr>
              <w:tabs>
                <w:tab w:val="clear" w:pos="1247"/>
                <w:tab w:val="clear" w:pos="1814"/>
                <w:tab w:val="clear" w:pos="2381"/>
                <w:tab w:val="clear" w:pos="2948"/>
                <w:tab w:val="clear" w:pos="3515"/>
              </w:tabs>
              <w:spacing w:before="40" w:after="40"/>
              <w:rPr>
                <w:b/>
                <w:color w:val="000000"/>
                <w:sz w:val="18"/>
              </w:rPr>
            </w:pPr>
            <w:r w:rsidRPr="00A7082A">
              <w:rPr>
                <w:b/>
                <w:color w:val="000000"/>
                <w:sz w:val="18"/>
              </w:rPr>
              <w:t xml:space="preserve">Legal and policy activities </w:t>
            </w:r>
          </w:p>
        </w:tc>
        <w:tc>
          <w:tcPr>
            <w:tcW w:w="1238" w:type="dxa"/>
            <w:shd w:val="clear" w:color="auto" w:fill="auto"/>
            <w:noWrap/>
            <w:hideMark/>
          </w:tcPr>
          <w:p w14:paraId="17874807"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shd w:val="clear" w:color="auto" w:fill="auto"/>
            <w:noWrap/>
            <w:hideMark/>
          </w:tcPr>
          <w:p w14:paraId="3BE30385"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8" w:type="dxa"/>
            <w:shd w:val="clear" w:color="auto" w:fill="auto"/>
            <w:noWrap/>
            <w:hideMark/>
          </w:tcPr>
          <w:p w14:paraId="0F0ACA07"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shd w:val="clear" w:color="auto" w:fill="auto"/>
            <w:noWrap/>
            <w:hideMark/>
          </w:tcPr>
          <w:p w14:paraId="2BF537AD"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r>
      <w:tr w:rsidR="00DA659A" w:rsidRPr="00A7082A" w14:paraId="685252F4" w14:textId="77777777" w:rsidTr="002E728C">
        <w:trPr>
          <w:trHeight w:val="57"/>
          <w:jc w:val="right"/>
        </w:trPr>
        <w:tc>
          <w:tcPr>
            <w:tcW w:w="993" w:type="dxa"/>
            <w:tcBorders>
              <w:bottom w:val="single" w:sz="4" w:space="0" w:color="000000" w:themeColor="text1"/>
            </w:tcBorders>
            <w:shd w:val="clear" w:color="auto" w:fill="auto"/>
            <w:noWrap/>
            <w:hideMark/>
          </w:tcPr>
          <w:p w14:paraId="4BA27E33" w14:textId="77777777" w:rsidR="00DA659A" w:rsidRPr="00A7082A" w:rsidRDefault="00DA659A" w:rsidP="00963095">
            <w:pPr>
              <w:tabs>
                <w:tab w:val="clear" w:pos="1247"/>
                <w:tab w:val="clear" w:pos="1814"/>
                <w:tab w:val="clear" w:pos="2381"/>
                <w:tab w:val="clear" w:pos="2948"/>
                <w:tab w:val="clear" w:pos="3515"/>
              </w:tabs>
              <w:spacing w:before="40" w:after="40"/>
              <w:jc w:val="center"/>
              <w:rPr>
                <w:color w:val="000000"/>
                <w:sz w:val="18"/>
              </w:rPr>
            </w:pPr>
            <w:r w:rsidRPr="00A7082A">
              <w:rPr>
                <w:color w:val="000000"/>
                <w:sz w:val="18"/>
              </w:rPr>
              <w:t> </w:t>
            </w:r>
          </w:p>
        </w:tc>
        <w:tc>
          <w:tcPr>
            <w:tcW w:w="3543" w:type="dxa"/>
            <w:tcBorders>
              <w:bottom w:val="single" w:sz="4" w:space="0" w:color="000000" w:themeColor="text1"/>
            </w:tcBorders>
            <w:shd w:val="clear" w:color="auto" w:fill="auto"/>
            <w:noWrap/>
            <w:hideMark/>
          </w:tcPr>
          <w:p w14:paraId="33D05873" w14:textId="77777777" w:rsidR="00DA659A" w:rsidRPr="00A7082A" w:rsidRDefault="00DA659A" w:rsidP="0045134A">
            <w:pPr>
              <w:pStyle w:val="Normal-pool"/>
              <w:tabs>
                <w:tab w:val="clear" w:pos="1247"/>
                <w:tab w:val="clear" w:pos="1814"/>
                <w:tab w:val="clear" w:pos="2381"/>
                <w:tab w:val="clear" w:pos="2948"/>
                <w:tab w:val="clear" w:pos="3515"/>
                <w:tab w:val="clear" w:pos="4082"/>
              </w:tabs>
              <w:spacing w:before="40" w:after="40"/>
              <w:ind w:left="322" w:hanging="379"/>
              <w:rPr>
                <w:color w:val="000000"/>
                <w:sz w:val="18"/>
              </w:rPr>
            </w:pPr>
            <w:r w:rsidRPr="00A7082A">
              <w:rPr>
                <w:color w:val="000000"/>
                <w:sz w:val="18"/>
              </w:rPr>
              <w:t xml:space="preserve">13.1 SDGs and gender </w:t>
            </w:r>
          </w:p>
        </w:tc>
        <w:tc>
          <w:tcPr>
            <w:tcW w:w="1238" w:type="dxa"/>
            <w:tcBorders>
              <w:bottom w:val="single" w:sz="4" w:space="0" w:color="000000" w:themeColor="text1"/>
            </w:tcBorders>
            <w:shd w:val="clear" w:color="auto" w:fill="auto"/>
            <w:noWrap/>
            <w:hideMark/>
          </w:tcPr>
          <w:p w14:paraId="5ADDF929"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tcBorders>
              <w:bottom w:val="single" w:sz="4" w:space="0" w:color="000000" w:themeColor="text1"/>
            </w:tcBorders>
            <w:shd w:val="clear" w:color="auto" w:fill="auto"/>
            <w:noWrap/>
            <w:hideMark/>
          </w:tcPr>
          <w:p w14:paraId="10AC7B61" w14:textId="4C50ABCB"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120</w:t>
            </w:r>
            <w:r w:rsidR="00F22360" w:rsidRPr="00A7082A">
              <w:rPr>
                <w:color w:val="000000"/>
                <w:sz w:val="18"/>
              </w:rPr>
              <w:t xml:space="preserve"> </w:t>
            </w:r>
            <w:r w:rsidRPr="00A7082A">
              <w:rPr>
                <w:color w:val="000000"/>
                <w:sz w:val="18"/>
              </w:rPr>
              <w:t xml:space="preserve">000 </w:t>
            </w:r>
          </w:p>
        </w:tc>
        <w:tc>
          <w:tcPr>
            <w:tcW w:w="1238" w:type="dxa"/>
            <w:tcBorders>
              <w:bottom w:val="single" w:sz="4" w:space="0" w:color="000000" w:themeColor="text1"/>
            </w:tcBorders>
            <w:shd w:val="clear" w:color="auto" w:fill="auto"/>
            <w:noWrap/>
            <w:hideMark/>
          </w:tcPr>
          <w:p w14:paraId="4405F7C7"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tcBorders>
              <w:bottom w:val="single" w:sz="4" w:space="0" w:color="000000" w:themeColor="text1"/>
            </w:tcBorders>
            <w:shd w:val="clear" w:color="auto" w:fill="auto"/>
            <w:noWrap/>
            <w:hideMark/>
          </w:tcPr>
          <w:p w14:paraId="33FF6855" w14:textId="4E6EE24A"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114</w:t>
            </w:r>
            <w:r w:rsidR="00F22360" w:rsidRPr="00A7082A">
              <w:rPr>
                <w:color w:val="000000"/>
                <w:sz w:val="18"/>
              </w:rPr>
              <w:t xml:space="preserve"> </w:t>
            </w:r>
            <w:r w:rsidRPr="00A7082A">
              <w:rPr>
                <w:color w:val="000000"/>
                <w:sz w:val="18"/>
              </w:rPr>
              <w:t xml:space="preserve">000 </w:t>
            </w:r>
          </w:p>
        </w:tc>
      </w:tr>
      <w:tr w:rsidR="00DA659A" w:rsidRPr="00A7082A" w14:paraId="1F4FAD93" w14:textId="77777777" w:rsidTr="002E728C">
        <w:trPr>
          <w:trHeight w:val="57"/>
          <w:jc w:val="right"/>
        </w:trPr>
        <w:tc>
          <w:tcPr>
            <w:tcW w:w="993" w:type="dxa"/>
            <w:tcBorders>
              <w:top w:val="single" w:sz="4" w:space="0" w:color="000000" w:themeColor="text1"/>
              <w:bottom w:val="single" w:sz="4" w:space="0" w:color="auto"/>
            </w:tcBorders>
            <w:shd w:val="clear" w:color="auto" w:fill="auto"/>
            <w:noWrap/>
            <w:hideMark/>
          </w:tcPr>
          <w:p w14:paraId="39453ED2" w14:textId="77777777" w:rsidR="00DA659A" w:rsidRPr="00A7082A" w:rsidRDefault="00DA659A" w:rsidP="00963095">
            <w:pPr>
              <w:tabs>
                <w:tab w:val="clear" w:pos="1247"/>
                <w:tab w:val="clear" w:pos="1814"/>
                <w:tab w:val="clear" w:pos="2381"/>
                <w:tab w:val="clear" w:pos="2948"/>
                <w:tab w:val="clear" w:pos="3515"/>
              </w:tabs>
              <w:spacing w:before="40" w:after="40"/>
              <w:jc w:val="center"/>
              <w:rPr>
                <w:b/>
                <w:color w:val="000000"/>
                <w:sz w:val="18"/>
              </w:rPr>
            </w:pPr>
            <w:r w:rsidRPr="00A7082A">
              <w:rPr>
                <w:b/>
                <w:color w:val="000000"/>
                <w:sz w:val="18"/>
              </w:rPr>
              <w:t> </w:t>
            </w:r>
          </w:p>
        </w:tc>
        <w:tc>
          <w:tcPr>
            <w:tcW w:w="3543" w:type="dxa"/>
            <w:tcBorders>
              <w:top w:val="single" w:sz="4" w:space="0" w:color="000000" w:themeColor="text1"/>
              <w:bottom w:val="single" w:sz="4" w:space="0" w:color="auto"/>
            </w:tcBorders>
            <w:shd w:val="clear" w:color="auto" w:fill="auto"/>
            <w:noWrap/>
            <w:hideMark/>
          </w:tcPr>
          <w:p w14:paraId="3087D282" w14:textId="63A313A2" w:rsidR="00DA659A" w:rsidRPr="00A7082A" w:rsidRDefault="00DA659A" w:rsidP="00963095">
            <w:pPr>
              <w:tabs>
                <w:tab w:val="clear" w:pos="1247"/>
                <w:tab w:val="clear" w:pos="1814"/>
                <w:tab w:val="clear" w:pos="2381"/>
                <w:tab w:val="clear" w:pos="2948"/>
                <w:tab w:val="clear" w:pos="3515"/>
              </w:tabs>
              <w:spacing w:before="40" w:after="40"/>
              <w:rPr>
                <w:b/>
                <w:color w:val="000000"/>
                <w:sz w:val="18"/>
              </w:rPr>
            </w:pPr>
            <w:r w:rsidRPr="00A7082A">
              <w:rPr>
                <w:b/>
                <w:color w:val="000000"/>
                <w:sz w:val="18"/>
              </w:rPr>
              <w:t xml:space="preserve">Component </w:t>
            </w:r>
            <w:r w:rsidR="00660CBD" w:rsidRPr="00A7082A">
              <w:rPr>
                <w:b/>
                <w:color w:val="000000"/>
                <w:sz w:val="18"/>
              </w:rPr>
              <w:t>t</w:t>
            </w:r>
            <w:r w:rsidRPr="00A7082A">
              <w:rPr>
                <w:b/>
                <w:color w:val="000000"/>
                <w:sz w:val="18"/>
              </w:rPr>
              <w:t>otal</w:t>
            </w:r>
            <w:r w:rsidR="00EA5FE9" w:rsidRPr="00A7082A">
              <w:rPr>
                <w:b/>
                <w:color w:val="000000"/>
                <w:sz w:val="18"/>
              </w:rPr>
              <w:t xml:space="preserve"> </w:t>
            </w:r>
          </w:p>
        </w:tc>
        <w:tc>
          <w:tcPr>
            <w:tcW w:w="1238" w:type="dxa"/>
            <w:tcBorders>
              <w:top w:val="single" w:sz="4" w:space="0" w:color="000000" w:themeColor="text1"/>
              <w:bottom w:val="single" w:sz="4" w:space="0" w:color="auto"/>
            </w:tcBorders>
            <w:shd w:val="clear" w:color="auto" w:fill="auto"/>
            <w:noWrap/>
            <w:hideMark/>
          </w:tcPr>
          <w:p w14:paraId="65A3A55C" w14:textId="77777777"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 </w:t>
            </w:r>
          </w:p>
        </w:tc>
        <w:tc>
          <w:tcPr>
            <w:tcW w:w="1239" w:type="dxa"/>
            <w:tcBorders>
              <w:top w:val="single" w:sz="4" w:space="0" w:color="000000" w:themeColor="text1"/>
              <w:bottom w:val="single" w:sz="4" w:space="0" w:color="auto"/>
            </w:tcBorders>
            <w:shd w:val="clear" w:color="auto" w:fill="auto"/>
            <w:noWrap/>
            <w:hideMark/>
          </w:tcPr>
          <w:p w14:paraId="520B95FC" w14:textId="72085515"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120</w:t>
            </w:r>
            <w:r w:rsidR="00F22360" w:rsidRPr="00A7082A">
              <w:rPr>
                <w:b/>
                <w:color w:val="000000"/>
                <w:sz w:val="18"/>
              </w:rPr>
              <w:t xml:space="preserve"> </w:t>
            </w:r>
            <w:r w:rsidRPr="00A7082A">
              <w:rPr>
                <w:b/>
                <w:color w:val="000000"/>
                <w:sz w:val="18"/>
              </w:rPr>
              <w:t xml:space="preserve">000 </w:t>
            </w:r>
          </w:p>
        </w:tc>
        <w:tc>
          <w:tcPr>
            <w:tcW w:w="1238" w:type="dxa"/>
            <w:tcBorders>
              <w:top w:val="single" w:sz="4" w:space="0" w:color="000000" w:themeColor="text1"/>
              <w:bottom w:val="single" w:sz="4" w:space="0" w:color="auto"/>
            </w:tcBorders>
            <w:shd w:val="clear" w:color="auto" w:fill="auto"/>
            <w:noWrap/>
            <w:hideMark/>
          </w:tcPr>
          <w:p w14:paraId="2185BD0A" w14:textId="77777777"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 </w:t>
            </w:r>
          </w:p>
        </w:tc>
        <w:tc>
          <w:tcPr>
            <w:tcW w:w="1239" w:type="dxa"/>
            <w:tcBorders>
              <w:top w:val="single" w:sz="4" w:space="0" w:color="000000" w:themeColor="text1"/>
              <w:bottom w:val="single" w:sz="4" w:space="0" w:color="auto"/>
            </w:tcBorders>
            <w:shd w:val="clear" w:color="auto" w:fill="auto"/>
            <w:noWrap/>
            <w:hideMark/>
          </w:tcPr>
          <w:p w14:paraId="22B1EFF7" w14:textId="181CDF66"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114</w:t>
            </w:r>
            <w:r w:rsidR="00F22360" w:rsidRPr="00A7082A">
              <w:rPr>
                <w:b/>
                <w:color w:val="000000"/>
                <w:sz w:val="18"/>
              </w:rPr>
              <w:t xml:space="preserve"> </w:t>
            </w:r>
            <w:r w:rsidRPr="00A7082A">
              <w:rPr>
                <w:b/>
                <w:color w:val="000000"/>
                <w:sz w:val="18"/>
              </w:rPr>
              <w:t xml:space="preserve">000 </w:t>
            </w:r>
          </w:p>
        </w:tc>
      </w:tr>
      <w:tr w:rsidR="00DA659A" w:rsidRPr="00A7082A" w14:paraId="7383B275" w14:textId="77777777" w:rsidTr="002E728C">
        <w:trPr>
          <w:trHeight w:val="57"/>
          <w:jc w:val="right"/>
        </w:trPr>
        <w:tc>
          <w:tcPr>
            <w:tcW w:w="993" w:type="dxa"/>
            <w:tcBorders>
              <w:top w:val="single" w:sz="4" w:space="0" w:color="auto"/>
              <w:bottom w:val="single" w:sz="4" w:space="0" w:color="000000" w:themeColor="text1"/>
            </w:tcBorders>
            <w:shd w:val="clear" w:color="auto" w:fill="auto"/>
            <w:noWrap/>
            <w:hideMark/>
          </w:tcPr>
          <w:p w14:paraId="4EC2A7E2" w14:textId="77777777" w:rsidR="00DA659A" w:rsidRPr="00A7082A" w:rsidRDefault="00DA659A" w:rsidP="00963095">
            <w:pPr>
              <w:tabs>
                <w:tab w:val="clear" w:pos="1247"/>
                <w:tab w:val="clear" w:pos="1814"/>
                <w:tab w:val="clear" w:pos="2381"/>
                <w:tab w:val="clear" w:pos="2948"/>
                <w:tab w:val="clear" w:pos="3515"/>
              </w:tabs>
              <w:spacing w:before="40" w:after="40"/>
              <w:jc w:val="center"/>
              <w:rPr>
                <w:color w:val="000000"/>
                <w:sz w:val="18"/>
              </w:rPr>
            </w:pPr>
            <w:r w:rsidRPr="00A7082A">
              <w:rPr>
                <w:color w:val="000000"/>
                <w:sz w:val="18"/>
              </w:rPr>
              <w:t> </w:t>
            </w:r>
          </w:p>
        </w:tc>
        <w:tc>
          <w:tcPr>
            <w:tcW w:w="3543" w:type="dxa"/>
            <w:tcBorders>
              <w:top w:val="single" w:sz="4" w:space="0" w:color="auto"/>
              <w:bottom w:val="single" w:sz="4" w:space="0" w:color="000000" w:themeColor="text1"/>
            </w:tcBorders>
            <w:shd w:val="clear" w:color="auto" w:fill="auto"/>
            <w:noWrap/>
            <w:hideMark/>
          </w:tcPr>
          <w:p w14:paraId="1CAF6DE2" w14:textId="77777777" w:rsidR="00DA659A" w:rsidRPr="00A7082A" w:rsidRDefault="00DA659A" w:rsidP="00963095">
            <w:pPr>
              <w:tabs>
                <w:tab w:val="clear" w:pos="1247"/>
                <w:tab w:val="clear" w:pos="1814"/>
                <w:tab w:val="clear" w:pos="2381"/>
                <w:tab w:val="clear" w:pos="2948"/>
                <w:tab w:val="clear" w:pos="3515"/>
              </w:tabs>
              <w:spacing w:before="40" w:after="40"/>
              <w:rPr>
                <w:b/>
                <w:color w:val="000000"/>
                <w:sz w:val="18"/>
              </w:rPr>
            </w:pPr>
            <w:r w:rsidRPr="00A7082A">
              <w:rPr>
                <w:b/>
                <w:color w:val="000000"/>
                <w:sz w:val="18"/>
              </w:rPr>
              <w:t>Total (F)</w:t>
            </w:r>
          </w:p>
        </w:tc>
        <w:tc>
          <w:tcPr>
            <w:tcW w:w="1238" w:type="dxa"/>
            <w:tcBorders>
              <w:top w:val="single" w:sz="4" w:space="0" w:color="auto"/>
              <w:bottom w:val="single" w:sz="4" w:space="0" w:color="000000" w:themeColor="text1"/>
            </w:tcBorders>
            <w:shd w:val="clear" w:color="auto" w:fill="auto"/>
            <w:noWrap/>
            <w:hideMark/>
          </w:tcPr>
          <w:p w14:paraId="11173658"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tcBorders>
              <w:top w:val="single" w:sz="4" w:space="0" w:color="auto"/>
              <w:bottom w:val="single" w:sz="4" w:space="0" w:color="000000" w:themeColor="text1"/>
            </w:tcBorders>
            <w:shd w:val="clear" w:color="auto" w:fill="auto"/>
            <w:noWrap/>
            <w:hideMark/>
          </w:tcPr>
          <w:p w14:paraId="428C8D22" w14:textId="2C10BE7E"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120</w:t>
            </w:r>
            <w:r w:rsidR="00F22360" w:rsidRPr="00A7082A">
              <w:rPr>
                <w:color w:val="000000"/>
                <w:sz w:val="18"/>
              </w:rPr>
              <w:t xml:space="preserve"> </w:t>
            </w:r>
            <w:r w:rsidRPr="00A7082A">
              <w:rPr>
                <w:color w:val="000000"/>
                <w:sz w:val="18"/>
              </w:rPr>
              <w:t xml:space="preserve">000 </w:t>
            </w:r>
          </w:p>
        </w:tc>
        <w:tc>
          <w:tcPr>
            <w:tcW w:w="1238" w:type="dxa"/>
            <w:tcBorders>
              <w:top w:val="single" w:sz="4" w:space="0" w:color="auto"/>
              <w:bottom w:val="single" w:sz="4" w:space="0" w:color="000000" w:themeColor="text1"/>
            </w:tcBorders>
            <w:shd w:val="clear" w:color="auto" w:fill="auto"/>
            <w:noWrap/>
            <w:hideMark/>
          </w:tcPr>
          <w:p w14:paraId="250F2FEA"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tcBorders>
              <w:top w:val="single" w:sz="4" w:space="0" w:color="auto"/>
              <w:bottom w:val="single" w:sz="4" w:space="0" w:color="000000" w:themeColor="text1"/>
            </w:tcBorders>
            <w:shd w:val="clear" w:color="auto" w:fill="auto"/>
            <w:noWrap/>
            <w:hideMark/>
          </w:tcPr>
          <w:p w14:paraId="52ADE053" w14:textId="5D106771"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114</w:t>
            </w:r>
            <w:r w:rsidR="00F22360" w:rsidRPr="00A7082A">
              <w:rPr>
                <w:color w:val="000000"/>
                <w:sz w:val="18"/>
              </w:rPr>
              <w:t xml:space="preserve"> </w:t>
            </w:r>
            <w:r w:rsidRPr="00A7082A">
              <w:rPr>
                <w:color w:val="000000"/>
                <w:sz w:val="18"/>
              </w:rPr>
              <w:t xml:space="preserve">000 </w:t>
            </w:r>
          </w:p>
        </w:tc>
      </w:tr>
      <w:tr w:rsidR="00DA659A" w:rsidRPr="00A7082A" w14:paraId="7ACA8259" w14:textId="77777777" w:rsidTr="002E728C">
        <w:trPr>
          <w:trHeight w:val="57"/>
          <w:jc w:val="right"/>
        </w:trPr>
        <w:tc>
          <w:tcPr>
            <w:tcW w:w="993" w:type="dxa"/>
            <w:tcBorders>
              <w:top w:val="single" w:sz="4" w:space="0" w:color="000000" w:themeColor="text1"/>
            </w:tcBorders>
            <w:shd w:val="clear" w:color="auto" w:fill="auto"/>
            <w:noWrap/>
            <w:hideMark/>
          </w:tcPr>
          <w:p w14:paraId="1E621855" w14:textId="77777777" w:rsidR="00DA659A" w:rsidRPr="00A7082A" w:rsidRDefault="00DA659A" w:rsidP="00963095">
            <w:pPr>
              <w:tabs>
                <w:tab w:val="clear" w:pos="1247"/>
                <w:tab w:val="clear" w:pos="1814"/>
                <w:tab w:val="clear" w:pos="2381"/>
                <w:tab w:val="clear" w:pos="2948"/>
                <w:tab w:val="clear" w:pos="3515"/>
              </w:tabs>
              <w:spacing w:before="40" w:after="40"/>
              <w:jc w:val="center"/>
              <w:rPr>
                <w:b/>
                <w:color w:val="000000"/>
                <w:sz w:val="18"/>
              </w:rPr>
            </w:pPr>
            <w:r w:rsidRPr="00A7082A">
              <w:rPr>
                <w:b/>
                <w:color w:val="000000"/>
                <w:sz w:val="18"/>
              </w:rPr>
              <w:t>G.</w:t>
            </w:r>
          </w:p>
        </w:tc>
        <w:tc>
          <w:tcPr>
            <w:tcW w:w="3543" w:type="dxa"/>
            <w:tcBorders>
              <w:top w:val="single" w:sz="4" w:space="0" w:color="000000" w:themeColor="text1"/>
            </w:tcBorders>
            <w:shd w:val="clear" w:color="auto" w:fill="auto"/>
            <w:noWrap/>
            <w:hideMark/>
          </w:tcPr>
          <w:p w14:paraId="344C4906" w14:textId="77777777" w:rsidR="00DA659A" w:rsidRPr="00A7082A" w:rsidRDefault="00DA659A" w:rsidP="00963095">
            <w:pPr>
              <w:tabs>
                <w:tab w:val="clear" w:pos="1247"/>
                <w:tab w:val="clear" w:pos="1814"/>
                <w:tab w:val="clear" w:pos="2381"/>
                <w:tab w:val="clear" w:pos="2948"/>
                <w:tab w:val="clear" w:pos="3515"/>
              </w:tabs>
              <w:spacing w:before="40" w:after="40"/>
              <w:rPr>
                <w:b/>
                <w:color w:val="000000"/>
                <w:sz w:val="18"/>
              </w:rPr>
            </w:pPr>
            <w:r w:rsidRPr="00A7082A">
              <w:rPr>
                <w:b/>
                <w:color w:val="000000"/>
                <w:sz w:val="18"/>
              </w:rPr>
              <w:t>Office maintenance and services</w:t>
            </w:r>
          </w:p>
        </w:tc>
        <w:tc>
          <w:tcPr>
            <w:tcW w:w="1238" w:type="dxa"/>
            <w:tcBorders>
              <w:top w:val="single" w:sz="4" w:space="0" w:color="000000" w:themeColor="text1"/>
            </w:tcBorders>
            <w:shd w:val="clear" w:color="auto" w:fill="auto"/>
            <w:noWrap/>
            <w:hideMark/>
          </w:tcPr>
          <w:p w14:paraId="6D9A4458"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tcBorders>
              <w:top w:val="single" w:sz="4" w:space="0" w:color="000000" w:themeColor="text1"/>
            </w:tcBorders>
            <w:shd w:val="clear" w:color="auto" w:fill="auto"/>
            <w:noWrap/>
            <w:hideMark/>
          </w:tcPr>
          <w:p w14:paraId="523CC3A7"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8" w:type="dxa"/>
            <w:tcBorders>
              <w:top w:val="single" w:sz="4" w:space="0" w:color="000000" w:themeColor="text1"/>
            </w:tcBorders>
            <w:shd w:val="clear" w:color="auto" w:fill="auto"/>
            <w:noWrap/>
            <w:hideMark/>
          </w:tcPr>
          <w:p w14:paraId="002AB5DD"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tcBorders>
              <w:top w:val="single" w:sz="4" w:space="0" w:color="000000" w:themeColor="text1"/>
            </w:tcBorders>
            <w:shd w:val="clear" w:color="auto" w:fill="auto"/>
            <w:noWrap/>
            <w:hideMark/>
          </w:tcPr>
          <w:p w14:paraId="018F8ABF"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r>
      <w:tr w:rsidR="00DA659A" w:rsidRPr="00A7082A" w14:paraId="7F350629" w14:textId="77777777" w:rsidTr="002E728C">
        <w:trPr>
          <w:trHeight w:val="57"/>
          <w:jc w:val="right"/>
        </w:trPr>
        <w:tc>
          <w:tcPr>
            <w:tcW w:w="993" w:type="dxa"/>
            <w:shd w:val="clear" w:color="auto" w:fill="auto"/>
            <w:noWrap/>
            <w:hideMark/>
          </w:tcPr>
          <w:p w14:paraId="45F78B0D" w14:textId="77777777" w:rsidR="00DA659A" w:rsidRPr="00A7082A" w:rsidRDefault="00DA659A" w:rsidP="00963095">
            <w:pPr>
              <w:tabs>
                <w:tab w:val="clear" w:pos="1247"/>
                <w:tab w:val="clear" w:pos="1814"/>
                <w:tab w:val="clear" w:pos="2381"/>
                <w:tab w:val="clear" w:pos="2948"/>
                <w:tab w:val="clear" w:pos="3515"/>
              </w:tabs>
              <w:spacing w:before="40" w:after="40"/>
              <w:jc w:val="center"/>
              <w:rPr>
                <w:b/>
                <w:color w:val="000000"/>
                <w:sz w:val="18"/>
              </w:rPr>
            </w:pPr>
            <w:r w:rsidRPr="00A7082A">
              <w:rPr>
                <w:b/>
                <w:color w:val="000000"/>
                <w:sz w:val="18"/>
              </w:rPr>
              <w:t>14</w:t>
            </w:r>
          </w:p>
        </w:tc>
        <w:tc>
          <w:tcPr>
            <w:tcW w:w="3543" w:type="dxa"/>
            <w:shd w:val="clear" w:color="auto" w:fill="auto"/>
            <w:noWrap/>
            <w:hideMark/>
          </w:tcPr>
          <w:p w14:paraId="449E548E" w14:textId="77777777" w:rsidR="00DA659A" w:rsidRPr="00A7082A" w:rsidRDefault="00DA659A" w:rsidP="00963095">
            <w:pPr>
              <w:tabs>
                <w:tab w:val="clear" w:pos="1247"/>
                <w:tab w:val="clear" w:pos="1814"/>
                <w:tab w:val="clear" w:pos="2381"/>
                <w:tab w:val="clear" w:pos="2948"/>
                <w:tab w:val="clear" w:pos="3515"/>
              </w:tabs>
              <w:spacing w:before="40" w:after="40"/>
              <w:rPr>
                <w:b/>
                <w:color w:val="000000"/>
                <w:sz w:val="18"/>
              </w:rPr>
            </w:pPr>
            <w:r w:rsidRPr="00A7082A">
              <w:rPr>
                <w:b/>
                <w:color w:val="000000"/>
                <w:sz w:val="18"/>
              </w:rPr>
              <w:t>Office maintenance and services</w:t>
            </w:r>
          </w:p>
        </w:tc>
        <w:tc>
          <w:tcPr>
            <w:tcW w:w="1238" w:type="dxa"/>
            <w:shd w:val="clear" w:color="auto" w:fill="auto"/>
            <w:noWrap/>
            <w:hideMark/>
          </w:tcPr>
          <w:p w14:paraId="091E9578"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shd w:val="clear" w:color="auto" w:fill="auto"/>
            <w:noWrap/>
            <w:hideMark/>
          </w:tcPr>
          <w:p w14:paraId="7558D3D0"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8" w:type="dxa"/>
            <w:shd w:val="clear" w:color="auto" w:fill="auto"/>
            <w:noWrap/>
            <w:hideMark/>
          </w:tcPr>
          <w:p w14:paraId="6BC2CDBE"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shd w:val="clear" w:color="auto" w:fill="auto"/>
            <w:noWrap/>
            <w:hideMark/>
          </w:tcPr>
          <w:p w14:paraId="2B5BE38B"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r>
      <w:tr w:rsidR="00DA659A" w:rsidRPr="00A7082A" w14:paraId="38254D43" w14:textId="77777777" w:rsidTr="002E728C">
        <w:trPr>
          <w:trHeight w:val="57"/>
          <w:jc w:val="right"/>
        </w:trPr>
        <w:tc>
          <w:tcPr>
            <w:tcW w:w="993" w:type="dxa"/>
            <w:tcBorders>
              <w:bottom w:val="single" w:sz="4" w:space="0" w:color="000000" w:themeColor="text1"/>
            </w:tcBorders>
            <w:shd w:val="clear" w:color="auto" w:fill="auto"/>
            <w:noWrap/>
            <w:hideMark/>
          </w:tcPr>
          <w:p w14:paraId="303A5BB7" w14:textId="77777777" w:rsidR="00DA659A" w:rsidRPr="00A7082A" w:rsidRDefault="00DA659A" w:rsidP="00963095">
            <w:pPr>
              <w:tabs>
                <w:tab w:val="clear" w:pos="1247"/>
                <w:tab w:val="clear" w:pos="1814"/>
                <w:tab w:val="clear" w:pos="2381"/>
                <w:tab w:val="clear" w:pos="2948"/>
                <w:tab w:val="clear" w:pos="3515"/>
              </w:tabs>
              <w:spacing w:before="40" w:after="40"/>
              <w:jc w:val="center"/>
              <w:rPr>
                <w:color w:val="000000"/>
                <w:sz w:val="18"/>
              </w:rPr>
            </w:pPr>
            <w:r w:rsidRPr="00A7082A">
              <w:rPr>
                <w:color w:val="000000"/>
                <w:sz w:val="18"/>
              </w:rPr>
              <w:t> </w:t>
            </w:r>
          </w:p>
        </w:tc>
        <w:tc>
          <w:tcPr>
            <w:tcW w:w="3543" w:type="dxa"/>
            <w:tcBorders>
              <w:bottom w:val="single" w:sz="4" w:space="0" w:color="000000" w:themeColor="text1"/>
            </w:tcBorders>
            <w:shd w:val="clear" w:color="auto" w:fill="auto"/>
            <w:noWrap/>
            <w:hideMark/>
          </w:tcPr>
          <w:p w14:paraId="49DD4908" w14:textId="77777777" w:rsidR="00DA659A" w:rsidRPr="00A7082A" w:rsidRDefault="00DA659A" w:rsidP="00963095">
            <w:pPr>
              <w:tabs>
                <w:tab w:val="clear" w:pos="1247"/>
                <w:tab w:val="clear" w:pos="1814"/>
                <w:tab w:val="clear" w:pos="2381"/>
                <w:tab w:val="clear" w:pos="2948"/>
                <w:tab w:val="clear" w:pos="3515"/>
              </w:tabs>
              <w:spacing w:before="40" w:after="40"/>
              <w:rPr>
                <w:color w:val="000000"/>
                <w:sz w:val="18"/>
              </w:rPr>
            </w:pPr>
            <w:r w:rsidRPr="00A7082A">
              <w:rPr>
                <w:color w:val="000000"/>
                <w:sz w:val="18"/>
              </w:rPr>
              <w:t>14.1 Office maintenance and services</w:t>
            </w:r>
          </w:p>
        </w:tc>
        <w:tc>
          <w:tcPr>
            <w:tcW w:w="1238" w:type="dxa"/>
            <w:tcBorders>
              <w:bottom w:val="single" w:sz="4" w:space="0" w:color="000000" w:themeColor="text1"/>
            </w:tcBorders>
            <w:shd w:val="clear" w:color="auto" w:fill="auto"/>
            <w:noWrap/>
            <w:hideMark/>
          </w:tcPr>
          <w:p w14:paraId="494791AC" w14:textId="55D1D3D3"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145</w:t>
            </w:r>
            <w:r w:rsidR="00F22360" w:rsidRPr="00A7082A">
              <w:rPr>
                <w:color w:val="000000"/>
                <w:sz w:val="18"/>
              </w:rPr>
              <w:t xml:space="preserve"> </w:t>
            </w:r>
            <w:r w:rsidRPr="00A7082A">
              <w:rPr>
                <w:color w:val="000000"/>
                <w:sz w:val="18"/>
              </w:rPr>
              <w:t xml:space="preserve">000 </w:t>
            </w:r>
          </w:p>
        </w:tc>
        <w:tc>
          <w:tcPr>
            <w:tcW w:w="1239" w:type="dxa"/>
            <w:tcBorders>
              <w:bottom w:val="single" w:sz="4" w:space="0" w:color="000000" w:themeColor="text1"/>
            </w:tcBorders>
            <w:shd w:val="clear" w:color="auto" w:fill="auto"/>
            <w:noWrap/>
            <w:hideMark/>
          </w:tcPr>
          <w:p w14:paraId="59AC3E30"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8" w:type="dxa"/>
            <w:tcBorders>
              <w:bottom w:val="single" w:sz="4" w:space="0" w:color="000000" w:themeColor="text1"/>
            </w:tcBorders>
            <w:shd w:val="clear" w:color="auto" w:fill="auto"/>
            <w:noWrap/>
            <w:hideMark/>
          </w:tcPr>
          <w:p w14:paraId="3FDA94F3" w14:textId="16E426BF"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145</w:t>
            </w:r>
            <w:r w:rsidR="00F22360" w:rsidRPr="00A7082A">
              <w:rPr>
                <w:color w:val="000000"/>
                <w:sz w:val="18"/>
              </w:rPr>
              <w:t xml:space="preserve"> </w:t>
            </w:r>
            <w:r w:rsidRPr="00A7082A">
              <w:rPr>
                <w:color w:val="000000"/>
                <w:sz w:val="18"/>
              </w:rPr>
              <w:t xml:space="preserve">000 </w:t>
            </w:r>
          </w:p>
        </w:tc>
        <w:tc>
          <w:tcPr>
            <w:tcW w:w="1239" w:type="dxa"/>
            <w:tcBorders>
              <w:bottom w:val="single" w:sz="4" w:space="0" w:color="000000" w:themeColor="text1"/>
            </w:tcBorders>
            <w:shd w:val="clear" w:color="auto" w:fill="auto"/>
            <w:noWrap/>
            <w:hideMark/>
          </w:tcPr>
          <w:p w14:paraId="3F90FC21"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r>
      <w:tr w:rsidR="00DA659A" w:rsidRPr="00A7082A" w14:paraId="04C4DFD8" w14:textId="77777777" w:rsidTr="002E728C">
        <w:trPr>
          <w:trHeight w:val="57"/>
          <w:jc w:val="right"/>
        </w:trPr>
        <w:tc>
          <w:tcPr>
            <w:tcW w:w="993" w:type="dxa"/>
            <w:tcBorders>
              <w:top w:val="single" w:sz="4" w:space="0" w:color="000000" w:themeColor="text1"/>
              <w:bottom w:val="single" w:sz="4" w:space="0" w:color="000000" w:themeColor="text1"/>
            </w:tcBorders>
            <w:shd w:val="clear" w:color="auto" w:fill="auto"/>
            <w:noWrap/>
            <w:hideMark/>
          </w:tcPr>
          <w:p w14:paraId="0A11E3ED" w14:textId="77777777" w:rsidR="00DA659A" w:rsidRPr="00A7082A" w:rsidRDefault="00DA659A" w:rsidP="00963095">
            <w:pPr>
              <w:tabs>
                <w:tab w:val="clear" w:pos="1247"/>
                <w:tab w:val="clear" w:pos="1814"/>
                <w:tab w:val="clear" w:pos="2381"/>
                <w:tab w:val="clear" w:pos="2948"/>
                <w:tab w:val="clear" w:pos="3515"/>
              </w:tabs>
              <w:spacing w:before="40" w:after="40"/>
              <w:jc w:val="center"/>
              <w:rPr>
                <w:color w:val="000000"/>
                <w:sz w:val="18"/>
              </w:rPr>
            </w:pPr>
            <w:r w:rsidRPr="00A7082A">
              <w:rPr>
                <w:color w:val="000000"/>
                <w:sz w:val="18"/>
              </w:rPr>
              <w:t> </w:t>
            </w:r>
          </w:p>
        </w:tc>
        <w:tc>
          <w:tcPr>
            <w:tcW w:w="3543" w:type="dxa"/>
            <w:tcBorders>
              <w:top w:val="single" w:sz="4" w:space="0" w:color="000000" w:themeColor="text1"/>
              <w:bottom w:val="single" w:sz="4" w:space="0" w:color="000000" w:themeColor="text1"/>
            </w:tcBorders>
            <w:shd w:val="clear" w:color="auto" w:fill="auto"/>
            <w:noWrap/>
            <w:hideMark/>
          </w:tcPr>
          <w:p w14:paraId="6B61B3BE" w14:textId="64B6FF58" w:rsidR="00DA659A" w:rsidRPr="00A7082A" w:rsidRDefault="00DA659A" w:rsidP="00963095">
            <w:pPr>
              <w:tabs>
                <w:tab w:val="clear" w:pos="1247"/>
                <w:tab w:val="clear" w:pos="1814"/>
                <w:tab w:val="clear" w:pos="2381"/>
                <w:tab w:val="clear" w:pos="2948"/>
                <w:tab w:val="clear" w:pos="3515"/>
              </w:tabs>
              <w:spacing w:before="40" w:after="40"/>
              <w:rPr>
                <w:b/>
                <w:color w:val="000000"/>
                <w:sz w:val="18"/>
              </w:rPr>
            </w:pPr>
            <w:r w:rsidRPr="00A7082A">
              <w:rPr>
                <w:b/>
                <w:color w:val="000000"/>
                <w:sz w:val="18"/>
              </w:rPr>
              <w:t xml:space="preserve">Component </w:t>
            </w:r>
            <w:r w:rsidR="00660CBD" w:rsidRPr="00A7082A">
              <w:rPr>
                <w:b/>
                <w:color w:val="000000"/>
                <w:sz w:val="18"/>
              </w:rPr>
              <w:t>t</w:t>
            </w:r>
            <w:r w:rsidRPr="00A7082A">
              <w:rPr>
                <w:b/>
                <w:color w:val="000000"/>
                <w:sz w:val="18"/>
              </w:rPr>
              <w:t>otal</w:t>
            </w:r>
          </w:p>
        </w:tc>
        <w:tc>
          <w:tcPr>
            <w:tcW w:w="1238" w:type="dxa"/>
            <w:tcBorders>
              <w:top w:val="single" w:sz="4" w:space="0" w:color="000000" w:themeColor="text1"/>
              <w:bottom w:val="single" w:sz="4" w:space="0" w:color="000000" w:themeColor="text1"/>
            </w:tcBorders>
            <w:shd w:val="clear" w:color="auto" w:fill="auto"/>
            <w:noWrap/>
            <w:hideMark/>
          </w:tcPr>
          <w:p w14:paraId="1E396627" w14:textId="29B29D73"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145</w:t>
            </w:r>
            <w:r w:rsidR="00F22360" w:rsidRPr="00A7082A">
              <w:rPr>
                <w:b/>
                <w:color w:val="000000"/>
                <w:sz w:val="18"/>
              </w:rPr>
              <w:t xml:space="preserve"> </w:t>
            </w:r>
            <w:r w:rsidRPr="00A7082A">
              <w:rPr>
                <w:b/>
                <w:color w:val="000000"/>
                <w:sz w:val="18"/>
              </w:rPr>
              <w:t xml:space="preserve">000 </w:t>
            </w:r>
          </w:p>
        </w:tc>
        <w:tc>
          <w:tcPr>
            <w:tcW w:w="1239" w:type="dxa"/>
            <w:tcBorders>
              <w:top w:val="single" w:sz="4" w:space="0" w:color="000000" w:themeColor="text1"/>
              <w:bottom w:val="single" w:sz="4" w:space="0" w:color="000000" w:themeColor="text1"/>
            </w:tcBorders>
            <w:shd w:val="clear" w:color="auto" w:fill="auto"/>
            <w:noWrap/>
            <w:hideMark/>
          </w:tcPr>
          <w:p w14:paraId="1B10AFD3" w14:textId="77777777"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 </w:t>
            </w:r>
          </w:p>
        </w:tc>
        <w:tc>
          <w:tcPr>
            <w:tcW w:w="1238" w:type="dxa"/>
            <w:tcBorders>
              <w:top w:val="single" w:sz="4" w:space="0" w:color="000000" w:themeColor="text1"/>
              <w:bottom w:val="single" w:sz="4" w:space="0" w:color="000000" w:themeColor="text1"/>
            </w:tcBorders>
            <w:shd w:val="clear" w:color="auto" w:fill="auto"/>
            <w:noWrap/>
            <w:hideMark/>
          </w:tcPr>
          <w:p w14:paraId="6A35FA55" w14:textId="05661CDA"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145</w:t>
            </w:r>
            <w:r w:rsidR="00F22360" w:rsidRPr="00A7082A">
              <w:rPr>
                <w:b/>
                <w:color w:val="000000"/>
                <w:sz w:val="18"/>
              </w:rPr>
              <w:t xml:space="preserve"> </w:t>
            </w:r>
            <w:r w:rsidRPr="00A7082A">
              <w:rPr>
                <w:b/>
                <w:color w:val="000000"/>
                <w:sz w:val="18"/>
              </w:rPr>
              <w:t xml:space="preserve">000 </w:t>
            </w:r>
          </w:p>
        </w:tc>
        <w:tc>
          <w:tcPr>
            <w:tcW w:w="1239" w:type="dxa"/>
            <w:tcBorders>
              <w:top w:val="single" w:sz="4" w:space="0" w:color="000000" w:themeColor="text1"/>
              <w:bottom w:val="single" w:sz="4" w:space="0" w:color="000000" w:themeColor="text1"/>
            </w:tcBorders>
            <w:shd w:val="clear" w:color="auto" w:fill="auto"/>
            <w:noWrap/>
            <w:hideMark/>
          </w:tcPr>
          <w:p w14:paraId="33D17010" w14:textId="77777777"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 </w:t>
            </w:r>
          </w:p>
        </w:tc>
      </w:tr>
      <w:tr w:rsidR="00DA659A" w:rsidRPr="00A7082A" w14:paraId="38A0D855" w14:textId="77777777" w:rsidTr="002E728C">
        <w:trPr>
          <w:trHeight w:val="57"/>
          <w:jc w:val="right"/>
        </w:trPr>
        <w:tc>
          <w:tcPr>
            <w:tcW w:w="993" w:type="dxa"/>
            <w:tcBorders>
              <w:top w:val="single" w:sz="4" w:space="0" w:color="000000" w:themeColor="text1"/>
            </w:tcBorders>
            <w:shd w:val="clear" w:color="auto" w:fill="auto"/>
            <w:noWrap/>
            <w:hideMark/>
          </w:tcPr>
          <w:p w14:paraId="0FCC26A1" w14:textId="77777777" w:rsidR="00DA659A" w:rsidRPr="00A7082A" w:rsidRDefault="00DA659A" w:rsidP="00963095">
            <w:pPr>
              <w:tabs>
                <w:tab w:val="clear" w:pos="1247"/>
                <w:tab w:val="clear" w:pos="1814"/>
                <w:tab w:val="clear" w:pos="2381"/>
                <w:tab w:val="clear" w:pos="2948"/>
                <w:tab w:val="clear" w:pos="3515"/>
              </w:tabs>
              <w:spacing w:before="40" w:after="40"/>
              <w:jc w:val="center"/>
              <w:rPr>
                <w:b/>
                <w:color w:val="000000"/>
                <w:sz w:val="18"/>
              </w:rPr>
            </w:pPr>
            <w:r w:rsidRPr="00A7082A">
              <w:rPr>
                <w:b/>
                <w:color w:val="000000"/>
                <w:sz w:val="18"/>
              </w:rPr>
              <w:t>15</w:t>
            </w:r>
          </w:p>
        </w:tc>
        <w:tc>
          <w:tcPr>
            <w:tcW w:w="3543" w:type="dxa"/>
            <w:tcBorders>
              <w:top w:val="single" w:sz="4" w:space="0" w:color="000000" w:themeColor="text1"/>
            </w:tcBorders>
            <w:shd w:val="clear" w:color="auto" w:fill="auto"/>
            <w:noWrap/>
            <w:hideMark/>
          </w:tcPr>
          <w:p w14:paraId="25F2BB11" w14:textId="77777777" w:rsidR="00DA659A" w:rsidRPr="00A7082A" w:rsidRDefault="00DA659A" w:rsidP="00963095">
            <w:pPr>
              <w:tabs>
                <w:tab w:val="clear" w:pos="1247"/>
                <w:tab w:val="clear" w:pos="1814"/>
                <w:tab w:val="clear" w:pos="2381"/>
                <w:tab w:val="clear" w:pos="2948"/>
                <w:tab w:val="clear" w:pos="3515"/>
              </w:tabs>
              <w:spacing w:before="40" w:after="40"/>
              <w:rPr>
                <w:b/>
                <w:color w:val="000000"/>
                <w:sz w:val="18"/>
              </w:rPr>
            </w:pPr>
            <w:r w:rsidRPr="00A7082A">
              <w:rPr>
                <w:b/>
                <w:color w:val="000000"/>
                <w:sz w:val="18"/>
              </w:rPr>
              <w:t>Information technology services</w:t>
            </w:r>
          </w:p>
        </w:tc>
        <w:tc>
          <w:tcPr>
            <w:tcW w:w="1238" w:type="dxa"/>
            <w:tcBorders>
              <w:top w:val="single" w:sz="4" w:space="0" w:color="000000" w:themeColor="text1"/>
            </w:tcBorders>
            <w:shd w:val="clear" w:color="auto" w:fill="auto"/>
            <w:noWrap/>
            <w:hideMark/>
          </w:tcPr>
          <w:p w14:paraId="6BFF4713"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tcBorders>
              <w:top w:val="single" w:sz="4" w:space="0" w:color="000000" w:themeColor="text1"/>
            </w:tcBorders>
            <w:shd w:val="clear" w:color="auto" w:fill="auto"/>
            <w:noWrap/>
            <w:hideMark/>
          </w:tcPr>
          <w:p w14:paraId="3B56A42E"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8" w:type="dxa"/>
            <w:tcBorders>
              <w:top w:val="single" w:sz="4" w:space="0" w:color="000000" w:themeColor="text1"/>
            </w:tcBorders>
            <w:shd w:val="clear" w:color="auto" w:fill="auto"/>
            <w:noWrap/>
            <w:hideMark/>
          </w:tcPr>
          <w:p w14:paraId="05E5515B"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tcBorders>
              <w:top w:val="single" w:sz="4" w:space="0" w:color="000000" w:themeColor="text1"/>
            </w:tcBorders>
            <w:shd w:val="clear" w:color="auto" w:fill="auto"/>
            <w:noWrap/>
            <w:hideMark/>
          </w:tcPr>
          <w:p w14:paraId="496EBEF7"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r>
      <w:tr w:rsidR="00DA659A" w:rsidRPr="00A7082A" w14:paraId="552D93EA" w14:textId="77777777" w:rsidTr="002E728C">
        <w:trPr>
          <w:trHeight w:val="57"/>
          <w:jc w:val="right"/>
        </w:trPr>
        <w:tc>
          <w:tcPr>
            <w:tcW w:w="993" w:type="dxa"/>
            <w:tcBorders>
              <w:bottom w:val="single" w:sz="4" w:space="0" w:color="000000" w:themeColor="text1"/>
            </w:tcBorders>
            <w:shd w:val="clear" w:color="auto" w:fill="auto"/>
            <w:noWrap/>
            <w:hideMark/>
          </w:tcPr>
          <w:p w14:paraId="0D97FD1D" w14:textId="77777777" w:rsidR="00DA659A" w:rsidRPr="00A7082A" w:rsidRDefault="00DA659A" w:rsidP="00963095">
            <w:pPr>
              <w:tabs>
                <w:tab w:val="clear" w:pos="1247"/>
                <w:tab w:val="clear" w:pos="1814"/>
                <w:tab w:val="clear" w:pos="2381"/>
                <w:tab w:val="clear" w:pos="2948"/>
                <w:tab w:val="clear" w:pos="3515"/>
              </w:tabs>
              <w:spacing w:before="40" w:after="40"/>
              <w:jc w:val="center"/>
              <w:rPr>
                <w:color w:val="000000"/>
                <w:sz w:val="18"/>
              </w:rPr>
            </w:pPr>
            <w:r w:rsidRPr="00A7082A">
              <w:rPr>
                <w:color w:val="000000"/>
                <w:sz w:val="18"/>
              </w:rPr>
              <w:t> </w:t>
            </w:r>
          </w:p>
        </w:tc>
        <w:tc>
          <w:tcPr>
            <w:tcW w:w="3543" w:type="dxa"/>
            <w:tcBorders>
              <w:bottom w:val="single" w:sz="4" w:space="0" w:color="000000" w:themeColor="text1"/>
            </w:tcBorders>
            <w:shd w:val="clear" w:color="auto" w:fill="auto"/>
            <w:noWrap/>
            <w:hideMark/>
          </w:tcPr>
          <w:p w14:paraId="1AD5F8E9" w14:textId="77777777" w:rsidR="00DA659A" w:rsidRPr="00A7082A" w:rsidRDefault="00DA659A" w:rsidP="0045134A">
            <w:pPr>
              <w:pStyle w:val="Normal-pool"/>
              <w:tabs>
                <w:tab w:val="clear" w:pos="1247"/>
                <w:tab w:val="clear" w:pos="1814"/>
                <w:tab w:val="clear" w:pos="2381"/>
                <w:tab w:val="clear" w:pos="2948"/>
                <w:tab w:val="clear" w:pos="3515"/>
                <w:tab w:val="clear" w:pos="4082"/>
              </w:tabs>
              <w:spacing w:before="40" w:after="40"/>
              <w:ind w:left="322" w:hanging="379"/>
              <w:rPr>
                <w:color w:val="000000"/>
                <w:sz w:val="18"/>
              </w:rPr>
            </w:pPr>
            <w:r w:rsidRPr="00A7082A">
              <w:rPr>
                <w:color w:val="000000"/>
                <w:sz w:val="18"/>
              </w:rPr>
              <w:t>15.1 Information technology services</w:t>
            </w:r>
          </w:p>
        </w:tc>
        <w:tc>
          <w:tcPr>
            <w:tcW w:w="1238" w:type="dxa"/>
            <w:tcBorders>
              <w:bottom w:val="single" w:sz="4" w:space="0" w:color="000000" w:themeColor="text1"/>
            </w:tcBorders>
            <w:shd w:val="clear" w:color="auto" w:fill="auto"/>
            <w:noWrap/>
            <w:hideMark/>
          </w:tcPr>
          <w:p w14:paraId="1DBABF0A" w14:textId="7E0A07C1"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53</w:t>
            </w:r>
            <w:r w:rsidR="00F22360" w:rsidRPr="00A7082A">
              <w:rPr>
                <w:color w:val="000000"/>
                <w:sz w:val="18"/>
              </w:rPr>
              <w:t xml:space="preserve"> </w:t>
            </w:r>
            <w:r w:rsidRPr="00A7082A">
              <w:rPr>
                <w:color w:val="000000"/>
                <w:sz w:val="18"/>
              </w:rPr>
              <w:t xml:space="preserve">500 </w:t>
            </w:r>
          </w:p>
        </w:tc>
        <w:tc>
          <w:tcPr>
            <w:tcW w:w="1239" w:type="dxa"/>
            <w:tcBorders>
              <w:bottom w:val="single" w:sz="4" w:space="0" w:color="000000" w:themeColor="text1"/>
            </w:tcBorders>
            <w:shd w:val="clear" w:color="auto" w:fill="auto"/>
            <w:noWrap/>
            <w:hideMark/>
          </w:tcPr>
          <w:p w14:paraId="203FA58C"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8" w:type="dxa"/>
            <w:tcBorders>
              <w:bottom w:val="single" w:sz="4" w:space="0" w:color="000000" w:themeColor="text1"/>
            </w:tcBorders>
            <w:shd w:val="clear" w:color="auto" w:fill="auto"/>
            <w:noWrap/>
            <w:hideMark/>
          </w:tcPr>
          <w:p w14:paraId="44BEA734" w14:textId="1B26B85B"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50</w:t>
            </w:r>
            <w:r w:rsidR="00F22360" w:rsidRPr="00A7082A">
              <w:rPr>
                <w:color w:val="000000"/>
                <w:sz w:val="18"/>
              </w:rPr>
              <w:t xml:space="preserve"> </w:t>
            </w:r>
            <w:r w:rsidRPr="00A7082A">
              <w:rPr>
                <w:color w:val="000000"/>
                <w:sz w:val="18"/>
              </w:rPr>
              <w:t xml:space="preserve">000 </w:t>
            </w:r>
          </w:p>
        </w:tc>
        <w:tc>
          <w:tcPr>
            <w:tcW w:w="1239" w:type="dxa"/>
            <w:tcBorders>
              <w:bottom w:val="single" w:sz="4" w:space="0" w:color="000000" w:themeColor="text1"/>
            </w:tcBorders>
            <w:shd w:val="clear" w:color="auto" w:fill="auto"/>
            <w:noWrap/>
            <w:hideMark/>
          </w:tcPr>
          <w:p w14:paraId="61214A55"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r>
      <w:tr w:rsidR="00DA659A" w:rsidRPr="00A7082A" w14:paraId="22260F97" w14:textId="77777777" w:rsidTr="002E728C">
        <w:trPr>
          <w:trHeight w:val="57"/>
          <w:jc w:val="right"/>
        </w:trPr>
        <w:tc>
          <w:tcPr>
            <w:tcW w:w="993" w:type="dxa"/>
            <w:tcBorders>
              <w:top w:val="single" w:sz="4" w:space="0" w:color="000000" w:themeColor="text1"/>
              <w:bottom w:val="single" w:sz="4" w:space="0" w:color="000000" w:themeColor="text1"/>
            </w:tcBorders>
            <w:shd w:val="clear" w:color="auto" w:fill="auto"/>
            <w:noWrap/>
            <w:hideMark/>
          </w:tcPr>
          <w:p w14:paraId="50906D92" w14:textId="77777777" w:rsidR="00DA659A" w:rsidRPr="00A7082A" w:rsidRDefault="00DA659A" w:rsidP="00963095">
            <w:pPr>
              <w:tabs>
                <w:tab w:val="clear" w:pos="1247"/>
                <w:tab w:val="clear" w:pos="1814"/>
                <w:tab w:val="clear" w:pos="2381"/>
                <w:tab w:val="clear" w:pos="2948"/>
                <w:tab w:val="clear" w:pos="3515"/>
              </w:tabs>
              <w:spacing w:before="40" w:after="40"/>
              <w:jc w:val="center"/>
              <w:rPr>
                <w:color w:val="000000"/>
                <w:sz w:val="18"/>
              </w:rPr>
            </w:pPr>
            <w:r w:rsidRPr="00A7082A">
              <w:rPr>
                <w:color w:val="000000"/>
                <w:sz w:val="18"/>
              </w:rPr>
              <w:t> </w:t>
            </w:r>
          </w:p>
        </w:tc>
        <w:tc>
          <w:tcPr>
            <w:tcW w:w="3543" w:type="dxa"/>
            <w:tcBorders>
              <w:top w:val="single" w:sz="4" w:space="0" w:color="000000" w:themeColor="text1"/>
              <w:bottom w:val="single" w:sz="4" w:space="0" w:color="000000" w:themeColor="text1"/>
            </w:tcBorders>
            <w:shd w:val="clear" w:color="auto" w:fill="auto"/>
            <w:noWrap/>
            <w:hideMark/>
          </w:tcPr>
          <w:p w14:paraId="4FC853A7" w14:textId="5B6EB8DF" w:rsidR="00DA659A" w:rsidRPr="00A7082A" w:rsidRDefault="00DA659A" w:rsidP="00963095">
            <w:pPr>
              <w:tabs>
                <w:tab w:val="clear" w:pos="1247"/>
                <w:tab w:val="clear" w:pos="1814"/>
                <w:tab w:val="clear" w:pos="2381"/>
                <w:tab w:val="clear" w:pos="2948"/>
                <w:tab w:val="clear" w:pos="3515"/>
              </w:tabs>
              <w:spacing w:before="40" w:after="40"/>
              <w:rPr>
                <w:b/>
                <w:color w:val="000000"/>
                <w:sz w:val="18"/>
              </w:rPr>
            </w:pPr>
            <w:r w:rsidRPr="00A7082A">
              <w:rPr>
                <w:b/>
                <w:color w:val="000000"/>
                <w:sz w:val="18"/>
              </w:rPr>
              <w:t xml:space="preserve">Component </w:t>
            </w:r>
            <w:r w:rsidR="00660CBD" w:rsidRPr="00A7082A">
              <w:rPr>
                <w:b/>
                <w:color w:val="000000"/>
                <w:sz w:val="18"/>
              </w:rPr>
              <w:t>t</w:t>
            </w:r>
            <w:r w:rsidRPr="00A7082A">
              <w:rPr>
                <w:b/>
                <w:color w:val="000000"/>
                <w:sz w:val="18"/>
              </w:rPr>
              <w:t>otal</w:t>
            </w:r>
          </w:p>
        </w:tc>
        <w:tc>
          <w:tcPr>
            <w:tcW w:w="1238" w:type="dxa"/>
            <w:tcBorders>
              <w:top w:val="single" w:sz="4" w:space="0" w:color="000000" w:themeColor="text1"/>
              <w:bottom w:val="single" w:sz="4" w:space="0" w:color="000000" w:themeColor="text1"/>
            </w:tcBorders>
            <w:shd w:val="clear" w:color="auto" w:fill="auto"/>
            <w:noWrap/>
            <w:hideMark/>
          </w:tcPr>
          <w:p w14:paraId="533E10CC" w14:textId="74D17E7C"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53</w:t>
            </w:r>
            <w:r w:rsidR="00F22360" w:rsidRPr="00A7082A">
              <w:rPr>
                <w:b/>
                <w:color w:val="000000"/>
                <w:sz w:val="18"/>
              </w:rPr>
              <w:t xml:space="preserve"> </w:t>
            </w:r>
            <w:r w:rsidRPr="00A7082A">
              <w:rPr>
                <w:b/>
                <w:color w:val="000000"/>
                <w:sz w:val="18"/>
              </w:rPr>
              <w:t xml:space="preserve">500 </w:t>
            </w:r>
          </w:p>
        </w:tc>
        <w:tc>
          <w:tcPr>
            <w:tcW w:w="1239" w:type="dxa"/>
            <w:tcBorders>
              <w:top w:val="single" w:sz="4" w:space="0" w:color="000000" w:themeColor="text1"/>
              <w:bottom w:val="single" w:sz="4" w:space="0" w:color="000000" w:themeColor="text1"/>
            </w:tcBorders>
            <w:shd w:val="clear" w:color="auto" w:fill="auto"/>
            <w:noWrap/>
            <w:hideMark/>
          </w:tcPr>
          <w:p w14:paraId="0F1747DE" w14:textId="77777777"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 </w:t>
            </w:r>
          </w:p>
        </w:tc>
        <w:tc>
          <w:tcPr>
            <w:tcW w:w="1238" w:type="dxa"/>
            <w:tcBorders>
              <w:top w:val="single" w:sz="4" w:space="0" w:color="000000" w:themeColor="text1"/>
              <w:bottom w:val="single" w:sz="4" w:space="0" w:color="000000" w:themeColor="text1"/>
            </w:tcBorders>
            <w:shd w:val="clear" w:color="auto" w:fill="auto"/>
            <w:noWrap/>
            <w:hideMark/>
          </w:tcPr>
          <w:p w14:paraId="0B2CB664" w14:textId="03F2B905"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50</w:t>
            </w:r>
            <w:r w:rsidR="00F22360" w:rsidRPr="00A7082A">
              <w:rPr>
                <w:b/>
                <w:color w:val="000000"/>
                <w:sz w:val="18"/>
              </w:rPr>
              <w:t xml:space="preserve"> </w:t>
            </w:r>
            <w:r w:rsidRPr="00A7082A">
              <w:rPr>
                <w:b/>
                <w:color w:val="000000"/>
                <w:sz w:val="18"/>
              </w:rPr>
              <w:t xml:space="preserve">000 </w:t>
            </w:r>
          </w:p>
        </w:tc>
        <w:tc>
          <w:tcPr>
            <w:tcW w:w="1239" w:type="dxa"/>
            <w:tcBorders>
              <w:top w:val="single" w:sz="4" w:space="0" w:color="000000" w:themeColor="text1"/>
              <w:bottom w:val="single" w:sz="4" w:space="0" w:color="000000" w:themeColor="text1"/>
            </w:tcBorders>
            <w:shd w:val="clear" w:color="auto" w:fill="auto"/>
            <w:noWrap/>
            <w:hideMark/>
          </w:tcPr>
          <w:p w14:paraId="4D5DCA48" w14:textId="77777777"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 </w:t>
            </w:r>
          </w:p>
        </w:tc>
      </w:tr>
      <w:tr w:rsidR="00DA659A" w:rsidRPr="00A7082A" w14:paraId="413ED28E" w14:textId="77777777" w:rsidTr="002E728C">
        <w:trPr>
          <w:trHeight w:val="57"/>
          <w:jc w:val="right"/>
        </w:trPr>
        <w:tc>
          <w:tcPr>
            <w:tcW w:w="993" w:type="dxa"/>
            <w:tcBorders>
              <w:top w:val="single" w:sz="4" w:space="0" w:color="000000" w:themeColor="text1"/>
              <w:bottom w:val="single" w:sz="4" w:space="0" w:color="000000" w:themeColor="text1"/>
            </w:tcBorders>
            <w:shd w:val="clear" w:color="auto" w:fill="auto"/>
            <w:noWrap/>
            <w:hideMark/>
          </w:tcPr>
          <w:p w14:paraId="2930C8C2" w14:textId="77777777" w:rsidR="00DA659A" w:rsidRPr="00A7082A" w:rsidRDefault="00DA659A" w:rsidP="00963095">
            <w:pPr>
              <w:tabs>
                <w:tab w:val="clear" w:pos="1247"/>
                <w:tab w:val="clear" w:pos="1814"/>
                <w:tab w:val="clear" w:pos="2381"/>
                <w:tab w:val="clear" w:pos="2948"/>
                <w:tab w:val="clear" w:pos="3515"/>
              </w:tabs>
              <w:spacing w:before="40" w:after="40"/>
              <w:jc w:val="center"/>
              <w:rPr>
                <w:color w:val="000000"/>
                <w:sz w:val="18"/>
              </w:rPr>
            </w:pPr>
            <w:r w:rsidRPr="00A7082A">
              <w:rPr>
                <w:color w:val="000000"/>
                <w:sz w:val="18"/>
              </w:rPr>
              <w:t> </w:t>
            </w:r>
          </w:p>
        </w:tc>
        <w:tc>
          <w:tcPr>
            <w:tcW w:w="3543" w:type="dxa"/>
            <w:tcBorders>
              <w:top w:val="single" w:sz="4" w:space="0" w:color="000000" w:themeColor="text1"/>
              <w:bottom w:val="single" w:sz="4" w:space="0" w:color="000000" w:themeColor="text1"/>
            </w:tcBorders>
            <w:shd w:val="clear" w:color="auto" w:fill="auto"/>
            <w:noWrap/>
            <w:hideMark/>
          </w:tcPr>
          <w:p w14:paraId="4F927718" w14:textId="77777777" w:rsidR="00DA659A" w:rsidRPr="00A7082A" w:rsidRDefault="00DA659A" w:rsidP="00963095">
            <w:pPr>
              <w:tabs>
                <w:tab w:val="clear" w:pos="1247"/>
                <w:tab w:val="clear" w:pos="1814"/>
                <w:tab w:val="clear" w:pos="2381"/>
                <w:tab w:val="clear" w:pos="2948"/>
                <w:tab w:val="clear" w:pos="3515"/>
              </w:tabs>
              <w:spacing w:before="40" w:after="40"/>
              <w:rPr>
                <w:b/>
                <w:color w:val="000000"/>
                <w:sz w:val="18"/>
              </w:rPr>
            </w:pPr>
            <w:r w:rsidRPr="00A7082A">
              <w:rPr>
                <w:b/>
                <w:color w:val="000000"/>
                <w:sz w:val="18"/>
              </w:rPr>
              <w:t>Total (G)</w:t>
            </w:r>
          </w:p>
        </w:tc>
        <w:tc>
          <w:tcPr>
            <w:tcW w:w="1238" w:type="dxa"/>
            <w:tcBorders>
              <w:top w:val="single" w:sz="4" w:space="0" w:color="000000" w:themeColor="text1"/>
              <w:bottom w:val="single" w:sz="4" w:space="0" w:color="000000" w:themeColor="text1"/>
            </w:tcBorders>
            <w:shd w:val="clear" w:color="auto" w:fill="auto"/>
            <w:noWrap/>
            <w:hideMark/>
          </w:tcPr>
          <w:p w14:paraId="40EFAB89" w14:textId="56EA3687"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198</w:t>
            </w:r>
            <w:r w:rsidR="00F22360" w:rsidRPr="00A7082A">
              <w:rPr>
                <w:b/>
                <w:color w:val="000000"/>
                <w:sz w:val="18"/>
              </w:rPr>
              <w:t xml:space="preserve"> </w:t>
            </w:r>
            <w:r w:rsidRPr="00A7082A">
              <w:rPr>
                <w:b/>
                <w:color w:val="000000"/>
                <w:sz w:val="18"/>
              </w:rPr>
              <w:t xml:space="preserve">500 </w:t>
            </w:r>
          </w:p>
        </w:tc>
        <w:tc>
          <w:tcPr>
            <w:tcW w:w="1239" w:type="dxa"/>
            <w:tcBorders>
              <w:top w:val="single" w:sz="4" w:space="0" w:color="000000" w:themeColor="text1"/>
              <w:bottom w:val="single" w:sz="4" w:space="0" w:color="000000" w:themeColor="text1"/>
            </w:tcBorders>
            <w:shd w:val="clear" w:color="auto" w:fill="auto"/>
            <w:noWrap/>
            <w:hideMark/>
          </w:tcPr>
          <w:p w14:paraId="45947C1D" w14:textId="77777777"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 </w:t>
            </w:r>
          </w:p>
        </w:tc>
        <w:tc>
          <w:tcPr>
            <w:tcW w:w="1238" w:type="dxa"/>
            <w:tcBorders>
              <w:top w:val="single" w:sz="4" w:space="0" w:color="000000" w:themeColor="text1"/>
              <w:bottom w:val="single" w:sz="4" w:space="0" w:color="000000" w:themeColor="text1"/>
            </w:tcBorders>
            <w:shd w:val="clear" w:color="auto" w:fill="auto"/>
            <w:noWrap/>
            <w:hideMark/>
          </w:tcPr>
          <w:p w14:paraId="6C6A3A1A" w14:textId="5470F3EF"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195</w:t>
            </w:r>
            <w:r w:rsidR="00F22360" w:rsidRPr="00A7082A">
              <w:rPr>
                <w:b/>
                <w:color w:val="000000"/>
                <w:sz w:val="18"/>
              </w:rPr>
              <w:t xml:space="preserve"> </w:t>
            </w:r>
            <w:r w:rsidRPr="00A7082A">
              <w:rPr>
                <w:b/>
                <w:color w:val="000000"/>
                <w:sz w:val="18"/>
              </w:rPr>
              <w:t xml:space="preserve">000 </w:t>
            </w:r>
          </w:p>
        </w:tc>
        <w:tc>
          <w:tcPr>
            <w:tcW w:w="1239" w:type="dxa"/>
            <w:tcBorders>
              <w:top w:val="single" w:sz="4" w:space="0" w:color="000000" w:themeColor="text1"/>
              <w:bottom w:val="single" w:sz="4" w:space="0" w:color="000000" w:themeColor="text1"/>
            </w:tcBorders>
            <w:shd w:val="clear" w:color="auto" w:fill="auto"/>
            <w:noWrap/>
            <w:hideMark/>
          </w:tcPr>
          <w:p w14:paraId="4243E1EB" w14:textId="77777777"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 </w:t>
            </w:r>
          </w:p>
        </w:tc>
      </w:tr>
      <w:tr w:rsidR="00DA659A" w:rsidRPr="00A7082A" w14:paraId="468D5944" w14:textId="77777777" w:rsidTr="002E728C">
        <w:trPr>
          <w:trHeight w:val="57"/>
          <w:jc w:val="right"/>
        </w:trPr>
        <w:tc>
          <w:tcPr>
            <w:tcW w:w="993" w:type="dxa"/>
            <w:tcBorders>
              <w:top w:val="single" w:sz="4" w:space="0" w:color="000000" w:themeColor="text1"/>
              <w:bottom w:val="single" w:sz="4" w:space="0" w:color="000000" w:themeColor="text1"/>
            </w:tcBorders>
            <w:shd w:val="clear" w:color="auto" w:fill="auto"/>
            <w:noWrap/>
            <w:hideMark/>
          </w:tcPr>
          <w:p w14:paraId="222077CA" w14:textId="77777777" w:rsidR="00DA659A" w:rsidRPr="00A7082A" w:rsidRDefault="00DA659A" w:rsidP="00963095">
            <w:pPr>
              <w:tabs>
                <w:tab w:val="clear" w:pos="1247"/>
                <w:tab w:val="clear" w:pos="1814"/>
                <w:tab w:val="clear" w:pos="2381"/>
                <w:tab w:val="clear" w:pos="2948"/>
                <w:tab w:val="clear" w:pos="3515"/>
              </w:tabs>
              <w:spacing w:before="40" w:after="40"/>
              <w:jc w:val="center"/>
              <w:rPr>
                <w:color w:val="000000"/>
                <w:sz w:val="18"/>
              </w:rPr>
            </w:pPr>
            <w:r w:rsidRPr="00A7082A">
              <w:rPr>
                <w:color w:val="000000"/>
                <w:sz w:val="18"/>
              </w:rPr>
              <w:t> </w:t>
            </w:r>
          </w:p>
        </w:tc>
        <w:tc>
          <w:tcPr>
            <w:tcW w:w="3543" w:type="dxa"/>
            <w:tcBorders>
              <w:top w:val="single" w:sz="4" w:space="0" w:color="000000" w:themeColor="text1"/>
              <w:bottom w:val="single" w:sz="4" w:space="0" w:color="000000" w:themeColor="text1"/>
            </w:tcBorders>
            <w:shd w:val="clear" w:color="auto" w:fill="auto"/>
            <w:noWrap/>
            <w:hideMark/>
          </w:tcPr>
          <w:p w14:paraId="52A050EE" w14:textId="77777777" w:rsidR="00DA659A" w:rsidRPr="00A7082A" w:rsidRDefault="00DA659A" w:rsidP="00963095">
            <w:pPr>
              <w:tabs>
                <w:tab w:val="clear" w:pos="1247"/>
                <w:tab w:val="clear" w:pos="1814"/>
                <w:tab w:val="clear" w:pos="2381"/>
                <w:tab w:val="clear" w:pos="2948"/>
                <w:tab w:val="clear" w:pos="3515"/>
              </w:tabs>
              <w:spacing w:before="40" w:after="40"/>
              <w:rPr>
                <w:color w:val="000000"/>
                <w:sz w:val="18"/>
              </w:rPr>
            </w:pPr>
            <w:r w:rsidRPr="00A7082A">
              <w:rPr>
                <w:color w:val="000000"/>
                <w:sz w:val="18"/>
              </w:rPr>
              <w:t>Resources required for all activities</w:t>
            </w:r>
          </w:p>
        </w:tc>
        <w:tc>
          <w:tcPr>
            <w:tcW w:w="1238" w:type="dxa"/>
            <w:tcBorders>
              <w:top w:val="single" w:sz="4" w:space="0" w:color="000000" w:themeColor="text1"/>
              <w:bottom w:val="single" w:sz="4" w:space="0" w:color="000000" w:themeColor="text1"/>
            </w:tcBorders>
            <w:shd w:val="clear" w:color="auto" w:fill="auto"/>
            <w:noWrap/>
            <w:hideMark/>
          </w:tcPr>
          <w:p w14:paraId="6B4D9E6A"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tcBorders>
              <w:top w:val="single" w:sz="4" w:space="0" w:color="000000" w:themeColor="text1"/>
              <w:bottom w:val="single" w:sz="4" w:space="0" w:color="000000" w:themeColor="text1"/>
            </w:tcBorders>
            <w:shd w:val="clear" w:color="auto" w:fill="auto"/>
            <w:noWrap/>
            <w:hideMark/>
          </w:tcPr>
          <w:p w14:paraId="1BC32E30"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8" w:type="dxa"/>
            <w:tcBorders>
              <w:top w:val="single" w:sz="4" w:space="0" w:color="000000" w:themeColor="text1"/>
              <w:bottom w:val="single" w:sz="4" w:space="0" w:color="000000" w:themeColor="text1"/>
            </w:tcBorders>
            <w:shd w:val="clear" w:color="auto" w:fill="auto"/>
            <w:noWrap/>
            <w:hideMark/>
          </w:tcPr>
          <w:p w14:paraId="29CFADA6"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c>
          <w:tcPr>
            <w:tcW w:w="1239" w:type="dxa"/>
            <w:tcBorders>
              <w:top w:val="single" w:sz="4" w:space="0" w:color="000000" w:themeColor="text1"/>
              <w:bottom w:val="single" w:sz="4" w:space="0" w:color="000000" w:themeColor="text1"/>
            </w:tcBorders>
            <w:shd w:val="clear" w:color="auto" w:fill="auto"/>
            <w:noWrap/>
            <w:hideMark/>
          </w:tcPr>
          <w:p w14:paraId="1F45745A" w14:textId="77777777"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 </w:t>
            </w:r>
          </w:p>
        </w:tc>
      </w:tr>
      <w:tr w:rsidR="00DA659A" w:rsidRPr="00A7082A" w14:paraId="40F201AD" w14:textId="77777777" w:rsidTr="002E728C">
        <w:trPr>
          <w:trHeight w:val="57"/>
          <w:jc w:val="right"/>
        </w:trPr>
        <w:tc>
          <w:tcPr>
            <w:tcW w:w="993" w:type="dxa"/>
            <w:tcBorders>
              <w:top w:val="single" w:sz="4" w:space="0" w:color="000000" w:themeColor="text1"/>
              <w:bottom w:val="single" w:sz="4" w:space="0" w:color="000000" w:themeColor="text1"/>
            </w:tcBorders>
            <w:shd w:val="clear" w:color="auto" w:fill="auto"/>
            <w:noWrap/>
            <w:hideMark/>
          </w:tcPr>
          <w:p w14:paraId="37A664DD" w14:textId="77777777" w:rsidR="00DA659A" w:rsidRPr="00A7082A" w:rsidRDefault="00DA659A" w:rsidP="00963095">
            <w:pPr>
              <w:tabs>
                <w:tab w:val="clear" w:pos="1247"/>
                <w:tab w:val="clear" w:pos="1814"/>
                <w:tab w:val="clear" w:pos="2381"/>
                <w:tab w:val="clear" w:pos="2948"/>
                <w:tab w:val="clear" w:pos="3515"/>
              </w:tabs>
              <w:spacing w:before="40" w:after="40"/>
              <w:jc w:val="center"/>
              <w:rPr>
                <w:color w:val="000000"/>
                <w:sz w:val="18"/>
              </w:rPr>
            </w:pPr>
            <w:r w:rsidRPr="00A7082A">
              <w:rPr>
                <w:color w:val="000000"/>
                <w:sz w:val="18"/>
              </w:rPr>
              <w:t> </w:t>
            </w:r>
          </w:p>
        </w:tc>
        <w:tc>
          <w:tcPr>
            <w:tcW w:w="3543" w:type="dxa"/>
            <w:tcBorders>
              <w:top w:val="single" w:sz="4" w:space="0" w:color="000000" w:themeColor="text1"/>
              <w:bottom w:val="single" w:sz="4" w:space="0" w:color="000000" w:themeColor="text1"/>
            </w:tcBorders>
            <w:shd w:val="clear" w:color="auto" w:fill="auto"/>
            <w:noWrap/>
            <w:hideMark/>
          </w:tcPr>
          <w:p w14:paraId="05783FFD" w14:textId="4BF3C44A" w:rsidR="00DA659A" w:rsidRPr="00A7082A" w:rsidRDefault="00DA659A" w:rsidP="00963095">
            <w:pPr>
              <w:tabs>
                <w:tab w:val="clear" w:pos="1247"/>
                <w:tab w:val="clear" w:pos="1814"/>
                <w:tab w:val="clear" w:pos="2381"/>
                <w:tab w:val="clear" w:pos="2948"/>
                <w:tab w:val="clear" w:pos="3515"/>
              </w:tabs>
              <w:spacing w:before="40" w:after="40"/>
              <w:rPr>
                <w:b/>
                <w:color w:val="000000"/>
                <w:sz w:val="18"/>
              </w:rPr>
            </w:pPr>
            <w:r w:rsidRPr="00A7082A">
              <w:rPr>
                <w:b/>
                <w:color w:val="000000"/>
                <w:sz w:val="18"/>
              </w:rPr>
              <w:t xml:space="preserve">Total direct costs (excluding </w:t>
            </w:r>
            <w:r w:rsidR="00660CBD" w:rsidRPr="00A7082A">
              <w:rPr>
                <w:b/>
                <w:color w:val="000000"/>
                <w:sz w:val="18"/>
              </w:rPr>
              <w:t>p</w:t>
            </w:r>
            <w:r w:rsidRPr="00A7082A">
              <w:rPr>
                <w:b/>
                <w:color w:val="000000"/>
                <w:sz w:val="18"/>
              </w:rPr>
              <w:t xml:space="preserve">rogramme </w:t>
            </w:r>
            <w:r w:rsidR="00660CBD" w:rsidRPr="00A7082A">
              <w:rPr>
                <w:b/>
                <w:color w:val="000000"/>
                <w:sz w:val="18"/>
              </w:rPr>
              <w:t>s</w:t>
            </w:r>
            <w:r w:rsidRPr="00A7082A">
              <w:rPr>
                <w:b/>
                <w:color w:val="000000"/>
                <w:sz w:val="18"/>
              </w:rPr>
              <w:t xml:space="preserve">upport </w:t>
            </w:r>
            <w:r w:rsidR="00660CBD" w:rsidRPr="00A7082A">
              <w:rPr>
                <w:b/>
                <w:color w:val="000000"/>
                <w:sz w:val="18"/>
              </w:rPr>
              <w:t>c</w:t>
            </w:r>
            <w:r w:rsidRPr="00A7082A">
              <w:rPr>
                <w:b/>
                <w:color w:val="000000"/>
                <w:sz w:val="18"/>
              </w:rPr>
              <w:t>osts) (A to G)</w:t>
            </w:r>
          </w:p>
        </w:tc>
        <w:tc>
          <w:tcPr>
            <w:tcW w:w="1238" w:type="dxa"/>
            <w:tcBorders>
              <w:top w:val="single" w:sz="4" w:space="0" w:color="000000" w:themeColor="text1"/>
              <w:bottom w:val="single" w:sz="4" w:space="0" w:color="000000" w:themeColor="text1"/>
            </w:tcBorders>
            <w:shd w:val="clear" w:color="auto" w:fill="auto"/>
            <w:noWrap/>
            <w:hideMark/>
          </w:tcPr>
          <w:p w14:paraId="713B8E3F" w14:textId="5125C56F"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2</w:t>
            </w:r>
            <w:r w:rsidR="00F22360" w:rsidRPr="00A7082A">
              <w:rPr>
                <w:b/>
                <w:color w:val="000000"/>
                <w:sz w:val="18"/>
              </w:rPr>
              <w:t xml:space="preserve"> </w:t>
            </w:r>
            <w:r w:rsidRPr="00A7082A">
              <w:rPr>
                <w:b/>
                <w:color w:val="000000"/>
                <w:sz w:val="18"/>
              </w:rPr>
              <w:t>701</w:t>
            </w:r>
            <w:r w:rsidR="00F22360" w:rsidRPr="00A7082A">
              <w:rPr>
                <w:b/>
                <w:color w:val="000000"/>
                <w:sz w:val="18"/>
              </w:rPr>
              <w:t xml:space="preserve"> </w:t>
            </w:r>
            <w:r w:rsidRPr="00A7082A">
              <w:rPr>
                <w:b/>
                <w:color w:val="000000"/>
                <w:sz w:val="18"/>
              </w:rPr>
              <w:t xml:space="preserve">100 </w:t>
            </w:r>
          </w:p>
        </w:tc>
        <w:tc>
          <w:tcPr>
            <w:tcW w:w="1239" w:type="dxa"/>
            <w:tcBorders>
              <w:top w:val="single" w:sz="4" w:space="0" w:color="000000" w:themeColor="text1"/>
              <w:bottom w:val="single" w:sz="4" w:space="0" w:color="000000" w:themeColor="text1"/>
            </w:tcBorders>
            <w:shd w:val="clear" w:color="auto" w:fill="auto"/>
            <w:noWrap/>
            <w:hideMark/>
          </w:tcPr>
          <w:p w14:paraId="14CCEFB7" w14:textId="2A77DDE4"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1</w:t>
            </w:r>
            <w:r w:rsidR="00F22360" w:rsidRPr="00A7082A">
              <w:rPr>
                <w:b/>
                <w:color w:val="000000"/>
                <w:sz w:val="18"/>
              </w:rPr>
              <w:t xml:space="preserve"> </w:t>
            </w:r>
            <w:r w:rsidRPr="00A7082A">
              <w:rPr>
                <w:b/>
                <w:color w:val="000000"/>
                <w:sz w:val="18"/>
              </w:rPr>
              <w:t>615</w:t>
            </w:r>
            <w:r w:rsidR="00F22360" w:rsidRPr="00A7082A">
              <w:rPr>
                <w:b/>
                <w:color w:val="000000"/>
                <w:sz w:val="18"/>
              </w:rPr>
              <w:t xml:space="preserve"> </w:t>
            </w:r>
            <w:r w:rsidRPr="00A7082A">
              <w:rPr>
                <w:b/>
                <w:color w:val="000000"/>
                <w:sz w:val="18"/>
              </w:rPr>
              <w:t xml:space="preserve">000 </w:t>
            </w:r>
          </w:p>
        </w:tc>
        <w:tc>
          <w:tcPr>
            <w:tcW w:w="1238" w:type="dxa"/>
            <w:tcBorders>
              <w:top w:val="single" w:sz="4" w:space="0" w:color="000000" w:themeColor="text1"/>
              <w:bottom w:val="single" w:sz="4" w:space="0" w:color="000000" w:themeColor="text1"/>
            </w:tcBorders>
            <w:shd w:val="clear" w:color="auto" w:fill="auto"/>
            <w:noWrap/>
            <w:hideMark/>
          </w:tcPr>
          <w:p w14:paraId="1514F774" w14:textId="38A33AB4"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4</w:t>
            </w:r>
            <w:r w:rsidR="00F22360" w:rsidRPr="00A7082A">
              <w:rPr>
                <w:b/>
                <w:color w:val="000000"/>
                <w:sz w:val="18"/>
              </w:rPr>
              <w:t xml:space="preserve"> </w:t>
            </w:r>
            <w:r w:rsidRPr="00A7082A">
              <w:rPr>
                <w:b/>
                <w:color w:val="000000"/>
                <w:sz w:val="18"/>
              </w:rPr>
              <w:t>006</w:t>
            </w:r>
            <w:r w:rsidR="00F22360" w:rsidRPr="00A7082A">
              <w:rPr>
                <w:b/>
                <w:color w:val="000000"/>
                <w:sz w:val="18"/>
              </w:rPr>
              <w:t xml:space="preserve"> </w:t>
            </w:r>
            <w:r w:rsidRPr="00A7082A">
              <w:rPr>
                <w:b/>
                <w:color w:val="000000"/>
                <w:sz w:val="18"/>
              </w:rPr>
              <w:t xml:space="preserve">828 </w:t>
            </w:r>
          </w:p>
        </w:tc>
        <w:tc>
          <w:tcPr>
            <w:tcW w:w="1239" w:type="dxa"/>
            <w:tcBorders>
              <w:top w:val="single" w:sz="4" w:space="0" w:color="000000" w:themeColor="text1"/>
              <w:bottom w:val="single" w:sz="4" w:space="0" w:color="000000" w:themeColor="text1"/>
            </w:tcBorders>
            <w:shd w:val="clear" w:color="auto" w:fill="auto"/>
            <w:noWrap/>
            <w:hideMark/>
          </w:tcPr>
          <w:p w14:paraId="6065EAEA" w14:textId="0C043F93"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2</w:t>
            </w:r>
            <w:r w:rsidR="00F22360" w:rsidRPr="00A7082A">
              <w:rPr>
                <w:b/>
                <w:color w:val="000000"/>
                <w:sz w:val="18"/>
              </w:rPr>
              <w:t xml:space="preserve"> </w:t>
            </w:r>
            <w:r w:rsidRPr="00A7082A">
              <w:rPr>
                <w:b/>
                <w:color w:val="000000"/>
                <w:sz w:val="18"/>
              </w:rPr>
              <w:t>259</w:t>
            </w:r>
            <w:r w:rsidR="00F22360" w:rsidRPr="00A7082A">
              <w:rPr>
                <w:b/>
                <w:color w:val="000000"/>
                <w:sz w:val="18"/>
              </w:rPr>
              <w:t xml:space="preserve"> </w:t>
            </w:r>
            <w:r w:rsidRPr="00A7082A">
              <w:rPr>
                <w:b/>
                <w:color w:val="000000"/>
                <w:sz w:val="18"/>
              </w:rPr>
              <w:t xml:space="preserve">000 </w:t>
            </w:r>
          </w:p>
        </w:tc>
      </w:tr>
      <w:tr w:rsidR="00DA659A" w:rsidRPr="00A7082A" w14:paraId="06655AD5" w14:textId="77777777" w:rsidTr="002E728C">
        <w:trPr>
          <w:trHeight w:val="57"/>
          <w:jc w:val="right"/>
        </w:trPr>
        <w:tc>
          <w:tcPr>
            <w:tcW w:w="993" w:type="dxa"/>
            <w:tcBorders>
              <w:top w:val="single" w:sz="4" w:space="0" w:color="000000" w:themeColor="text1"/>
              <w:bottom w:val="single" w:sz="4" w:space="0" w:color="000000" w:themeColor="text1"/>
            </w:tcBorders>
            <w:shd w:val="clear" w:color="auto" w:fill="auto"/>
            <w:noWrap/>
            <w:hideMark/>
          </w:tcPr>
          <w:p w14:paraId="1F372E8E" w14:textId="77777777" w:rsidR="00DA659A" w:rsidRPr="00A7082A" w:rsidRDefault="00DA659A" w:rsidP="00963095">
            <w:pPr>
              <w:tabs>
                <w:tab w:val="clear" w:pos="1247"/>
                <w:tab w:val="clear" w:pos="1814"/>
                <w:tab w:val="clear" w:pos="2381"/>
                <w:tab w:val="clear" w:pos="2948"/>
                <w:tab w:val="clear" w:pos="3515"/>
              </w:tabs>
              <w:spacing w:before="40" w:after="40"/>
              <w:rPr>
                <w:color w:val="000000"/>
                <w:sz w:val="18"/>
              </w:rPr>
            </w:pPr>
            <w:r w:rsidRPr="00A7082A">
              <w:rPr>
                <w:color w:val="000000"/>
                <w:sz w:val="18"/>
              </w:rPr>
              <w:t> </w:t>
            </w:r>
          </w:p>
        </w:tc>
        <w:tc>
          <w:tcPr>
            <w:tcW w:w="3543" w:type="dxa"/>
            <w:tcBorders>
              <w:top w:val="single" w:sz="4" w:space="0" w:color="000000" w:themeColor="text1"/>
              <w:bottom w:val="single" w:sz="4" w:space="0" w:color="000000" w:themeColor="text1"/>
            </w:tcBorders>
            <w:shd w:val="clear" w:color="auto" w:fill="auto"/>
            <w:noWrap/>
            <w:hideMark/>
          </w:tcPr>
          <w:p w14:paraId="2301B5DC" w14:textId="55BC0894" w:rsidR="00DA659A" w:rsidRPr="00A7082A" w:rsidRDefault="00DA659A" w:rsidP="00963095">
            <w:pPr>
              <w:tabs>
                <w:tab w:val="clear" w:pos="1247"/>
                <w:tab w:val="clear" w:pos="1814"/>
                <w:tab w:val="clear" w:pos="2381"/>
                <w:tab w:val="clear" w:pos="2948"/>
                <w:tab w:val="clear" w:pos="3515"/>
              </w:tabs>
              <w:spacing w:before="40" w:after="40"/>
              <w:rPr>
                <w:color w:val="000000"/>
                <w:sz w:val="18"/>
              </w:rPr>
            </w:pPr>
            <w:r w:rsidRPr="00A7082A">
              <w:rPr>
                <w:color w:val="000000"/>
                <w:sz w:val="18"/>
              </w:rPr>
              <w:t xml:space="preserve">Programme </w:t>
            </w:r>
            <w:r w:rsidR="00660CBD" w:rsidRPr="00A7082A">
              <w:rPr>
                <w:color w:val="000000"/>
                <w:sz w:val="18"/>
              </w:rPr>
              <w:t>s</w:t>
            </w:r>
            <w:r w:rsidRPr="00A7082A">
              <w:rPr>
                <w:color w:val="000000"/>
                <w:sz w:val="18"/>
              </w:rPr>
              <w:t xml:space="preserve">upport </w:t>
            </w:r>
            <w:r w:rsidR="00660CBD" w:rsidRPr="00A7082A">
              <w:rPr>
                <w:color w:val="000000"/>
                <w:sz w:val="18"/>
              </w:rPr>
              <w:t>c</w:t>
            </w:r>
            <w:r w:rsidRPr="00A7082A">
              <w:rPr>
                <w:color w:val="000000"/>
                <w:sz w:val="18"/>
              </w:rPr>
              <w:t>osts (13%)</w:t>
            </w:r>
          </w:p>
        </w:tc>
        <w:tc>
          <w:tcPr>
            <w:tcW w:w="1238" w:type="dxa"/>
            <w:tcBorders>
              <w:top w:val="single" w:sz="4" w:space="0" w:color="000000" w:themeColor="text1"/>
              <w:bottom w:val="single" w:sz="4" w:space="0" w:color="000000" w:themeColor="text1"/>
            </w:tcBorders>
            <w:shd w:val="clear" w:color="auto" w:fill="auto"/>
            <w:noWrap/>
            <w:hideMark/>
          </w:tcPr>
          <w:p w14:paraId="13AA7C36" w14:textId="0D46C0F2"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351</w:t>
            </w:r>
            <w:r w:rsidR="00F22360" w:rsidRPr="00A7082A">
              <w:rPr>
                <w:color w:val="000000"/>
                <w:sz w:val="18"/>
              </w:rPr>
              <w:t xml:space="preserve"> </w:t>
            </w:r>
            <w:r w:rsidRPr="00A7082A">
              <w:rPr>
                <w:color w:val="000000"/>
                <w:sz w:val="18"/>
              </w:rPr>
              <w:t xml:space="preserve">143 </w:t>
            </w:r>
          </w:p>
        </w:tc>
        <w:tc>
          <w:tcPr>
            <w:tcW w:w="1239" w:type="dxa"/>
            <w:tcBorders>
              <w:top w:val="single" w:sz="4" w:space="0" w:color="000000" w:themeColor="text1"/>
              <w:bottom w:val="single" w:sz="4" w:space="0" w:color="000000" w:themeColor="text1"/>
            </w:tcBorders>
            <w:shd w:val="clear" w:color="auto" w:fill="auto"/>
            <w:noWrap/>
            <w:hideMark/>
          </w:tcPr>
          <w:p w14:paraId="0E6BDB71" w14:textId="49752734"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209</w:t>
            </w:r>
            <w:r w:rsidR="00F22360" w:rsidRPr="00A7082A">
              <w:rPr>
                <w:color w:val="000000"/>
                <w:sz w:val="18"/>
              </w:rPr>
              <w:t xml:space="preserve"> </w:t>
            </w:r>
            <w:r w:rsidRPr="00A7082A">
              <w:rPr>
                <w:color w:val="000000"/>
                <w:sz w:val="18"/>
              </w:rPr>
              <w:t xml:space="preserve">950 </w:t>
            </w:r>
          </w:p>
        </w:tc>
        <w:tc>
          <w:tcPr>
            <w:tcW w:w="1238" w:type="dxa"/>
            <w:tcBorders>
              <w:top w:val="single" w:sz="4" w:space="0" w:color="000000" w:themeColor="text1"/>
              <w:bottom w:val="single" w:sz="4" w:space="0" w:color="000000" w:themeColor="text1"/>
            </w:tcBorders>
            <w:shd w:val="clear" w:color="auto" w:fill="auto"/>
            <w:noWrap/>
            <w:hideMark/>
          </w:tcPr>
          <w:p w14:paraId="5ACE3DE3" w14:textId="26A29AB5"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520</w:t>
            </w:r>
            <w:r w:rsidR="00F22360" w:rsidRPr="00A7082A">
              <w:rPr>
                <w:color w:val="000000"/>
                <w:sz w:val="18"/>
              </w:rPr>
              <w:t xml:space="preserve"> </w:t>
            </w:r>
            <w:r w:rsidRPr="00A7082A">
              <w:rPr>
                <w:color w:val="000000"/>
                <w:sz w:val="18"/>
              </w:rPr>
              <w:t xml:space="preserve">888 </w:t>
            </w:r>
          </w:p>
        </w:tc>
        <w:tc>
          <w:tcPr>
            <w:tcW w:w="1239" w:type="dxa"/>
            <w:tcBorders>
              <w:top w:val="single" w:sz="4" w:space="0" w:color="000000" w:themeColor="text1"/>
              <w:bottom w:val="single" w:sz="4" w:space="0" w:color="000000" w:themeColor="text1"/>
            </w:tcBorders>
            <w:shd w:val="clear" w:color="auto" w:fill="auto"/>
            <w:noWrap/>
            <w:hideMark/>
          </w:tcPr>
          <w:p w14:paraId="35292461" w14:textId="12FFF31E" w:rsidR="00DA659A" w:rsidRPr="00A7082A" w:rsidRDefault="00DA659A" w:rsidP="009557F8">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293</w:t>
            </w:r>
            <w:r w:rsidR="00F22360" w:rsidRPr="00A7082A">
              <w:rPr>
                <w:color w:val="000000"/>
                <w:sz w:val="18"/>
              </w:rPr>
              <w:t xml:space="preserve"> </w:t>
            </w:r>
            <w:r w:rsidRPr="00A7082A">
              <w:rPr>
                <w:color w:val="000000"/>
                <w:sz w:val="18"/>
              </w:rPr>
              <w:t xml:space="preserve">670 </w:t>
            </w:r>
          </w:p>
        </w:tc>
      </w:tr>
      <w:tr w:rsidR="00DA659A" w:rsidRPr="00A7082A" w14:paraId="407949D1" w14:textId="77777777" w:rsidTr="002E728C">
        <w:trPr>
          <w:trHeight w:val="57"/>
          <w:jc w:val="right"/>
        </w:trPr>
        <w:tc>
          <w:tcPr>
            <w:tcW w:w="993" w:type="dxa"/>
            <w:tcBorders>
              <w:top w:val="single" w:sz="4" w:space="0" w:color="000000" w:themeColor="text1"/>
              <w:bottom w:val="single" w:sz="12" w:space="0" w:color="000000" w:themeColor="text1"/>
            </w:tcBorders>
            <w:shd w:val="clear" w:color="auto" w:fill="auto"/>
            <w:noWrap/>
            <w:hideMark/>
          </w:tcPr>
          <w:p w14:paraId="795A5CB1" w14:textId="77777777" w:rsidR="00DA659A" w:rsidRPr="00A7082A" w:rsidRDefault="00DA659A" w:rsidP="00963095">
            <w:pPr>
              <w:tabs>
                <w:tab w:val="clear" w:pos="1247"/>
                <w:tab w:val="clear" w:pos="1814"/>
                <w:tab w:val="clear" w:pos="2381"/>
                <w:tab w:val="clear" w:pos="2948"/>
                <w:tab w:val="clear" w:pos="3515"/>
              </w:tabs>
              <w:spacing w:before="40" w:after="40"/>
              <w:rPr>
                <w:color w:val="000000"/>
                <w:sz w:val="18"/>
              </w:rPr>
            </w:pPr>
            <w:r w:rsidRPr="00A7082A">
              <w:rPr>
                <w:color w:val="000000"/>
                <w:sz w:val="18"/>
              </w:rPr>
              <w:t> </w:t>
            </w:r>
          </w:p>
        </w:tc>
        <w:tc>
          <w:tcPr>
            <w:tcW w:w="3543" w:type="dxa"/>
            <w:tcBorders>
              <w:top w:val="single" w:sz="4" w:space="0" w:color="000000" w:themeColor="text1"/>
              <w:bottom w:val="single" w:sz="12" w:space="0" w:color="000000" w:themeColor="text1"/>
            </w:tcBorders>
            <w:shd w:val="clear" w:color="auto" w:fill="auto"/>
            <w:noWrap/>
            <w:hideMark/>
          </w:tcPr>
          <w:p w14:paraId="1AA2DECD" w14:textId="47D7A00F" w:rsidR="00DA659A" w:rsidRPr="00A7082A" w:rsidRDefault="00DA659A" w:rsidP="00963095">
            <w:pPr>
              <w:tabs>
                <w:tab w:val="clear" w:pos="1247"/>
                <w:tab w:val="clear" w:pos="1814"/>
                <w:tab w:val="clear" w:pos="2381"/>
                <w:tab w:val="clear" w:pos="2948"/>
                <w:tab w:val="clear" w:pos="3515"/>
              </w:tabs>
              <w:spacing w:before="40" w:after="40"/>
              <w:rPr>
                <w:b/>
                <w:color w:val="000000"/>
                <w:sz w:val="18"/>
              </w:rPr>
            </w:pPr>
            <w:r w:rsidRPr="00A7082A">
              <w:rPr>
                <w:b/>
                <w:color w:val="000000"/>
                <w:sz w:val="18"/>
              </w:rPr>
              <w:t xml:space="preserve">Grand total (including </w:t>
            </w:r>
            <w:r w:rsidR="00660CBD" w:rsidRPr="00A7082A">
              <w:rPr>
                <w:b/>
                <w:color w:val="000000"/>
                <w:sz w:val="18"/>
              </w:rPr>
              <w:t>p</w:t>
            </w:r>
            <w:r w:rsidRPr="00A7082A">
              <w:rPr>
                <w:b/>
                <w:color w:val="000000"/>
                <w:sz w:val="18"/>
              </w:rPr>
              <w:t xml:space="preserve">rogramme </w:t>
            </w:r>
            <w:r w:rsidR="00660CBD" w:rsidRPr="00A7082A">
              <w:rPr>
                <w:b/>
                <w:color w:val="000000"/>
                <w:sz w:val="18"/>
              </w:rPr>
              <w:t>s</w:t>
            </w:r>
            <w:r w:rsidRPr="00A7082A">
              <w:rPr>
                <w:b/>
                <w:color w:val="000000"/>
                <w:sz w:val="18"/>
              </w:rPr>
              <w:t xml:space="preserve">upport </w:t>
            </w:r>
            <w:r w:rsidR="00660CBD" w:rsidRPr="00A7082A">
              <w:rPr>
                <w:b/>
                <w:color w:val="000000"/>
                <w:sz w:val="18"/>
              </w:rPr>
              <w:t>c</w:t>
            </w:r>
            <w:r w:rsidRPr="00A7082A">
              <w:rPr>
                <w:b/>
                <w:color w:val="000000"/>
                <w:sz w:val="18"/>
              </w:rPr>
              <w:t>osts)</w:t>
            </w:r>
          </w:p>
        </w:tc>
        <w:tc>
          <w:tcPr>
            <w:tcW w:w="1238" w:type="dxa"/>
            <w:tcBorders>
              <w:top w:val="single" w:sz="4" w:space="0" w:color="000000" w:themeColor="text1"/>
              <w:bottom w:val="single" w:sz="12" w:space="0" w:color="000000" w:themeColor="text1"/>
            </w:tcBorders>
            <w:shd w:val="clear" w:color="auto" w:fill="auto"/>
            <w:noWrap/>
            <w:hideMark/>
          </w:tcPr>
          <w:p w14:paraId="754A128B" w14:textId="02D9E0C8"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3</w:t>
            </w:r>
            <w:r w:rsidR="00F22360" w:rsidRPr="00A7082A">
              <w:rPr>
                <w:b/>
                <w:color w:val="000000"/>
                <w:sz w:val="18"/>
              </w:rPr>
              <w:t xml:space="preserve"> </w:t>
            </w:r>
            <w:r w:rsidRPr="00A7082A">
              <w:rPr>
                <w:b/>
                <w:color w:val="000000"/>
                <w:sz w:val="18"/>
              </w:rPr>
              <w:t>052</w:t>
            </w:r>
            <w:r w:rsidR="00F22360" w:rsidRPr="00A7082A">
              <w:rPr>
                <w:b/>
                <w:color w:val="000000"/>
                <w:sz w:val="18"/>
              </w:rPr>
              <w:t xml:space="preserve"> </w:t>
            </w:r>
            <w:r w:rsidRPr="00A7082A">
              <w:rPr>
                <w:b/>
                <w:color w:val="000000"/>
                <w:sz w:val="18"/>
              </w:rPr>
              <w:t xml:space="preserve">243 </w:t>
            </w:r>
          </w:p>
        </w:tc>
        <w:tc>
          <w:tcPr>
            <w:tcW w:w="1239" w:type="dxa"/>
            <w:tcBorders>
              <w:top w:val="single" w:sz="4" w:space="0" w:color="000000" w:themeColor="text1"/>
              <w:bottom w:val="single" w:sz="12" w:space="0" w:color="000000" w:themeColor="text1"/>
            </w:tcBorders>
            <w:shd w:val="clear" w:color="auto" w:fill="auto"/>
            <w:noWrap/>
            <w:hideMark/>
          </w:tcPr>
          <w:p w14:paraId="35B667EA" w14:textId="5A4E6A00"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1</w:t>
            </w:r>
            <w:r w:rsidR="00F22360" w:rsidRPr="00A7082A">
              <w:rPr>
                <w:b/>
                <w:color w:val="000000"/>
                <w:sz w:val="18"/>
              </w:rPr>
              <w:t xml:space="preserve"> </w:t>
            </w:r>
            <w:r w:rsidRPr="00A7082A">
              <w:rPr>
                <w:b/>
                <w:color w:val="000000"/>
                <w:sz w:val="18"/>
              </w:rPr>
              <w:t>824</w:t>
            </w:r>
            <w:r w:rsidR="00F22360" w:rsidRPr="00A7082A">
              <w:rPr>
                <w:b/>
                <w:color w:val="000000"/>
                <w:sz w:val="18"/>
              </w:rPr>
              <w:t xml:space="preserve"> </w:t>
            </w:r>
            <w:r w:rsidRPr="00A7082A">
              <w:rPr>
                <w:b/>
                <w:color w:val="000000"/>
                <w:sz w:val="18"/>
              </w:rPr>
              <w:t xml:space="preserve">950 </w:t>
            </w:r>
          </w:p>
        </w:tc>
        <w:tc>
          <w:tcPr>
            <w:tcW w:w="1238" w:type="dxa"/>
            <w:tcBorders>
              <w:top w:val="single" w:sz="4" w:space="0" w:color="000000" w:themeColor="text1"/>
              <w:bottom w:val="single" w:sz="12" w:space="0" w:color="000000" w:themeColor="text1"/>
            </w:tcBorders>
            <w:shd w:val="clear" w:color="auto" w:fill="auto"/>
            <w:noWrap/>
            <w:hideMark/>
          </w:tcPr>
          <w:p w14:paraId="31BD5AF1" w14:textId="776D93A0"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4</w:t>
            </w:r>
            <w:r w:rsidR="00F22360" w:rsidRPr="00A7082A">
              <w:rPr>
                <w:b/>
                <w:color w:val="000000"/>
                <w:sz w:val="18"/>
              </w:rPr>
              <w:t xml:space="preserve"> </w:t>
            </w:r>
            <w:r w:rsidRPr="00A7082A">
              <w:rPr>
                <w:b/>
                <w:color w:val="000000"/>
                <w:sz w:val="18"/>
              </w:rPr>
              <w:t>527</w:t>
            </w:r>
            <w:r w:rsidR="00F22360" w:rsidRPr="00A7082A">
              <w:rPr>
                <w:b/>
                <w:color w:val="000000"/>
                <w:sz w:val="18"/>
              </w:rPr>
              <w:t xml:space="preserve"> </w:t>
            </w:r>
            <w:r w:rsidRPr="00A7082A">
              <w:rPr>
                <w:b/>
                <w:color w:val="000000"/>
                <w:sz w:val="18"/>
              </w:rPr>
              <w:t xml:space="preserve">716 </w:t>
            </w:r>
          </w:p>
        </w:tc>
        <w:tc>
          <w:tcPr>
            <w:tcW w:w="1239" w:type="dxa"/>
            <w:tcBorders>
              <w:top w:val="single" w:sz="4" w:space="0" w:color="000000" w:themeColor="text1"/>
              <w:bottom w:val="single" w:sz="12" w:space="0" w:color="000000" w:themeColor="text1"/>
            </w:tcBorders>
            <w:shd w:val="clear" w:color="auto" w:fill="auto"/>
            <w:noWrap/>
            <w:hideMark/>
          </w:tcPr>
          <w:p w14:paraId="4856AEB6" w14:textId="6F5758A3" w:rsidR="00DA659A" w:rsidRPr="00A7082A" w:rsidRDefault="00DA659A" w:rsidP="009557F8">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2</w:t>
            </w:r>
            <w:r w:rsidR="00F22360" w:rsidRPr="00A7082A">
              <w:rPr>
                <w:b/>
                <w:color w:val="000000"/>
                <w:sz w:val="18"/>
              </w:rPr>
              <w:t xml:space="preserve"> </w:t>
            </w:r>
            <w:r w:rsidRPr="00A7082A">
              <w:rPr>
                <w:b/>
                <w:color w:val="000000"/>
                <w:sz w:val="18"/>
              </w:rPr>
              <w:t>552</w:t>
            </w:r>
            <w:r w:rsidR="00F22360" w:rsidRPr="00A7082A">
              <w:rPr>
                <w:b/>
                <w:color w:val="000000"/>
                <w:sz w:val="18"/>
              </w:rPr>
              <w:t xml:space="preserve"> </w:t>
            </w:r>
            <w:r w:rsidRPr="00A7082A">
              <w:rPr>
                <w:b/>
                <w:color w:val="000000"/>
                <w:sz w:val="18"/>
              </w:rPr>
              <w:t xml:space="preserve">670 </w:t>
            </w:r>
          </w:p>
        </w:tc>
      </w:tr>
    </w:tbl>
    <w:p w14:paraId="6419BEA2" w14:textId="78830F06" w:rsidR="00024235" w:rsidRPr="00A7082A" w:rsidRDefault="00024235" w:rsidP="006D4DE3">
      <w:pPr>
        <w:pStyle w:val="Normal-pool"/>
        <w:spacing w:before="40"/>
        <w:rPr>
          <w:color w:val="000000"/>
          <w:sz w:val="17"/>
        </w:rPr>
      </w:pPr>
      <w:r w:rsidRPr="00A7082A">
        <w:rPr>
          <w:color w:val="000000"/>
          <w:sz w:val="17"/>
          <w:vertAlign w:val="superscript"/>
        </w:rPr>
        <w:t>a</w:t>
      </w:r>
      <w:r w:rsidRPr="00A7082A">
        <w:rPr>
          <w:color w:val="000000"/>
          <w:sz w:val="17"/>
        </w:rPr>
        <w:t xml:space="preserve"> Activity 6, effectiveness evaluation, was adjusted by the secretariat as requested by the Conference of the Parties at its third meeting.</w:t>
      </w:r>
    </w:p>
    <w:p w14:paraId="46E0F00B" w14:textId="02B7E6B1" w:rsidR="00963095" w:rsidRPr="00A7082A" w:rsidRDefault="00963095" w:rsidP="0009366E">
      <w:pPr>
        <w:pStyle w:val="Normal-pool"/>
        <w:rPr>
          <w:sz w:val="17"/>
          <w:szCs w:val="17"/>
        </w:rPr>
      </w:pPr>
      <w:r w:rsidRPr="00A7082A">
        <w:rPr>
          <w:color w:val="000000"/>
          <w:sz w:val="17"/>
        </w:rPr>
        <w:t>* On an exceptional basis, and only after cost savings and efficiency efforts have been exhausted, the Executive Secretary may draw from the working capital reserve to meet any liabilities resulting from a final decision in ongoing litigation by the Geneva-based staff. </w:t>
      </w:r>
    </w:p>
    <w:p w14:paraId="79FFDE3B" w14:textId="77777777" w:rsidR="00FD6D11" w:rsidRPr="00A7082A" w:rsidRDefault="00FD6D11">
      <w:pPr>
        <w:tabs>
          <w:tab w:val="clear" w:pos="1247"/>
          <w:tab w:val="clear" w:pos="1814"/>
          <w:tab w:val="clear" w:pos="2381"/>
          <w:tab w:val="clear" w:pos="2948"/>
          <w:tab w:val="clear" w:pos="3515"/>
        </w:tabs>
        <w:rPr>
          <w:bCs/>
        </w:rPr>
      </w:pPr>
      <w:r w:rsidRPr="00A7082A">
        <w:rPr>
          <w:b/>
        </w:rPr>
        <w:br w:type="page"/>
      </w:r>
    </w:p>
    <w:p w14:paraId="1C88C070" w14:textId="02350872" w:rsidR="00BC3F9F" w:rsidRPr="00A7082A" w:rsidRDefault="00290418" w:rsidP="00BC3F9F">
      <w:pPr>
        <w:pStyle w:val="Titletable"/>
        <w:spacing w:before="240"/>
      </w:pPr>
      <w:r w:rsidRPr="00A7082A">
        <w:rPr>
          <w:b w:val="0"/>
        </w:rPr>
        <w:lastRenderedPageBreak/>
        <w:t xml:space="preserve">Table 2 </w:t>
      </w:r>
      <w:r w:rsidRPr="00A7082A">
        <w:rPr>
          <w:b w:val="0"/>
        </w:rPr>
        <w:br/>
      </w:r>
      <w:r w:rsidRPr="00A7082A">
        <w:t xml:space="preserve">Overview of the indicative scale of assessment and contributions to the General Trust Fund for </w:t>
      </w:r>
      <w:r w:rsidR="00547AF3" w:rsidRPr="00A7082A">
        <w:t>2020</w:t>
      </w:r>
      <w:r w:rsidR="00547AF3" w:rsidRPr="00A7082A">
        <w:noBreakHyphen/>
        <w:t>2021</w:t>
      </w:r>
      <w:r w:rsidRPr="00A7082A">
        <w:t xml:space="preserve"> </w:t>
      </w:r>
    </w:p>
    <w:p w14:paraId="55231F40" w14:textId="71426E27" w:rsidR="00290418" w:rsidRPr="00A7082A" w:rsidRDefault="00290418" w:rsidP="00BC3F9F">
      <w:pPr>
        <w:pStyle w:val="Titletable"/>
        <w:spacing w:before="60"/>
        <w:rPr>
          <w:b w:val="0"/>
          <w:sz w:val="18"/>
          <w:szCs w:val="18"/>
        </w:rPr>
      </w:pPr>
      <w:r w:rsidRPr="00A7082A">
        <w:rPr>
          <w:b w:val="0"/>
          <w:sz w:val="18"/>
          <w:szCs w:val="18"/>
        </w:rPr>
        <w:t>(in United States dollars)</w:t>
      </w:r>
    </w:p>
    <w:tbl>
      <w:tblPr>
        <w:tblW w:w="8307" w:type="dxa"/>
        <w:jc w:val="right"/>
        <w:tblLook w:val="04A0" w:firstRow="1" w:lastRow="0" w:firstColumn="1" w:lastColumn="0" w:noHBand="0" w:noVBand="1"/>
      </w:tblPr>
      <w:tblGrid>
        <w:gridCol w:w="709"/>
        <w:gridCol w:w="2552"/>
        <w:gridCol w:w="1701"/>
        <w:gridCol w:w="1984"/>
        <w:gridCol w:w="1985"/>
      </w:tblGrid>
      <w:tr w:rsidR="00290418" w:rsidRPr="00A7082A" w14:paraId="33DC0C61" w14:textId="77777777" w:rsidTr="0095102B">
        <w:trPr>
          <w:trHeight w:val="57"/>
          <w:tblHeader/>
          <w:jc w:val="right"/>
        </w:trPr>
        <w:tc>
          <w:tcPr>
            <w:tcW w:w="3261" w:type="dxa"/>
            <w:gridSpan w:val="2"/>
            <w:tcBorders>
              <w:top w:val="single" w:sz="4" w:space="0" w:color="000000" w:themeColor="text1"/>
              <w:bottom w:val="single" w:sz="12" w:space="0" w:color="000000" w:themeColor="text1"/>
            </w:tcBorders>
            <w:shd w:val="clear" w:color="auto" w:fill="auto"/>
            <w:noWrap/>
            <w:hideMark/>
          </w:tcPr>
          <w:p w14:paraId="3F72B54A" w14:textId="77777777" w:rsidR="00290418" w:rsidRPr="00A7082A" w:rsidRDefault="00290418" w:rsidP="009557F8">
            <w:pPr>
              <w:tabs>
                <w:tab w:val="clear" w:pos="1247"/>
                <w:tab w:val="clear" w:pos="1814"/>
                <w:tab w:val="clear" w:pos="2381"/>
                <w:tab w:val="clear" w:pos="2948"/>
                <w:tab w:val="clear" w:pos="3515"/>
              </w:tabs>
              <w:spacing w:before="40" w:after="40"/>
              <w:rPr>
                <w:rFonts w:asciiTheme="majorBidi" w:hAnsiTheme="majorBidi"/>
                <w:i/>
                <w:color w:val="000000"/>
                <w:sz w:val="18"/>
              </w:rPr>
            </w:pPr>
            <w:r w:rsidRPr="00A7082A">
              <w:rPr>
                <w:rFonts w:asciiTheme="majorBidi" w:hAnsiTheme="majorBidi"/>
                <w:i/>
                <w:color w:val="000000"/>
                <w:sz w:val="18"/>
              </w:rPr>
              <w:t>Party</w:t>
            </w:r>
          </w:p>
        </w:tc>
        <w:tc>
          <w:tcPr>
            <w:tcW w:w="1701" w:type="dxa"/>
            <w:tcBorders>
              <w:top w:val="single" w:sz="4" w:space="0" w:color="000000" w:themeColor="text1"/>
              <w:bottom w:val="single" w:sz="12" w:space="0" w:color="000000" w:themeColor="text1"/>
            </w:tcBorders>
            <w:shd w:val="clear" w:color="auto" w:fill="auto"/>
            <w:hideMark/>
          </w:tcPr>
          <w:p w14:paraId="2EA1A5F6" w14:textId="0BC69E5A" w:rsidR="00290418" w:rsidRPr="00A7082A" w:rsidRDefault="00290418" w:rsidP="009557F8">
            <w:pPr>
              <w:tabs>
                <w:tab w:val="clear" w:pos="1247"/>
                <w:tab w:val="clear" w:pos="1814"/>
                <w:tab w:val="clear" w:pos="2381"/>
                <w:tab w:val="clear" w:pos="2948"/>
                <w:tab w:val="clear" w:pos="3515"/>
              </w:tabs>
              <w:spacing w:before="40" w:after="40"/>
              <w:jc w:val="right"/>
              <w:rPr>
                <w:rFonts w:asciiTheme="majorBidi" w:hAnsiTheme="majorBidi"/>
                <w:i/>
                <w:color w:val="000000"/>
                <w:sz w:val="18"/>
              </w:rPr>
            </w:pPr>
            <w:r w:rsidRPr="00A7082A">
              <w:rPr>
                <w:rFonts w:asciiTheme="majorBidi" w:hAnsiTheme="majorBidi"/>
                <w:i/>
                <w:color w:val="000000"/>
                <w:sz w:val="18"/>
              </w:rPr>
              <w:t>U</w:t>
            </w:r>
            <w:r w:rsidR="006B3037" w:rsidRPr="00A7082A">
              <w:rPr>
                <w:rFonts w:asciiTheme="majorBidi" w:hAnsiTheme="majorBidi"/>
                <w:i/>
                <w:color w:val="000000"/>
                <w:sz w:val="18"/>
              </w:rPr>
              <w:t xml:space="preserve">nited </w:t>
            </w:r>
            <w:r w:rsidRPr="00A7082A">
              <w:rPr>
                <w:rFonts w:asciiTheme="majorBidi" w:hAnsiTheme="majorBidi"/>
                <w:i/>
                <w:color w:val="000000"/>
                <w:sz w:val="18"/>
              </w:rPr>
              <w:t>N</w:t>
            </w:r>
            <w:r w:rsidR="006B3037" w:rsidRPr="00A7082A">
              <w:rPr>
                <w:rFonts w:asciiTheme="majorBidi" w:hAnsiTheme="majorBidi"/>
                <w:i/>
                <w:color w:val="000000"/>
                <w:sz w:val="18"/>
              </w:rPr>
              <w:t>ations</w:t>
            </w:r>
            <w:r w:rsidRPr="00A7082A">
              <w:rPr>
                <w:rFonts w:asciiTheme="majorBidi" w:hAnsiTheme="majorBidi"/>
                <w:i/>
                <w:color w:val="000000"/>
                <w:sz w:val="18"/>
              </w:rPr>
              <w:t xml:space="preserve"> </w:t>
            </w:r>
            <w:r w:rsidR="006B3037" w:rsidRPr="00A7082A">
              <w:rPr>
                <w:rFonts w:asciiTheme="majorBidi" w:hAnsiTheme="majorBidi"/>
                <w:i/>
                <w:color w:val="000000"/>
                <w:sz w:val="18"/>
              </w:rPr>
              <w:t>s</w:t>
            </w:r>
            <w:r w:rsidRPr="00A7082A">
              <w:rPr>
                <w:rFonts w:asciiTheme="majorBidi" w:hAnsiTheme="majorBidi"/>
                <w:i/>
                <w:color w:val="000000"/>
                <w:sz w:val="18"/>
              </w:rPr>
              <w:t xml:space="preserve">cale of </w:t>
            </w:r>
            <w:r w:rsidR="006B3037" w:rsidRPr="00A7082A">
              <w:rPr>
                <w:rFonts w:asciiTheme="majorBidi" w:hAnsiTheme="majorBidi"/>
                <w:i/>
                <w:color w:val="000000"/>
                <w:sz w:val="18"/>
              </w:rPr>
              <w:t>a</w:t>
            </w:r>
            <w:r w:rsidRPr="00A7082A">
              <w:rPr>
                <w:rFonts w:asciiTheme="majorBidi" w:hAnsiTheme="majorBidi"/>
                <w:i/>
                <w:color w:val="000000"/>
                <w:sz w:val="18"/>
              </w:rPr>
              <w:t xml:space="preserve">ssessment </w:t>
            </w:r>
            <w:r w:rsidRPr="00A7082A">
              <w:rPr>
                <w:rFonts w:asciiTheme="majorBidi" w:hAnsiTheme="majorBidi"/>
                <w:i/>
                <w:color w:val="000000"/>
                <w:sz w:val="18"/>
              </w:rPr>
              <w:br/>
              <w:t>(%)</w:t>
            </w:r>
          </w:p>
        </w:tc>
        <w:tc>
          <w:tcPr>
            <w:tcW w:w="1984" w:type="dxa"/>
            <w:tcBorders>
              <w:top w:val="single" w:sz="4" w:space="0" w:color="000000" w:themeColor="text1"/>
              <w:bottom w:val="single" w:sz="12" w:space="0" w:color="000000" w:themeColor="text1"/>
            </w:tcBorders>
            <w:shd w:val="clear" w:color="auto" w:fill="auto"/>
            <w:hideMark/>
          </w:tcPr>
          <w:p w14:paraId="0A688C30" w14:textId="5DB5A1EF" w:rsidR="00290418" w:rsidRPr="00A7082A" w:rsidRDefault="00290418" w:rsidP="009557F8">
            <w:pPr>
              <w:tabs>
                <w:tab w:val="clear" w:pos="1247"/>
                <w:tab w:val="clear" w:pos="1814"/>
                <w:tab w:val="clear" w:pos="2381"/>
                <w:tab w:val="clear" w:pos="2948"/>
                <w:tab w:val="clear" w:pos="3515"/>
              </w:tabs>
              <w:spacing w:before="40" w:after="40"/>
              <w:jc w:val="right"/>
              <w:rPr>
                <w:rFonts w:asciiTheme="majorBidi" w:hAnsiTheme="majorBidi"/>
                <w:i/>
                <w:color w:val="000000"/>
                <w:sz w:val="18"/>
              </w:rPr>
            </w:pPr>
            <w:r w:rsidRPr="00A7082A">
              <w:rPr>
                <w:rFonts w:asciiTheme="majorBidi" w:hAnsiTheme="majorBidi"/>
                <w:i/>
                <w:color w:val="000000"/>
                <w:sz w:val="18"/>
              </w:rPr>
              <w:t xml:space="preserve">Minamata </w:t>
            </w:r>
            <w:r w:rsidR="006B3037" w:rsidRPr="00A7082A">
              <w:rPr>
                <w:rFonts w:asciiTheme="majorBidi" w:hAnsiTheme="majorBidi"/>
                <w:i/>
                <w:color w:val="000000"/>
                <w:sz w:val="18"/>
              </w:rPr>
              <w:t>s</w:t>
            </w:r>
            <w:r w:rsidRPr="00A7082A">
              <w:rPr>
                <w:rFonts w:asciiTheme="majorBidi" w:hAnsiTheme="majorBidi"/>
                <w:i/>
                <w:color w:val="000000"/>
                <w:sz w:val="18"/>
              </w:rPr>
              <w:t>cale with 22% ceiling and 0.010% base (%)</w:t>
            </w:r>
          </w:p>
        </w:tc>
        <w:tc>
          <w:tcPr>
            <w:tcW w:w="1985" w:type="dxa"/>
            <w:tcBorders>
              <w:top w:val="single" w:sz="4" w:space="0" w:color="000000" w:themeColor="text1"/>
              <w:bottom w:val="single" w:sz="12" w:space="0" w:color="000000" w:themeColor="text1"/>
            </w:tcBorders>
            <w:shd w:val="clear" w:color="auto" w:fill="auto"/>
            <w:hideMark/>
          </w:tcPr>
          <w:p w14:paraId="67D6BB4B" w14:textId="4791A1AE" w:rsidR="00290418" w:rsidRPr="00A7082A" w:rsidRDefault="00290418" w:rsidP="009557F8">
            <w:pPr>
              <w:tabs>
                <w:tab w:val="clear" w:pos="1247"/>
                <w:tab w:val="clear" w:pos="1814"/>
                <w:tab w:val="clear" w:pos="2381"/>
                <w:tab w:val="clear" w:pos="2948"/>
                <w:tab w:val="clear" w:pos="3515"/>
              </w:tabs>
              <w:spacing w:before="40" w:after="40"/>
              <w:jc w:val="right"/>
              <w:rPr>
                <w:rFonts w:asciiTheme="majorBidi" w:hAnsiTheme="majorBidi"/>
                <w:i/>
                <w:color w:val="000000"/>
                <w:sz w:val="18"/>
              </w:rPr>
            </w:pPr>
            <w:r w:rsidRPr="00A7082A">
              <w:rPr>
                <w:rFonts w:asciiTheme="majorBidi" w:hAnsiTheme="majorBidi"/>
                <w:i/>
                <w:color w:val="000000"/>
                <w:sz w:val="18"/>
              </w:rPr>
              <w:t xml:space="preserve">Total </w:t>
            </w:r>
            <w:r w:rsidR="006B3037" w:rsidRPr="00A7082A">
              <w:rPr>
                <w:rFonts w:asciiTheme="majorBidi" w:hAnsiTheme="majorBidi"/>
                <w:i/>
                <w:color w:val="000000"/>
                <w:sz w:val="18"/>
              </w:rPr>
              <w:t>c</w:t>
            </w:r>
            <w:r w:rsidRPr="00A7082A">
              <w:rPr>
                <w:rFonts w:asciiTheme="majorBidi" w:hAnsiTheme="majorBidi"/>
                <w:i/>
                <w:color w:val="000000"/>
                <w:sz w:val="18"/>
              </w:rPr>
              <w:t>ontributions (</w:t>
            </w:r>
            <w:r w:rsidR="00547AF3" w:rsidRPr="00A7082A">
              <w:rPr>
                <w:rFonts w:asciiTheme="majorBidi" w:hAnsiTheme="majorBidi"/>
                <w:i/>
                <w:color w:val="000000"/>
                <w:sz w:val="18"/>
              </w:rPr>
              <w:t>2020</w:t>
            </w:r>
            <w:r w:rsidR="00547AF3" w:rsidRPr="00A7082A">
              <w:rPr>
                <w:rFonts w:asciiTheme="majorBidi" w:hAnsiTheme="majorBidi"/>
                <w:i/>
                <w:color w:val="000000"/>
                <w:sz w:val="18"/>
              </w:rPr>
              <w:noBreakHyphen/>
              <w:t>2021</w:t>
            </w:r>
            <w:r w:rsidRPr="00A7082A">
              <w:rPr>
                <w:rFonts w:asciiTheme="majorBidi" w:hAnsiTheme="majorBidi"/>
                <w:i/>
                <w:color w:val="000000"/>
                <w:sz w:val="18"/>
              </w:rPr>
              <w:t>)</w:t>
            </w:r>
          </w:p>
        </w:tc>
      </w:tr>
      <w:tr w:rsidR="00767D30" w:rsidRPr="00A7082A" w14:paraId="6F07B383" w14:textId="77777777" w:rsidTr="0095102B">
        <w:trPr>
          <w:trHeight w:val="57"/>
          <w:jc w:val="right"/>
        </w:trPr>
        <w:tc>
          <w:tcPr>
            <w:tcW w:w="8931" w:type="dxa"/>
            <w:gridSpan w:val="5"/>
            <w:tcBorders>
              <w:top w:val="single" w:sz="12" w:space="0" w:color="000000" w:themeColor="text1"/>
            </w:tcBorders>
            <w:shd w:val="clear" w:color="auto" w:fill="auto"/>
            <w:noWrap/>
            <w:hideMark/>
          </w:tcPr>
          <w:p w14:paraId="07EECBA8" w14:textId="1BBCC34B" w:rsidR="00767D30" w:rsidRPr="00A7082A" w:rsidRDefault="00767D30" w:rsidP="00767D30">
            <w:pPr>
              <w:tabs>
                <w:tab w:val="clear" w:pos="1247"/>
                <w:tab w:val="clear" w:pos="1814"/>
                <w:tab w:val="clear" w:pos="2381"/>
                <w:tab w:val="clear" w:pos="2948"/>
                <w:tab w:val="clear" w:pos="3515"/>
              </w:tabs>
              <w:spacing w:before="40" w:after="40"/>
              <w:rPr>
                <w:rFonts w:asciiTheme="majorBidi" w:hAnsiTheme="majorBidi"/>
                <w:b/>
                <w:color w:val="000000"/>
                <w:sz w:val="18"/>
              </w:rPr>
            </w:pPr>
            <w:r w:rsidRPr="00A7082A">
              <w:rPr>
                <w:rFonts w:asciiTheme="majorBidi" w:hAnsiTheme="majorBidi"/>
                <w:b/>
                <w:color w:val="000000"/>
                <w:sz w:val="18"/>
              </w:rPr>
              <w:t>African States (32)</w:t>
            </w:r>
          </w:p>
        </w:tc>
      </w:tr>
      <w:tr w:rsidR="00290418" w:rsidRPr="00A7082A" w14:paraId="10FD5C6C" w14:textId="77777777" w:rsidTr="0095102B">
        <w:trPr>
          <w:trHeight w:val="57"/>
          <w:jc w:val="right"/>
        </w:trPr>
        <w:tc>
          <w:tcPr>
            <w:tcW w:w="709" w:type="dxa"/>
            <w:tcBorders>
              <w:top w:val="nil"/>
            </w:tcBorders>
            <w:shd w:val="clear" w:color="auto" w:fill="auto"/>
            <w:noWrap/>
          </w:tcPr>
          <w:p w14:paraId="157E8D5F" w14:textId="4B9CA7F3"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noWrap/>
            <w:hideMark/>
          </w:tcPr>
          <w:p w14:paraId="330234D4"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Benin</w:t>
            </w:r>
          </w:p>
        </w:tc>
        <w:tc>
          <w:tcPr>
            <w:tcW w:w="1701" w:type="dxa"/>
            <w:tcBorders>
              <w:top w:val="nil"/>
            </w:tcBorders>
            <w:shd w:val="clear" w:color="auto" w:fill="auto"/>
            <w:noWrap/>
            <w:hideMark/>
          </w:tcPr>
          <w:p w14:paraId="76B16F25"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0.003</w:t>
            </w:r>
          </w:p>
        </w:tc>
        <w:tc>
          <w:tcPr>
            <w:tcW w:w="1984" w:type="dxa"/>
            <w:tcBorders>
              <w:top w:val="nil"/>
            </w:tcBorders>
            <w:shd w:val="clear" w:color="auto" w:fill="auto"/>
            <w:noWrap/>
            <w:hideMark/>
          </w:tcPr>
          <w:p w14:paraId="1001DF3F"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0.0100</w:t>
            </w:r>
          </w:p>
        </w:tc>
        <w:tc>
          <w:tcPr>
            <w:tcW w:w="1985" w:type="dxa"/>
            <w:tcBorders>
              <w:top w:val="nil"/>
            </w:tcBorders>
            <w:shd w:val="clear" w:color="auto" w:fill="auto"/>
            <w:noWrap/>
            <w:hideMark/>
          </w:tcPr>
          <w:p w14:paraId="32DE30A8" w14:textId="29614CE1"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 xml:space="preserve">646 </w:t>
            </w:r>
          </w:p>
        </w:tc>
      </w:tr>
      <w:tr w:rsidR="00290418" w:rsidRPr="00A7082A" w14:paraId="0366DD81" w14:textId="77777777" w:rsidTr="0095102B">
        <w:trPr>
          <w:trHeight w:val="57"/>
          <w:jc w:val="right"/>
        </w:trPr>
        <w:tc>
          <w:tcPr>
            <w:tcW w:w="709" w:type="dxa"/>
            <w:tcBorders>
              <w:top w:val="nil"/>
            </w:tcBorders>
            <w:shd w:val="clear" w:color="auto" w:fill="auto"/>
            <w:noWrap/>
          </w:tcPr>
          <w:p w14:paraId="62CF6855" w14:textId="53E3E29A"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49E2818F"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Botswana</w:t>
            </w:r>
          </w:p>
        </w:tc>
        <w:tc>
          <w:tcPr>
            <w:tcW w:w="1701" w:type="dxa"/>
            <w:tcBorders>
              <w:top w:val="nil"/>
            </w:tcBorders>
            <w:shd w:val="clear" w:color="auto" w:fill="auto"/>
            <w:noWrap/>
            <w:hideMark/>
          </w:tcPr>
          <w:p w14:paraId="11912E62"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0.014</w:t>
            </w:r>
          </w:p>
        </w:tc>
        <w:tc>
          <w:tcPr>
            <w:tcW w:w="1984" w:type="dxa"/>
            <w:tcBorders>
              <w:top w:val="nil"/>
            </w:tcBorders>
            <w:shd w:val="clear" w:color="auto" w:fill="auto"/>
            <w:noWrap/>
            <w:hideMark/>
          </w:tcPr>
          <w:p w14:paraId="09AD1A81"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0.0172</w:t>
            </w:r>
          </w:p>
        </w:tc>
        <w:tc>
          <w:tcPr>
            <w:tcW w:w="1985" w:type="dxa"/>
            <w:tcBorders>
              <w:top w:val="nil"/>
            </w:tcBorders>
            <w:shd w:val="clear" w:color="auto" w:fill="auto"/>
            <w:noWrap/>
            <w:hideMark/>
          </w:tcPr>
          <w:p w14:paraId="50DE837B" w14:textId="79415DA0"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1</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109 </w:t>
            </w:r>
          </w:p>
        </w:tc>
      </w:tr>
      <w:tr w:rsidR="00290418" w:rsidRPr="00A7082A" w14:paraId="03E9782A" w14:textId="77777777" w:rsidTr="0095102B">
        <w:trPr>
          <w:trHeight w:val="57"/>
          <w:jc w:val="right"/>
        </w:trPr>
        <w:tc>
          <w:tcPr>
            <w:tcW w:w="709" w:type="dxa"/>
            <w:tcBorders>
              <w:top w:val="nil"/>
            </w:tcBorders>
            <w:shd w:val="clear" w:color="auto" w:fill="auto"/>
            <w:noWrap/>
          </w:tcPr>
          <w:p w14:paraId="1C4C4CD9" w14:textId="6879192A"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noWrap/>
            <w:hideMark/>
          </w:tcPr>
          <w:p w14:paraId="362CD00A"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Burkina Faso</w:t>
            </w:r>
          </w:p>
        </w:tc>
        <w:tc>
          <w:tcPr>
            <w:tcW w:w="1701" w:type="dxa"/>
            <w:tcBorders>
              <w:top w:val="nil"/>
            </w:tcBorders>
            <w:shd w:val="clear" w:color="auto" w:fill="auto"/>
            <w:noWrap/>
            <w:hideMark/>
          </w:tcPr>
          <w:p w14:paraId="7035D3BD"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0.003</w:t>
            </w:r>
          </w:p>
        </w:tc>
        <w:tc>
          <w:tcPr>
            <w:tcW w:w="1984" w:type="dxa"/>
            <w:tcBorders>
              <w:top w:val="nil"/>
            </w:tcBorders>
            <w:shd w:val="clear" w:color="auto" w:fill="auto"/>
            <w:noWrap/>
            <w:hideMark/>
          </w:tcPr>
          <w:p w14:paraId="5C08FE22"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0.0100</w:t>
            </w:r>
          </w:p>
        </w:tc>
        <w:tc>
          <w:tcPr>
            <w:tcW w:w="1985" w:type="dxa"/>
            <w:tcBorders>
              <w:top w:val="nil"/>
            </w:tcBorders>
            <w:shd w:val="clear" w:color="auto" w:fill="auto"/>
            <w:noWrap/>
            <w:hideMark/>
          </w:tcPr>
          <w:p w14:paraId="600A3D95" w14:textId="108FFA9A"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 xml:space="preserve">646 </w:t>
            </w:r>
          </w:p>
        </w:tc>
      </w:tr>
      <w:tr w:rsidR="00290418" w:rsidRPr="00A7082A" w14:paraId="70068AE3" w14:textId="77777777" w:rsidTr="0095102B">
        <w:trPr>
          <w:trHeight w:val="57"/>
          <w:jc w:val="right"/>
        </w:trPr>
        <w:tc>
          <w:tcPr>
            <w:tcW w:w="709" w:type="dxa"/>
            <w:tcBorders>
              <w:top w:val="nil"/>
            </w:tcBorders>
            <w:shd w:val="clear" w:color="auto" w:fill="auto"/>
            <w:noWrap/>
          </w:tcPr>
          <w:p w14:paraId="2EB3A07A" w14:textId="08C75DB1"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3C202B28"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Chad</w:t>
            </w:r>
          </w:p>
        </w:tc>
        <w:tc>
          <w:tcPr>
            <w:tcW w:w="1701" w:type="dxa"/>
            <w:tcBorders>
              <w:top w:val="nil"/>
            </w:tcBorders>
            <w:shd w:val="clear" w:color="auto" w:fill="auto"/>
            <w:noWrap/>
            <w:hideMark/>
          </w:tcPr>
          <w:p w14:paraId="39247845"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0.004</w:t>
            </w:r>
          </w:p>
        </w:tc>
        <w:tc>
          <w:tcPr>
            <w:tcW w:w="1984" w:type="dxa"/>
            <w:tcBorders>
              <w:top w:val="nil"/>
            </w:tcBorders>
            <w:shd w:val="clear" w:color="auto" w:fill="auto"/>
            <w:noWrap/>
            <w:hideMark/>
          </w:tcPr>
          <w:p w14:paraId="4726C7A2"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0.0100</w:t>
            </w:r>
          </w:p>
        </w:tc>
        <w:tc>
          <w:tcPr>
            <w:tcW w:w="1985" w:type="dxa"/>
            <w:tcBorders>
              <w:top w:val="nil"/>
            </w:tcBorders>
            <w:shd w:val="clear" w:color="auto" w:fill="auto"/>
            <w:noWrap/>
            <w:hideMark/>
          </w:tcPr>
          <w:p w14:paraId="35C56027" w14:textId="1BCD1974"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 xml:space="preserve">646 </w:t>
            </w:r>
          </w:p>
        </w:tc>
      </w:tr>
      <w:tr w:rsidR="00290418" w:rsidRPr="00A7082A" w14:paraId="40107323" w14:textId="77777777" w:rsidTr="0095102B">
        <w:trPr>
          <w:trHeight w:val="57"/>
          <w:jc w:val="right"/>
        </w:trPr>
        <w:tc>
          <w:tcPr>
            <w:tcW w:w="709" w:type="dxa"/>
            <w:tcBorders>
              <w:top w:val="nil"/>
            </w:tcBorders>
            <w:shd w:val="clear" w:color="auto" w:fill="auto"/>
            <w:noWrap/>
          </w:tcPr>
          <w:p w14:paraId="460B14AF" w14:textId="63620552"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noWrap/>
            <w:hideMark/>
          </w:tcPr>
          <w:p w14:paraId="32255EE8"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Comoros</w:t>
            </w:r>
          </w:p>
        </w:tc>
        <w:tc>
          <w:tcPr>
            <w:tcW w:w="1701" w:type="dxa"/>
            <w:tcBorders>
              <w:top w:val="nil"/>
            </w:tcBorders>
            <w:shd w:val="clear" w:color="auto" w:fill="auto"/>
            <w:noWrap/>
            <w:hideMark/>
          </w:tcPr>
          <w:p w14:paraId="5EB6C23F"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0.001</w:t>
            </w:r>
          </w:p>
        </w:tc>
        <w:tc>
          <w:tcPr>
            <w:tcW w:w="1984" w:type="dxa"/>
            <w:tcBorders>
              <w:top w:val="nil"/>
            </w:tcBorders>
            <w:shd w:val="clear" w:color="auto" w:fill="auto"/>
            <w:noWrap/>
            <w:hideMark/>
          </w:tcPr>
          <w:p w14:paraId="2446CE2B"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0.0100</w:t>
            </w:r>
          </w:p>
        </w:tc>
        <w:tc>
          <w:tcPr>
            <w:tcW w:w="1985" w:type="dxa"/>
            <w:tcBorders>
              <w:top w:val="nil"/>
            </w:tcBorders>
            <w:shd w:val="clear" w:color="auto" w:fill="auto"/>
            <w:noWrap/>
            <w:hideMark/>
          </w:tcPr>
          <w:p w14:paraId="4B6014F2" w14:textId="11C2D8F0"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 xml:space="preserve">646 </w:t>
            </w:r>
          </w:p>
        </w:tc>
      </w:tr>
      <w:tr w:rsidR="00290418" w:rsidRPr="00A7082A" w14:paraId="5CEF67CC" w14:textId="77777777" w:rsidTr="0095102B">
        <w:trPr>
          <w:trHeight w:val="57"/>
          <w:jc w:val="right"/>
        </w:trPr>
        <w:tc>
          <w:tcPr>
            <w:tcW w:w="709" w:type="dxa"/>
            <w:tcBorders>
              <w:top w:val="nil"/>
            </w:tcBorders>
            <w:shd w:val="clear" w:color="auto" w:fill="auto"/>
            <w:noWrap/>
          </w:tcPr>
          <w:p w14:paraId="521DDCC8" w14:textId="42731991"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5EABC10B" w14:textId="641CBA4B"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 xml:space="preserve">Congo </w:t>
            </w:r>
          </w:p>
        </w:tc>
        <w:tc>
          <w:tcPr>
            <w:tcW w:w="1701" w:type="dxa"/>
            <w:tcBorders>
              <w:top w:val="nil"/>
            </w:tcBorders>
            <w:shd w:val="clear" w:color="auto" w:fill="auto"/>
            <w:noWrap/>
            <w:hideMark/>
          </w:tcPr>
          <w:p w14:paraId="7E199B68"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0.006</w:t>
            </w:r>
          </w:p>
        </w:tc>
        <w:tc>
          <w:tcPr>
            <w:tcW w:w="1984" w:type="dxa"/>
            <w:tcBorders>
              <w:top w:val="nil"/>
            </w:tcBorders>
            <w:shd w:val="clear" w:color="auto" w:fill="auto"/>
            <w:noWrap/>
            <w:hideMark/>
          </w:tcPr>
          <w:p w14:paraId="376BF1DF"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0.0100</w:t>
            </w:r>
          </w:p>
        </w:tc>
        <w:tc>
          <w:tcPr>
            <w:tcW w:w="1985" w:type="dxa"/>
            <w:tcBorders>
              <w:top w:val="nil"/>
            </w:tcBorders>
            <w:shd w:val="clear" w:color="auto" w:fill="auto"/>
            <w:noWrap/>
            <w:hideMark/>
          </w:tcPr>
          <w:p w14:paraId="432AD30D" w14:textId="2195F68B"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 xml:space="preserve">646 </w:t>
            </w:r>
          </w:p>
        </w:tc>
      </w:tr>
      <w:tr w:rsidR="00290418" w:rsidRPr="00A7082A" w14:paraId="0976E2F4" w14:textId="77777777" w:rsidTr="0095102B">
        <w:trPr>
          <w:trHeight w:val="57"/>
          <w:jc w:val="right"/>
        </w:trPr>
        <w:tc>
          <w:tcPr>
            <w:tcW w:w="709" w:type="dxa"/>
            <w:tcBorders>
              <w:top w:val="nil"/>
            </w:tcBorders>
            <w:shd w:val="clear" w:color="auto" w:fill="auto"/>
            <w:noWrap/>
          </w:tcPr>
          <w:p w14:paraId="676DE149" w14:textId="54A8B667"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7D68A819" w14:textId="3D23B18E"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Côte d</w:t>
            </w:r>
            <w:r w:rsidR="006B3037" w:rsidRPr="00A7082A">
              <w:rPr>
                <w:rFonts w:asciiTheme="majorBidi" w:hAnsiTheme="majorBidi"/>
                <w:color w:val="000000"/>
                <w:sz w:val="18"/>
              </w:rPr>
              <w:t>’</w:t>
            </w:r>
            <w:r w:rsidRPr="00A7082A">
              <w:rPr>
                <w:rFonts w:asciiTheme="majorBidi" w:hAnsiTheme="majorBidi"/>
                <w:color w:val="000000"/>
                <w:sz w:val="18"/>
              </w:rPr>
              <w:t>Ivoire</w:t>
            </w:r>
          </w:p>
        </w:tc>
        <w:tc>
          <w:tcPr>
            <w:tcW w:w="1701" w:type="dxa"/>
            <w:tcBorders>
              <w:top w:val="nil"/>
            </w:tcBorders>
            <w:shd w:val="clear" w:color="auto" w:fill="auto"/>
            <w:noWrap/>
            <w:hideMark/>
          </w:tcPr>
          <w:p w14:paraId="3305CD94"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0.013</w:t>
            </w:r>
          </w:p>
        </w:tc>
        <w:tc>
          <w:tcPr>
            <w:tcW w:w="1984" w:type="dxa"/>
            <w:tcBorders>
              <w:top w:val="nil"/>
            </w:tcBorders>
            <w:shd w:val="clear" w:color="auto" w:fill="auto"/>
            <w:noWrap/>
            <w:hideMark/>
          </w:tcPr>
          <w:p w14:paraId="00AC8268"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0.0159</w:t>
            </w:r>
          </w:p>
        </w:tc>
        <w:tc>
          <w:tcPr>
            <w:tcW w:w="1985" w:type="dxa"/>
            <w:tcBorders>
              <w:top w:val="nil"/>
            </w:tcBorders>
            <w:shd w:val="clear" w:color="auto" w:fill="auto"/>
            <w:noWrap/>
            <w:hideMark/>
          </w:tcPr>
          <w:p w14:paraId="751388E0" w14:textId="0FF0603E"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1</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030 </w:t>
            </w:r>
          </w:p>
        </w:tc>
      </w:tr>
      <w:tr w:rsidR="00290418" w:rsidRPr="00A7082A" w14:paraId="008D7B8E" w14:textId="77777777" w:rsidTr="0095102B">
        <w:trPr>
          <w:trHeight w:val="57"/>
          <w:jc w:val="right"/>
        </w:trPr>
        <w:tc>
          <w:tcPr>
            <w:tcW w:w="709" w:type="dxa"/>
            <w:tcBorders>
              <w:top w:val="nil"/>
            </w:tcBorders>
            <w:shd w:val="clear" w:color="auto" w:fill="auto"/>
            <w:noWrap/>
          </w:tcPr>
          <w:p w14:paraId="30ED671C" w14:textId="676A6861"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1E99670E"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Djibouti</w:t>
            </w:r>
          </w:p>
        </w:tc>
        <w:tc>
          <w:tcPr>
            <w:tcW w:w="1701" w:type="dxa"/>
            <w:tcBorders>
              <w:top w:val="nil"/>
            </w:tcBorders>
            <w:shd w:val="clear" w:color="auto" w:fill="auto"/>
            <w:noWrap/>
            <w:hideMark/>
          </w:tcPr>
          <w:p w14:paraId="7E133B4E"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0.001</w:t>
            </w:r>
          </w:p>
        </w:tc>
        <w:tc>
          <w:tcPr>
            <w:tcW w:w="1984" w:type="dxa"/>
            <w:tcBorders>
              <w:top w:val="nil"/>
            </w:tcBorders>
            <w:shd w:val="clear" w:color="auto" w:fill="auto"/>
            <w:noWrap/>
            <w:hideMark/>
          </w:tcPr>
          <w:p w14:paraId="42D71A85"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0.0100</w:t>
            </w:r>
          </w:p>
        </w:tc>
        <w:tc>
          <w:tcPr>
            <w:tcW w:w="1985" w:type="dxa"/>
            <w:tcBorders>
              <w:top w:val="nil"/>
            </w:tcBorders>
            <w:shd w:val="clear" w:color="auto" w:fill="auto"/>
            <w:noWrap/>
            <w:hideMark/>
          </w:tcPr>
          <w:p w14:paraId="51212B78" w14:textId="2B1C747F"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 xml:space="preserve">646 </w:t>
            </w:r>
          </w:p>
        </w:tc>
      </w:tr>
      <w:tr w:rsidR="00290418" w:rsidRPr="00A7082A" w14:paraId="3F37D4C8" w14:textId="77777777" w:rsidTr="0095102B">
        <w:trPr>
          <w:trHeight w:val="57"/>
          <w:jc w:val="right"/>
        </w:trPr>
        <w:tc>
          <w:tcPr>
            <w:tcW w:w="709" w:type="dxa"/>
            <w:tcBorders>
              <w:top w:val="nil"/>
            </w:tcBorders>
            <w:shd w:val="clear" w:color="auto" w:fill="auto"/>
            <w:noWrap/>
          </w:tcPr>
          <w:p w14:paraId="4EC9ABB6" w14:textId="78333EB5"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29CD36A4"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Equatorial Guinea</w:t>
            </w:r>
          </w:p>
        </w:tc>
        <w:tc>
          <w:tcPr>
            <w:tcW w:w="1701" w:type="dxa"/>
            <w:tcBorders>
              <w:top w:val="nil"/>
            </w:tcBorders>
            <w:shd w:val="clear" w:color="auto" w:fill="auto"/>
            <w:noWrap/>
            <w:hideMark/>
          </w:tcPr>
          <w:p w14:paraId="40B6087F"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0.016</w:t>
            </w:r>
          </w:p>
        </w:tc>
        <w:tc>
          <w:tcPr>
            <w:tcW w:w="1984" w:type="dxa"/>
            <w:tcBorders>
              <w:top w:val="nil"/>
            </w:tcBorders>
            <w:shd w:val="clear" w:color="auto" w:fill="auto"/>
            <w:noWrap/>
            <w:hideMark/>
          </w:tcPr>
          <w:p w14:paraId="2270BE97"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0.0196</w:t>
            </w:r>
          </w:p>
        </w:tc>
        <w:tc>
          <w:tcPr>
            <w:tcW w:w="1985" w:type="dxa"/>
            <w:tcBorders>
              <w:top w:val="nil"/>
            </w:tcBorders>
            <w:shd w:val="clear" w:color="auto" w:fill="auto"/>
            <w:noWrap/>
            <w:hideMark/>
          </w:tcPr>
          <w:p w14:paraId="5A4C6126" w14:textId="14927B51"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1</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267 </w:t>
            </w:r>
          </w:p>
        </w:tc>
      </w:tr>
      <w:tr w:rsidR="00290418" w:rsidRPr="00A7082A" w14:paraId="48264961" w14:textId="77777777" w:rsidTr="0095102B">
        <w:trPr>
          <w:trHeight w:val="57"/>
          <w:jc w:val="right"/>
        </w:trPr>
        <w:tc>
          <w:tcPr>
            <w:tcW w:w="709" w:type="dxa"/>
            <w:tcBorders>
              <w:top w:val="nil"/>
            </w:tcBorders>
            <w:shd w:val="clear" w:color="auto" w:fill="auto"/>
            <w:noWrap/>
          </w:tcPr>
          <w:p w14:paraId="5BEADEA9" w14:textId="60F98E0D"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noWrap/>
            <w:hideMark/>
          </w:tcPr>
          <w:p w14:paraId="5C6CE9B6"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Eswatini</w:t>
            </w:r>
          </w:p>
        </w:tc>
        <w:tc>
          <w:tcPr>
            <w:tcW w:w="1701" w:type="dxa"/>
            <w:tcBorders>
              <w:top w:val="nil"/>
            </w:tcBorders>
            <w:shd w:val="clear" w:color="auto" w:fill="auto"/>
            <w:noWrap/>
            <w:hideMark/>
          </w:tcPr>
          <w:p w14:paraId="594ECFAB"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0.002</w:t>
            </w:r>
          </w:p>
        </w:tc>
        <w:tc>
          <w:tcPr>
            <w:tcW w:w="1984" w:type="dxa"/>
            <w:tcBorders>
              <w:top w:val="nil"/>
            </w:tcBorders>
            <w:shd w:val="clear" w:color="auto" w:fill="auto"/>
            <w:noWrap/>
            <w:hideMark/>
          </w:tcPr>
          <w:p w14:paraId="3F81CA2F"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0.0100</w:t>
            </w:r>
          </w:p>
        </w:tc>
        <w:tc>
          <w:tcPr>
            <w:tcW w:w="1985" w:type="dxa"/>
            <w:tcBorders>
              <w:top w:val="nil"/>
            </w:tcBorders>
            <w:shd w:val="clear" w:color="auto" w:fill="auto"/>
            <w:noWrap/>
            <w:hideMark/>
          </w:tcPr>
          <w:p w14:paraId="71363899" w14:textId="17EBB46C"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 xml:space="preserve">646 </w:t>
            </w:r>
          </w:p>
        </w:tc>
      </w:tr>
      <w:tr w:rsidR="00290418" w:rsidRPr="00A7082A" w14:paraId="2093139A" w14:textId="77777777" w:rsidTr="0095102B">
        <w:trPr>
          <w:trHeight w:val="57"/>
          <w:jc w:val="right"/>
        </w:trPr>
        <w:tc>
          <w:tcPr>
            <w:tcW w:w="709" w:type="dxa"/>
            <w:tcBorders>
              <w:top w:val="nil"/>
            </w:tcBorders>
            <w:shd w:val="clear" w:color="auto" w:fill="auto"/>
            <w:noWrap/>
          </w:tcPr>
          <w:p w14:paraId="7FD9FB8E" w14:textId="60CB82EE"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68947750"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Gabon</w:t>
            </w:r>
          </w:p>
        </w:tc>
        <w:tc>
          <w:tcPr>
            <w:tcW w:w="1701" w:type="dxa"/>
            <w:tcBorders>
              <w:top w:val="nil"/>
            </w:tcBorders>
            <w:shd w:val="clear" w:color="auto" w:fill="auto"/>
            <w:noWrap/>
            <w:hideMark/>
          </w:tcPr>
          <w:p w14:paraId="22B2144D"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0.015</w:t>
            </w:r>
          </w:p>
        </w:tc>
        <w:tc>
          <w:tcPr>
            <w:tcW w:w="1984" w:type="dxa"/>
            <w:tcBorders>
              <w:top w:val="nil"/>
            </w:tcBorders>
            <w:shd w:val="clear" w:color="auto" w:fill="auto"/>
            <w:noWrap/>
            <w:hideMark/>
          </w:tcPr>
          <w:p w14:paraId="24C19874"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0.0184</w:t>
            </w:r>
          </w:p>
        </w:tc>
        <w:tc>
          <w:tcPr>
            <w:tcW w:w="1985" w:type="dxa"/>
            <w:tcBorders>
              <w:top w:val="nil"/>
            </w:tcBorders>
            <w:shd w:val="clear" w:color="auto" w:fill="auto"/>
            <w:noWrap/>
            <w:hideMark/>
          </w:tcPr>
          <w:p w14:paraId="320262BF" w14:textId="3C67B596"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1</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188 </w:t>
            </w:r>
          </w:p>
        </w:tc>
      </w:tr>
      <w:tr w:rsidR="00290418" w:rsidRPr="00A7082A" w14:paraId="7658D54B" w14:textId="77777777" w:rsidTr="0095102B">
        <w:trPr>
          <w:trHeight w:val="57"/>
          <w:jc w:val="right"/>
        </w:trPr>
        <w:tc>
          <w:tcPr>
            <w:tcW w:w="709" w:type="dxa"/>
            <w:tcBorders>
              <w:top w:val="nil"/>
            </w:tcBorders>
            <w:shd w:val="clear" w:color="auto" w:fill="auto"/>
            <w:noWrap/>
          </w:tcPr>
          <w:p w14:paraId="4563C918" w14:textId="7A6AC81D"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noWrap/>
            <w:hideMark/>
          </w:tcPr>
          <w:p w14:paraId="202688DE"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Gambia</w:t>
            </w:r>
          </w:p>
        </w:tc>
        <w:tc>
          <w:tcPr>
            <w:tcW w:w="1701" w:type="dxa"/>
            <w:tcBorders>
              <w:top w:val="nil"/>
            </w:tcBorders>
            <w:shd w:val="clear" w:color="auto" w:fill="auto"/>
            <w:noWrap/>
            <w:hideMark/>
          </w:tcPr>
          <w:p w14:paraId="015D7CC0"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0.001</w:t>
            </w:r>
          </w:p>
        </w:tc>
        <w:tc>
          <w:tcPr>
            <w:tcW w:w="1984" w:type="dxa"/>
            <w:tcBorders>
              <w:top w:val="nil"/>
            </w:tcBorders>
            <w:shd w:val="clear" w:color="auto" w:fill="auto"/>
            <w:noWrap/>
            <w:hideMark/>
          </w:tcPr>
          <w:p w14:paraId="7A878BE4"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0.0100</w:t>
            </w:r>
          </w:p>
        </w:tc>
        <w:tc>
          <w:tcPr>
            <w:tcW w:w="1985" w:type="dxa"/>
            <w:tcBorders>
              <w:top w:val="nil"/>
            </w:tcBorders>
            <w:shd w:val="clear" w:color="auto" w:fill="auto"/>
            <w:noWrap/>
            <w:hideMark/>
          </w:tcPr>
          <w:p w14:paraId="3D0EA83C" w14:textId="7F8D4DB2"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 xml:space="preserve">646 </w:t>
            </w:r>
          </w:p>
        </w:tc>
      </w:tr>
      <w:tr w:rsidR="00290418" w:rsidRPr="00A7082A" w14:paraId="07418DC9" w14:textId="77777777" w:rsidTr="0095102B">
        <w:trPr>
          <w:trHeight w:val="57"/>
          <w:jc w:val="right"/>
        </w:trPr>
        <w:tc>
          <w:tcPr>
            <w:tcW w:w="709" w:type="dxa"/>
            <w:tcBorders>
              <w:top w:val="nil"/>
            </w:tcBorders>
            <w:shd w:val="clear" w:color="auto" w:fill="auto"/>
            <w:noWrap/>
          </w:tcPr>
          <w:p w14:paraId="48FB93BC" w14:textId="6D8BF0B3"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765F65F1"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Ghana</w:t>
            </w:r>
          </w:p>
        </w:tc>
        <w:tc>
          <w:tcPr>
            <w:tcW w:w="1701" w:type="dxa"/>
            <w:tcBorders>
              <w:top w:val="nil"/>
            </w:tcBorders>
            <w:shd w:val="clear" w:color="auto" w:fill="auto"/>
            <w:noWrap/>
            <w:hideMark/>
          </w:tcPr>
          <w:p w14:paraId="44D6B5CD"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0.015</w:t>
            </w:r>
          </w:p>
        </w:tc>
        <w:tc>
          <w:tcPr>
            <w:tcW w:w="1984" w:type="dxa"/>
            <w:tcBorders>
              <w:top w:val="nil"/>
            </w:tcBorders>
            <w:shd w:val="clear" w:color="auto" w:fill="auto"/>
            <w:noWrap/>
            <w:hideMark/>
          </w:tcPr>
          <w:p w14:paraId="7C095EFF"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0.0184</w:t>
            </w:r>
          </w:p>
        </w:tc>
        <w:tc>
          <w:tcPr>
            <w:tcW w:w="1985" w:type="dxa"/>
            <w:tcBorders>
              <w:top w:val="nil"/>
            </w:tcBorders>
            <w:shd w:val="clear" w:color="auto" w:fill="auto"/>
            <w:noWrap/>
            <w:hideMark/>
          </w:tcPr>
          <w:p w14:paraId="0E8E6190" w14:textId="6F0406C9"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1</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188 </w:t>
            </w:r>
          </w:p>
        </w:tc>
      </w:tr>
      <w:tr w:rsidR="00290418" w:rsidRPr="00A7082A" w14:paraId="471582C9" w14:textId="77777777" w:rsidTr="0095102B">
        <w:trPr>
          <w:trHeight w:val="57"/>
          <w:jc w:val="right"/>
        </w:trPr>
        <w:tc>
          <w:tcPr>
            <w:tcW w:w="709" w:type="dxa"/>
            <w:tcBorders>
              <w:top w:val="nil"/>
            </w:tcBorders>
            <w:shd w:val="clear" w:color="auto" w:fill="auto"/>
            <w:noWrap/>
          </w:tcPr>
          <w:p w14:paraId="78E8FB88" w14:textId="2C9E0016"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noWrap/>
            <w:hideMark/>
          </w:tcPr>
          <w:p w14:paraId="1D06945C"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Guinea</w:t>
            </w:r>
          </w:p>
        </w:tc>
        <w:tc>
          <w:tcPr>
            <w:tcW w:w="1701" w:type="dxa"/>
            <w:tcBorders>
              <w:top w:val="nil"/>
            </w:tcBorders>
            <w:shd w:val="clear" w:color="auto" w:fill="auto"/>
            <w:noWrap/>
            <w:hideMark/>
          </w:tcPr>
          <w:p w14:paraId="20763BF4"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0.003</w:t>
            </w:r>
          </w:p>
        </w:tc>
        <w:tc>
          <w:tcPr>
            <w:tcW w:w="1984" w:type="dxa"/>
            <w:tcBorders>
              <w:top w:val="nil"/>
            </w:tcBorders>
            <w:shd w:val="clear" w:color="auto" w:fill="auto"/>
            <w:noWrap/>
            <w:hideMark/>
          </w:tcPr>
          <w:p w14:paraId="72E6D1C2"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0.0100</w:t>
            </w:r>
          </w:p>
        </w:tc>
        <w:tc>
          <w:tcPr>
            <w:tcW w:w="1985" w:type="dxa"/>
            <w:tcBorders>
              <w:top w:val="nil"/>
            </w:tcBorders>
            <w:shd w:val="clear" w:color="auto" w:fill="auto"/>
            <w:noWrap/>
            <w:hideMark/>
          </w:tcPr>
          <w:p w14:paraId="1C0A02AE" w14:textId="40B19ED8"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 xml:space="preserve">646 </w:t>
            </w:r>
          </w:p>
        </w:tc>
      </w:tr>
      <w:tr w:rsidR="00290418" w:rsidRPr="00A7082A" w14:paraId="27309DE9" w14:textId="77777777" w:rsidTr="0095102B">
        <w:trPr>
          <w:trHeight w:val="57"/>
          <w:jc w:val="right"/>
        </w:trPr>
        <w:tc>
          <w:tcPr>
            <w:tcW w:w="709" w:type="dxa"/>
            <w:tcBorders>
              <w:top w:val="nil"/>
            </w:tcBorders>
            <w:shd w:val="clear" w:color="auto" w:fill="auto"/>
            <w:noWrap/>
          </w:tcPr>
          <w:p w14:paraId="1F472DFE" w14:textId="4476059D"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08BC1C01" w14:textId="649369C9" w:rsidR="00290418" w:rsidRPr="00A7082A" w:rsidRDefault="00A26651"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Guinea</w:t>
            </w:r>
            <w:r w:rsidRPr="00A7082A">
              <w:rPr>
                <w:rFonts w:asciiTheme="majorBidi" w:hAnsiTheme="majorBidi"/>
                <w:color w:val="000000"/>
                <w:sz w:val="18"/>
              </w:rPr>
              <w:noBreakHyphen/>
              <w:t>Bissau</w:t>
            </w:r>
          </w:p>
        </w:tc>
        <w:tc>
          <w:tcPr>
            <w:tcW w:w="1701" w:type="dxa"/>
            <w:tcBorders>
              <w:top w:val="nil"/>
            </w:tcBorders>
            <w:shd w:val="clear" w:color="auto" w:fill="auto"/>
            <w:noWrap/>
            <w:hideMark/>
          </w:tcPr>
          <w:p w14:paraId="338B04B7"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0.001</w:t>
            </w:r>
          </w:p>
        </w:tc>
        <w:tc>
          <w:tcPr>
            <w:tcW w:w="1984" w:type="dxa"/>
            <w:tcBorders>
              <w:top w:val="nil"/>
            </w:tcBorders>
            <w:shd w:val="clear" w:color="auto" w:fill="auto"/>
            <w:noWrap/>
            <w:hideMark/>
          </w:tcPr>
          <w:p w14:paraId="7740BCB7"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0.0100</w:t>
            </w:r>
          </w:p>
        </w:tc>
        <w:tc>
          <w:tcPr>
            <w:tcW w:w="1985" w:type="dxa"/>
            <w:tcBorders>
              <w:top w:val="nil"/>
            </w:tcBorders>
            <w:shd w:val="clear" w:color="auto" w:fill="auto"/>
            <w:noWrap/>
            <w:hideMark/>
          </w:tcPr>
          <w:p w14:paraId="0994A953" w14:textId="543EB7BB"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 xml:space="preserve">646 </w:t>
            </w:r>
          </w:p>
        </w:tc>
      </w:tr>
      <w:tr w:rsidR="00290418" w:rsidRPr="00A7082A" w14:paraId="413D5BFC" w14:textId="77777777" w:rsidTr="0095102B">
        <w:trPr>
          <w:trHeight w:val="57"/>
          <w:jc w:val="right"/>
        </w:trPr>
        <w:tc>
          <w:tcPr>
            <w:tcW w:w="709" w:type="dxa"/>
            <w:tcBorders>
              <w:top w:val="nil"/>
            </w:tcBorders>
            <w:shd w:val="clear" w:color="auto" w:fill="auto"/>
            <w:noWrap/>
          </w:tcPr>
          <w:p w14:paraId="0F26B56F" w14:textId="7EC225A8"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noWrap/>
            <w:hideMark/>
          </w:tcPr>
          <w:p w14:paraId="5B0B293B"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Lesotho</w:t>
            </w:r>
          </w:p>
        </w:tc>
        <w:tc>
          <w:tcPr>
            <w:tcW w:w="1701" w:type="dxa"/>
            <w:tcBorders>
              <w:top w:val="nil"/>
            </w:tcBorders>
            <w:shd w:val="clear" w:color="auto" w:fill="auto"/>
            <w:noWrap/>
            <w:hideMark/>
          </w:tcPr>
          <w:p w14:paraId="5639A854"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0.001</w:t>
            </w:r>
          </w:p>
        </w:tc>
        <w:tc>
          <w:tcPr>
            <w:tcW w:w="1984" w:type="dxa"/>
            <w:tcBorders>
              <w:top w:val="nil"/>
            </w:tcBorders>
            <w:shd w:val="clear" w:color="auto" w:fill="auto"/>
            <w:noWrap/>
            <w:hideMark/>
          </w:tcPr>
          <w:p w14:paraId="7CFB8DEE"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0.0100</w:t>
            </w:r>
          </w:p>
        </w:tc>
        <w:tc>
          <w:tcPr>
            <w:tcW w:w="1985" w:type="dxa"/>
            <w:tcBorders>
              <w:top w:val="nil"/>
            </w:tcBorders>
            <w:shd w:val="clear" w:color="auto" w:fill="auto"/>
            <w:noWrap/>
            <w:hideMark/>
          </w:tcPr>
          <w:p w14:paraId="5980E77C" w14:textId="1A47F369"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 xml:space="preserve">646 </w:t>
            </w:r>
          </w:p>
        </w:tc>
      </w:tr>
      <w:tr w:rsidR="00290418" w:rsidRPr="00A7082A" w14:paraId="710D43BC" w14:textId="77777777" w:rsidTr="0095102B">
        <w:trPr>
          <w:trHeight w:val="57"/>
          <w:jc w:val="right"/>
        </w:trPr>
        <w:tc>
          <w:tcPr>
            <w:tcW w:w="709" w:type="dxa"/>
            <w:tcBorders>
              <w:top w:val="nil"/>
            </w:tcBorders>
            <w:shd w:val="clear" w:color="auto" w:fill="auto"/>
            <w:noWrap/>
          </w:tcPr>
          <w:p w14:paraId="69FEA783" w14:textId="792BA520"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696D4C0A"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Madagascar</w:t>
            </w:r>
          </w:p>
        </w:tc>
        <w:tc>
          <w:tcPr>
            <w:tcW w:w="1701" w:type="dxa"/>
            <w:tcBorders>
              <w:top w:val="nil"/>
            </w:tcBorders>
            <w:shd w:val="clear" w:color="auto" w:fill="auto"/>
            <w:noWrap/>
            <w:hideMark/>
          </w:tcPr>
          <w:p w14:paraId="210B1AB7"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0.004</w:t>
            </w:r>
          </w:p>
        </w:tc>
        <w:tc>
          <w:tcPr>
            <w:tcW w:w="1984" w:type="dxa"/>
            <w:tcBorders>
              <w:top w:val="nil"/>
            </w:tcBorders>
            <w:shd w:val="clear" w:color="auto" w:fill="auto"/>
            <w:noWrap/>
            <w:hideMark/>
          </w:tcPr>
          <w:p w14:paraId="420C945B"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0.0100</w:t>
            </w:r>
          </w:p>
        </w:tc>
        <w:tc>
          <w:tcPr>
            <w:tcW w:w="1985" w:type="dxa"/>
            <w:tcBorders>
              <w:top w:val="nil"/>
            </w:tcBorders>
            <w:shd w:val="clear" w:color="auto" w:fill="auto"/>
            <w:noWrap/>
            <w:hideMark/>
          </w:tcPr>
          <w:p w14:paraId="77A43189" w14:textId="00C3D8F9"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 xml:space="preserve">646 </w:t>
            </w:r>
          </w:p>
        </w:tc>
      </w:tr>
      <w:tr w:rsidR="00290418" w:rsidRPr="00A7082A" w14:paraId="56EA1B50" w14:textId="77777777" w:rsidTr="0095102B">
        <w:trPr>
          <w:trHeight w:val="57"/>
          <w:jc w:val="right"/>
        </w:trPr>
        <w:tc>
          <w:tcPr>
            <w:tcW w:w="709" w:type="dxa"/>
            <w:tcBorders>
              <w:top w:val="nil"/>
            </w:tcBorders>
            <w:shd w:val="clear" w:color="auto" w:fill="auto"/>
            <w:noWrap/>
          </w:tcPr>
          <w:p w14:paraId="24EC83F3" w14:textId="1A6AA9A6"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noWrap/>
            <w:hideMark/>
          </w:tcPr>
          <w:p w14:paraId="208ED679"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Mali</w:t>
            </w:r>
          </w:p>
        </w:tc>
        <w:tc>
          <w:tcPr>
            <w:tcW w:w="1701" w:type="dxa"/>
            <w:tcBorders>
              <w:top w:val="nil"/>
            </w:tcBorders>
            <w:shd w:val="clear" w:color="auto" w:fill="auto"/>
            <w:noWrap/>
            <w:hideMark/>
          </w:tcPr>
          <w:p w14:paraId="22C6A797"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0.004</w:t>
            </w:r>
          </w:p>
        </w:tc>
        <w:tc>
          <w:tcPr>
            <w:tcW w:w="1984" w:type="dxa"/>
            <w:tcBorders>
              <w:top w:val="nil"/>
            </w:tcBorders>
            <w:shd w:val="clear" w:color="auto" w:fill="auto"/>
            <w:noWrap/>
            <w:hideMark/>
          </w:tcPr>
          <w:p w14:paraId="3A181835"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0.0100</w:t>
            </w:r>
          </w:p>
        </w:tc>
        <w:tc>
          <w:tcPr>
            <w:tcW w:w="1985" w:type="dxa"/>
            <w:tcBorders>
              <w:top w:val="nil"/>
            </w:tcBorders>
            <w:shd w:val="clear" w:color="auto" w:fill="auto"/>
            <w:noWrap/>
            <w:hideMark/>
          </w:tcPr>
          <w:p w14:paraId="4965869D" w14:textId="70309243"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 xml:space="preserve">646 </w:t>
            </w:r>
          </w:p>
        </w:tc>
      </w:tr>
      <w:tr w:rsidR="00290418" w:rsidRPr="00A7082A" w14:paraId="61E565F6" w14:textId="77777777" w:rsidTr="0095102B">
        <w:trPr>
          <w:trHeight w:val="57"/>
          <w:jc w:val="right"/>
        </w:trPr>
        <w:tc>
          <w:tcPr>
            <w:tcW w:w="709" w:type="dxa"/>
            <w:tcBorders>
              <w:top w:val="nil"/>
            </w:tcBorders>
            <w:shd w:val="clear" w:color="auto" w:fill="auto"/>
            <w:noWrap/>
          </w:tcPr>
          <w:p w14:paraId="6E26A394" w14:textId="08FB03E0"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5B5E4499"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Mauritania</w:t>
            </w:r>
          </w:p>
        </w:tc>
        <w:tc>
          <w:tcPr>
            <w:tcW w:w="1701" w:type="dxa"/>
            <w:tcBorders>
              <w:top w:val="nil"/>
            </w:tcBorders>
            <w:shd w:val="clear" w:color="auto" w:fill="auto"/>
            <w:noWrap/>
            <w:hideMark/>
          </w:tcPr>
          <w:p w14:paraId="4A7A87B5"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0.002</w:t>
            </w:r>
          </w:p>
        </w:tc>
        <w:tc>
          <w:tcPr>
            <w:tcW w:w="1984" w:type="dxa"/>
            <w:tcBorders>
              <w:top w:val="nil"/>
            </w:tcBorders>
            <w:shd w:val="clear" w:color="auto" w:fill="auto"/>
            <w:noWrap/>
            <w:hideMark/>
          </w:tcPr>
          <w:p w14:paraId="59B51AB2"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0.0100</w:t>
            </w:r>
          </w:p>
        </w:tc>
        <w:tc>
          <w:tcPr>
            <w:tcW w:w="1985" w:type="dxa"/>
            <w:tcBorders>
              <w:top w:val="nil"/>
            </w:tcBorders>
            <w:shd w:val="clear" w:color="auto" w:fill="auto"/>
            <w:noWrap/>
            <w:hideMark/>
          </w:tcPr>
          <w:p w14:paraId="13CE06BE" w14:textId="5979F382"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 xml:space="preserve">646 </w:t>
            </w:r>
          </w:p>
        </w:tc>
      </w:tr>
      <w:tr w:rsidR="00290418" w:rsidRPr="00A7082A" w14:paraId="16F10024" w14:textId="77777777" w:rsidTr="0095102B">
        <w:trPr>
          <w:trHeight w:val="57"/>
          <w:jc w:val="right"/>
        </w:trPr>
        <w:tc>
          <w:tcPr>
            <w:tcW w:w="709" w:type="dxa"/>
            <w:tcBorders>
              <w:top w:val="nil"/>
            </w:tcBorders>
            <w:shd w:val="clear" w:color="auto" w:fill="auto"/>
            <w:noWrap/>
          </w:tcPr>
          <w:p w14:paraId="38857E63" w14:textId="20D04F31"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noWrap/>
            <w:hideMark/>
          </w:tcPr>
          <w:p w14:paraId="744E64A4"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Mauritius</w:t>
            </w:r>
          </w:p>
        </w:tc>
        <w:tc>
          <w:tcPr>
            <w:tcW w:w="1701" w:type="dxa"/>
            <w:tcBorders>
              <w:top w:val="nil"/>
            </w:tcBorders>
            <w:shd w:val="clear" w:color="auto" w:fill="auto"/>
            <w:noWrap/>
            <w:hideMark/>
          </w:tcPr>
          <w:p w14:paraId="7E77EF1F"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0.011</w:t>
            </w:r>
          </w:p>
        </w:tc>
        <w:tc>
          <w:tcPr>
            <w:tcW w:w="1984" w:type="dxa"/>
            <w:tcBorders>
              <w:top w:val="nil"/>
            </w:tcBorders>
            <w:shd w:val="clear" w:color="auto" w:fill="auto"/>
            <w:noWrap/>
            <w:hideMark/>
          </w:tcPr>
          <w:p w14:paraId="5A1D68BA"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0.0135</w:t>
            </w:r>
          </w:p>
        </w:tc>
        <w:tc>
          <w:tcPr>
            <w:tcW w:w="1985" w:type="dxa"/>
            <w:tcBorders>
              <w:top w:val="nil"/>
            </w:tcBorders>
            <w:shd w:val="clear" w:color="auto" w:fill="auto"/>
            <w:noWrap/>
            <w:hideMark/>
          </w:tcPr>
          <w:p w14:paraId="35479A23" w14:textId="7DB2AEC3"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 xml:space="preserve">871 </w:t>
            </w:r>
          </w:p>
        </w:tc>
      </w:tr>
      <w:tr w:rsidR="00290418" w:rsidRPr="00A7082A" w14:paraId="11721AA5" w14:textId="77777777" w:rsidTr="0095102B">
        <w:trPr>
          <w:trHeight w:val="57"/>
          <w:jc w:val="right"/>
        </w:trPr>
        <w:tc>
          <w:tcPr>
            <w:tcW w:w="709" w:type="dxa"/>
            <w:tcBorders>
              <w:top w:val="nil"/>
            </w:tcBorders>
            <w:shd w:val="clear" w:color="auto" w:fill="auto"/>
            <w:noWrap/>
          </w:tcPr>
          <w:p w14:paraId="369F2D3C" w14:textId="727AC1B8"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13972D91"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Namibia</w:t>
            </w:r>
          </w:p>
        </w:tc>
        <w:tc>
          <w:tcPr>
            <w:tcW w:w="1701" w:type="dxa"/>
            <w:tcBorders>
              <w:top w:val="nil"/>
            </w:tcBorders>
            <w:shd w:val="clear" w:color="auto" w:fill="auto"/>
            <w:noWrap/>
            <w:hideMark/>
          </w:tcPr>
          <w:p w14:paraId="29BBD431"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0.009</w:t>
            </w:r>
          </w:p>
        </w:tc>
        <w:tc>
          <w:tcPr>
            <w:tcW w:w="1984" w:type="dxa"/>
            <w:tcBorders>
              <w:top w:val="nil"/>
            </w:tcBorders>
            <w:shd w:val="clear" w:color="auto" w:fill="auto"/>
            <w:noWrap/>
            <w:hideMark/>
          </w:tcPr>
          <w:p w14:paraId="25C81E57"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0.0110</w:t>
            </w:r>
          </w:p>
        </w:tc>
        <w:tc>
          <w:tcPr>
            <w:tcW w:w="1985" w:type="dxa"/>
            <w:tcBorders>
              <w:top w:val="nil"/>
            </w:tcBorders>
            <w:shd w:val="clear" w:color="auto" w:fill="auto"/>
            <w:noWrap/>
            <w:hideMark/>
          </w:tcPr>
          <w:p w14:paraId="0940AE79" w14:textId="107C5FDF"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 xml:space="preserve">713 </w:t>
            </w:r>
          </w:p>
        </w:tc>
      </w:tr>
      <w:tr w:rsidR="00290418" w:rsidRPr="00A7082A" w14:paraId="075FB572" w14:textId="77777777" w:rsidTr="0095102B">
        <w:trPr>
          <w:trHeight w:val="57"/>
          <w:jc w:val="right"/>
        </w:trPr>
        <w:tc>
          <w:tcPr>
            <w:tcW w:w="709" w:type="dxa"/>
            <w:tcBorders>
              <w:top w:val="nil"/>
            </w:tcBorders>
            <w:shd w:val="clear" w:color="auto" w:fill="auto"/>
            <w:noWrap/>
          </w:tcPr>
          <w:p w14:paraId="6174F8BE" w14:textId="6A66B583"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noWrap/>
            <w:hideMark/>
          </w:tcPr>
          <w:p w14:paraId="5F7771D4"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Niger</w:t>
            </w:r>
          </w:p>
        </w:tc>
        <w:tc>
          <w:tcPr>
            <w:tcW w:w="1701" w:type="dxa"/>
            <w:tcBorders>
              <w:top w:val="nil"/>
            </w:tcBorders>
            <w:shd w:val="clear" w:color="auto" w:fill="auto"/>
            <w:noWrap/>
            <w:hideMark/>
          </w:tcPr>
          <w:p w14:paraId="0456C5EF"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0.002</w:t>
            </w:r>
          </w:p>
        </w:tc>
        <w:tc>
          <w:tcPr>
            <w:tcW w:w="1984" w:type="dxa"/>
            <w:tcBorders>
              <w:top w:val="nil"/>
            </w:tcBorders>
            <w:shd w:val="clear" w:color="auto" w:fill="auto"/>
            <w:noWrap/>
            <w:hideMark/>
          </w:tcPr>
          <w:p w14:paraId="0FF4153A"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0.0100</w:t>
            </w:r>
          </w:p>
        </w:tc>
        <w:tc>
          <w:tcPr>
            <w:tcW w:w="1985" w:type="dxa"/>
            <w:tcBorders>
              <w:top w:val="nil"/>
            </w:tcBorders>
            <w:shd w:val="clear" w:color="auto" w:fill="auto"/>
            <w:noWrap/>
            <w:hideMark/>
          </w:tcPr>
          <w:p w14:paraId="21DF1CC7" w14:textId="07480E0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 xml:space="preserve">646 </w:t>
            </w:r>
          </w:p>
        </w:tc>
      </w:tr>
      <w:tr w:rsidR="00290418" w:rsidRPr="00A7082A" w14:paraId="1185DC89" w14:textId="77777777" w:rsidTr="0095102B">
        <w:trPr>
          <w:trHeight w:val="57"/>
          <w:jc w:val="right"/>
        </w:trPr>
        <w:tc>
          <w:tcPr>
            <w:tcW w:w="709" w:type="dxa"/>
            <w:tcBorders>
              <w:top w:val="nil"/>
            </w:tcBorders>
            <w:shd w:val="clear" w:color="auto" w:fill="auto"/>
            <w:noWrap/>
          </w:tcPr>
          <w:p w14:paraId="7DC07DE6" w14:textId="014E6498"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5CAAD631"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Nigeria</w:t>
            </w:r>
          </w:p>
        </w:tc>
        <w:tc>
          <w:tcPr>
            <w:tcW w:w="1701" w:type="dxa"/>
            <w:tcBorders>
              <w:top w:val="nil"/>
            </w:tcBorders>
            <w:shd w:val="clear" w:color="auto" w:fill="auto"/>
            <w:noWrap/>
            <w:hideMark/>
          </w:tcPr>
          <w:p w14:paraId="20E7F689"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0.25</w:t>
            </w:r>
          </w:p>
        </w:tc>
        <w:tc>
          <w:tcPr>
            <w:tcW w:w="1984" w:type="dxa"/>
            <w:tcBorders>
              <w:top w:val="nil"/>
            </w:tcBorders>
            <w:shd w:val="clear" w:color="auto" w:fill="auto"/>
            <w:noWrap/>
            <w:hideMark/>
          </w:tcPr>
          <w:p w14:paraId="7DE9AC59"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0.3063</w:t>
            </w:r>
          </w:p>
        </w:tc>
        <w:tc>
          <w:tcPr>
            <w:tcW w:w="1985" w:type="dxa"/>
            <w:tcBorders>
              <w:top w:val="nil"/>
            </w:tcBorders>
            <w:shd w:val="clear" w:color="auto" w:fill="auto"/>
            <w:noWrap/>
            <w:hideMark/>
          </w:tcPr>
          <w:p w14:paraId="0885D696" w14:textId="42141D2C"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19</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799 </w:t>
            </w:r>
          </w:p>
        </w:tc>
      </w:tr>
      <w:tr w:rsidR="00290418" w:rsidRPr="00A7082A" w14:paraId="5EC5F3A5" w14:textId="77777777" w:rsidTr="0095102B">
        <w:trPr>
          <w:trHeight w:val="57"/>
          <w:jc w:val="right"/>
        </w:trPr>
        <w:tc>
          <w:tcPr>
            <w:tcW w:w="709" w:type="dxa"/>
            <w:tcBorders>
              <w:top w:val="nil"/>
            </w:tcBorders>
            <w:shd w:val="clear" w:color="auto" w:fill="auto"/>
            <w:noWrap/>
          </w:tcPr>
          <w:p w14:paraId="576A3568" w14:textId="3775D451"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noWrap/>
            <w:hideMark/>
          </w:tcPr>
          <w:p w14:paraId="208FB51E"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Rwanda</w:t>
            </w:r>
          </w:p>
        </w:tc>
        <w:tc>
          <w:tcPr>
            <w:tcW w:w="1701" w:type="dxa"/>
            <w:tcBorders>
              <w:top w:val="nil"/>
            </w:tcBorders>
            <w:shd w:val="clear" w:color="auto" w:fill="auto"/>
            <w:noWrap/>
            <w:hideMark/>
          </w:tcPr>
          <w:p w14:paraId="44240DAD"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0.003</w:t>
            </w:r>
          </w:p>
        </w:tc>
        <w:tc>
          <w:tcPr>
            <w:tcW w:w="1984" w:type="dxa"/>
            <w:tcBorders>
              <w:top w:val="nil"/>
            </w:tcBorders>
            <w:shd w:val="clear" w:color="auto" w:fill="auto"/>
            <w:noWrap/>
            <w:hideMark/>
          </w:tcPr>
          <w:p w14:paraId="362D6E28"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0.0100</w:t>
            </w:r>
          </w:p>
        </w:tc>
        <w:tc>
          <w:tcPr>
            <w:tcW w:w="1985" w:type="dxa"/>
            <w:tcBorders>
              <w:top w:val="nil"/>
            </w:tcBorders>
            <w:shd w:val="clear" w:color="auto" w:fill="auto"/>
            <w:noWrap/>
            <w:hideMark/>
          </w:tcPr>
          <w:p w14:paraId="07E7B2E0" w14:textId="4B5F391D"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 xml:space="preserve">646 </w:t>
            </w:r>
          </w:p>
        </w:tc>
      </w:tr>
      <w:tr w:rsidR="00290418" w:rsidRPr="00A7082A" w14:paraId="56F6D59F" w14:textId="77777777" w:rsidTr="0095102B">
        <w:trPr>
          <w:trHeight w:val="57"/>
          <w:jc w:val="right"/>
        </w:trPr>
        <w:tc>
          <w:tcPr>
            <w:tcW w:w="709" w:type="dxa"/>
            <w:tcBorders>
              <w:top w:val="nil"/>
            </w:tcBorders>
            <w:shd w:val="clear" w:color="auto" w:fill="auto"/>
            <w:noWrap/>
          </w:tcPr>
          <w:p w14:paraId="6B20EA97" w14:textId="3E5EEAA3"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68D4810A"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Sao Tome and Principe</w:t>
            </w:r>
          </w:p>
        </w:tc>
        <w:tc>
          <w:tcPr>
            <w:tcW w:w="1701" w:type="dxa"/>
            <w:tcBorders>
              <w:top w:val="nil"/>
            </w:tcBorders>
            <w:shd w:val="clear" w:color="auto" w:fill="auto"/>
            <w:noWrap/>
            <w:hideMark/>
          </w:tcPr>
          <w:p w14:paraId="3B6742E9"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0.001</w:t>
            </w:r>
          </w:p>
        </w:tc>
        <w:tc>
          <w:tcPr>
            <w:tcW w:w="1984" w:type="dxa"/>
            <w:tcBorders>
              <w:top w:val="nil"/>
            </w:tcBorders>
            <w:shd w:val="clear" w:color="auto" w:fill="auto"/>
            <w:noWrap/>
            <w:hideMark/>
          </w:tcPr>
          <w:p w14:paraId="037EBC2A"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0.0100</w:t>
            </w:r>
          </w:p>
        </w:tc>
        <w:tc>
          <w:tcPr>
            <w:tcW w:w="1985" w:type="dxa"/>
            <w:tcBorders>
              <w:top w:val="nil"/>
            </w:tcBorders>
            <w:shd w:val="clear" w:color="auto" w:fill="auto"/>
            <w:noWrap/>
            <w:hideMark/>
          </w:tcPr>
          <w:p w14:paraId="300550BB" w14:textId="6363561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 xml:space="preserve">646 </w:t>
            </w:r>
          </w:p>
        </w:tc>
      </w:tr>
      <w:tr w:rsidR="00290418" w:rsidRPr="00A7082A" w14:paraId="5B555CAD" w14:textId="77777777" w:rsidTr="0095102B">
        <w:trPr>
          <w:trHeight w:val="57"/>
          <w:jc w:val="right"/>
        </w:trPr>
        <w:tc>
          <w:tcPr>
            <w:tcW w:w="709" w:type="dxa"/>
            <w:tcBorders>
              <w:top w:val="nil"/>
            </w:tcBorders>
            <w:shd w:val="clear" w:color="auto" w:fill="auto"/>
            <w:noWrap/>
          </w:tcPr>
          <w:p w14:paraId="566E1DBC" w14:textId="5A5C51E5"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noWrap/>
            <w:hideMark/>
          </w:tcPr>
          <w:p w14:paraId="5977A17E"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Senegal</w:t>
            </w:r>
          </w:p>
        </w:tc>
        <w:tc>
          <w:tcPr>
            <w:tcW w:w="1701" w:type="dxa"/>
            <w:tcBorders>
              <w:top w:val="nil"/>
            </w:tcBorders>
            <w:shd w:val="clear" w:color="auto" w:fill="auto"/>
            <w:noWrap/>
            <w:hideMark/>
          </w:tcPr>
          <w:p w14:paraId="5D7B43B3"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0.007</w:t>
            </w:r>
          </w:p>
        </w:tc>
        <w:tc>
          <w:tcPr>
            <w:tcW w:w="1984" w:type="dxa"/>
            <w:tcBorders>
              <w:top w:val="nil"/>
            </w:tcBorders>
            <w:shd w:val="clear" w:color="auto" w:fill="auto"/>
            <w:noWrap/>
            <w:hideMark/>
          </w:tcPr>
          <w:p w14:paraId="5CE11D91"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0.0100</w:t>
            </w:r>
          </w:p>
        </w:tc>
        <w:tc>
          <w:tcPr>
            <w:tcW w:w="1985" w:type="dxa"/>
            <w:tcBorders>
              <w:top w:val="nil"/>
            </w:tcBorders>
            <w:shd w:val="clear" w:color="auto" w:fill="auto"/>
            <w:noWrap/>
            <w:hideMark/>
          </w:tcPr>
          <w:p w14:paraId="433820F6" w14:textId="1606475B"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 xml:space="preserve">646 </w:t>
            </w:r>
          </w:p>
        </w:tc>
      </w:tr>
      <w:tr w:rsidR="00290418" w:rsidRPr="00A7082A" w14:paraId="1810081B" w14:textId="77777777" w:rsidTr="0095102B">
        <w:trPr>
          <w:trHeight w:val="57"/>
          <w:jc w:val="right"/>
        </w:trPr>
        <w:tc>
          <w:tcPr>
            <w:tcW w:w="709" w:type="dxa"/>
            <w:tcBorders>
              <w:top w:val="nil"/>
            </w:tcBorders>
            <w:shd w:val="clear" w:color="auto" w:fill="auto"/>
            <w:noWrap/>
          </w:tcPr>
          <w:p w14:paraId="74D1347B" w14:textId="22BEA080"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18D75882"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Seychelles</w:t>
            </w:r>
          </w:p>
        </w:tc>
        <w:tc>
          <w:tcPr>
            <w:tcW w:w="1701" w:type="dxa"/>
            <w:tcBorders>
              <w:top w:val="nil"/>
            </w:tcBorders>
            <w:shd w:val="clear" w:color="auto" w:fill="auto"/>
            <w:noWrap/>
            <w:hideMark/>
          </w:tcPr>
          <w:p w14:paraId="186B3697"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0.002</w:t>
            </w:r>
          </w:p>
        </w:tc>
        <w:tc>
          <w:tcPr>
            <w:tcW w:w="1984" w:type="dxa"/>
            <w:tcBorders>
              <w:top w:val="nil"/>
            </w:tcBorders>
            <w:shd w:val="clear" w:color="auto" w:fill="auto"/>
            <w:noWrap/>
            <w:hideMark/>
          </w:tcPr>
          <w:p w14:paraId="6419FDA5"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0.0100</w:t>
            </w:r>
          </w:p>
        </w:tc>
        <w:tc>
          <w:tcPr>
            <w:tcW w:w="1985" w:type="dxa"/>
            <w:tcBorders>
              <w:top w:val="nil"/>
            </w:tcBorders>
            <w:shd w:val="clear" w:color="auto" w:fill="auto"/>
            <w:noWrap/>
            <w:hideMark/>
          </w:tcPr>
          <w:p w14:paraId="54248506" w14:textId="79A2D45D"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 xml:space="preserve">646 </w:t>
            </w:r>
          </w:p>
        </w:tc>
      </w:tr>
      <w:tr w:rsidR="00290418" w:rsidRPr="00A7082A" w14:paraId="302C6F5B" w14:textId="77777777" w:rsidTr="0095102B">
        <w:trPr>
          <w:trHeight w:val="57"/>
          <w:jc w:val="right"/>
        </w:trPr>
        <w:tc>
          <w:tcPr>
            <w:tcW w:w="709" w:type="dxa"/>
            <w:tcBorders>
              <w:top w:val="nil"/>
            </w:tcBorders>
            <w:shd w:val="clear" w:color="auto" w:fill="auto"/>
            <w:noWrap/>
          </w:tcPr>
          <w:p w14:paraId="3A13ADE1" w14:textId="06200DF8"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noWrap/>
            <w:hideMark/>
          </w:tcPr>
          <w:p w14:paraId="200261D0"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Sierra Leone</w:t>
            </w:r>
          </w:p>
        </w:tc>
        <w:tc>
          <w:tcPr>
            <w:tcW w:w="1701" w:type="dxa"/>
            <w:tcBorders>
              <w:top w:val="nil"/>
            </w:tcBorders>
            <w:shd w:val="clear" w:color="auto" w:fill="auto"/>
            <w:noWrap/>
            <w:hideMark/>
          </w:tcPr>
          <w:p w14:paraId="166F3092"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0.001</w:t>
            </w:r>
          </w:p>
        </w:tc>
        <w:tc>
          <w:tcPr>
            <w:tcW w:w="1984" w:type="dxa"/>
            <w:tcBorders>
              <w:top w:val="nil"/>
            </w:tcBorders>
            <w:shd w:val="clear" w:color="auto" w:fill="auto"/>
            <w:noWrap/>
            <w:hideMark/>
          </w:tcPr>
          <w:p w14:paraId="42A719DF"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0.0100</w:t>
            </w:r>
          </w:p>
        </w:tc>
        <w:tc>
          <w:tcPr>
            <w:tcW w:w="1985" w:type="dxa"/>
            <w:tcBorders>
              <w:top w:val="nil"/>
            </w:tcBorders>
            <w:shd w:val="clear" w:color="auto" w:fill="auto"/>
            <w:noWrap/>
            <w:hideMark/>
          </w:tcPr>
          <w:p w14:paraId="1F9848C5" w14:textId="187E1CB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 xml:space="preserve">646 </w:t>
            </w:r>
          </w:p>
        </w:tc>
      </w:tr>
      <w:tr w:rsidR="00290418" w:rsidRPr="00A7082A" w14:paraId="7233CFE5" w14:textId="77777777" w:rsidTr="0095102B">
        <w:trPr>
          <w:trHeight w:val="57"/>
          <w:jc w:val="right"/>
        </w:trPr>
        <w:tc>
          <w:tcPr>
            <w:tcW w:w="709" w:type="dxa"/>
            <w:tcBorders>
              <w:top w:val="nil"/>
            </w:tcBorders>
            <w:shd w:val="clear" w:color="auto" w:fill="auto"/>
            <w:noWrap/>
          </w:tcPr>
          <w:p w14:paraId="33B8BBF8" w14:textId="16C490CE"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510FDEA0"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South Africa</w:t>
            </w:r>
          </w:p>
        </w:tc>
        <w:tc>
          <w:tcPr>
            <w:tcW w:w="1701" w:type="dxa"/>
            <w:tcBorders>
              <w:top w:val="nil"/>
            </w:tcBorders>
            <w:shd w:val="clear" w:color="auto" w:fill="auto"/>
            <w:noWrap/>
            <w:hideMark/>
          </w:tcPr>
          <w:p w14:paraId="68DC8F8B"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0.272</w:t>
            </w:r>
          </w:p>
        </w:tc>
        <w:tc>
          <w:tcPr>
            <w:tcW w:w="1984" w:type="dxa"/>
            <w:tcBorders>
              <w:top w:val="nil"/>
            </w:tcBorders>
            <w:shd w:val="clear" w:color="auto" w:fill="auto"/>
            <w:noWrap/>
            <w:hideMark/>
          </w:tcPr>
          <w:p w14:paraId="707BA527"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0.3333</w:t>
            </w:r>
          </w:p>
        </w:tc>
        <w:tc>
          <w:tcPr>
            <w:tcW w:w="1985" w:type="dxa"/>
            <w:tcBorders>
              <w:top w:val="nil"/>
            </w:tcBorders>
            <w:shd w:val="clear" w:color="auto" w:fill="auto"/>
            <w:noWrap/>
            <w:hideMark/>
          </w:tcPr>
          <w:p w14:paraId="527BCB51" w14:textId="113F336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21</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541 </w:t>
            </w:r>
          </w:p>
        </w:tc>
      </w:tr>
      <w:tr w:rsidR="00290418" w:rsidRPr="00A7082A" w14:paraId="5268535B" w14:textId="77777777" w:rsidTr="0095102B">
        <w:trPr>
          <w:trHeight w:val="57"/>
          <w:jc w:val="right"/>
        </w:trPr>
        <w:tc>
          <w:tcPr>
            <w:tcW w:w="709" w:type="dxa"/>
            <w:tcBorders>
              <w:top w:val="nil"/>
            </w:tcBorders>
            <w:shd w:val="clear" w:color="auto" w:fill="auto"/>
            <w:noWrap/>
          </w:tcPr>
          <w:p w14:paraId="48BB6C7E" w14:textId="0DF3DAAC"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noWrap/>
            <w:hideMark/>
          </w:tcPr>
          <w:p w14:paraId="593DF19E"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Togo</w:t>
            </w:r>
          </w:p>
        </w:tc>
        <w:tc>
          <w:tcPr>
            <w:tcW w:w="1701" w:type="dxa"/>
            <w:tcBorders>
              <w:top w:val="nil"/>
            </w:tcBorders>
            <w:shd w:val="clear" w:color="auto" w:fill="auto"/>
            <w:noWrap/>
            <w:hideMark/>
          </w:tcPr>
          <w:p w14:paraId="386B1E0E"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0.002</w:t>
            </w:r>
          </w:p>
        </w:tc>
        <w:tc>
          <w:tcPr>
            <w:tcW w:w="1984" w:type="dxa"/>
            <w:tcBorders>
              <w:top w:val="nil"/>
            </w:tcBorders>
            <w:shd w:val="clear" w:color="auto" w:fill="auto"/>
            <w:noWrap/>
            <w:hideMark/>
          </w:tcPr>
          <w:p w14:paraId="006CC8E5"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0.0100</w:t>
            </w:r>
          </w:p>
        </w:tc>
        <w:tc>
          <w:tcPr>
            <w:tcW w:w="1985" w:type="dxa"/>
            <w:tcBorders>
              <w:top w:val="nil"/>
            </w:tcBorders>
            <w:shd w:val="clear" w:color="auto" w:fill="auto"/>
            <w:noWrap/>
            <w:hideMark/>
          </w:tcPr>
          <w:p w14:paraId="6863A971" w14:textId="20600500"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 xml:space="preserve">646 </w:t>
            </w:r>
          </w:p>
        </w:tc>
      </w:tr>
      <w:tr w:rsidR="00290418" w:rsidRPr="00A7082A" w14:paraId="0E620D6E" w14:textId="77777777" w:rsidTr="0095102B">
        <w:trPr>
          <w:trHeight w:val="57"/>
          <w:jc w:val="right"/>
        </w:trPr>
        <w:tc>
          <w:tcPr>
            <w:tcW w:w="709" w:type="dxa"/>
            <w:tcBorders>
              <w:top w:val="nil"/>
            </w:tcBorders>
            <w:shd w:val="clear" w:color="auto" w:fill="auto"/>
            <w:noWrap/>
          </w:tcPr>
          <w:p w14:paraId="0752A04E" w14:textId="5F18B5ED"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07DC8670"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Uganda</w:t>
            </w:r>
          </w:p>
        </w:tc>
        <w:tc>
          <w:tcPr>
            <w:tcW w:w="1701" w:type="dxa"/>
            <w:tcBorders>
              <w:top w:val="nil"/>
            </w:tcBorders>
            <w:shd w:val="clear" w:color="auto" w:fill="auto"/>
            <w:noWrap/>
            <w:hideMark/>
          </w:tcPr>
          <w:p w14:paraId="321E2FB6"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0.008</w:t>
            </w:r>
          </w:p>
        </w:tc>
        <w:tc>
          <w:tcPr>
            <w:tcW w:w="1984" w:type="dxa"/>
            <w:tcBorders>
              <w:top w:val="nil"/>
            </w:tcBorders>
            <w:shd w:val="clear" w:color="auto" w:fill="auto"/>
            <w:noWrap/>
            <w:hideMark/>
          </w:tcPr>
          <w:p w14:paraId="4B19155C"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0.0100</w:t>
            </w:r>
          </w:p>
        </w:tc>
        <w:tc>
          <w:tcPr>
            <w:tcW w:w="1985" w:type="dxa"/>
            <w:tcBorders>
              <w:top w:val="nil"/>
            </w:tcBorders>
            <w:shd w:val="clear" w:color="auto" w:fill="auto"/>
            <w:noWrap/>
            <w:hideMark/>
          </w:tcPr>
          <w:p w14:paraId="1C5545C3" w14:textId="3361B799"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 xml:space="preserve">646 </w:t>
            </w:r>
          </w:p>
        </w:tc>
      </w:tr>
      <w:tr w:rsidR="00290418" w:rsidRPr="00A7082A" w14:paraId="36B8F65D" w14:textId="77777777" w:rsidTr="0095102B">
        <w:trPr>
          <w:trHeight w:val="57"/>
          <w:jc w:val="right"/>
        </w:trPr>
        <w:tc>
          <w:tcPr>
            <w:tcW w:w="709" w:type="dxa"/>
            <w:tcBorders>
              <w:top w:val="nil"/>
              <w:bottom w:val="single" w:sz="4" w:space="0" w:color="000000" w:themeColor="text1"/>
            </w:tcBorders>
            <w:shd w:val="clear" w:color="auto" w:fill="auto"/>
            <w:noWrap/>
          </w:tcPr>
          <w:p w14:paraId="62A9E24A" w14:textId="52081CD7"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bottom w:val="single" w:sz="4" w:space="0" w:color="000000" w:themeColor="text1"/>
            </w:tcBorders>
            <w:shd w:val="clear" w:color="auto" w:fill="auto"/>
            <w:noWrap/>
            <w:hideMark/>
          </w:tcPr>
          <w:p w14:paraId="2A5B2CF7"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Zambia</w:t>
            </w:r>
          </w:p>
        </w:tc>
        <w:tc>
          <w:tcPr>
            <w:tcW w:w="1701" w:type="dxa"/>
            <w:tcBorders>
              <w:top w:val="nil"/>
              <w:bottom w:val="single" w:sz="4" w:space="0" w:color="000000" w:themeColor="text1"/>
            </w:tcBorders>
            <w:shd w:val="clear" w:color="auto" w:fill="auto"/>
            <w:noWrap/>
            <w:hideMark/>
          </w:tcPr>
          <w:p w14:paraId="06D8D1C8"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0.009</w:t>
            </w:r>
          </w:p>
        </w:tc>
        <w:tc>
          <w:tcPr>
            <w:tcW w:w="1984" w:type="dxa"/>
            <w:tcBorders>
              <w:top w:val="nil"/>
              <w:bottom w:val="single" w:sz="4" w:space="0" w:color="000000" w:themeColor="text1"/>
            </w:tcBorders>
            <w:shd w:val="clear" w:color="auto" w:fill="auto"/>
            <w:noWrap/>
            <w:hideMark/>
          </w:tcPr>
          <w:p w14:paraId="46F49529"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0.0110</w:t>
            </w:r>
          </w:p>
        </w:tc>
        <w:tc>
          <w:tcPr>
            <w:tcW w:w="1985" w:type="dxa"/>
            <w:tcBorders>
              <w:top w:val="nil"/>
              <w:bottom w:val="single" w:sz="4" w:space="0" w:color="000000" w:themeColor="text1"/>
            </w:tcBorders>
            <w:shd w:val="clear" w:color="auto" w:fill="auto"/>
            <w:noWrap/>
            <w:hideMark/>
          </w:tcPr>
          <w:p w14:paraId="300B25E1" w14:textId="39DBE57C"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 xml:space="preserve">713 </w:t>
            </w:r>
          </w:p>
        </w:tc>
      </w:tr>
      <w:tr w:rsidR="00767D30" w:rsidRPr="00A7082A" w14:paraId="7C9321EB" w14:textId="77777777" w:rsidTr="0095102B">
        <w:trPr>
          <w:trHeight w:val="57"/>
          <w:jc w:val="right"/>
        </w:trPr>
        <w:tc>
          <w:tcPr>
            <w:tcW w:w="8931" w:type="dxa"/>
            <w:gridSpan w:val="5"/>
            <w:tcBorders>
              <w:top w:val="single" w:sz="4" w:space="0" w:color="000000" w:themeColor="text1"/>
              <w:bottom w:val="single" w:sz="4" w:space="0" w:color="000000" w:themeColor="text1"/>
            </w:tcBorders>
            <w:shd w:val="clear" w:color="auto" w:fill="auto"/>
            <w:noWrap/>
            <w:hideMark/>
          </w:tcPr>
          <w:p w14:paraId="01859433" w14:textId="6CACB3FA" w:rsidR="00767D30" w:rsidRPr="00A7082A" w:rsidRDefault="00767D30" w:rsidP="00767D30">
            <w:pPr>
              <w:pStyle w:val="ListParagraph"/>
              <w:tabs>
                <w:tab w:val="clear" w:pos="1247"/>
                <w:tab w:val="clear" w:pos="1814"/>
                <w:tab w:val="clear" w:pos="2381"/>
                <w:tab w:val="clear" w:pos="2948"/>
                <w:tab w:val="clear" w:pos="3515"/>
              </w:tabs>
              <w:spacing w:before="40" w:after="40"/>
              <w:ind w:left="57" w:right="57"/>
              <w:rPr>
                <w:rFonts w:asciiTheme="majorBidi" w:hAnsiTheme="majorBidi"/>
                <w:color w:val="000000"/>
                <w:sz w:val="18"/>
              </w:rPr>
            </w:pPr>
            <w:r w:rsidRPr="00A7082A">
              <w:rPr>
                <w:rFonts w:asciiTheme="majorBidi" w:hAnsiTheme="majorBidi"/>
                <w:b/>
                <w:color w:val="000000"/>
                <w:sz w:val="18"/>
              </w:rPr>
              <w:t>Asia-Pacific States (27)</w:t>
            </w:r>
          </w:p>
        </w:tc>
      </w:tr>
      <w:tr w:rsidR="00290418" w:rsidRPr="00A7082A" w14:paraId="344046BE" w14:textId="77777777" w:rsidTr="0095102B">
        <w:trPr>
          <w:trHeight w:val="57"/>
          <w:jc w:val="right"/>
        </w:trPr>
        <w:tc>
          <w:tcPr>
            <w:tcW w:w="709" w:type="dxa"/>
            <w:tcBorders>
              <w:top w:val="single" w:sz="4" w:space="0" w:color="000000" w:themeColor="text1"/>
            </w:tcBorders>
            <w:shd w:val="clear" w:color="auto" w:fill="auto"/>
            <w:noWrap/>
          </w:tcPr>
          <w:p w14:paraId="338939D2" w14:textId="1C47327C"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single" w:sz="4" w:space="0" w:color="000000" w:themeColor="text1"/>
            </w:tcBorders>
            <w:shd w:val="clear" w:color="auto" w:fill="auto"/>
            <w:hideMark/>
          </w:tcPr>
          <w:p w14:paraId="327BFFA3"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Afghanistan</w:t>
            </w:r>
          </w:p>
        </w:tc>
        <w:tc>
          <w:tcPr>
            <w:tcW w:w="1701" w:type="dxa"/>
            <w:tcBorders>
              <w:top w:val="single" w:sz="4" w:space="0" w:color="000000" w:themeColor="text1"/>
            </w:tcBorders>
            <w:shd w:val="clear" w:color="auto" w:fill="auto"/>
            <w:noWrap/>
            <w:hideMark/>
          </w:tcPr>
          <w:p w14:paraId="5A0ADB97"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0.007</w:t>
            </w:r>
          </w:p>
        </w:tc>
        <w:tc>
          <w:tcPr>
            <w:tcW w:w="1984" w:type="dxa"/>
            <w:tcBorders>
              <w:top w:val="single" w:sz="4" w:space="0" w:color="000000" w:themeColor="text1"/>
            </w:tcBorders>
            <w:shd w:val="clear" w:color="auto" w:fill="auto"/>
            <w:noWrap/>
            <w:hideMark/>
          </w:tcPr>
          <w:p w14:paraId="6D9725B7"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0.0100</w:t>
            </w:r>
          </w:p>
        </w:tc>
        <w:tc>
          <w:tcPr>
            <w:tcW w:w="1985" w:type="dxa"/>
            <w:tcBorders>
              <w:top w:val="single" w:sz="4" w:space="0" w:color="000000" w:themeColor="text1"/>
            </w:tcBorders>
            <w:shd w:val="clear" w:color="auto" w:fill="auto"/>
            <w:noWrap/>
            <w:hideMark/>
          </w:tcPr>
          <w:p w14:paraId="5A8ED2F7" w14:textId="31CB6EE8"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 xml:space="preserve">646 </w:t>
            </w:r>
          </w:p>
        </w:tc>
      </w:tr>
      <w:tr w:rsidR="00290418" w:rsidRPr="00A7082A" w14:paraId="4ECFC5C2" w14:textId="77777777" w:rsidTr="0095102B">
        <w:trPr>
          <w:trHeight w:val="57"/>
          <w:jc w:val="right"/>
        </w:trPr>
        <w:tc>
          <w:tcPr>
            <w:tcW w:w="709" w:type="dxa"/>
            <w:tcBorders>
              <w:top w:val="nil"/>
            </w:tcBorders>
            <w:shd w:val="clear" w:color="auto" w:fill="auto"/>
            <w:noWrap/>
          </w:tcPr>
          <w:p w14:paraId="20E6A7EA" w14:textId="7268725F"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noWrap/>
            <w:hideMark/>
          </w:tcPr>
          <w:p w14:paraId="4BC47B06"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China</w:t>
            </w:r>
          </w:p>
        </w:tc>
        <w:tc>
          <w:tcPr>
            <w:tcW w:w="1701" w:type="dxa"/>
            <w:tcBorders>
              <w:top w:val="nil"/>
            </w:tcBorders>
            <w:shd w:val="clear" w:color="auto" w:fill="auto"/>
            <w:noWrap/>
            <w:hideMark/>
          </w:tcPr>
          <w:p w14:paraId="4BB065CD"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12.005</w:t>
            </w:r>
          </w:p>
        </w:tc>
        <w:tc>
          <w:tcPr>
            <w:tcW w:w="1984" w:type="dxa"/>
            <w:tcBorders>
              <w:top w:val="nil"/>
            </w:tcBorders>
            <w:shd w:val="clear" w:color="auto" w:fill="auto"/>
            <w:noWrap/>
            <w:hideMark/>
          </w:tcPr>
          <w:p w14:paraId="493E5465"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14.7103</w:t>
            </w:r>
          </w:p>
        </w:tc>
        <w:tc>
          <w:tcPr>
            <w:tcW w:w="1985" w:type="dxa"/>
            <w:tcBorders>
              <w:top w:val="nil"/>
            </w:tcBorders>
            <w:shd w:val="clear" w:color="auto" w:fill="auto"/>
            <w:noWrap/>
            <w:hideMark/>
          </w:tcPr>
          <w:p w14:paraId="7738883F" w14:textId="4855CB69"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950</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747 </w:t>
            </w:r>
          </w:p>
        </w:tc>
      </w:tr>
      <w:tr w:rsidR="00290418" w:rsidRPr="00A7082A" w14:paraId="0737F071" w14:textId="77777777" w:rsidTr="0095102B">
        <w:trPr>
          <w:trHeight w:val="57"/>
          <w:jc w:val="right"/>
        </w:trPr>
        <w:tc>
          <w:tcPr>
            <w:tcW w:w="709" w:type="dxa"/>
            <w:tcBorders>
              <w:top w:val="nil"/>
            </w:tcBorders>
            <w:shd w:val="clear" w:color="auto" w:fill="auto"/>
            <w:noWrap/>
          </w:tcPr>
          <w:p w14:paraId="13E27A79" w14:textId="2BF8909D"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72812302"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India</w:t>
            </w:r>
          </w:p>
        </w:tc>
        <w:tc>
          <w:tcPr>
            <w:tcW w:w="1701" w:type="dxa"/>
            <w:tcBorders>
              <w:top w:val="nil"/>
            </w:tcBorders>
            <w:shd w:val="clear" w:color="auto" w:fill="auto"/>
            <w:noWrap/>
            <w:hideMark/>
          </w:tcPr>
          <w:p w14:paraId="5F2906A0"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0.834</w:t>
            </w:r>
          </w:p>
        </w:tc>
        <w:tc>
          <w:tcPr>
            <w:tcW w:w="1984" w:type="dxa"/>
            <w:tcBorders>
              <w:top w:val="nil"/>
            </w:tcBorders>
            <w:shd w:val="clear" w:color="auto" w:fill="auto"/>
            <w:noWrap/>
            <w:hideMark/>
          </w:tcPr>
          <w:p w14:paraId="43F00E8D"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1.0219</w:t>
            </w:r>
          </w:p>
        </w:tc>
        <w:tc>
          <w:tcPr>
            <w:tcW w:w="1985" w:type="dxa"/>
            <w:tcBorders>
              <w:top w:val="nil"/>
            </w:tcBorders>
            <w:shd w:val="clear" w:color="auto" w:fill="auto"/>
            <w:noWrap/>
            <w:hideMark/>
          </w:tcPr>
          <w:p w14:paraId="6B6B1CAC" w14:textId="695CB150"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66</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049 </w:t>
            </w:r>
          </w:p>
        </w:tc>
      </w:tr>
      <w:tr w:rsidR="00290418" w:rsidRPr="00A7082A" w14:paraId="06E090B6" w14:textId="77777777" w:rsidTr="0095102B">
        <w:trPr>
          <w:trHeight w:val="57"/>
          <w:jc w:val="right"/>
        </w:trPr>
        <w:tc>
          <w:tcPr>
            <w:tcW w:w="709" w:type="dxa"/>
            <w:tcBorders>
              <w:top w:val="nil"/>
            </w:tcBorders>
            <w:shd w:val="clear" w:color="auto" w:fill="auto"/>
            <w:noWrap/>
          </w:tcPr>
          <w:p w14:paraId="080FDF91" w14:textId="79D0924D"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noWrap/>
            <w:hideMark/>
          </w:tcPr>
          <w:p w14:paraId="64008036"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Indonesia</w:t>
            </w:r>
          </w:p>
        </w:tc>
        <w:tc>
          <w:tcPr>
            <w:tcW w:w="1701" w:type="dxa"/>
            <w:tcBorders>
              <w:top w:val="nil"/>
            </w:tcBorders>
            <w:shd w:val="clear" w:color="auto" w:fill="auto"/>
            <w:noWrap/>
            <w:hideMark/>
          </w:tcPr>
          <w:p w14:paraId="02437CD9"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0.543</w:t>
            </w:r>
          </w:p>
        </w:tc>
        <w:tc>
          <w:tcPr>
            <w:tcW w:w="1984" w:type="dxa"/>
            <w:tcBorders>
              <w:top w:val="nil"/>
            </w:tcBorders>
            <w:shd w:val="clear" w:color="auto" w:fill="auto"/>
            <w:noWrap/>
            <w:hideMark/>
          </w:tcPr>
          <w:p w14:paraId="72195384"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0.6654</w:t>
            </w:r>
          </w:p>
        </w:tc>
        <w:tc>
          <w:tcPr>
            <w:tcW w:w="1985" w:type="dxa"/>
            <w:tcBorders>
              <w:top w:val="nil"/>
            </w:tcBorders>
            <w:shd w:val="clear" w:color="auto" w:fill="auto"/>
            <w:noWrap/>
            <w:hideMark/>
          </w:tcPr>
          <w:p w14:paraId="50A5E21F" w14:textId="389920EF"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43</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003 </w:t>
            </w:r>
          </w:p>
        </w:tc>
      </w:tr>
      <w:tr w:rsidR="00290418" w:rsidRPr="00A7082A" w14:paraId="40E15AB0" w14:textId="77777777" w:rsidTr="0095102B">
        <w:trPr>
          <w:trHeight w:val="57"/>
          <w:jc w:val="right"/>
        </w:trPr>
        <w:tc>
          <w:tcPr>
            <w:tcW w:w="709" w:type="dxa"/>
            <w:tcBorders>
              <w:top w:val="nil"/>
            </w:tcBorders>
            <w:shd w:val="clear" w:color="auto" w:fill="auto"/>
            <w:noWrap/>
          </w:tcPr>
          <w:p w14:paraId="701C5A99" w14:textId="518987D0"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0ACCA08A"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Iran (Islamic Republic of)</w:t>
            </w:r>
          </w:p>
        </w:tc>
        <w:tc>
          <w:tcPr>
            <w:tcW w:w="1701" w:type="dxa"/>
            <w:tcBorders>
              <w:top w:val="nil"/>
            </w:tcBorders>
            <w:shd w:val="clear" w:color="auto" w:fill="auto"/>
            <w:noWrap/>
            <w:hideMark/>
          </w:tcPr>
          <w:p w14:paraId="67377279"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0.398</w:t>
            </w:r>
          </w:p>
        </w:tc>
        <w:tc>
          <w:tcPr>
            <w:tcW w:w="1984" w:type="dxa"/>
            <w:tcBorders>
              <w:top w:val="nil"/>
            </w:tcBorders>
            <w:shd w:val="clear" w:color="auto" w:fill="auto"/>
            <w:noWrap/>
            <w:hideMark/>
          </w:tcPr>
          <w:p w14:paraId="552F6977"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0.4877</w:t>
            </w:r>
          </w:p>
        </w:tc>
        <w:tc>
          <w:tcPr>
            <w:tcW w:w="1985" w:type="dxa"/>
            <w:tcBorders>
              <w:top w:val="nil"/>
            </w:tcBorders>
            <w:shd w:val="clear" w:color="auto" w:fill="auto"/>
            <w:noWrap/>
            <w:hideMark/>
          </w:tcPr>
          <w:p w14:paraId="16EDEE72" w14:textId="0E87C77F"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31</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520 </w:t>
            </w:r>
          </w:p>
        </w:tc>
      </w:tr>
      <w:tr w:rsidR="00290418" w:rsidRPr="00A7082A" w14:paraId="4071E5D1" w14:textId="77777777" w:rsidTr="0095102B">
        <w:trPr>
          <w:trHeight w:val="57"/>
          <w:jc w:val="right"/>
        </w:trPr>
        <w:tc>
          <w:tcPr>
            <w:tcW w:w="709" w:type="dxa"/>
            <w:tcBorders>
              <w:top w:val="nil"/>
            </w:tcBorders>
            <w:shd w:val="clear" w:color="auto" w:fill="auto"/>
            <w:noWrap/>
          </w:tcPr>
          <w:p w14:paraId="2060F286" w14:textId="242C0983"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noWrap/>
            <w:hideMark/>
          </w:tcPr>
          <w:p w14:paraId="4244B753"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Japan</w:t>
            </w:r>
          </w:p>
        </w:tc>
        <w:tc>
          <w:tcPr>
            <w:tcW w:w="1701" w:type="dxa"/>
            <w:tcBorders>
              <w:top w:val="nil"/>
            </w:tcBorders>
            <w:shd w:val="clear" w:color="auto" w:fill="auto"/>
            <w:noWrap/>
            <w:hideMark/>
          </w:tcPr>
          <w:p w14:paraId="6139D147"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8.564</w:t>
            </w:r>
          </w:p>
        </w:tc>
        <w:tc>
          <w:tcPr>
            <w:tcW w:w="1984" w:type="dxa"/>
            <w:tcBorders>
              <w:top w:val="nil"/>
            </w:tcBorders>
            <w:shd w:val="clear" w:color="auto" w:fill="auto"/>
            <w:noWrap/>
            <w:hideMark/>
          </w:tcPr>
          <w:p w14:paraId="021E80BD"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10.4939</w:t>
            </w:r>
          </w:p>
        </w:tc>
        <w:tc>
          <w:tcPr>
            <w:tcW w:w="1985" w:type="dxa"/>
            <w:tcBorders>
              <w:top w:val="nil"/>
            </w:tcBorders>
            <w:shd w:val="clear" w:color="auto" w:fill="auto"/>
            <w:noWrap/>
            <w:hideMark/>
          </w:tcPr>
          <w:p w14:paraId="673D945F" w14:textId="42680083"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678</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234 </w:t>
            </w:r>
          </w:p>
        </w:tc>
      </w:tr>
      <w:tr w:rsidR="00290418" w:rsidRPr="00A7082A" w14:paraId="0671DF27" w14:textId="77777777" w:rsidTr="0095102B">
        <w:trPr>
          <w:trHeight w:val="57"/>
          <w:jc w:val="right"/>
        </w:trPr>
        <w:tc>
          <w:tcPr>
            <w:tcW w:w="709" w:type="dxa"/>
            <w:tcBorders>
              <w:top w:val="nil"/>
            </w:tcBorders>
            <w:shd w:val="clear" w:color="auto" w:fill="auto"/>
            <w:noWrap/>
          </w:tcPr>
          <w:p w14:paraId="6C8A6395" w14:textId="48759CFD"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141B311C"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Jordan</w:t>
            </w:r>
          </w:p>
        </w:tc>
        <w:tc>
          <w:tcPr>
            <w:tcW w:w="1701" w:type="dxa"/>
            <w:tcBorders>
              <w:top w:val="nil"/>
            </w:tcBorders>
            <w:shd w:val="clear" w:color="auto" w:fill="auto"/>
            <w:noWrap/>
            <w:hideMark/>
          </w:tcPr>
          <w:p w14:paraId="7237BAE3"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0.021</w:t>
            </w:r>
          </w:p>
        </w:tc>
        <w:tc>
          <w:tcPr>
            <w:tcW w:w="1984" w:type="dxa"/>
            <w:tcBorders>
              <w:top w:val="nil"/>
            </w:tcBorders>
            <w:shd w:val="clear" w:color="auto" w:fill="auto"/>
            <w:noWrap/>
            <w:hideMark/>
          </w:tcPr>
          <w:p w14:paraId="5F098DC0"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0.0257</w:t>
            </w:r>
          </w:p>
        </w:tc>
        <w:tc>
          <w:tcPr>
            <w:tcW w:w="1985" w:type="dxa"/>
            <w:tcBorders>
              <w:top w:val="nil"/>
            </w:tcBorders>
            <w:shd w:val="clear" w:color="auto" w:fill="auto"/>
            <w:noWrap/>
            <w:hideMark/>
          </w:tcPr>
          <w:p w14:paraId="0C8FDF30" w14:textId="36187FB0"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1</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663 </w:t>
            </w:r>
          </w:p>
        </w:tc>
      </w:tr>
      <w:tr w:rsidR="00290418" w:rsidRPr="00A7082A" w14:paraId="0D76FC07" w14:textId="77777777" w:rsidTr="0095102B">
        <w:trPr>
          <w:trHeight w:val="57"/>
          <w:jc w:val="right"/>
        </w:trPr>
        <w:tc>
          <w:tcPr>
            <w:tcW w:w="709" w:type="dxa"/>
            <w:tcBorders>
              <w:top w:val="nil"/>
            </w:tcBorders>
            <w:shd w:val="clear" w:color="auto" w:fill="auto"/>
            <w:noWrap/>
          </w:tcPr>
          <w:p w14:paraId="598A7CCF" w14:textId="63146ACD"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noWrap/>
            <w:hideMark/>
          </w:tcPr>
          <w:p w14:paraId="30E30065"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Kiribati</w:t>
            </w:r>
          </w:p>
        </w:tc>
        <w:tc>
          <w:tcPr>
            <w:tcW w:w="1701" w:type="dxa"/>
            <w:tcBorders>
              <w:top w:val="nil"/>
            </w:tcBorders>
            <w:shd w:val="clear" w:color="auto" w:fill="auto"/>
            <w:noWrap/>
            <w:hideMark/>
          </w:tcPr>
          <w:p w14:paraId="0F92EB73"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0.001</w:t>
            </w:r>
          </w:p>
        </w:tc>
        <w:tc>
          <w:tcPr>
            <w:tcW w:w="1984" w:type="dxa"/>
            <w:tcBorders>
              <w:top w:val="nil"/>
            </w:tcBorders>
            <w:shd w:val="clear" w:color="auto" w:fill="auto"/>
            <w:noWrap/>
            <w:hideMark/>
          </w:tcPr>
          <w:p w14:paraId="125F5C91"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0.0100</w:t>
            </w:r>
          </w:p>
        </w:tc>
        <w:tc>
          <w:tcPr>
            <w:tcW w:w="1985" w:type="dxa"/>
            <w:tcBorders>
              <w:top w:val="nil"/>
            </w:tcBorders>
            <w:shd w:val="clear" w:color="auto" w:fill="auto"/>
            <w:noWrap/>
            <w:hideMark/>
          </w:tcPr>
          <w:p w14:paraId="6F6EEC95" w14:textId="6E3B2D5A"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 xml:space="preserve">646 </w:t>
            </w:r>
          </w:p>
        </w:tc>
      </w:tr>
      <w:tr w:rsidR="00290418" w:rsidRPr="00A7082A" w14:paraId="59CF403E" w14:textId="77777777" w:rsidTr="0095102B">
        <w:trPr>
          <w:trHeight w:val="57"/>
          <w:jc w:val="right"/>
        </w:trPr>
        <w:tc>
          <w:tcPr>
            <w:tcW w:w="709" w:type="dxa"/>
            <w:tcBorders>
              <w:top w:val="nil"/>
            </w:tcBorders>
            <w:shd w:val="clear" w:color="auto" w:fill="auto"/>
            <w:noWrap/>
          </w:tcPr>
          <w:p w14:paraId="07F3016D" w14:textId="215232F6"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noWrap/>
            <w:hideMark/>
          </w:tcPr>
          <w:p w14:paraId="108A560B"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Kuwait</w:t>
            </w:r>
          </w:p>
        </w:tc>
        <w:tc>
          <w:tcPr>
            <w:tcW w:w="1701" w:type="dxa"/>
            <w:tcBorders>
              <w:top w:val="nil"/>
            </w:tcBorders>
            <w:shd w:val="clear" w:color="auto" w:fill="auto"/>
            <w:noWrap/>
            <w:hideMark/>
          </w:tcPr>
          <w:p w14:paraId="26139440"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0.252</w:t>
            </w:r>
          </w:p>
        </w:tc>
        <w:tc>
          <w:tcPr>
            <w:tcW w:w="1984" w:type="dxa"/>
            <w:tcBorders>
              <w:top w:val="nil"/>
            </w:tcBorders>
            <w:shd w:val="clear" w:color="auto" w:fill="auto"/>
            <w:noWrap/>
            <w:hideMark/>
          </w:tcPr>
          <w:p w14:paraId="582B3430"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0.3088</w:t>
            </w:r>
          </w:p>
        </w:tc>
        <w:tc>
          <w:tcPr>
            <w:tcW w:w="1985" w:type="dxa"/>
            <w:tcBorders>
              <w:top w:val="nil"/>
            </w:tcBorders>
            <w:shd w:val="clear" w:color="auto" w:fill="auto"/>
            <w:noWrap/>
            <w:hideMark/>
          </w:tcPr>
          <w:p w14:paraId="0C7E0695" w14:textId="7E948CBC"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19</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957 </w:t>
            </w:r>
          </w:p>
        </w:tc>
      </w:tr>
      <w:tr w:rsidR="00290418" w:rsidRPr="00A7082A" w14:paraId="72F31A84" w14:textId="77777777" w:rsidTr="0095102B">
        <w:trPr>
          <w:trHeight w:val="57"/>
          <w:jc w:val="right"/>
        </w:trPr>
        <w:tc>
          <w:tcPr>
            <w:tcW w:w="709" w:type="dxa"/>
            <w:tcBorders>
              <w:top w:val="nil"/>
            </w:tcBorders>
            <w:shd w:val="clear" w:color="auto" w:fill="auto"/>
            <w:noWrap/>
          </w:tcPr>
          <w:p w14:paraId="7EE07A9D" w14:textId="6979BDD6"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noWrap/>
            <w:hideMark/>
          </w:tcPr>
          <w:p w14:paraId="04CCCF0D"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Lao People's Democratic Republic</w:t>
            </w:r>
          </w:p>
        </w:tc>
        <w:tc>
          <w:tcPr>
            <w:tcW w:w="1701" w:type="dxa"/>
            <w:tcBorders>
              <w:top w:val="nil"/>
            </w:tcBorders>
            <w:shd w:val="clear" w:color="auto" w:fill="auto"/>
            <w:noWrap/>
            <w:hideMark/>
          </w:tcPr>
          <w:p w14:paraId="402FDC7F"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0.005</w:t>
            </w:r>
          </w:p>
        </w:tc>
        <w:tc>
          <w:tcPr>
            <w:tcW w:w="1984" w:type="dxa"/>
            <w:tcBorders>
              <w:top w:val="nil"/>
            </w:tcBorders>
            <w:shd w:val="clear" w:color="auto" w:fill="auto"/>
            <w:noWrap/>
            <w:hideMark/>
          </w:tcPr>
          <w:p w14:paraId="072AC583"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0.0100</w:t>
            </w:r>
          </w:p>
        </w:tc>
        <w:tc>
          <w:tcPr>
            <w:tcW w:w="1985" w:type="dxa"/>
            <w:tcBorders>
              <w:top w:val="nil"/>
            </w:tcBorders>
            <w:shd w:val="clear" w:color="auto" w:fill="auto"/>
            <w:noWrap/>
            <w:hideMark/>
          </w:tcPr>
          <w:p w14:paraId="0EE7F01C" w14:textId="4B036A20"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 xml:space="preserve">646 </w:t>
            </w:r>
          </w:p>
        </w:tc>
      </w:tr>
      <w:tr w:rsidR="00290418" w:rsidRPr="00A7082A" w14:paraId="26E040E8" w14:textId="77777777" w:rsidTr="0095102B">
        <w:trPr>
          <w:trHeight w:val="57"/>
          <w:jc w:val="right"/>
        </w:trPr>
        <w:tc>
          <w:tcPr>
            <w:tcW w:w="709" w:type="dxa"/>
            <w:tcBorders>
              <w:top w:val="nil"/>
            </w:tcBorders>
            <w:shd w:val="clear" w:color="auto" w:fill="auto"/>
            <w:noWrap/>
          </w:tcPr>
          <w:p w14:paraId="734D2A91" w14:textId="7E74BCF7"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noWrap/>
            <w:hideMark/>
          </w:tcPr>
          <w:p w14:paraId="7266FD2D"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Lebanon</w:t>
            </w:r>
          </w:p>
        </w:tc>
        <w:tc>
          <w:tcPr>
            <w:tcW w:w="1701" w:type="dxa"/>
            <w:tcBorders>
              <w:top w:val="nil"/>
            </w:tcBorders>
            <w:shd w:val="clear" w:color="auto" w:fill="auto"/>
            <w:noWrap/>
            <w:hideMark/>
          </w:tcPr>
          <w:p w14:paraId="740B94F7"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0.047</w:t>
            </w:r>
          </w:p>
        </w:tc>
        <w:tc>
          <w:tcPr>
            <w:tcW w:w="1984" w:type="dxa"/>
            <w:tcBorders>
              <w:top w:val="nil"/>
            </w:tcBorders>
            <w:shd w:val="clear" w:color="auto" w:fill="auto"/>
            <w:noWrap/>
            <w:hideMark/>
          </w:tcPr>
          <w:p w14:paraId="7B5EBE0A"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0.0576</w:t>
            </w:r>
          </w:p>
        </w:tc>
        <w:tc>
          <w:tcPr>
            <w:tcW w:w="1985" w:type="dxa"/>
            <w:tcBorders>
              <w:top w:val="nil"/>
            </w:tcBorders>
            <w:shd w:val="clear" w:color="auto" w:fill="auto"/>
            <w:noWrap/>
            <w:hideMark/>
          </w:tcPr>
          <w:p w14:paraId="7CAD7EA3" w14:textId="27129C35"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3</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722 </w:t>
            </w:r>
          </w:p>
        </w:tc>
      </w:tr>
      <w:tr w:rsidR="00290418" w:rsidRPr="00A7082A" w14:paraId="6F135C67" w14:textId="77777777" w:rsidTr="0095102B">
        <w:trPr>
          <w:trHeight w:val="57"/>
          <w:jc w:val="right"/>
        </w:trPr>
        <w:tc>
          <w:tcPr>
            <w:tcW w:w="709" w:type="dxa"/>
            <w:tcBorders>
              <w:top w:val="nil"/>
            </w:tcBorders>
            <w:shd w:val="clear" w:color="auto" w:fill="auto"/>
            <w:noWrap/>
          </w:tcPr>
          <w:p w14:paraId="0426CA58" w14:textId="5F824418"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noWrap/>
            <w:hideMark/>
          </w:tcPr>
          <w:p w14:paraId="5F2D3F13"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Marshall Islands</w:t>
            </w:r>
          </w:p>
        </w:tc>
        <w:tc>
          <w:tcPr>
            <w:tcW w:w="1701" w:type="dxa"/>
            <w:tcBorders>
              <w:top w:val="nil"/>
            </w:tcBorders>
            <w:shd w:val="clear" w:color="auto" w:fill="auto"/>
            <w:noWrap/>
            <w:hideMark/>
          </w:tcPr>
          <w:p w14:paraId="65D9A314"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0.001</w:t>
            </w:r>
          </w:p>
        </w:tc>
        <w:tc>
          <w:tcPr>
            <w:tcW w:w="1984" w:type="dxa"/>
            <w:tcBorders>
              <w:top w:val="nil"/>
            </w:tcBorders>
            <w:shd w:val="clear" w:color="auto" w:fill="auto"/>
            <w:noWrap/>
            <w:hideMark/>
          </w:tcPr>
          <w:p w14:paraId="695214AC"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0.0100</w:t>
            </w:r>
          </w:p>
        </w:tc>
        <w:tc>
          <w:tcPr>
            <w:tcW w:w="1985" w:type="dxa"/>
            <w:tcBorders>
              <w:top w:val="nil"/>
            </w:tcBorders>
            <w:shd w:val="clear" w:color="auto" w:fill="auto"/>
            <w:noWrap/>
            <w:hideMark/>
          </w:tcPr>
          <w:p w14:paraId="0CF00598" w14:textId="2A5DA354"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 xml:space="preserve">646 </w:t>
            </w:r>
          </w:p>
        </w:tc>
      </w:tr>
      <w:tr w:rsidR="00290418" w:rsidRPr="00A7082A" w14:paraId="1B644672" w14:textId="77777777" w:rsidTr="0095102B">
        <w:trPr>
          <w:trHeight w:val="57"/>
          <w:jc w:val="right"/>
        </w:trPr>
        <w:tc>
          <w:tcPr>
            <w:tcW w:w="709" w:type="dxa"/>
            <w:tcBorders>
              <w:top w:val="nil"/>
            </w:tcBorders>
            <w:shd w:val="clear" w:color="auto" w:fill="auto"/>
            <w:noWrap/>
          </w:tcPr>
          <w:p w14:paraId="54CCC07F" w14:textId="237B2A02"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noWrap/>
            <w:hideMark/>
          </w:tcPr>
          <w:p w14:paraId="4E01A353"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Mongolia</w:t>
            </w:r>
          </w:p>
        </w:tc>
        <w:tc>
          <w:tcPr>
            <w:tcW w:w="1701" w:type="dxa"/>
            <w:tcBorders>
              <w:top w:val="nil"/>
            </w:tcBorders>
            <w:shd w:val="clear" w:color="auto" w:fill="auto"/>
            <w:noWrap/>
            <w:hideMark/>
          </w:tcPr>
          <w:p w14:paraId="2FE3832A"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0.005</w:t>
            </w:r>
          </w:p>
        </w:tc>
        <w:tc>
          <w:tcPr>
            <w:tcW w:w="1984" w:type="dxa"/>
            <w:tcBorders>
              <w:top w:val="nil"/>
            </w:tcBorders>
            <w:shd w:val="clear" w:color="auto" w:fill="auto"/>
            <w:noWrap/>
            <w:hideMark/>
          </w:tcPr>
          <w:p w14:paraId="462BBE32"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0.0100</w:t>
            </w:r>
          </w:p>
        </w:tc>
        <w:tc>
          <w:tcPr>
            <w:tcW w:w="1985" w:type="dxa"/>
            <w:tcBorders>
              <w:top w:val="nil"/>
            </w:tcBorders>
            <w:shd w:val="clear" w:color="auto" w:fill="auto"/>
            <w:noWrap/>
            <w:hideMark/>
          </w:tcPr>
          <w:p w14:paraId="172C5923" w14:textId="564E561E"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 xml:space="preserve">646 </w:t>
            </w:r>
          </w:p>
        </w:tc>
      </w:tr>
      <w:tr w:rsidR="00290418" w:rsidRPr="00A7082A" w14:paraId="0F679AB1" w14:textId="77777777" w:rsidTr="0095102B">
        <w:trPr>
          <w:trHeight w:val="57"/>
          <w:jc w:val="right"/>
        </w:trPr>
        <w:tc>
          <w:tcPr>
            <w:tcW w:w="709" w:type="dxa"/>
            <w:tcBorders>
              <w:top w:val="nil"/>
            </w:tcBorders>
            <w:shd w:val="clear" w:color="auto" w:fill="auto"/>
            <w:noWrap/>
          </w:tcPr>
          <w:p w14:paraId="70EF35C3" w14:textId="470747AC"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noWrap/>
            <w:hideMark/>
          </w:tcPr>
          <w:p w14:paraId="23EE7C71"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Palau</w:t>
            </w:r>
          </w:p>
        </w:tc>
        <w:tc>
          <w:tcPr>
            <w:tcW w:w="1701" w:type="dxa"/>
            <w:tcBorders>
              <w:top w:val="nil"/>
            </w:tcBorders>
            <w:shd w:val="clear" w:color="auto" w:fill="auto"/>
            <w:noWrap/>
            <w:hideMark/>
          </w:tcPr>
          <w:p w14:paraId="0F28C59C"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0.001</w:t>
            </w:r>
          </w:p>
        </w:tc>
        <w:tc>
          <w:tcPr>
            <w:tcW w:w="1984" w:type="dxa"/>
            <w:tcBorders>
              <w:top w:val="nil"/>
            </w:tcBorders>
            <w:shd w:val="clear" w:color="auto" w:fill="auto"/>
            <w:noWrap/>
            <w:hideMark/>
          </w:tcPr>
          <w:p w14:paraId="2A319AE2"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0.0100</w:t>
            </w:r>
          </w:p>
        </w:tc>
        <w:tc>
          <w:tcPr>
            <w:tcW w:w="1985" w:type="dxa"/>
            <w:tcBorders>
              <w:top w:val="nil"/>
            </w:tcBorders>
            <w:shd w:val="clear" w:color="auto" w:fill="auto"/>
            <w:noWrap/>
            <w:hideMark/>
          </w:tcPr>
          <w:p w14:paraId="4C0FA632" w14:textId="6D28DBF8"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 xml:space="preserve">646 </w:t>
            </w:r>
          </w:p>
        </w:tc>
      </w:tr>
      <w:tr w:rsidR="0045134A" w:rsidRPr="00A7082A" w14:paraId="7A2AFE2B" w14:textId="77777777" w:rsidTr="0095102B">
        <w:trPr>
          <w:trHeight w:val="57"/>
          <w:jc w:val="right"/>
        </w:trPr>
        <w:tc>
          <w:tcPr>
            <w:tcW w:w="709" w:type="dxa"/>
            <w:tcBorders>
              <w:top w:val="nil"/>
            </w:tcBorders>
            <w:shd w:val="clear" w:color="auto" w:fill="auto"/>
            <w:noWrap/>
          </w:tcPr>
          <w:p w14:paraId="7CE4D9A1" w14:textId="7D556D1E" w:rsidR="0045134A" w:rsidRPr="00A7082A" w:rsidRDefault="0045134A"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noWrap/>
          </w:tcPr>
          <w:p w14:paraId="727DFA55" w14:textId="6EE01701" w:rsidR="0045134A" w:rsidRPr="00A7082A" w:rsidRDefault="0045134A" w:rsidP="0045134A">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 xml:space="preserve">Republic of Korea </w:t>
            </w:r>
          </w:p>
        </w:tc>
        <w:tc>
          <w:tcPr>
            <w:tcW w:w="1701" w:type="dxa"/>
            <w:tcBorders>
              <w:top w:val="nil"/>
            </w:tcBorders>
            <w:shd w:val="clear" w:color="auto" w:fill="auto"/>
            <w:noWrap/>
          </w:tcPr>
          <w:p w14:paraId="65F99107" w14:textId="18FD9198" w:rsidR="0045134A" w:rsidRPr="00A7082A" w:rsidRDefault="0045134A" w:rsidP="0045134A">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2.267</w:t>
            </w:r>
          </w:p>
        </w:tc>
        <w:tc>
          <w:tcPr>
            <w:tcW w:w="1984" w:type="dxa"/>
            <w:tcBorders>
              <w:top w:val="nil"/>
            </w:tcBorders>
            <w:shd w:val="clear" w:color="auto" w:fill="auto"/>
            <w:noWrap/>
          </w:tcPr>
          <w:p w14:paraId="323DA704" w14:textId="52C733FB" w:rsidR="0045134A" w:rsidRPr="00A7082A" w:rsidRDefault="0045134A" w:rsidP="0045134A">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2.7779</w:t>
            </w:r>
          </w:p>
        </w:tc>
        <w:tc>
          <w:tcPr>
            <w:tcW w:w="1985" w:type="dxa"/>
            <w:tcBorders>
              <w:top w:val="nil"/>
            </w:tcBorders>
            <w:shd w:val="clear" w:color="auto" w:fill="auto"/>
            <w:noWrap/>
          </w:tcPr>
          <w:p w14:paraId="023D0665" w14:textId="3F221420" w:rsidR="0045134A" w:rsidRPr="00A7082A" w:rsidRDefault="0045134A" w:rsidP="0045134A">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 xml:space="preserve">179 537 </w:t>
            </w:r>
          </w:p>
        </w:tc>
      </w:tr>
      <w:tr w:rsidR="00290418" w:rsidRPr="00A7082A" w14:paraId="67A6AE3B" w14:textId="77777777" w:rsidTr="0095102B">
        <w:trPr>
          <w:trHeight w:val="57"/>
          <w:jc w:val="right"/>
        </w:trPr>
        <w:tc>
          <w:tcPr>
            <w:tcW w:w="709" w:type="dxa"/>
            <w:tcBorders>
              <w:top w:val="nil"/>
            </w:tcBorders>
            <w:shd w:val="clear" w:color="auto" w:fill="auto"/>
            <w:noWrap/>
          </w:tcPr>
          <w:p w14:paraId="7CEC1B19" w14:textId="51481DB8"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noWrap/>
            <w:hideMark/>
          </w:tcPr>
          <w:p w14:paraId="08D87796"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Samoa</w:t>
            </w:r>
          </w:p>
        </w:tc>
        <w:tc>
          <w:tcPr>
            <w:tcW w:w="1701" w:type="dxa"/>
            <w:tcBorders>
              <w:top w:val="nil"/>
            </w:tcBorders>
            <w:shd w:val="clear" w:color="auto" w:fill="auto"/>
            <w:noWrap/>
            <w:hideMark/>
          </w:tcPr>
          <w:p w14:paraId="73705F60"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0.001</w:t>
            </w:r>
          </w:p>
        </w:tc>
        <w:tc>
          <w:tcPr>
            <w:tcW w:w="1984" w:type="dxa"/>
            <w:tcBorders>
              <w:top w:val="nil"/>
            </w:tcBorders>
            <w:shd w:val="clear" w:color="auto" w:fill="auto"/>
            <w:noWrap/>
            <w:hideMark/>
          </w:tcPr>
          <w:p w14:paraId="3907D452"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0.0100</w:t>
            </w:r>
          </w:p>
        </w:tc>
        <w:tc>
          <w:tcPr>
            <w:tcW w:w="1985" w:type="dxa"/>
            <w:tcBorders>
              <w:top w:val="nil"/>
            </w:tcBorders>
            <w:shd w:val="clear" w:color="auto" w:fill="auto"/>
            <w:noWrap/>
            <w:hideMark/>
          </w:tcPr>
          <w:p w14:paraId="7C691DBC" w14:textId="289FBF0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 xml:space="preserve">646 </w:t>
            </w:r>
          </w:p>
        </w:tc>
      </w:tr>
      <w:tr w:rsidR="00290418" w:rsidRPr="00A7082A" w14:paraId="3CA495A1" w14:textId="77777777" w:rsidTr="0095102B">
        <w:trPr>
          <w:trHeight w:val="57"/>
          <w:jc w:val="right"/>
        </w:trPr>
        <w:tc>
          <w:tcPr>
            <w:tcW w:w="709" w:type="dxa"/>
            <w:tcBorders>
              <w:top w:val="nil"/>
            </w:tcBorders>
            <w:shd w:val="clear" w:color="auto" w:fill="auto"/>
            <w:noWrap/>
          </w:tcPr>
          <w:p w14:paraId="0076EDDF" w14:textId="56A90591"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noWrap/>
            <w:hideMark/>
          </w:tcPr>
          <w:p w14:paraId="6D902EB8"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Saudi Arabia</w:t>
            </w:r>
          </w:p>
        </w:tc>
        <w:tc>
          <w:tcPr>
            <w:tcW w:w="1701" w:type="dxa"/>
            <w:tcBorders>
              <w:top w:val="nil"/>
            </w:tcBorders>
            <w:shd w:val="clear" w:color="auto" w:fill="auto"/>
            <w:noWrap/>
            <w:hideMark/>
          </w:tcPr>
          <w:p w14:paraId="4F5D3737"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1.172</w:t>
            </w:r>
          </w:p>
        </w:tc>
        <w:tc>
          <w:tcPr>
            <w:tcW w:w="1984" w:type="dxa"/>
            <w:tcBorders>
              <w:top w:val="nil"/>
            </w:tcBorders>
            <w:shd w:val="clear" w:color="auto" w:fill="auto"/>
            <w:noWrap/>
            <w:hideMark/>
          </w:tcPr>
          <w:p w14:paraId="461C0D6D"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1.4361</w:t>
            </w:r>
          </w:p>
        </w:tc>
        <w:tc>
          <w:tcPr>
            <w:tcW w:w="1985" w:type="dxa"/>
            <w:tcBorders>
              <w:top w:val="nil"/>
            </w:tcBorders>
            <w:shd w:val="clear" w:color="auto" w:fill="auto"/>
            <w:noWrap/>
            <w:hideMark/>
          </w:tcPr>
          <w:p w14:paraId="3D3BDD46" w14:textId="404288F4"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92</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818 </w:t>
            </w:r>
          </w:p>
        </w:tc>
      </w:tr>
      <w:tr w:rsidR="00290418" w:rsidRPr="00A7082A" w14:paraId="5475290D" w14:textId="77777777" w:rsidTr="0095102B">
        <w:trPr>
          <w:trHeight w:val="57"/>
          <w:jc w:val="right"/>
        </w:trPr>
        <w:tc>
          <w:tcPr>
            <w:tcW w:w="709" w:type="dxa"/>
            <w:tcBorders>
              <w:top w:val="nil"/>
            </w:tcBorders>
            <w:shd w:val="clear" w:color="auto" w:fill="auto"/>
            <w:noWrap/>
          </w:tcPr>
          <w:p w14:paraId="110D1B1B" w14:textId="2D4770D5"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noWrap/>
            <w:hideMark/>
          </w:tcPr>
          <w:p w14:paraId="3ED59793"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Singapore</w:t>
            </w:r>
          </w:p>
        </w:tc>
        <w:tc>
          <w:tcPr>
            <w:tcW w:w="1701" w:type="dxa"/>
            <w:tcBorders>
              <w:top w:val="nil"/>
            </w:tcBorders>
            <w:shd w:val="clear" w:color="auto" w:fill="auto"/>
            <w:noWrap/>
            <w:hideMark/>
          </w:tcPr>
          <w:p w14:paraId="2324C828"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0.485</w:t>
            </w:r>
          </w:p>
        </w:tc>
        <w:tc>
          <w:tcPr>
            <w:tcW w:w="1984" w:type="dxa"/>
            <w:tcBorders>
              <w:top w:val="nil"/>
            </w:tcBorders>
            <w:shd w:val="clear" w:color="auto" w:fill="auto"/>
            <w:noWrap/>
            <w:hideMark/>
          </w:tcPr>
          <w:p w14:paraId="551F73A2"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0.5943</w:t>
            </w:r>
          </w:p>
        </w:tc>
        <w:tc>
          <w:tcPr>
            <w:tcW w:w="1985" w:type="dxa"/>
            <w:tcBorders>
              <w:top w:val="nil"/>
            </w:tcBorders>
            <w:shd w:val="clear" w:color="auto" w:fill="auto"/>
            <w:noWrap/>
            <w:hideMark/>
          </w:tcPr>
          <w:p w14:paraId="32A3E42C" w14:textId="5B5401BB"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38</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410 </w:t>
            </w:r>
          </w:p>
        </w:tc>
      </w:tr>
      <w:tr w:rsidR="00290418" w:rsidRPr="00A7082A" w14:paraId="7F810E89" w14:textId="77777777" w:rsidTr="0095102B">
        <w:trPr>
          <w:trHeight w:val="57"/>
          <w:jc w:val="right"/>
        </w:trPr>
        <w:tc>
          <w:tcPr>
            <w:tcW w:w="709" w:type="dxa"/>
            <w:tcBorders>
              <w:top w:val="nil"/>
            </w:tcBorders>
            <w:shd w:val="clear" w:color="auto" w:fill="auto"/>
            <w:noWrap/>
          </w:tcPr>
          <w:p w14:paraId="2DB4B2FD" w14:textId="28C05719"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noWrap/>
            <w:hideMark/>
          </w:tcPr>
          <w:p w14:paraId="08435088"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Sri Lanka</w:t>
            </w:r>
          </w:p>
        </w:tc>
        <w:tc>
          <w:tcPr>
            <w:tcW w:w="1701" w:type="dxa"/>
            <w:tcBorders>
              <w:top w:val="nil"/>
            </w:tcBorders>
            <w:shd w:val="clear" w:color="auto" w:fill="auto"/>
            <w:noWrap/>
            <w:hideMark/>
          </w:tcPr>
          <w:p w14:paraId="197522DD"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0.044</w:t>
            </w:r>
          </w:p>
        </w:tc>
        <w:tc>
          <w:tcPr>
            <w:tcW w:w="1984" w:type="dxa"/>
            <w:tcBorders>
              <w:top w:val="nil"/>
            </w:tcBorders>
            <w:shd w:val="clear" w:color="auto" w:fill="auto"/>
            <w:noWrap/>
            <w:hideMark/>
          </w:tcPr>
          <w:p w14:paraId="3DC72744"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0.0539</w:t>
            </w:r>
          </w:p>
        </w:tc>
        <w:tc>
          <w:tcPr>
            <w:tcW w:w="1985" w:type="dxa"/>
            <w:tcBorders>
              <w:top w:val="nil"/>
            </w:tcBorders>
            <w:shd w:val="clear" w:color="auto" w:fill="auto"/>
            <w:noWrap/>
            <w:hideMark/>
          </w:tcPr>
          <w:p w14:paraId="1C3A3146" w14:textId="3A30996A"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3</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485 </w:t>
            </w:r>
          </w:p>
        </w:tc>
      </w:tr>
      <w:tr w:rsidR="0045134A" w:rsidRPr="00A7082A" w14:paraId="4E3B3103" w14:textId="77777777" w:rsidTr="0095102B">
        <w:trPr>
          <w:trHeight w:val="57"/>
          <w:jc w:val="right"/>
        </w:trPr>
        <w:tc>
          <w:tcPr>
            <w:tcW w:w="709" w:type="dxa"/>
            <w:tcBorders>
              <w:top w:val="nil"/>
            </w:tcBorders>
            <w:shd w:val="clear" w:color="auto" w:fill="auto"/>
            <w:noWrap/>
          </w:tcPr>
          <w:p w14:paraId="4D2C7A6E" w14:textId="75DA2B00" w:rsidR="0045134A" w:rsidRPr="00A7082A" w:rsidRDefault="0045134A"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noWrap/>
          </w:tcPr>
          <w:p w14:paraId="3E619A63" w14:textId="25DF6937" w:rsidR="0045134A" w:rsidRPr="00A7082A" w:rsidRDefault="0045134A" w:rsidP="0045134A">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State of Palestine</w:t>
            </w:r>
            <w:r w:rsidRPr="00A7082A">
              <w:rPr>
                <w:rFonts w:asciiTheme="majorBidi" w:hAnsiTheme="majorBidi"/>
                <w:color w:val="000000"/>
                <w:sz w:val="18"/>
                <w:highlight w:val="cyan"/>
              </w:rPr>
              <w:t xml:space="preserve"> </w:t>
            </w:r>
          </w:p>
        </w:tc>
        <w:tc>
          <w:tcPr>
            <w:tcW w:w="1701" w:type="dxa"/>
            <w:tcBorders>
              <w:top w:val="nil"/>
            </w:tcBorders>
            <w:shd w:val="clear" w:color="auto" w:fill="auto"/>
            <w:noWrap/>
          </w:tcPr>
          <w:p w14:paraId="416CAC4B" w14:textId="18B91E2D" w:rsidR="0045134A" w:rsidRPr="00A7082A" w:rsidRDefault="0045134A" w:rsidP="0045134A">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0.008</w:t>
            </w:r>
          </w:p>
        </w:tc>
        <w:tc>
          <w:tcPr>
            <w:tcW w:w="1984" w:type="dxa"/>
            <w:tcBorders>
              <w:top w:val="nil"/>
            </w:tcBorders>
            <w:shd w:val="clear" w:color="auto" w:fill="auto"/>
            <w:noWrap/>
          </w:tcPr>
          <w:p w14:paraId="011A9B68" w14:textId="10C76876" w:rsidR="0045134A" w:rsidRPr="00A7082A" w:rsidRDefault="0045134A" w:rsidP="0045134A">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0.0100</w:t>
            </w:r>
          </w:p>
        </w:tc>
        <w:tc>
          <w:tcPr>
            <w:tcW w:w="1985" w:type="dxa"/>
            <w:tcBorders>
              <w:top w:val="nil"/>
            </w:tcBorders>
            <w:shd w:val="clear" w:color="auto" w:fill="auto"/>
            <w:noWrap/>
          </w:tcPr>
          <w:p w14:paraId="74C8964E" w14:textId="4CFF2E9D" w:rsidR="0045134A" w:rsidRPr="00A7082A" w:rsidRDefault="0045134A" w:rsidP="0045134A">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 xml:space="preserve">646 </w:t>
            </w:r>
          </w:p>
        </w:tc>
      </w:tr>
      <w:tr w:rsidR="00290418" w:rsidRPr="00A7082A" w14:paraId="733EF630" w14:textId="77777777" w:rsidTr="0095102B">
        <w:trPr>
          <w:trHeight w:val="57"/>
          <w:jc w:val="right"/>
        </w:trPr>
        <w:tc>
          <w:tcPr>
            <w:tcW w:w="709" w:type="dxa"/>
            <w:tcBorders>
              <w:top w:val="nil"/>
            </w:tcBorders>
            <w:shd w:val="clear" w:color="auto" w:fill="auto"/>
            <w:noWrap/>
          </w:tcPr>
          <w:p w14:paraId="1517A23F" w14:textId="4DB0A5CC"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noWrap/>
            <w:hideMark/>
          </w:tcPr>
          <w:p w14:paraId="46B803C2"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Syrian Arab Republic</w:t>
            </w:r>
          </w:p>
        </w:tc>
        <w:tc>
          <w:tcPr>
            <w:tcW w:w="1701" w:type="dxa"/>
            <w:tcBorders>
              <w:top w:val="nil"/>
            </w:tcBorders>
            <w:shd w:val="clear" w:color="auto" w:fill="auto"/>
            <w:noWrap/>
            <w:hideMark/>
          </w:tcPr>
          <w:p w14:paraId="1C74FE26"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0.011</w:t>
            </w:r>
          </w:p>
        </w:tc>
        <w:tc>
          <w:tcPr>
            <w:tcW w:w="1984" w:type="dxa"/>
            <w:tcBorders>
              <w:top w:val="nil"/>
            </w:tcBorders>
            <w:shd w:val="clear" w:color="auto" w:fill="auto"/>
            <w:noWrap/>
            <w:hideMark/>
          </w:tcPr>
          <w:p w14:paraId="4F46B505"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0.0135</w:t>
            </w:r>
          </w:p>
        </w:tc>
        <w:tc>
          <w:tcPr>
            <w:tcW w:w="1985" w:type="dxa"/>
            <w:tcBorders>
              <w:top w:val="nil"/>
            </w:tcBorders>
            <w:shd w:val="clear" w:color="auto" w:fill="auto"/>
            <w:noWrap/>
            <w:hideMark/>
          </w:tcPr>
          <w:p w14:paraId="669B6A04" w14:textId="154BFD32"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 xml:space="preserve">871 </w:t>
            </w:r>
          </w:p>
        </w:tc>
      </w:tr>
      <w:tr w:rsidR="00290418" w:rsidRPr="00A7082A" w14:paraId="770470F1" w14:textId="77777777" w:rsidTr="0095102B">
        <w:trPr>
          <w:trHeight w:val="57"/>
          <w:jc w:val="right"/>
        </w:trPr>
        <w:tc>
          <w:tcPr>
            <w:tcW w:w="709" w:type="dxa"/>
            <w:tcBorders>
              <w:top w:val="nil"/>
            </w:tcBorders>
            <w:shd w:val="clear" w:color="auto" w:fill="auto"/>
            <w:noWrap/>
          </w:tcPr>
          <w:p w14:paraId="51778E5E" w14:textId="0CD55443"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noWrap/>
            <w:hideMark/>
          </w:tcPr>
          <w:p w14:paraId="729D7A98"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Thailand</w:t>
            </w:r>
          </w:p>
        </w:tc>
        <w:tc>
          <w:tcPr>
            <w:tcW w:w="1701" w:type="dxa"/>
            <w:tcBorders>
              <w:top w:val="nil"/>
            </w:tcBorders>
            <w:shd w:val="clear" w:color="auto" w:fill="auto"/>
            <w:noWrap/>
            <w:hideMark/>
          </w:tcPr>
          <w:p w14:paraId="1E75203E"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0.307</w:t>
            </w:r>
          </w:p>
        </w:tc>
        <w:tc>
          <w:tcPr>
            <w:tcW w:w="1984" w:type="dxa"/>
            <w:tcBorders>
              <w:top w:val="nil"/>
            </w:tcBorders>
            <w:shd w:val="clear" w:color="auto" w:fill="auto"/>
            <w:noWrap/>
            <w:hideMark/>
          </w:tcPr>
          <w:p w14:paraId="0E62AA4A"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0.3762</w:t>
            </w:r>
          </w:p>
        </w:tc>
        <w:tc>
          <w:tcPr>
            <w:tcW w:w="1985" w:type="dxa"/>
            <w:tcBorders>
              <w:top w:val="nil"/>
            </w:tcBorders>
            <w:shd w:val="clear" w:color="auto" w:fill="auto"/>
            <w:noWrap/>
            <w:hideMark/>
          </w:tcPr>
          <w:p w14:paraId="7A2BA276" w14:textId="3E69E83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24</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313 </w:t>
            </w:r>
          </w:p>
        </w:tc>
      </w:tr>
      <w:tr w:rsidR="00290418" w:rsidRPr="00A7082A" w14:paraId="272461B3" w14:textId="77777777" w:rsidTr="0095102B">
        <w:trPr>
          <w:trHeight w:val="57"/>
          <w:jc w:val="right"/>
        </w:trPr>
        <w:tc>
          <w:tcPr>
            <w:tcW w:w="709" w:type="dxa"/>
            <w:tcBorders>
              <w:top w:val="nil"/>
            </w:tcBorders>
            <w:shd w:val="clear" w:color="auto" w:fill="auto"/>
            <w:noWrap/>
          </w:tcPr>
          <w:p w14:paraId="006DB2EF" w14:textId="6F0E36F3"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noWrap/>
            <w:hideMark/>
          </w:tcPr>
          <w:p w14:paraId="0B76252A"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Tonga</w:t>
            </w:r>
          </w:p>
        </w:tc>
        <w:tc>
          <w:tcPr>
            <w:tcW w:w="1701" w:type="dxa"/>
            <w:tcBorders>
              <w:top w:val="nil"/>
            </w:tcBorders>
            <w:shd w:val="clear" w:color="auto" w:fill="auto"/>
            <w:noWrap/>
            <w:hideMark/>
          </w:tcPr>
          <w:p w14:paraId="4E7C616C"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0.001</w:t>
            </w:r>
          </w:p>
        </w:tc>
        <w:tc>
          <w:tcPr>
            <w:tcW w:w="1984" w:type="dxa"/>
            <w:tcBorders>
              <w:top w:val="nil"/>
            </w:tcBorders>
            <w:shd w:val="clear" w:color="auto" w:fill="auto"/>
            <w:noWrap/>
            <w:hideMark/>
          </w:tcPr>
          <w:p w14:paraId="14B2552D"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0.0100</w:t>
            </w:r>
          </w:p>
        </w:tc>
        <w:tc>
          <w:tcPr>
            <w:tcW w:w="1985" w:type="dxa"/>
            <w:tcBorders>
              <w:top w:val="nil"/>
            </w:tcBorders>
            <w:shd w:val="clear" w:color="auto" w:fill="auto"/>
            <w:noWrap/>
            <w:hideMark/>
          </w:tcPr>
          <w:p w14:paraId="187A4E8E" w14:textId="7F084F25"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 xml:space="preserve">646 </w:t>
            </w:r>
          </w:p>
        </w:tc>
      </w:tr>
      <w:tr w:rsidR="00290418" w:rsidRPr="00A7082A" w14:paraId="198A951A" w14:textId="77777777" w:rsidTr="0095102B">
        <w:trPr>
          <w:trHeight w:val="57"/>
          <w:jc w:val="right"/>
        </w:trPr>
        <w:tc>
          <w:tcPr>
            <w:tcW w:w="709" w:type="dxa"/>
            <w:tcBorders>
              <w:top w:val="nil"/>
            </w:tcBorders>
            <w:shd w:val="clear" w:color="auto" w:fill="auto"/>
            <w:noWrap/>
          </w:tcPr>
          <w:p w14:paraId="39C4C7C6" w14:textId="0F5EF35A"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noWrap/>
            <w:hideMark/>
          </w:tcPr>
          <w:p w14:paraId="4D30D62A"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Tuvalu</w:t>
            </w:r>
          </w:p>
        </w:tc>
        <w:tc>
          <w:tcPr>
            <w:tcW w:w="1701" w:type="dxa"/>
            <w:tcBorders>
              <w:top w:val="nil"/>
            </w:tcBorders>
            <w:shd w:val="clear" w:color="auto" w:fill="auto"/>
            <w:noWrap/>
            <w:hideMark/>
          </w:tcPr>
          <w:p w14:paraId="6594DDED"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0.001</w:t>
            </w:r>
          </w:p>
        </w:tc>
        <w:tc>
          <w:tcPr>
            <w:tcW w:w="1984" w:type="dxa"/>
            <w:tcBorders>
              <w:top w:val="nil"/>
            </w:tcBorders>
            <w:shd w:val="clear" w:color="auto" w:fill="auto"/>
            <w:noWrap/>
            <w:hideMark/>
          </w:tcPr>
          <w:p w14:paraId="1B12B0AE"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0.0100</w:t>
            </w:r>
          </w:p>
        </w:tc>
        <w:tc>
          <w:tcPr>
            <w:tcW w:w="1985" w:type="dxa"/>
            <w:tcBorders>
              <w:top w:val="nil"/>
            </w:tcBorders>
            <w:shd w:val="clear" w:color="auto" w:fill="auto"/>
            <w:noWrap/>
            <w:hideMark/>
          </w:tcPr>
          <w:p w14:paraId="3710C60C" w14:textId="1FCED2EB"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 xml:space="preserve">646 </w:t>
            </w:r>
          </w:p>
        </w:tc>
      </w:tr>
      <w:tr w:rsidR="00290418" w:rsidRPr="00A7082A" w14:paraId="1BCFAD2D" w14:textId="77777777" w:rsidTr="0095102B">
        <w:trPr>
          <w:trHeight w:val="57"/>
          <w:jc w:val="right"/>
        </w:trPr>
        <w:tc>
          <w:tcPr>
            <w:tcW w:w="709" w:type="dxa"/>
            <w:tcBorders>
              <w:top w:val="nil"/>
            </w:tcBorders>
            <w:shd w:val="clear" w:color="auto" w:fill="auto"/>
            <w:noWrap/>
          </w:tcPr>
          <w:p w14:paraId="7486B8A5" w14:textId="48AA8CE6"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noWrap/>
            <w:hideMark/>
          </w:tcPr>
          <w:p w14:paraId="6F66869A"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United Arab Emirates</w:t>
            </w:r>
          </w:p>
        </w:tc>
        <w:tc>
          <w:tcPr>
            <w:tcW w:w="1701" w:type="dxa"/>
            <w:tcBorders>
              <w:top w:val="nil"/>
            </w:tcBorders>
            <w:shd w:val="clear" w:color="auto" w:fill="auto"/>
            <w:noWrap/>
            <w:hideMark/>
          </w:tcPr>
          <w:p w14:paraId="4B46BB1B"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0.616</w:t>
            </w:r>
          </w:p>
        </w:tc>
        <w:tc>
          <w:tcPr>
            <w:tcW w:w="1984" w:type="dxa"/>
            <w:tcBorders>
              <w:top w:val="nil"/>
            </w:tcBorders>
            <w:shd w:val="clear" w:color="auto" w:fill="auto"/>
            <w:noWrap/>
            <w:hideMark/>
          </w:tcPr>
          <w:p w14:paraId="7384C9B5"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0.7548</w:t>
            </w:r>
          </w:p>
        </w:tc>
        <w:tc>
          <w:tcPr>
            <w:tcW w:w="1985" w:type="dxa"/>
            <w:tcBorders>
              <w:top w:val="nil"/>
            </w:tcBorders>
            <w:shd w:val="clear" w:color="auto" w:fill="auto"/>
            <w:noWrap/>
            <w:hideMark/>
          </w:tcPr>
          <w:p w14:paraId="483B08DC" w14:textId="2F3BBA3D"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48</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785 </w:t>
            </w:r>
          </w:p>
        </w:tc>
      </w:tr>
      <w:tr w:rsidR="00290418" w:rsidRPr="00A7082A" w14:paraId="4ABB827D" w14:textId="77777777" w:rsidTr="0095102B">
        <w:trPr>
          <w:trHeight w:val="57"/>
          <w:jc w:val="right"/>
        </w:trPr>
        <w:tc>
          <w:tcPr>
            <w:tcW w:w="709" w:type="dxa"/>
            <w:tcBorders>
              <w:top w:val="nil"/>
            </w:tcBorders>
            <w:shd w:val="clear" w:color="auto" w:fill="auto"/>
            <w:noWrap/>
          </w:tcPr>
          <w:p w14:paraId="0933553E" w14:textId="51EC3F27"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noWrap/>
            <w:hideMark/>
          </w:tcPr>
          <w:p w14:paraId="1159E05A"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Vanuatu</w:t>
            </w:r>
          </w:p>
        </w:tc>
        <w:tc>
          <w:tcPr>
            <w:tcW w:w="1701" w:type="dxa"/>
            <w:tcBorders>
              <w:top w:val="nil"/>
            </w:tcBorders>
            <w:shd w:val="clear" w:color="auto" w:fill="auto"/>
            <w:noWrap/>
            <w:hideMark/>
          </w:tcPr>
          <w:p w14:paraId="40009258"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0.001</w:t>
            </w:r>
          </w:p>
        </w:tc>
        <w:tc>
          <w:tcPr>
            <w:tcW w:w="1984" w:type="dxa"/>
            <w:tcBorders>
              <w:top w:val="nil"/>
            </w:tcBorders>
            <w:shd w:val="clear" w:color="auto" w:fill="auto"/>
            <w:noWrap/>
            <w:hideMark/>
          </w:tcPr>
          <w:p w14:paraId="70FB15E7"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0.0100</w:t>
            </w:r>
          </w:p>
        </w:tc>
        <w:tc>
          <w:tcPr>
            <w:tcW w:w="1985" w:type="dxa"/>
            <w:tcBorders>
              <w:top w:val="nil"/>
            </w:tcBorders>
            <w:shd w:val="clear" w:color="auto" w:fill="auto"/>
            <w:noWrap/>
            <w:hideMark/>
          </w:tcPr>
          <w:p w14:paraId="6B843A3F" w14:textId="28A263E2"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 xml:space="preserve">646 </w:t>
            </w:r>
          </w:p>
        </w:tc>
      </w:tr>
      <w:tr w:rsidR="00290418" w:rsidRPr="00A7082A" w14:paraId="3158C73D" w14:textId="77777777" w:rsidTr="0095102B">
        <w:trPr>
          <w:trHeight w:val="57"/>
          <w:jc w:val="right"/>
        </w:trPr>
        <w:tc>
          <w:tcPr>
            <w:tcW w:w="709" w:type="dxa"/>
            <w:tcBorders>
              <w:top w:val="nil"/>
              <w:bottom w:val="single" w:sz="4" w:space="0" w:color="000000" w:themeColor="text1"/>
            </w:tcBorders>
            <w:shd w:val="clear" w:color="auto" w:fill="auto"/>
            <w:noWrap/>
          </w:tcPr>
          <w:p w14:paraId="1689DC24" w14:textId="6F3F8EB6"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bottom w:val="single" w:sz="4" w:space="0" w:color="000000" w:themeColor="text1"/>
            </w:tcBorders>
            <w:shd w:val="clear" w:color="auto" w:fill="auto"/>
            <w:noWrap/>
            <w:hideMark/>
          </w:tcPr>
          <w:p w14:paraId="41CF05AE"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Viet Nam</w:t>
            </w:r>
          </w:p>
        </w:tc>
        <w:tc>
          <w:tcPr>
            <w:tcW w:w="1701" w:type="dxa"/>
            <w:tcBorders>
              <w:top w:val="nil"/>
              <w:bottom w:val="single" w:sz="4" w:space="0" w:color="000000" w:themeColor="text1"/>
            </w:tcBorders>
            <w:shd w:val="clear" w:color="auto" w:fill="auto"/>
            <w:noWrap/>
            <w:hideMark/>
          </w:tcPr>
          <w:p w14:paraId="3E19AB51"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0.077</w:t>
            </w:r>
          </w:p>
        </w:tc>
        <w:tc>
          <w:tcPr>
            <w:tcW w:w="1984" w:type="dxa"/>
            <w:tcBorders>
              <w:top w:val="nil"/>
              <w:bottom w:val="single" w:sz="4" w:space="0" w:color="000000" w:themeColor="text1"/>
            </w:tcBorders>
            <w:shd w:val="clear" w:color="auto" w:fill="auto"/>
            <w:noWrap/>
            <w:hideMark/>
          </w:tcPr>
          <w:p w14:paraId="79CE2AB9"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0.0944</w:t>
            </w:r>
          </w:p>
        </w:tc>
        <w:tc>
          <w:tcPr>
            <w:tcW w:w="1985" w:type="dxa"/>
            <w:tcBorders>
              <w:top w:val="nil"/>
              <w:bottom w:val="single" w:sz="4" w:space="0" w:color="000000" w:themeColor="text1"/>
            </w:tcBorders>
            <w:shd w:val="clear" w:color="auto" w:fill="auto"/>
            <w:noWrap/>
            <w:hideMark/>
          </w:tcPr>
          <w:p w14:paraId="7549F56A" w14:textId="3A380EC2"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6</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098 </w:t>
            </w:r>
          </w:p>
        </w:tc>
      </w:tr>
      <w:tr w:rsidR="00290418" w:rsidRPr="00A7082A" w14:paraId="77046630" w14:textId="77777777" w:rsidTr="0095102B">
        <w:trPr>
          <w:trHeight w:val="57"/>
          <w:jc w:val="right"/>
        </w:trPr>
        <w:tc>
          <w:tcPr>
            <w:tcW w:w="8931" w:type="dxa"/>
            <w:gridSpan w:val="5"/>
            <w:tcBorders>
              <w:top w:val="single" w:sz="4" w:space="0" w:color="000000" w:themeColor="text1"/>
              <w:bottom w:val="single" w:sz="4" w:space="0" w:color="000000" w:themeColor="text1"/>
            </w:tcBorders>
            <w:shd w:val="clear" w:color="auto" w:fill="auto"/>
            <w:noWrap/>
            <w:hideMark/>
          </w:tcPr>
          <w:p w14:paraId="35E04002" w14:textId="76142E6A" w:rsidR="00290418" w:rsidRPr="00A7082A" w:rsidRDefault="006B3037" w:rsidP="00024235">
            <w:pPr>
              <w:pStyle w:val="ListParagraph"/>
              <w:tabs>
                <w:tab w:val="clear" w:pos="1247"/>
                <w:tab w:val="clear" w:pos="1814"/>
                <w:tab w:val="clear" w:pos="2381"/>
                <w:tab w:val="clear" w:pos="2948"/>
                <w:tab w:val="clear" w:pos="3515"/>
              </w:tabs>
              <w:spacing w:before="40" w:after="40"/>
              <w:ind w:left="57" w:right="57"/>
              <w:rPr>
                <w:rFonts w:asciiTheme="majorBidi" w:hAnsiTheme="majorBidi"/>
                <w:b/>
                <w:color w:val="000000"/>
                <w:sz w:val="18"/>
              </w:rPr>
            </w:pPr>
            <w:r w:rsidRPr="00A7082A">
              <w:rPr>
                <w:rFonts w:asciiTheme="majorBidi" w:hAnsiTheme="majorBidi"/>
                <w:b/>
                <w:color w:val="000000"/>
                <w:sz w:val="18"/>
              </w:rPr>
              <w:t>Central and Eastern European States (</w:t>
            </w:r>
            <w:r w:rsidR="00290418" w:rsidRPr="00A7082A">
              <w:rPr>
                <w:rFonts w:asciiTheme="majorBidi" w:hAnsiTheme="majorBidi"/>
                <w:b/>
                <w:color w:val="000000"/>
                <w:sz w:val="18"/>
              </w:rPr>
              <w:t>13)</w:t>
            </w:r>
          </w:p>
        </w:tc>
      </w:tr>
      <w:tr w:rsidR="00290418" w:rsidRPr="00A7082A" w14:paraId="56714334" w14:textId="77777777" w:rsidTr="0095102B">
        <w:trPr>
          <w:trHeight w:val="57"/>
          <w:jc w:val="right"/>
        </w:trPr>
        <w:tc>
          <w:tcPr>
            <w:tcW w:w="709" w:type="dxa"/>
            <w:tcBorders>
              <w:top w:val="single" w:sz="4" w:space="0" w:color="000000" w:themeColor="text1"/>
            </w:tcBorders>
            <w:shd w:val="clear" w:color="auto" w:fill="auto"/>
            <w:noWrap/>
          </w:tcPr>
          <w:p w14:paraId="7ED13AFE" w14:textId="7452CA42"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single" w:sz="4" w:space="0" w:color="000000" w:themeColor="text1"/>
            </w:tcBorders>
            <w:shd w:val="clear" w:color="auto" w:fill="auto"/>
            <w:noWrap/>
            <w:hideMark/>
          </w:tcPr>
          <w:p w14:paraId="3BD11058"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Armenia</w:t>
            </w:r>
          </w:p>
        </w:tc>
        <w:tc>
          <w:tcPr>
            <w:tcW w:w="1701" w:type="dxa"/>
            <w:tcBorders>
              <w:top w:val="single" w:sz="4" w:space="0" w:color="000000" w:themeColor="text1"/>
            </w:tcBorders>
            <w:shd w:val="clear" w:color="auto" w:fill="auto"/>
            <w:noWrap/>
            <w:hideMark/>
          </w:tcPr>
          <w:p w14:paraId="5E6CD35D"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0.007</w:t>
            </w:r>
          </w:p>
        </w:tc>
        <w:tc>
          <w:tcPr>
            <w:tcW w:w="1984" w:type="dxa"/>
            <w:tcBorders>
              <w:top w:val="single" w:sz="4" w:space="0" w:color="000000" w:themeColor="text1"/>
            </w:tcBorders>
            <w:shd w:val="clear" w:color="auto" w:fill="auto"/>
            <w:noWrap/>
            <w:hideMark/>
          </w:tcPr>
          <w:p w14:paraId="0FF576FF"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0.0100</w:t>
            </w:r>
          </w:p>
        </w:tc>
        <w:tc>
          <w:tcPr>
            <w:tcW w:w="1985" w:type="dxa"/>
            <w:tcBorders>
              <w:top w:val="single" w:sz="4" w:space="0" w:color="000000" w:themeColor="text1"/>
            </w:tcBorders>
            <w:shd w:val="clear" w:color="auto" w:fill="auto"/>
            <w:noWrap/>
            <w:hideMark/>
          </w:tcPr>
          <w:p w14:paraId="56E2D0CE" w14:textId="5D952851"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 xml:space="preserve">646 </w:t>
            </w:r>
          </w:p>
        </w:tc>
      </w:tr>
      <w:tr w:rsidR="00290418" w:rsidRPr="00A7082A" w14:paraId="1B2C4FC2" w14:textId="77777777" w:rsidTr="0095102B">
        <w:trPr>
          <w:trHeight w:val="57"/>
          <w:jc w:val="right"/>
        </w:trPr>
        <w:tc>
          <w:tcPr>
            <w:tcW w:w="709" w:type="dxa"/>
            <w:tcBorders>
              <w:top w:val="nil"/>
            </w:tcBorders>
            <w:shd w:val="clear" w:color="auto" w:fill="auto"/>
            <w:noWrap/>
          </w:tcPr>
          <w:p w14:paraId="522C0FF6" w14:textId="272646C8"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7F6D23AF"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Bulgaria</w:t>
            </w:r>
          </w:p>
        </w:tc>
        <w:tc>
          <w:tcPr>
            <w:tcW w:w="1701" w:type="dxa"/>
            <w:tcBorders>
              <w:top w:val="nil"/>
            </w:tcBorders>
            <w:shd w:val="clear" w:color="auto" w:fill="auto"/>
            <w:noWrap/>
            <w:hideMark/>
          </w:tcPr>
          <w:p w14:paraId="18FEF02E"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0.046</w:t>
            </w:r>
          </w:p>
        </w:tc>
        <w:tc>
          <w:tcPr>
            <w:tcW w:w="1984" w:type="dxa"/>
            <w:tcBorders>
              <w:top w:val="nil"/>
            </w:tcBorders>
            <w:shd w:val="clear" w:color="auto" w:fill="auto"/>
            <w:noWrap/>
            <w:hideMark/>
          </w:tcPr>
          <w:p w14:paraId="0750D514"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0.0564</w:t>
            </w:r>
          </w:p>
        </w:tc>
        <w:tc>
          <w:tcPr>
            <w:tcW w:w="1985" w:type="dxa"/>
            <w:tcBorders>
              <w:top w:val="nil"/>
            </w:tcBorders>
            <w:shd w:val="clear" w:color="auto" w:fill="auto"/>
            <w:noWrap/>
            <w:hideMark/>
          </w:tcPr>
          <w:p w14:paraId="430B14DE" w14:textId="67EFCA92"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3</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643 </w:t>
            </w:r>
          </w:p>
        </w:tc>
      </w:tr>
      <w:tr w:rsidR="00290418" w:rsidRPr="00A7082A" w14:paraId="77DB8FD6" w14:textId="77777777" w:rsidTr="0095102B">
        <w:trPr>
          <w:trHeight w:val="57"/>
          <w:jc w:val="right"/>
        </w:trPr>
        <w:tc>
          <w:tcPr>
            <w:tcW w:w="709" w:type="dxa"/>
            <w:tcBorders>
              <w:top w:val="nil"/>
            </w:tcBorders>
            <w:shd w:val="clear" w:color="auto" w:fill="auto"/>
            <w:noWrap/>
          </w:tcPr>
          <w:p w14:paraId="0DFC876B" w14:textId="0276236D"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2BE3C15B"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Croatia</w:t>
            </w:r>
          </w:p>
        </w:tc>
        <w:tc>
          <w:tcPr>
            <w:tcW w:w="1701" w:type="dxa"/>
            <w:tcBorders>
              <w:top w:val="nil"/>
            </w:tcBorders>
            <w:shd w:val="clear" w:color="auto" w:fill="auto"/>
            <w:noWrap/>
            <w:hideMark/>
          </w:tcPr>
          <w:p w14:paraId="5B7D7D59"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0.077</w:t>
            </w:r>
          </w:p>
        </w:tc>
        <w:tc>
          <w:tcPr>
            <w:tcW w:w="1984" w:type="dxa"/>
            <w:tcBorders>
              <w:top w:val="nil"/>
            </w:tcBorders>
            <w:shd w:val="clear" w:color="auto" w:fill="auto"/>
            <w:noWrap/>
            <w:hideMark/>
          </w:tcPr>
          <w:p w14:paraId="783EAF7F"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0.0944</w:t>
            </w:r>
          </w:p>
        </w:tc>
        <w:tc>
          <w:tcPr>
            <w:tcW w:w="1985" w:type="dxa"/>
            <w:tcBorders>
              <w:top w:val="nil"/>
            </w:tcBorders>
            <w:shd w:val="clear" w:color="auto" w:fill="auto"/>
            <w:noWrap/>
            <w:hideMark/>
          </w:tcPr>
          <w:p w14:paraId="17DF981F" w14:textId="64A16A8C"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6</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098 </w:t>
            </w:r>
          </w:p>
        </w:tc>
      </w:tr>
      <w:tr w:rsidR="00290418" w:rsidRPr="00A7082A" w14:paraId="5C576796" w14:textId="77777777" w:rsidTr="0095102B">
        <w:trPr>
          <w:trHeight w:val="57"/>
          <w:jc w:val="right"/>
        </w:trPr>
        <w:tc>
          <w:tcPr>
            <w:tcW w:w="709" w:type="dxa"/>
            <w:tcBorders>
              <w:top w:val="nil"/>
            </w:tcBorders>
            <w:shd w:val="clear" w:color="auto" w:fill="auto"/>
            <w:noWrap/>
          </w:tcPr>
          <w:p w14:paraId="3D29F5E2" w14:textId="0939CBFE"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0DCAC3BC"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Czechia</w:t>
            </w:r>
          </w:p>
        </w:tc>
        <w:tc>
          <w:tcPr>
            <w:tcW w:w="1701" w:type="dxa"/>
            <w:tcBorders>
              <w:top w:val="nil"/>
            </w:tcBorders>
            <w:shd w:val="clear" w:color="auto" w:fill="auto"/>
            <w:noWrap/>
            <w:hideMark/>
          </w:tcPr>
          <w:p w14:paraId="36C3B49A"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0.311</w:t>
            </w:r>
          </w:p>
        </w:tc>
        <w:tc>
          <w:tcPr>
            <w:tcW w:w="1984" w:type="dxa"/>
            <w:tcBorders>
              <w:top w:val="nil"/>
            </w:tcBorders>
            <w:shd w:val="clear" w:color="auto" w:fill="auto"/>
            <w:noWrap/>
            <w:hideMark/>
          </w:tcPr>
          <w:p w14:paraId="0CF43F5B"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0.3811</w:t>
            </w:r>
          </w:p>
        </w:tc>
        <w:tc>
          <w:tcPr>
            <w:tcW w:w="1985" w:type="dxa"/>
            <w:tcBorders>
              <w:top w:val="nil"/>
            </w:tcBorders>
            <w:shd w:val="clear" w:color="auto" w:fill="auto"/>
            <w:noWrap/>
            <w:hideMark/>
          </w:tcPr>
          <w:p w14:paraId="112F3D82" w14:textId="272D3B03"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24</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630 </w:t>
            </w:r>
          </w:p>
        </w:tc>
      </w:tr>
      <w:tr w:rsidR="00290418" w:rsidRPr="00A7082A" w14:paraId="154FF992" w14:textId="77777777" w:rsidTr="0095102B">
        <w:trPr>
          <w:trHeight w:val="57"/>
          <w:jc w:val="right"/>
        </w:trPr>
        <w:tc>
          <w:tcPr>
            <w:tcW w:w="709" w:type="dxa"/>
            <w:tcBorders>
              <w:top w:val="nil"/>
            </w:tcBorders>
            <w:shd w:val="clear" w:color="auto" w:fill="auto"/>
            <w:noWrap/>
          </w:tcPr>
          <w:p w14:paraId="202DCAA6" w14:textId="09537604"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17C3FE06"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Estonia</w:t>
            </w:r>
          </w:p>
        </w:tc>
        <w:tc>
          <w:tcPr>
            <w:tcW w:w="1701" w:type="dxa"/>
            <w:tcBorders>
              <w:top w:val="nil"/>
            </w:tcBorders>
            <w:shd w:val="clear" w:color="auto" w:fill="auto"/>
            <w:noWrap/>
            <w:hideMark/>
          </w:tcPr>
          <w:p w14:paraId="54F4FD1A"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0.039</w:t>
            </w:r>
          </w:p>
        </w:tc>
        <w:tc>
          <w:tcPr>
            <w:tcW w:w="1984" w:type="dxa"/>
            <w:tcBorders>
              <w:top w:val="nil"/>
            </w:tcBorders>
            <w:shd w:val="clear" w:color="auto" w:fill="auto"/>
            <w:noWrap/>
            <w:hideMark/>
          </w:tcPr>
          <w:p w14:paraId="559EAEE1"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0.0478</w:t>
            </w:r>
          </w:p>
        </w:tc>
        <w:tc>
          <w:tcPr>
            <w:tcW w:w="1985" w:type="dxa"/>
            <w:tcBorders>
              <w:top w:val="nil"/>
            </w:tcBorders>
            <w:shd w:val="clear" w:color="auto" w:fill="auto"/>
            <w:noWrap/>
            <w:hideMark/>
          </w:tcPr>
          <w:p w14:paraId="43A7BED0" w14:textId="04938652"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3</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089 </w:t>
            </w:r>
          </w:p>
        </w:tc>
      </w:tr>
      <w:tr w:rsidR="00290418" w:rsidRPr="00A7082A" w14:paraId="5D23106A" w14:textId="77777777" w:rsidTr="0095102B">
        <w:trPr>
          <w:trHeight w:val="57"/>
          <w:jc w:val="right"/>
        </w:trPr>
        <w:tc>
          <w:tcPr>
            <w:tcW w:w="709" w:type="dxa"/>
            <w:tcBorders>
              <w:top w:val="nil"/>
            </w:tcBorders>
            <w:shd w:val="clear" w:color="auto" w:fill="auto"/>
            <w:noWrap/>
          </w:tcPr>
          <w:p w14:paraId="38261EDF" w14:textId="61E33E66"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297B19C5"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Hungary</w:t>
            </w:r>
          </w:p>
        </w:tc>
        <w:tc>
          <w:tcPr>
            <w:tcW w:w="1701" w:type="dxa"/>
            <w:tcBorders>
              <w:top w:val="nil"/>
            </w:tcBorders>
            <w:shd w:val="clear" w:color="auto" w:fill="auto"/>
            <w:noWrap/>
            <w:hideMark/>
          </w:tcPr>
          <w:p w14:paraId="72985C5A"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0.206</w:t>
            </w:r>
          </w:p>
        </w:tc>
        <w:tc>
          <w:tcPr>
            <w:tcW w:w="1984" w:type="dxa"/>
            <w:tcBorders>
              <w:top w:val="nil"/>
            </w:tcBorders>
            <w:shd w:val="clear" w:color="auto" w:fill="auto"/>
            <w:noWrap/>
            <w:hideMark/>
          </w:tcPr>
          <w:p w14:paraId="5A1BD4F7"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0.2524</w:t>
            </w:r>
          </w:p>
        </w:tc>
        <w:tc>
          <w:tcPr>
            <w:tcW w:w="1985" w:type="dxa"/>
            <w:tcBorders>
              <w:top w:val="nil"/>
            </w:tcBorders>
            <w:shd w:val="clear" w:color="auto" w:fill="auto"/>
            <w:noWrap/>
            <w:hideMark/>
          </w:tcPr>
          <w:p w14:paraId="78C5F3B3" w14:textId="413FE8D2"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16</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314 </w:t>
            </w:r>
          </w:p>
        </w:tc>
      </w:tr>
      <w:tr w:rsidR="00290418" w:rsidRPr="00A7082A" w14:paraId="729933C5" w14:textId="77777777" w:rsidTr="0095102B">
        <w:trPr>
          <w:trHeight w:val="57"/>
          <w:jc w:val="right"/>
        </w:trPr>
        <w:tc>
          <w:tcPr>
            <w:tcW w:w="709" w:type="dxa"/>
            <w:tcBorders>
              <w:top w:val="nil"/>
            </w:tcBorders>
            <w:shd w:val="clear" w:color="auto" w:fill="auto"/>
            <w:noWrap/>
          </w:tcPr>
          <w:p w14:paraId="25398C0D" w14:textId="65DDC086"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2BBE8486"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Latvia</w:t>
            </w:r>
          </w:p>
        </w:tc>
        <w:tc>
          <w:tcPr>
            <w:tcW w:w="1701" w:type="dxa"/>
            <w:tcBorders>
              <w:top w:val="nil"/>
            </w:tcBorders>
            <w:shd w:val="clear" w:color="auto" w:fill="auto"/>
            <w:noWrap/>
            <w:hideMark/>
          </w:tcPr>
          <w:p w14:paraId="46EECC31"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0.047</w:t>
            </w:r>
          </w:p>
        </w:tc>
        <w:tc>
          <w:tcPr>
            <w:tcW w:w="1984" w:type="dxa"/>
            <w:tcBorders>
              <w:top w:val="nil"/>
            </w:tcBorders>
            <w:shd w:val="clear" w:color="auto" w:fill="auto"/>
            <w:noWrap/>
            <w:hideMark/>
          </w:tcPr>
          <w:p w14:paraId="521C4087"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0.0576</w:t>
            </w:r>
          </w:p>
        </w:tc>
        <w:tc>
          <w:tcPr>
            <w:tcW w:w="1985" w:type="dxa"/>
            <w:tcBorders>
              <w:top w:val="nil"/>
            </w:tcBorders>
            <w:shd w:val="clear" w:color="auto" w:fill="auto"/>
            <w:noWrap/>
            <w:hideMark/>
          </w:tcPr>
          <w:p w14:paraId="20E454E2" w14:textId="3616F4A4"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3</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722 </w:t>
            </w:r>
          </w:p>
        </w:tc>
      </w:tr>
      <w:tr w:rsidR="00290418" w:rsidRPr="00A7082A" w14:paraId="1E107369" w14:textId="77777777" w:rsidTr="0095102B">
        <w:trPr>
          <w:trHeight w:val="57"/>
          <w:jc w:val="right"/>
        </w:trPr>
        <w:tc>
          <w:tcPr>
            <w:tcW w:w="709" w:type="dxa"/>
            <w:tcBorders>
              <w:top w:val="nil"/>
            </w:tcBorders>
            <w:shd w:val="clear" w:color="auto" w:fill="auto"/>
            <w:noWrap/>
          </w:tcPr>
          <w:p w14:paraId="7A640C51" w14:textId="072FB617"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6B397416"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Lithuania</w:t>
            </w:r>
          </w:p>
        </w:tc>
        <w:tc>
          <w:tcPr>
            <w:tcW w:w="1701" w:type="dxa"/>
            <w:tcBorders>
              <w:top w:val="nil"/>
            </w:tcBorders>
            <w:shd w:val="clear" w:color="auto" w:fill="auto"/>
            <w:noWrap/>
            <w:hideMark/>
          </w:tcPr>
          <w:p w14:paraId="16276927"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0.071</w:t>
            </w:r>
          </w:p>
        </w:tc>
        <w:tc>
          <w:tcPr>
            <w:tcW w:w="1984" w:type="dxa"/>
            <w:tcBorders>
              <w:top w:val="nil"/>
            </w:tcBorders>
            <w:shd w:val="clear" w:color="auto" w:fill="auto"/>
            <w:noWrap/>
            <w:hideMark/>
          </w:tcPr>
          <w:p w14:paraId="00F9CC12"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0.0870</w:t>
            </w:r>
          </w:p>
        </w:tc>
        <w:tc>
          <w:tcPr>
            <w:tcW w:w="1985" w:type="dxa"/>
            <w:tcBorders>
              <w:top w:val="nil"/>
            </w:tcBorders>
            <w:shd w:val="clear" w:color="auto" w:fill="auto"/>
            <w:noWrap/>
            <w:hideMark/>
          </w:tcPr>
          <w:p w14:paraId="0A168C49" w14:textId="6BB7B750"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5</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623 </w:t>
            </w:r>
          </w:p>
        </w:tc>
      </w:tr>
      <w:tr w:rsidR="00290418" w:rsidRPr="00A7082A" w14:paraId="1F8F34A5" w14:textId="77777777" w:rsidTr="0095102B">
        <w:trPr>
          <w:trHeight w:val="57"/>
          <w:jc w:val="right"/>
        </w:trPr>
        <w:tc>
          <w:tcPr>
            <w:tcW w:w="709" w:type="dxa"/>
            <w:tcBorders>
              <w:top w:val="nil"/>
            </w:tcBorders>
            <w:shd w:val="clear" w:color="auto" w:fill="auto"/>
            <w:noWrap/>
          </w:tcPr>
          <w:p w14:paraId="78284C89" w14:textId="4C6948ED"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3D0D0D9B" w14:textId="1316E317" w:rsidR="00290418" w:rsidRPr="00A7082A" w:rsidRDefault="00860AC0"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Montenegro</w:t>
            </w:r>
          </w:p>
        </w:tc>
        <w:tc>
          <w:tcPr>
            <w:tcW w:w="1701" w:type="dxa"/>
            <w:tcBorders>
              <w:top w:val="nil"/>
            </w:tcBorders>
            <w:shd w:val="clear" w:color="auto" w:fill="auto"/>
            <w:noWrap/>
            <w:hideMark/>
          </w:tcPr>
          <w:p w14:paraId="38CFCFD9" w14:textId="7012AF30"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w:t>
            </w:r>
            <w:r w:rsidR="00860AC0" w:rsidRPr="00A7082A">
              <w:rPr>
                <w:rFonts w:asciiTheme="majorBidi" w:hAnsiTheme="majorBidi"/>
                <w:color w:val="000000"/>
                <w:sz w:val="18"/>
              </w:rPr>
              <w:t>004</w:t>
            </w:r>
          </w:p>
        </w:tc>
        <w:tc>
          <w:tcPr>
            <w:tcW w:w="1984" w:type="dxa"/>
            <w:tcBorders>
              <w:top w:val="nil"/>
            </w:tcBorders>
            <w:shd w:val="clear" w:color="auto" w:fill="auto"/>
            <w:noWrap/>
            <w:hideMark/>
          </w:tcPr>
          <w:p w14:paraId="176577D3"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0.0100</w:t>
            </w:r>
          </w:p>
        </w:tc>
        <w:tc>
          <w:tcPr>
            <w:tcW w:w="1985" w:type="dxa"/>
            <w:tcBorders>
              <w:top w:val="nil"/>
            </w:tcBorders>
            <w:shd w:val="clear" w:color="auto" w:fill="auto"/>
            <w:noWrap/>
            <w:hideMark/>
          </w:tcPr>
          <w:p w14:paraId="2AB291C6" w14:textId="054E69CF"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 xml:space="preserve">646 </w:t>
            </w:r>
          </w:p>
        </w:tc>
      </w:tr>
      <w:tr w:rsidR="00290418" w:rsidRPr="00A7082A" w14:paraId="7B6ED158" w14:textId="77777777" w:rsidTr="0095102B">
        <w:trPr>
          <w:trHeight w:val="57"/>
          <w:jc w:val="right"/>
        </w:trPr>
        <w:tc>
          <w:tcPr>
            <w:tcW w:w="709" w:type="dxa"/>
            <w:tcBorders>
              <w:top w:val="nil"/>
            </w:tcBorders>
            <w:shd w:val="clear" w:color="auto" w:fill="auto"/>
            <w:noWrap/>
          </w:tcPr>
          <w:p w14:paraId="53E35E01" w14:textId="7E1F8B41"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549A31D1" w14:textId="17D7A95E" w:rsidR="00290418" w:rsidRPr="00A7082A" w:rsidRDefault="00860AC0"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Republic of Moldova</w:t>
            </w:r>
          </w:p>
        </w:tc>
        <w:tc>
          <w:tcPr>
            <w:tcW w:w="1701" w:type="dxa"/>
            <w:tcBorders>
              <w:top w:val="nil"/>
            </w:tcBorders>
            <w:shd w:val="clear" w:color="auto" w:fill="auto"/>
            <w:noWrap/>
            <w:hideMark/>
          </w:tcPr>
          <w:p w14:paraId="3A75F685" w14:textId="47894866"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w:t>
            </w:r>
            <w:r w:rsidR="00860AC0" w:rsidRPr="00A7082A">
              <w:rPr>
                <w:rFonts w:asciiTheme="majorBidi" w:hAnsiTheme="majorBidi"/>
                <w:color w:val="000000"/>
                <w:sz w:val="18"/>
              </w:rPr>
              <w:t>003</w:t>
            </w:r>
          </w:p>
        </w:tc>
        <w:tc>
          <w:tcPr>
            <w:tcW w:w="1984" w:type="dxa"/>
            <w:tcBorders>
              <w:top w:val="nil"/>
            </w:tcBorders>
            <w:shd w:val="clear" w:color="auto" w:fill="auto"/>
            <w:noWrap/>
            <w:hideMark/>
          </w:tcPr>
          <w:p w14:paraId="5A7F0CC1"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0.0100</w:t>
            </w:r>
          </w:p>
        </w:tc>
        <w:tc>
          <w:tcPr>
            <w:tcW w:w="1985" w:type="dxa"/>
            <w:tcBorders>
              <w:top w:val="nil"/>
            </w:tcBorders>
            <w:shd w:val="clear" w:color="auto" w:fill="auto"/>
            <w:noWrap/>
            <w:hideMark/>
          </w:tcPr>
          <w:p w14:paraId="57192A0B" w14:textId="577907BF"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 xml:space="preserve">646 </w:t>
            </w:r>
          </w:p>
        </w:tc>
      </w:tr>
      <w:tr w:rsidR="00290418" w:rsidRPr="00A7082A" w14:paraId="7FB80DA2" w14:textId="77777777" w:rsidTr="0095102B">
        <w:trPr>
          <w:trHeight w:val="57"/>
          <w:jc w:val="right"/>
        </w:trPr>
        <w:tc>
          <w:tcPr>
            <w:tcW w:w="709" w:type="dxa"/>
            <w:tcBorders>
              <w:top w:val="nil"/>
            </w:tcBorders>
            <w:shd w:val="clear" w:color="auto" w:fill="auto"/>
            <w:noWrap/>
          </w:tcPr>
          <w:p w14:paraId="656205A4" w14:textId="1B2E30AE"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7C7F5B56"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Romania</w:t>
            </w:r>
          </w:p>
        </w:tc>
        <w:tc>
          <w:tcPr>
            <w:tcW w:w="1701" w:type="dxa"/>
            <w:tcBorders>
              <w:top w:val="nil"/>
            </w:tcBorders>
            <w:shd w:val="clear" w:color="auto" w:fill="auto"/>
            <w:noWrap/>
            <w:hideMark/>
          </w:tcPr>
          <w:p w14:paraId="3CDFEEA0"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0.198</w:t>
            </w:r>
          </w:p>
        </w:tc>
        <w:tc>
          <w:tcPr>
            <w:tcW w:w="1984" w:type="dxa"/>
            <w:tcBorders>
              <w:top w:val="nil"/>
            </w:tcBorders>
            <w:shd w:val="clear" w:color="auto" w:fill="auto"/>
            <w:noWrap/>
            <w:hideMark/>
          </w:tcPr>
          <w:p w14:paraId="75D237AE"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0.2426</w:t>
            </w:r>
          </w:p>
        </w:tc>
        <w:tc>
          <w:tcPr>
            <w:tcW w:w="1985" w:type="dxa"/>
            <w:tcBorders>
              <w:top w:val="nil"/>
            </w:tcBorders>
            <w:shd w:val="clear" w:color="auto" w:fill="auto"/>
            <w:noWrap/>
            <w:hideMark/>
          </w:tcPr>
          <w:p w14:paraId="1CAEF9F6" w14:textId="4F0E900F"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15</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681 </w:t>
            </w:r>
          </w:p>
        </w:tc>
      </w:tr>
      <w:tr w:rsidR="00290418" w:rsidRPr="00A7082A" w14:paraId="6072D924" w14:textId="77777777" w:rsidTr="0095102B">
        <w:trPr>
          <w:trHeight w:val="57"/>
          <w:jc w:val="right"/>
        </w:trPr>
        <w:tc>
          <w:tcPr>
            <w:tcW w:w="709" w:type="dxa"/>
            <w:tcBorders>
              <w:top w:val="nil"/>
            </w:tcBorders>
            <w:shd w:val="clear" w:color="auto" w:fill="auto"/>
            <w:noWrap/>
          </w:tcPr>
          <w:p w14:paraId="52EFF3B1" w14:textId="560E449F"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5A64A03F"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Slovakia</w:t>
            </w:r>
          </w:p>
        </w:tc>
        <w:tc>
          <w:tcPr>
            <w:tcW w:w="1701" w:type="dxa"/>
            <w:tcBorders>
              <w:top w:val="nil"/>
            </w:tcBorders>
            <w:shd w:val="clear" w:color="auto" w:fill="auto"/>
            <w:noWrap/>
            <w:hideMark/>
          </w:tcPr>
          <w:p w14:paraId="61646DA5"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0.153</w:t>
            </w:r>
          </w:p>
        </w:tc>
        <w:tc>
          <w:tcPr>
            <w:tcW w:w="1984" w:type="dxa"/>
            <w:tcBorders>
              <w:top w:val="nil"/>
            </w:tcBorders>
            <w:shd w:val="clear" w:color="auto" w:fill="auto"/>
            <w:noWrap/>
            <w:hideMark/>
          </w:tcPr>
          <w:p w14:paraId="64CF4E32"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0.1875</w:t>
            </w:r>
          </w:p>
        </w:tc>
        <w:tc>
          <w:tcPr>
            <w:tcW w:w="1985" w:type="dxa"/>
            <w:tcBorders>
              <w:top w:val="nil"/>
            </w:tcBorders>
            <w:shd w:val="clear" w:color="auto" w:fill="auto"/>
            <w:noWrap/>
            <w:hideMark/>
          </w:tcPr>
          <w:p w14:paraId="7FF7CCA5" w14:textId="1AEE5A64"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12</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117 </w:t>
            </w:r>
          </w:p>
        </w:tc>
      </w:tr>
      <w:tr w:rsidR="00290418" w:rsidRPr="00A7082A" w14:paraId="25E54B05" w14:textId="77777777" w:rsidTr="0095102B">
        <w:trPr>
          <w:trHeight w:val="57"/>
          <w:jc w:val="right"/>
        </w:trPr>
        <w:tc>
          <w:tcPr>
            <w:tcW w:w="709" w:type="dxa"/>
            <w:tcBorders>
              <w:top w:val="nil"/>
              <w:bottom w:val="single" w:sz="4" w:space="0" w:color="000000" w:themeColor="text1"/>
            </w:tcBorders>
            <w:shd w:val="clear" w:color="auto" w:fill="auto"/>
            <w:noWrap/>
          </w:tcPr>
          <w:p w14:paraId="31011604" w14:textId="7C6B778D"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bottom w:val="single" w:sz="4" w:space="0" w:color="000000" w:themeColor="text1"/>
            </w:tcBorders>
            <w:shd w:val="clear" w:color="auto" w:fill="auto"/>
            <w:hideMark/>
          </w:tcPr>
          <w:p w14:paraId="11B66C6D"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Slovenia</w:t>
            </w:r>
          </w:p>
        </w:tc>
        <w:tc>
          <w:tcPr>
            <w:tcW w:w="1701" w:type="dxa"/>
            <w:tcBorders>
              <w:top w:val="nil"/>
              <w:bottom w:val="single" w:sz="4" w:space="0" w:color="000000" w:themeColor="text1"/>
            </w:tcBorders>
            <w:shd w:val="clear" w:color="auto" w:fill="auto"/>
            <w:noWrap/>
            <w:hideMark/>
          </w:tcPr>
          <w:p w14:paraId="1E6A4454"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0.076</w:t>
            </w:r>
          </w:p>
        </w:tc>
        <w:tc>
          <w:tcPr>
            <w:tcW w:w="1984" w:type="dxa"/>
            <w:tcBorders>
              <w:top w:val="nil"/>
              <w:bottom w:val="single" w:sz="4" w:space="0" w:color="000000" w:themeColor="text1"/>
            </w:tcBorders>
            <w:shd w:val="clear" w:color="auto" w:fill="auto"/>
            <w:noWrap/>
            <w:hideMark/>
          </w:tcPr>
          <w:p w14:paraId="6DCBFCDD"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0.0931</w:t>
            </w:r>
          </w:p>
        </w:tc>
        <w:tc>
          <w:tcPr>
            <w:tcW w:w="1985" w:type="dxa"/>
            <w:tcBorders>
              <w:top w:val="nil"/>
              <w:bottom w:val="single" w:sz="4" w:space="0" w:color="000000" w:themeColor="text1"/>
            </w:tcBorders>
            <w:shd w:val="clear" w:color="auto" w:fill="auto"/>
            <w:noWrap/>
            <w:hideMark/>
          </w:tcPr>
          <w:p w14:paraId="45B0ACE3" w14:textId="1F952CAE"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6</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019 </w:t>
            </w:r>
          </w:p>
        </w:tc>
      </w:tr>
      <w:tr w:rsidR="00767D30" w:rsidRPr="00A7082A" w14:paraId="507CCB1A" w14:textId="77777777" w:rsidTr="0095102B">
        <w:trPr>
          <w:trHeight w:val="57"/>
          <w:jc w:val="right"/>
        </w:trPr>
        <w:tc>
          <w:tcPr>
            <w:tcW w:w="8931" w:type="dxa"/>
            <w:gridSpan w:val="5"/>
            <w:tcBorders>
              <w:top w:val="single" w:sz="4" w:space="0" w:color="000000" w:themeColor="text1"/>
              <w:bottom w:val="single" w:sz="4" w:space="0" w:color="000000" w:themeColor="text1"/>
            </w:tcBorders>
            <w:shd w:val="clear" w:color="auto" w:fill="auto"/>
            <w:noWrap/>
            <w:hideMark/>
          </w:tcPr>
          <w:p w14:paraId="37AF05C3" w14:textId="08E5E1CD" w:rsidR="00767D30" w:rsidRPr="00A7082A" w:rsidRDefault="00767D30" w:rsidP="00A27D30">
            <w:pPr>
              <w:pStyle w:val="ListParagraph"/>
              <w:tabs>
                <w:tab w:val="clear" w:pos="1247"/>
                <w:tab w:val="clear" w:pos="1814"/>
                <w:tab w:val="clear" w:pos="2381"/>
                <w:tab w:val="clear" w:pos="2948"/>
                <w:tab w:val="clear" w:pos="3515"/>
              </w:tabs>
              <w:spacing w:before="40" w:after="40"/>
              <w:ind w:left="57" w:right="57"/>
              <w:rPr>
                <w:rFonts w:asciiTheme="majorBidi" w:hAnsiTheme="majorBidi"/>
                <w:color w:val="000000"/>
                <w:sz w:val="18"/>
              </w:rPr>
            </w:pPr>
            <w:r w:rsidRPr="00A7082A">
              <w:rPr>
                <w:rFonts w:asciiTheme="majorBidi" w:hAnsiTheme="majorBidi"/>
                <w:b/>
                <w:color w:val="000000"/>
                <w:sz w:val="18"/>
              </w:rPr>
              <w:t>Latin America and Caribbean States (23)</w:t>
            </w:r>
          </w:p>
        </w:tc>
      </w:tr>
      <w:tr w:rsidR="00290418" w:rsidRPr="00A7082A" w14:paraId="3FD27193" w14:textId="77777777" w:rsidTr="0095102B">
        <w:trPr>
          <w:trHeight w:val="57"/>
          <w:jc w:val="right"/>
        </w:trPr>
        <w:tc>
          <w:tcPr>
            <w:tcW w:w="709" w:type="dxa"/>
            <w:tcBorders>
              <w:top w:val="single" w:sz="4" w:space="0" w:color="000000" w:themeColor="text1"/>
            </w:tcBorders>
            <w:shd w:val="clear" w:color="auto" w:fill="auto"/>
            <w:noWrap/>
          </w:tcPr>
          <w:p w14:paraId="5E88864D" w14:textId="41D65CBA"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single" w:sz="4" w:space="0" w:color="000000" w:themeColor="text1"/>
            </w:tcBorders>
            <w:shd w:val="clear" w:color="auto" w:fill="auto"/>
            <w:hideMark/>
          </w:tcPr>
          <w:p w14:paraId="36951A5B"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Antigua and Barbuda</w:t>
            </w:r>
          </w:p>
        </w:tc>
        <w:tc>
          <w:tcPr>
            <w:tcW w:w="1701" w:type="dxa"/>
            <w:tcBorders>
              <w:top w:val="single" w:sz="4" w:space="0" w:color="000000" w:themeColor="text1"/>
            </w:tcBorders>
            <w:shd w:val="clear" w:color="auto" w:fill="auto"/>
            <w:noWrap/>
            <w:hideMark/>
          </w:tcPr>
          <w:p w14:paraId="1120DB7F"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0.002</w:t>
            </w:r>
          </w:p>
        </w:tc>
        <w:tc>
          <w:tcPr>
            <w:tcW w:w="1984" w:type="dxa"/>
            <w:tcBorders>
              <w:top w:val="single" w:sz="4" w:space="0" w:color="000000" w:themeColor="text1"/>
            </w:tcBorders>
            <w:shd w:val="clear" w:color="auto" w:fill="auto"/>
            <w:noWrap/>
            <w:hideMark/>
          </w:tcPr>
          <w:p w14:paraId="349140B9"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0.0100</w:t>
            </w:r>
          </w:p>
        </w:tc>
        <w:tc>
          <w:tcPr>
            <w:tcW w:w="1985" w:type="dxa"/>
            <w:tcBorders>
              <w:top w:val="single" w:sz="4" w:space="0" w:color="000000" w:themeColor="text1"/>
            </w:tcBorders>
            <w:shd w:val="clear" w:color="auto" w:fill="auto"/>
            <w:noWrap/>
            <w:hideMark/>
          </w:tcPr>
          <w:p w14:paraId="436CCBC7" w14:textId="30D3E24E"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 xml:space="preserve">646 </w:t>
            </w:r>
          </w:p>
        </w:tc>
      </w:tr>
      <w:tr w:rsidR="00290418" w:rsidRPr="00A7082A" w14:paraId="549D5F80" w14:textId="77777777" w:rsidTr="0095102B">
        <w:trPr>
          <w:trHeight w:val="57"/>
          <w:jc w:val="right"/>
        </w:trPr>
        <w:tc>
          <w:tcPr>
            <w:tcW w:w="709" w:type="dxa"/>
            <w:tcBorders>
              <w:top w:val="nil"/>
            </w:tcBorders>
            <w:shd w:val="clear" w:color="auto" w:fill="auto"/>
            <w:noWrap/>
          </w:tcPr>
          <w:p w14:paraId="075BFDE8" w14:textId="57B012D3"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6F28572A"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Argentina</w:t>
            </w:r>
          </w:p>
        </w:tc>
        <w:tc>
          <w:tcPr>
            <w:tcW w:w="1701" w:type="dxa"/>
            <w:tcBorders>
              <w:top w:val="nil"/>
            </w:tcBorders>
            <w:shd w:val="clear" w:color="auto" w:fill="auto"/>
            <w:noWrap/>
            <w:hideMark/>
          </w:tcPr>
          <w:p w14:paraId="79A4D4B3"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0.915</w:t>
            </w:r>
          </w:p>
        </w:tc>
        <w:tc>
          <w:tcPr>
            <w:tcW w:w="1984" w:type="dxa"/>
            <w:tcBorders>
              <w:top w:val="nil"/>
            </w:tcBorders>
            <w:shd w:val="clear" w:color="auto" w:fill="auto"/>
            <w:noWrap/>
            <w:hideMark/>
          </w:tcPr>
          <w:p w14:paraId="4380CD57"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1.1212</w:t>
            </w:r>
          </w:p>
        </w:tc>
        <w:tc>
          <w:tcPr>
            <w:tcW w:w="1985" w:type="dxa"/>
            <w:tcBorders>
              <w:top w:val="nil"/>
            </w:tcBorders>
            <w:shd w:val="clear" w:color="auto" w:fill="auto"/>
            <w:noWrap/>
            <w:hideMark/>
          </w:tcPr>
          <w:p w14:paraId="3F525540" w14:textId="1463D73F"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72</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464 </w:t>
            </w:r>
          </w:p>
        </w:tc>
      </w:tr>
      <w:tr w:rsidR="00290418" w:rsidRPr="00A7082A" w14:paraId="4B5DD7E1" w14:textId="77777777" w:rsidTr="0095102B">
        <w:trPr>
          <w:trHeight w:val="57"/>
          <w:jc w:val="right"/>
        </w:trPr>
        <w:tc>
          <w:tcPr>
            <w:tcW w:w="709" w:type="dxa"/>
            <w:tcBorders>
              <w:top w:val="nil"/>
            </w:tcBorders>
            <w:shd w:val="clear" w:color="auto" w:fill="auto"/>
            <w:noWrap/>
          </w:tcPr>
          <w:p w14:paraId="346596E1" w14:textId="18CF1EE4"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385A065D"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Bolivia (Plurinational State of)</w:t>
            </w:r>
          </w:p>
        </w:tc>
        <w:tc>
          <w:tcPr>
            <w:tcW w:w="1701" w:type="dxa"/>
            <w:tcBorders>
              <w:top w:val="nil"/>
            </w:tcBorders>
            <w:shd w:val="clear" w:color="auto" w:fill="auto"/>
            <w:noWrap/>
            <w:hideMark/>
          </w:tcPr>
          <w:p w14:paraId="70B2E258"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0.016</w:t>
            </w:r>
          </w:p>
        </w:tc>
        <w:tc>
          <w:tcPr>
            <w:tcW w:w="1984" w:type="dxa"/>
            <w:tcBorders>
              <w:top w:val="nil"/>
            </w:tcBorders>
            <w:shd w:val="clear" w:color="auto" w:fill="auto"/>
            <w:noWrap/>
            <w:hideMark/>
          </w:tcPr>
          <w:p w14:paraId="19A22B87"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0.0196</w:t>
            </w:r>
          </w:p>
        </w:tc>
        <w:tc>
          <w:tcPr>
            <w:tcW w:w="1985" w:type="dxa"/>
            <w:tcBorders>
              <w:top w:val="nil"/>
            </w:tcBorders>
            <w:shd w:val="clear" w:color="auto" w:fill="auto"/>
            <w:noWrap/>
            <w:hideMark/>
          </w:tcPr>
          <w:p w14:paraId="7D6CA0B2" w14:textId="2FC13C5B"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1</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267 </w:t>
            </w:r>
          </w:p>
        </w:tc>
      </w:tr>
      <w:tr w:rsidR="00290418" w:rsidRPr="00A7082A" w14:paraId="537D4671" w14:textId="77777777" w:rsidTr="0095102B">
        <w:trPr>
          <w:trHeight w:val="57"/>
          <w:jc w:val="right"/>
        </w:trPr>
        <w:tc>
          <w:tcPr>
            <w:tcW w:w="709" w:type="dxa"/>
            <w:tcBorders>
              <w:top w:val="nil"/>
            </w:tcBorders>
            <w:shd w:val="clear" w:color="auto" w:fill="auto"/>
            <w:noWrap/>
          </w:tcPr>
          <w:p w14:paraId="6A2FBF75" w14:textId="5CE0DC6E"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44D0DAD9"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Brazil</w:t>
            </w:r>
          </w:p>
        </w:tc>
        <w:tc>
          <w:tcPr>
            <w:tcW w:w="1701" w:type="dxa"/>
            <w:tcBorders>
              <w:top w:val="nil"/>
            </w:tcBorders>
            <w:shd w:val="clear" w:color="auto" w:fill="auto"/>
            <w:noWrap/>
            <w:hideMark/>
          </w:tcPr>
          <w:p w14:paraId="1B688D87"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2.948</w:t>
            </w:r>
          </w:p>
        </w:tc>
        <w:tc>
          <w:tcPr>
            <w:tcW w:w="1984" w:type="dxa"/>
            <w:tcBorders>
              <w:top w:val="nil"/>
            </w:tcBorders>
            <w:shd w:val="clear" w:color="auto" w:fill="auto"/>
            <w:noWrap/>
            <w:hideMark/>
          </w:tcPr>
          <w:p w14:paraId="150A2D97"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3.6123</w:t>
            </w:r>
          </w:p>
        </w:tc>
        <w:tc>
          <w:tcPr>
            <w:tcW w:w="1985" w:type="dxa"/>
            <w:tcBorders>
              <w:top w:val="nil"/>
            </w:tcBorders>
            <w:shd w:val="clear" w:color="auto" w:fill="auto"/>
            <w:noWrap/>
            <w:hideMark/>
          </w:tcPr>
          <w:p w14:paraId="4283C083" w14:textId="2BB871B5"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233</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470 </w:t>
            </w:r>
          </w:p>
        </w:tc>
      </w:tr>
      <w:tr w:rsidR="00290418" w:rsidRPr="00A7082A" w14:paraId="48678CC5" w14:textId="77777777" w:rsidTr="0095102B">
        <w:trPr>
          <w:trHeight w:val="57"/>
          <w:jc w:val="right"/>
        </w:trPr>
        <w:tc>
          <w:tcPr>
            <w:tcW w:w="709" w:type="dxa"/>
            <w:tcBorders>
              <w:top w:val="nil"/>
            </w:tcBorders>
            <w:shd w:val="clear" w:color="auto" w:fill="auto"/>
            <w:noWrap/>
          </w:tcPr>
          <w:p w14:paraId="080449A0" w14:textId="39754C5E"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27893A2C"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Chile</w:t>
            </w:r>
          </w:p>
        </w:tc>
        <w:tc>
          <w:tcPr>
            <w:tcW w:w="1701" w:type="dxa"/>
            <w:tcBorders>
              <w:top w:val="nil"/>
            </w:tcBorders>
            <w:shd w:val="clear" w:color="auto" w:fill="auto"/>
            <w:noWrap/>
            <w:hideMark/>
          </w:tcPr>
          <w:p w14:paraId="5689628E"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0.407</w:t>
            </w:r>
          </w:p>
        </w:tc>
        <w:tc>
          <w:tcPr>
            <w:tcW w:w="1984" w:type="dxa"/>
            <w:tcBorders>
              <w:top w:val="nil"/>
            </w:tcBorders>
            <w:shd w:val="clear" w:color="auto" w:fill="auto"/>
            <w:noWrap/>
            <w:hideMark/>
          </w:tcPr>
          <w:p w14:paraId="6F96C0BE"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0.4987</w:t>
            </w:r>
          </w:p>
        </w:tc>
        <w:tc>
          <w:tcPr>
            <w:tcW w:w="1985" w:type="dxa"/>
            <w:tcBorders>
              <w:top w:val="nil"/>
            </w:tcBorders>
            <w:shd w:val="clear" w:color="auto" w:fill="auto"/>
            <w:noWrap/>
            <w:hideMark/>
          </w:tcPr>
          <w:p w14:paraId="056D2D17" w14:textId="671FE8FE"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32</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233 </w:t>
            </w:r>
          </w:p>
        </w:tc>
      </w:tr>
      <w:tr w:rsidR="00290418" w:rsidRPr="00A7082A" w14:paraId="647125F4" w14:textId="77777777" w:rsidTr="0095102B">
        <w:trPr>
          <w:trHeight w:val="57"/>
          <w:jc w:val="right"/>
        </w:trPr>
        <w:tc>
          <w:tcPr>
            <w:tcW w:w="709" w:type="dxa"/>
            <w:tcBorders>
              <w:top w:val="nil"/>
            </w:tcBorders>
            <w:shd w:val="clear" w:color="auto" w:fill="auto"/>
            <w:noWrap/>
          </w:tcPr>
          <w:p w14:paraId="47902AFF" w14:textId="63FF74E8"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00CE52C8"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Colombia</w:t>
            </w:r>
          </w:p>
        </w:tc>
        <w:tc>
          <w:tcPr>
            <w:tcW w:w="1701" w:type="dxa"/>
            <w:tcBorders>
              <w:top w:val="nil"/>
            </w:tcBorders>
            <w:shd w:val="clear" w:color="auto" w:fill="auto"/>
            <w:noWrap/>
            <w:hideMark/>
          </w:tcPr>
          <w:p w14:paraId="064A637B"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0.288</w:t>
            </w:r>
          </w:p>
        </w:tc>
        <w:tc>
          <w:tcPr>
            <w:tcW w:w="1984" w:type="dxa"/>
            <w:tcBorders>
              <w:top w:val="nil"/>
            </w:tcBorders>
            <w:shd w:val="clear" w:color="auto" w:fill="auto"/>
            <w:noWrap/>
            <w:hideMark/>
          </w:tcPr>
          <w:p w14:paraId="6ED70839"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0.3529</w:t>
            </w:r>
          </w:p>
        </w:tc>
        <w:tc>
          <w:tcPr>
            <w:tcW w:w="1985" w:type="dxa"/>
            <w:tcBorders>
              <w:top w:val="nil"/>
            </w:tcBorders>
            <w:shd w:val="clear" w:color="auto" w:fill="auto"/>
            <w:noWrap/>
            <w:hideMark/>
          </w:tcPr>
          <w:p w14:paraId="4A63744A" w14:textId="0297AF60"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22</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808 </w:t>
            </w:r>
          </w:p>
        </w:tc>
      </w:tr>
      <w:tr w:rsidR="00290418" w:rsidRPr="00A7082A" w14:paraId="207601D7" w14:textId="77777777" w:rsidTr="0095102B">
        <w:trPr>
          <w:trHeight w:val="57"/>
          <w:jc w:val="right"/>
        </w:trPr>
        <w:tc>
          <w:tcPr>
            <w:tcW w:w="709" w:type="dxa"/>
            <w:tcBorders>
              <w:top w:val="nil"/>
            </w:tcBorders>
            <w:shd w:val="clear" w:color="auto" w:fill="auto"/>
            <w:noWrap/>
          </w:tcPr>
          <w:p w14:paraId="63C9F122" w14:textId="5A34E26A"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553489FB"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Costa Rica</w:t>
            </w:r>
          </w:p>
        </w:tc>
        <w:tc>
          <w:tcPr>
            <w:tcW w:w="1701" w:type="dxa"/>
            <w:tcBorders>
              <w:top w:val="nil"/>
            </w:tcBorders>
            <w:shd w:val="clear" w:color="auto" w:fill="auto"/>
            <w:noWrap/>
            <w:hideMark/>
          </w:tcPr>
          <w:p w14:paraId="5B9E39D9"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0.062</w:t>
            </w:r>
          </w:p>
        </w:tc>
        <w:tc>
          <w:tcPr>
            <w:tcW w:w="1984" w:type="dxa"/>
            <w:tcBorders>
              <w:top w:val="nil"/>
            </w:tcBorders>
            <w:shd w:val="clear" w:color="auto" w:fill="auto"/>
            <w:noWrap/>
            <w:hideMark/>
          </w:tcPr>
          <w:p w14:paraId="601E279A"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0.0760</w:t>
            </w:r>
          </w:p>
        </w:tc>
        <w:tc>
          <w:tcPr>
            <w:tcW w:w="1985" w:type="dxa"/>
            <w:tcBorders>
              <w:top w:val="nil"/>
            </w:tcBorders>
            <w:shd w:val="clear" w:color="auto" w:fill="auto"/>
            <w:noWrap/>
            <w:hideMark/>
          </w:tcPr>
          <w:p w14:paraId="7FE21CC1" w14:textId="2AF80A8D"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4</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910 </w:t>
            </w:r>
          </w:p>
        </w:tc>
      </w:tr>
      <w:tr w:rsidR="00290418" w:rsidRPr="00A7082A" w14:paraId="070088E1" w14:textId="77777777" w:rsidTr="0095102B">
        <w:trPr>
          <w:trHeight w:val="57"/>
          <w:jc w:val="right"/>
        </w:trPr>
        <w:tc>
          <w:tcPr>
            <w:tcW w:w="709" w:type="dxa"/>
            <w:tcBorders>
              <w:top w:val="nil"/>
            </w:tcBorders>
            <w:shd w:val="clear" w:color="auto" w:fill="auto"/>
            <w:noWrap/>
          </w:tcPr>
          <w:p w14:paraId="6A3153F8" w14:textId="39DED932"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016F3A26"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Cuba</w:t>
            </w:r>
          </w:p>
        </w:tc>
        <w:tc>
          <w:tcPr>
            <w:tcW w:w="1701" w:type="dxa"/>
            <w:tcBorders>
              <w:top w:val="nil"/>
            </w:tcBorders>
            <w:shd w:val="clear" w:color="auto" w:fill="auto"/>
            <w:noWrap/>
            <w:hideMark/>
          </w:tcPr>
          <w:p w14:paraId="23166A3F"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0.08</w:t>
            </w:r>
          </w:p>
        </w:tc>
        <w:tc>
          <w:tcPr>
            <w:tcW w:w="1984" w:type="dxa"/>
            <w:tcBorders>
              <w:top w:val="nil"/>
            </w:tcBorders>
            <w:shd w:val="clear" w:color="auto" w:fill="auto"/>
            <w:noWrap/>
            <w:hideMark/>
          </w:tcPr>
          <w:p w14:paraId="2DF6AD55"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0.0980</w:t>
            </w:r>
          </w:p>
        </w:tc>
        <w:tc>
          <w:tcPr>
            <w:tcW w:w="1985" w:type="dxa"/>
            <w:tcBorders>
              <w:top w:val="nil"/>
            </w:tcBorders>
            <w:shd w:val="clear" w:color="auto" w:fill="auto"/>
            <w:noWrap/>
            <w:hideMark/>
          </w:tcPr>
          <w:p w14:paraId="6B646EEE" w14:textId="292186B3"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6</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336 </w:t>
            </w:r>
          </w:p>
        </w:tc>
      </w:tr>
      <w:tr w:rsidR="00290418" w:rsidRPr="00A7082A" w14:paraId="4BB5A956" w14:textId="77777777" w:rsidTr="0095102B">
        <w:trPr>
          <w:trHeight w:val="57"/>
          <w:jc w:val="right"/>
        </w:trPr>
        <w:tc>
          <w:tcPr>
            <w:tcW w:w="709" w:type="dxa"/>
            <w:tcBorders>
              <w:top w:val="nil"/>
            </w:tcBorders>
            <w:shd w:val="clear" w:color="auto" w:fill="auto"/>
            <w:noWrap/>
          </w:tcPr>
          <w:p w14:paraId="3A8FC487" w14:textId="353F2117"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38735000"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Dominican Republic</w:t>
            </w:r>
          </w:p>
        </w:tc>
        <w:tc>
          <w:tcPr>
            <w:tcW w:w="1701" w:type="dxa"/>
            <w:tcBorders>
              <w:top w:val="nil"/>
            </w:tcBorders>
            <w:shd w:val="clear" w:color="auto" w:fill="auto"/>
            <w:noWrap/>
            <w:hideMark/>
          </w:tcPr>
          <w:p w14:paraId="3AD0EB7D"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0.053</w:t>
            </w:r>
          </w:p>
        </w:tc>
        <w:tc>
          <w:tcPr>
            <w:tcW w:w="1984" w:type="dxa"/>
            <w:tcBorders>
              <w:top w:val="nil"/>
            </w:tcBorders>
            <w:shd w:val="clear" w:color="auto" w:fill="auto"/>
            <w:noWrap/>
            <w:hideMark/>
          </w:tcPr>
          <w:p w14:paraId="7BE6EBEE"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0.0649</w:t>
            </w:r>
          </w:p>
        </w:tc>
        <w:tc>
          <w:tcPr>
            <w:tcW w:w="1985" w:type="dxa"/>
            <w:tcBorders>
              <w:top w:val="nil"/>
            </w:tcBorders>
            <w:shd w:val="clear" w:color="auto" w:fill="auto"/>
            <w:noWrap/>
            <w:hideMark/>
          </w:tcPr>
          <w:p w14:paraId="64F5FB46" w14:textId="3DC71B4C"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4</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197 </w:t>
            </w:r>
          </w:p>
        </w:tc>
      </w:tr>
      <w:tr w:rsidR="00290418" w:rsidRPr="00A7082A" w14:paraId="4D6D7D6B" w14:textId="77777777" w:rsidTr="0095102B">
        <w:trPr>
          <w:trHeight w:val="57"/>
          <w:jc w:val="right"/>
        </w:trPr>
        <w:tc>
          <w:tcPr>
            <w:tcW w:w="709" w:type="dxa"/>
            <w:tcBorders>
              <w:top w:val="nil"/>
            </w:tcBorders>
            <w:shd w:val="clear" w:color="auto" w:fill="auto"/>
            <w:noWrap/>
          </w:tcPr>
          <w:p w14:paraId="132E1A38" w14:textId="51E54599"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6AB07EE1"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Ecuador</w:t>
            </w:r>
          </w:p>
        </w:tc>
        <w:tc>
          <w:tcPr>
            <w:tcW w:w="1701" w:type="dxa"/>
            <w:tcBorders>
              <w:top w:val="nil"/>
            </w:tcBorders>
            <w:shd w:val="clear" w:color="auto" w:fill="auto"/>
            <w:noWrap/>
            <w:hideMark/>
          </w:tcPr>
          <w:p w14:paraId="100061D9"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0.08</w:t>
            </w:r>
          </w:p>
        </w:tc>
        <w:tc>
          <w:tcPr>
            <w:tcW w:w="1984" w:type="dxa"/>
            <w:tcBorders>
              <w:top w:val="nil"/>
            </w:tcBorders>
            <w:shd w:val="clear" w:color="auto" w:fill="auto"/>
            <w:noWrap/>
            <w:hideMark/>
          </w:tcPr>
          <w:p w14:paraId="79B668B7"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0.0980</w:t>
            </w:r>
          </w:p>
        </w:tc>
        <w:tc>
          <w:tcPr>
            <w:tcW w:w="1985" w:type="dxa"/>
            <w:tcBorders>
              <w:top w:val="nil"/>
            </w:tcBorders>
            <w:shd w:val="clear" w:color="auto" w:fill="auto"/>
            <w:noWrap/>
            <w:hideMark/>
          </w:tcPr>
          <w:p w14:paraId="65DC3F19" w14:textId="1DA68FDC"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6</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336 </w:t>
            </w:r>
          </w:p>
        </w:tc>
      </w:tr>
      <w:tr w:rsidR="00290418" w:rsidRPr="00A7082A" w14:paraId="42BB35A9" w14:textId="77777777" w:rsidTr="0095102B">
        <w:trPr>
          <w:trHeight w:val="57"/>
          <w:jc w:val="right"/>
        </w:trPr>
        <w:tc>
          <w:tcPr>
            <w:tcW w:w="709" w:type="dxa"/>
            <w:tcBorders>
              <w:top w:val="nil"/>
            </w:tcBorders>
            <w:shd w:val="clear" w:color="auto" w:fill="auto"/>
            <w:noWrap/>
          </w:tcPr>
          <w:p w14:paraId="7C715BD1" w14:textId="63ABDB0B"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23DC5AFC"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El Salvador</w:t>
            </w:r>
          </w:p>
        </w:tc>
        <w:tc>
          <w:tcPr>
            <w:tcW w:w="1701" w:type="dxa"/>
            <w:tcBorders>
              <w:top w:val="nil"/>
            </w:tcBorders>
            <w:shd w:val="clear" w:color="auto" w:fill="auto"/>
            <w:noWrap/>
            <w:hideMark/>
          </w:tcPr>
          <w:p w14:paraId="579B4B57"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0.012</w:t>
            </w:r>
          </w:p>
        </w:tc>
        <w:tc>
          <w:tcPr>
            <w:tcW w:w="1984" w:type="dxa"/>
            <w:tcBorders>
              <w:top w:val="nil"/>
            </w:tcBorders>
            <w:shd w:val="clear" w:color="auto" w:fill="auto"/>
            <w:noWrap/>
            <w:hideMark/>
          </w:tcPr>
          <w:p w14:paraId="7BA6219E"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0.0147</w:t>
            </w:r>
          </w:p>
        </w:tc>
        <w:tc>
          <w:tcPr>
            <w:tcW w:w="1985" w:type="dxa"/>
            <w:tcBorders>
              <w:top w:val="nil"/>
            </w:tcBorders>
            <w:shd w:val="clear" w:color="auto" w:fill="auto"/>
            <w:noWrap/>
            <w:hideMark/>
          </w:tcPr>
          <w:p w14:paraId="2F64A283" w14:textId="18C1FC39"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 xml:space="preserve">950 </w:t>
            </w:r>
          </w:p>
        </w:tc>
      </w:tr>
      <w:tr w:rsidR="00290418" w:rsidRPr="00A7082A" w14:paraId="154F7E80" w14:textId="77777777" w:rsidTr="0095102B">
        <w:trPr>
          <w:trHeight w:val="57"/>
          <w:jc w:val="right"/>
        </w:trPr>
        <w:tc>
          <w:tcPr>
            <w:tcW w:w="709" w:type="dxa"/>
            <w:tcBorders>
              <w:top w:val="nil"/>
            </w:tcBorders>
            <w:shd w:val="clear" w:color="auto" w:fill="auto"/>
            <w:noWrap/>
          </w:tcPr>
          <w:p w14:paraId="23066578" w14:textId="52FF1461"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476F749A"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Guyana</w:t>
            </w:r>
          </w:p>
        </w:tc>
        <w:tc>
          <w:tcPr>
            <w:tcW w:w="1701" w:type="dxa"/>
            <w:tcBorders>
              <w:top w:val="nil"/>
            </w:tcBorders>
            <w:shd w:val="clear" w:color="auto" w:fill="auto"/>
            <w:noWrap/>
            <w:hideMark/>
          </w:tcPr>
          <w:p w14:paraId="19D900C7"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0.002</w:t>
            </w:r>
          </w:p>
        </w:tc>
        <w:tc>
          <w:tcPr>
            <w:tcW w:w="1984" w:type="dxa"/>
            <w:tcBorders>
              <w:top w:val="nil"/>
            </w:tcBorders>
            <w:shd w:val="clear" w:color="auto" w:fill="auto"/>
            <w:noWrap/>
            <w:hideMark/>
          </w:tcPr>
          <w:p w14:paraId="34FF9B0D"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0.0100</w:t>
            </w:r>
          </w:p>
        </w:tc>
        <w:tc>
          <w:tcPr>
            <w:tcW w:w="1985" w:type="dxa"/>
            <w:tcBorders>
              <w:top w:val="nil"/>
            </w:tcBorders>
            <w:shd w:val="clear" w:color="auto" w:fill="auto"/>
            <w:noWrap/>
            <w:hideMark/>
          </w:tcPr>
          <w:p w14:paraId="4CEC0382" w14:textId="15C2ECD8"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 xml:space="preserve">646 </w:t>
            </w:r>
          </w:p>
        </w:tc>
      </w:tr>
      <w:tr w:rsidR="00290418" w:rsidRPr="00A7082A" w14:paraId="3F280BE7" w14:textId="77777777" w:rsidTr="0095102B">
        <w:trPr>
          <w:trHeight w:val="57"/>
          <w:jc w:val="right"/>
        </w:trPr>
        <w:tc>
          <w:tcPr>
            <w:tcW w:w="709" w:type="dxa"/>
            <w:tcBorders>
              <w:top w:val="nil"/>
            </w:tcBorders>
            <w:shd w:val="clear" w:color="auto" w:fill="auto"/>
            <w:noWrap/>
          </w:tcPr>
          <w:p w14:paraId="25B4BA09" w14:textId="1EBDAFD9"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2151B454"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Honduras</w:t>
            </w:r>
          </w:p>
        </w:tc>
        <w:tc>
          <w:tcPr>
            <w:tcW w:w="1701" w:type="dxa"/>
            <w:tcBorders>
              <w:top w:val="nil"/>
            </w:tcBorders>
            <w:shd w:val="clear" w:color="auto" w:fill="auto"/>
            <w:noWrap/>
            <w:hideMark/>
          </w:tcPr>
          <w:p w14:paraId="567FB1D0"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0.009</w:t>
            </w:r>
          </w:p>
        </w:tc>
        <w:tc>
          <w:tcPr>
            <w:tcW w:w="1984" w:type="dxa"/>
            <w:tcBorders>
              <w:top w:val="nil"/>
            </w:tcBorders>
            <w:shd w:val="clear" w:color="auto" w:fill="auto"/>
            <w:noWrap/>
            <w:hideMark/>
          </w:tcPr>
          <w:p w14:paraId="7BD55459"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0.0110</w:t>
            </w:r>
          </w:p>
        </w:tc>
        <w:tc>
          <w:tcPr>
            <w:tcW w:w="1985" w:type="dxa"/>
            <w:tcBorders>
              <w:top w:val="nil"/>
            </w:tcBorders>
            <w:shd w:val="clear" w:color="auto" w:fill="auto"/>
            <w:noWrap/>
            <w:hideMark/>
          </w:tcPr>
          <w:p w14:paraId="4211C7BA" w14:textId="619BFA01"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 xml:space="preserve">713 </w:t>
            </w:r>
          </w:p>
        </w:tc>
      </w:tr>
      <w:tr w:rsidR="00290418" w:rsidRPr="00A7082A" w14:paraId="68452639" w14:textId="77777777" w:rsidTr="0095102B">
        <w:trPr>
          <w:trHeight w:val="57"/>
          <w:jc w:val="right"/>
        </w:trPr>
        <w:tc>
          <w:tcPr>
            <w:tcW w:w="709" w:type="dxa"/>
            <w:tcBorders>
              <w:top w:val="nil"/>
            </w:tcBorders>
            <w:shd w:val="clear" w:color="auto" w:fill="auto"/>
            <w:noWrap/>
          </w:tcPr>
          <w:p w14:paraId="7E5D74E1" w14:textId="6E0FCCCE"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6259E561"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Jamaica</w:t>
            </w:r>
          </w:p>
        </w:tc>
        <w:tc>
          <w:tcPr>
            <w:tcW w:w="1701" w:type="dxa"/>
            <w:tcBorders>
              <w:top w:val="nil"/>
            </w:tcBorders>
            <w:shd w:val="clear" w:color="auto" w:fill="auto"/>
            <w:noWrap/>
            <w:hideMark/>
          </w:tcPr>
          <w:p w14:paraId="2DC1AE01"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0.008</w:t>
            </w:r>
          </w:p>
        </w:tc>
        <w:tc>
          <w:tcPr>
            <w:tcW w:w="1984" w:type="dxa"/>
            <w:tcBorders>
              <w:top w:val="nil"/>
            </w:tcBorders>
            <w:shd w:val="clear" w:color="auto" w:fill="auto"/>
            <w:noWrap/>
            <w:hideMark/>
          </w:tcPr>
          <w:p w14:paraId="7A3D2830"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0.0100</w:t>
            </w:r>
          </w:p>
        </w:tc>
        <w:tc>
          <w:tcPr>
            <w:tcW w:w="1985" w:type="dxa"/>
            <w:tcBorders>
              <w:top w:val="nil"/>
            </w:tcBorders>
            <w:shd w:val="clear" w:color="auto" w:fill="auto"/>
            <w:noWrap/>
            <w:hideMark/>
          </w:tcPr>
          <w:p w14:paraId="173BB2C0" w14:textId="61C65059"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 xml:space="preserve">646 </w:t>
            </w:r>
          </w:p>
        </w:tc>
      </w:tr>
      <w:tr w:rsidR="00290418" w:rsidRPr="00A7082A" w14:paraId="47929F16" w14:textId="77777777" w:rsidTr="0095102B">
        <w:trPr>
          <w:trHeight w:val="57"/>
          <w:jc w:val="right"/>
        </w:trPr>
        <w:tc>
          <w:tcPr>
            <w:tcW w:w="709" w:type="dxa"/>
            <w:tcBorders>
              <w:top w:val="nil"/>
            </w:tcBorders>
            <w:shd w:val="clear" w:color="auto" w:fill="auto"/>
            <w:noWrap/>
          </w:tcPr>
          <w:p w14:paraId="3FD83492" w14:textId="6F30E4C8"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6465930A"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Mexico</w:t>
            </w:r>
          </w:p>
        </w:tc>
        <w:tc>
          <w:tcPr>
            <w:tcW w:w="1701" w:type="dxa"/>
            <w:tcBorders>
              <w:top w:val="nil"/>
            </w:tcBorders>
            <w:shd w:val="clear" w:color="auto" w:fill="auto"/>
            <w:noWrap/>
            <w:hideMark/>
          </w:tcPr>
          <w:p w14:paraId="27C6C3D8"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1.292</w:t>
            </w:r>
          </w:p>
        </w:tc>
        <w:tc>
          <w:tcPr>
            <w:tcW w:w="1984" w:type="dxa"/>
            <w:tcBorders>
              <w:top w:val="nil"/>
            </w:tcBorders>
            <w:shd w:val="clear" w:color="auto" w:fill="auto"/>
            <w:noWrap/>
            <w:hideMark/>
          </w:tcPr>
          <w:p w14:paraId="0F540DD0"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1.5832</w:t>
            </w:r>
          </w:p>
        </w:tc>
        <w:tc>
          <w:tcPr>
            <w:tcW w:w="1985" w:type="dxa"/>
            <w:tcBorders>
              <w:top w:val="nil"/>
            </w:tcBorders>
            <w:shd w:val="clear" w:color="auto" w:fill="auto"/>
            <w:noWrap/>
            <w:hideMark/>
          </w:tcPr>
          <w:p w14:paraId="26A29DF6" w14:textId="22BA15E0"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102</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321 </w:t>
            </w:r>
          </w:p>
        </w:tc>
      </w:tr>
      <w:tr w:rsidR="00290418" w:rsidRPr="00A7082A" w14:paraId="5794ECEE" w14:textId="77777777" w:rsidTr="0095102B">
        <w:trPr>
          <w:trHeight w:val="57"/>
          <w:jc w:val="right"/>
        </w:trPr>
        <w:tc>
          <w:tcPr>
            <w:tcW w:w="709" w:type="dxa"/>
            <w:tcBorders>
              <w:top w:val="nil"/>
            </w:tcBorders>
            <w:shd w:val="clear" w:color="auto" w:fill="auto"/>
            <w:noWrap/>
          </w:tcPr>
          <w:p w14:paraId="5EEDFC16" w14:textId="41C5C6DD"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6AECC3D0"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Nicaragua</w:t>
            </w:r>
          </w:p>
        </w:tc>
        <w:tc>
          <w:tcPr>
            <w:tcW w:w="1701" w:type="dxa"/>
            <w:tcBorders>
              <w:top w:val="nil"/>
            </w:tcBorders>
            <w:shd w:val="clear" w:color="auto" w:fill="auto"/>
            <w:noWrap/>
            <w:hideMark/>
          </w:tcPr>
          <w:p w14:paraId="1820EB04"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0.005</w:t>
            </w:r>
          </w:p>
        </w:tc>
        <w:tc>
          <w:tcPr>
            <w:tcW w:w="1984" w:type="dxa"/>
            <w:tcBorders>
              <w:top w:val="nil"/>
            </w:tcBorders>
            <w:shd w:val="clear" w:color="auto" w:fill="auto"/>
            <w:noWrap/>
            <w:hideMark/>
          </w:tcPr>
          <w:p w14:paraId="41E4B405"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0.0100</w:t>
            </w:r>
          </w:p>
        </w:tc>
        <w:tc>
          <w:tcPr>
            <w:tcW w:w="1985" w:type="dxa"/>
            <w:tcBorders>
              <w:top w:val="nil"/>
            </w:tcBorders>
            <w:shd w:val="clear" w:color="auto" w:fill="auto"/>
            <w:noWrap/>
            <w:hideMark/>
          </w:tcPr>
          <w:p w14:paraId="7DDB0D2A" w14:textId="0EE12FE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 xml:space="preserve">646 </w:t>
            </w:r>
          </w:p>
        </w:tc>
      </w:tr>
      <w:tr w:rsidR="00290418" w:rsidRPr="00A7082A" w14:paraId="65875411" w14:textId="77777777" w:rsidTr="0095102B">
        <w:trPr>
          <w:trHeight w:val="57"/>
          <w:jc w:val="right"/>
        </w:trPr>
        <w:tc>
          <w:tcPr>
            <w:tcW w:w="709" w:type="dxa"/>
            <w:tcBorders>
              <w:top w:val="nil"/>
            </w:tcBorders>
            <w:shd w:val="clear" w:color="auto" w:fill="auto"/>
            <w:noWrap/>
          </w:tcPr>
          <w:p w14:paraId="07525D3A" w14:textId="5B6AF003"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7DCF29B9"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Panama</w:t>
            </w:r>
          </w:p>
        </w:tc>
        <w:tc>
          <w:tcPr>
            <w:tcW w:w="1701" w:type="dxa"/>
            <w:tcBorders>
              <w:top w:val="nil"/>
            </w:tcBorders>
            <w:shd w:val="clear" w:color="auto" w:fill="auto"/>
            <w:noWrap/>
            <w:hideMark/>
          </w:tcPr>
          <w:p w14:paraId="0F808C21"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0.045</w:t>
            </w:r>
          </w:p>
        </w:tc>
        <w:tc>
          <w:tcPr>
            <w:tcW w:w="1984" w:type="dxa"/>
            <w:tcBorders>
              <w:top w:val="nil"/>
            </w:tcBorders>
            <w:shd w:val="clear" w:color="auto" w:fill="auto"/>
            <w:noWrap/>
            <w:hideMark/>
          </w:tcPr>
          <w:p w14:paraId="518C9372"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0.0551</w:t>
            </w:r>
          </w:p>
        </w:tc>
        <w:tc>
          <w:tcPr>
            <w:tcW w:w="1985" w:type="dxa"/>
            <w:tcBorders>
              <w:top w:val="nil"/>
            </w:tcBorders>
            <w:shd w:val="clear" w:color="auto" w:fill="auto"/>
            <w:noWrap/>
            <w:hideMark/>
          </w:tcPr>
          <w:p w14:paraId="190164DE" w14:textId="375C634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3</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564 </w:t>
            </w:r>
          </w:p>
        </w:tc>
      </w:tr>
      <w:tr w:rsidR="00290418" w:rsidRPr="00A7082A" w14:paraId="071B07BF" w14:textId="77777777" w:rsidTr="0095102B">
        <w:trPr>
          <w:trHeight w:val="57"/>
          <w:jc w:val="right"/>
        </w:trPr>
        <w:tc>
          <w:tcPr>
            <w:tcW w:w="709" w:type="dxa"/>
            <w:tcBorders>
              <w:top w:val="nil"/>
            </w:tcBorders>
            <w:shd w:val="clear" w:color="auto" w:fill="auto"/>
            <w:noWrap/>
          </w:tcPr>
          <w:p w14:paraId="13B0EB97" w14:textId="30869A3A"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054ACA6A"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Paraguay</w:t>
            </w:r>
          </w:p>
        </w:tc>
        <w:tc>
          <w:tcPr>
            <w:tcW w:w="1701" w:type="dxa"/>
            <w:tcBorders>
              <w:top w:val="nil"/>
            </w:tcBorders>
            <w:shd w:val="clear" w:color="auto" w:fill="auto"/>
            <w:noWrap/>
            <w:hideMark/>
          </w:tcPr>
          <w:p w14:paraId="2143EDB8"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0.016</w:t>
            </w:r>
          </w:p>
        </w:tc>
        <w:tc>
          <w:tcPr>
            <w:tcW w:w="1984" w:type="dxa"/>
            <w:tcBorders>
              <w:top w:val="nil"/>
            </w:tcBorders>
            <w:shd w:val="clear" w:color="auto" w:fill="auto"/>
            <w:noWrap/>
            <w:hideMark/>
          </w:tcPr>
          <w:p w14:paraId="460381F0"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0.0196</w:t>
            </w:r>
          </w:p>
        </w:tc>
        <w:tc>
          <w:tcPr>
            <w:tcW w:w="1985" w:type="dxa"/>
            <w:tcBorders>
              <w:top w:val="nil"/>
            </w:tcBorders>
            <w:shd w:val="clear" w:color="auto" w:fill="auto"/>
            <w:noWrap/>
            <w:hideMark/>
          </w:tcPr>
          <w:p w14:paraId="0F9CA2B7" w14:textId="78469C06"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1</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267 </w:t>
            </w:r>
          </w:p>
        </w:tc>
      </w:tr>
      <w:tr w:rsidR="00290418" w:rsidRPr="00A7082A" w14:paraId="57C27D76" w14:textId="77777777" w:rsidTr="0095102B">
        <w:trPr>
          <w:trHeight w:val="57"/>
          <w:jc w:val="right"/>
        </w:trPr>
        <w:tc>
          <w:tcPr>
            <w:tcW w:w="709" w:type="dxa"/>
            <w:tcBorders>
              <w:top w:val="nil"/>
            </w:tcBorders>
            <w:shd w:val="clear" w:color="auto" w:fill="auto"/>
            <w:noWrap/>
          </w:tcPr>
          <w:p w14:paraId="3304E5E2" w14:textId="36D77591"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5DF3CB1E"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Peru</w:t>
            </w:r>
          </w:p>
        </w:tc>
        <w:tc>
          <w:tcPr>
            <w:tcW w:w="1701" w:type="dxa"/>
            <w:tcBorders>
              <w:top w:val="nil"/>
            </w:tcBorders>
            <w:shd w:val="clear" w:color="auto" w:fill="auto"/>
            <w:noWrap/>
            <w:hideMark/>
          </w:tcPr>
          <w:p w14:paraId="6CC42AB1"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0.152</w:t>
            </w:r>
          </w:p>
        </w:tc>
        <w:tc>
          <w:tcPr>
            <w:tcW w:w="1984" w:type="dxa"/>
            <w:tcBorders>
              <w:top w:val="nil"/>
            </w:tcBorders>
            <w:shd w:val="clear" w:color="auto" w:fill="auto"/>
            <w:noWrap/>
            <w:hideMark/>
          </w:tcPr>
          <w:p w14:paraId="3CA6BE9D"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0.1863</w:t>
            </w:r>
          </w:p>
        </w:tc>
        <w:tc>
          <w:tcPr>
            <w:tcW w:w="1985" w:type="dxa"/>
            <w:tcBorders>
              <w:top w:val="nil"/>
            </w:tcBorders>
            <w:shd w:val="clear" w:color="auto" w:fill="auto"/>
            <w:noWrap/>
            <w:hideMark/>
          </w:tcPr>
          <w:p w14:paraId="63EB5FAE" w14:textId="0E7EFC26"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12</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038 </w:t>
            </w:r>
          </w:p>
        </w:tc>
      </w:tr>
      <w:tr w:rsidR="00290418" w:rsidRPr="00A7082A" w14:paraId="5B1DE529" w14:textId="77777777" w:rsidTr="0095102B">
        <w:trPr>
          <w:trHeight w:val="57"/>
          <w:jc w:val="right"/>
        </w:trPr>
        <w:tc>
          <w:tcPr>
            <w:tcW w:w="709" w:type="dxa"/>
            <w:tcBorders>
              <w:top w:val="nil"/>
            </w:tcBorders>
            <w:shd w:val="clear" w:color="auto" w:fill="auto"/>
            <w:noWrap/>
          </w:tcPr>
          <w:p w14:paraId="5B53FD3E" w14:textId="02C614FF"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40272A83"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Saint Kitts and Nevis</w:t>
            </w:r>
          </w:p>
        </w:tc>
        <w:tc>
          <w:tcPr>
            <w:tcW w:w="1701" w:type="dxa"/>
            <w:tcBorders>
              <w:top w:val="nil"/>
            </w:tcBorders>
            <w:shd w:val="clear" w:color="auto" w:fill="auto"/>
            <w:noWrap/>
            <w:hideMark/>
          </w:tcPr>
          <w:p w14:paraId="3996A826"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0.001</w:t>
            </w:r>
          </w:p>
        </w:tc>
        <w:tc>
          <w:tcPr>
            <w:tcW w:w="1984" w:type="dxa"/>
            <w:tcBorders>
              <w:top w:val="nil"/>
            </w:tcBorders>
            <w:shd w:val="clear" w:color="auto" w:fill="auto"/>
            <w:noWrap/>
            <w:hideMark/>
          </w:tcPr>
          <w:p w14:paraId="63BD9B5C"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0.0100</w:t>
            </w:r>
          </w:p>
        </w:tc>
        <w:tc>
          <w:tcPr>
            <w:tcW w:w="1985" w:type="dxa"/>
            <w:tcBorders>
              <w:top w:val="nil"/>
            </w:tcBorders>
            <w:shd w:val="clear" w:color="auto" w:fill="auto"/>
            <w:noWrap/>
            <w:hideMark/>
          </w:tcPr>
          <w:p w14:paraId="7BFE054A" w14:textId="7D9D563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 xml:space="preserve">646 </w:t>
            </w:r>
          </w:p>
        </w:tc>
      </w:tr>
      <w:tr w:rsidR="00290418" w:rsidRPr="00A7082A" w14:paraId="39954C5F" w14:textId="77777777" w:rsidTr="0095102B">
        <w:trPr>
          <w:trHeight w:val="57"/>
          <w:jc w:val="right"/>
        </w:trPr>
        <w:tc>
          <w:tcPr>
            <w:tcW w:w="709" w:type="dxa"/>
            <w:tcBorders>
              <w:top w:val="nil"/>
            </w:tcBorders>
            <w:shd w:val="clear" w:color="auto" w:fill="auto"/>
            <w:noWrap/>
          </w:tcPr>
          <w:p w14:paraId="24ED4AB6" w14:textId="04201B89"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3E57E269"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Saint Lucia</w:t>
            </w:r>
          </w:p>
        </w:tc>
        <w:tc>
          <w:tcPr>
            <w:tcW w:w="1701" w:type="dxa"/>
            <w:tcBorders>
              <w:top w:val="nil"/>
            </w:tcBorders>
            <w:shd w:val="clear" w:color="auto" w:fill="auto"/>
            <w:noWrap/>
            <w:hideMark/>
          </w:tcPr>
          <w:p w14:paraId="4C95BC1F"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0.001</w:t>
            </w:r>
          </w:p>
        </w:tc>
        <w:tc>
          <w:tcPr>
            <w:tcW w:w="1984" w:type="dxa"/>
            <w:tcBorders>
              <w:top w:val="nil"/>
            </w:tcBorders>
            <w:shd w:val="clear" w:color="auto" w:fill="auto"/>
            <w:noWrap/>
            <w:hideMark/>
          </w:tcPr>
          <w:p w14:paraId="275ED345"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0.0100</w:t>
            </w:r>
          </w:p>
        </w:tc>
        <w:tc>
          <w:tcPr>
            <w:tcW w:w="1985" w:type="dxa"/>
            <w:tcBorders>
              <w:top w:val="nil"/>
            </w:tcBorders>
            <w:shd w:val="clear" w:color="auto" w:fill="auto"/>
            <w:noWrap/>
            <w:hideMark/>
          </w:tcPr>
          <w:p w14:paraId="7BDBC804" w14:textId="791536F6"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 xml:space="preserve">646 </w:t>
            </w:r>
          </w:p>
        </w:tc>
      </w:tr>
      <w:tr w:rsidR="00290418" w:rsidRPr="00A7082A" w14:paraId="5E6ACD8D" w14:textId="77777777" w:rsidTr="0095102B">
        <w:trPr>
          <w:trHeight w:val="57"/>
          <w:jc w:val="right"/>
        </w:trPr>
        <w:tc>
          <w:tcPr>
            <w:tcW w:w="709" w:type="dxa"/>
            <w:tcBorders>
              <w:top w:val="nil"/>
            </w:tcBorders>
            <w:shd w:val="clear" w:color="auto" w:fill="auto"/>
            <w:noWrap/>
          </w:tcPr>
          <w:p w14:paraId="2F9FA95C" w14:textId="5ECD0048"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1B3107E4"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Suriname</w:t>
            </w:r>
          </w:p>
        </w:tc>
        <w:tc>
          <w:tcPr>
            <w:tcW w:w="1701" w:type="dxa"/>
            <w:tcBorders>
              <w:top w:val="nil"/>
            </w:tcBorders>
            <w:shd w:val="clear" w:color="auto" w:fill="auto"/>
            <w:noWrap/>
            <w:hideMark/>
          </w:tcPr>
          <w:p w14:paraId="430864A9"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0.005</w:t>
            </w:r>
          </w:p>
        </w:tc>
        <w:tc>
          <w:tcPr>
            <w:tcW w:w="1984" w:type="dxa"/>
            <w:tcBorders>
              <w:top w:val="nil"/>
            </w:tcBorders>
            <w:shd w:val="clear" w:color="auto" w:fill="auto"/>
            <w:noWrap/>
            <w:hideMark/>
          </w:tcPr>
          <w:p w14:paraId="340A6F07"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0.0100</w:t>
            </w:r>
          </w:p>
        </w:tc>
        <w:tc>
          <w:tcPr>
            <w:tcW w:w="1985" w:type="dxa"/>
            <w:tcBorders>
              <w:top w:val="nil"/>
            </w:tcBorders>
            <w:shd w:val="clear" w:color="auto" w:fill="auto"/>
            <w:noWrap/>
            <w:hideMark/>
          </w:tcPr>
          <w:p w14:paraId="0F522BE6" w14:textId="0CDA5E4D"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 xml:space="preserve">646 </w:t>
            </w:r>
          </w:p>
        </w:tc>
      </w:tr>
      <w:tr w:rsidR="00290418" w:rsidRPr="00A7082A" w14:paraId="05A4F42E" w14:textId="77777777" w:rsidTr="0095102B">
        <w:trPr>
          <w:trHeight w:val="57"/>
          <w:jc w:val="right"/>
        </w:trPr>
        <w:tc>
          <w:tcPr>
            <w:tcW w:w="709" w:type="dxa"/>
            <w:tcBorders>
              <w:top w:val="nil"/>
              <w:bottom w:val="single" w:sz="4" w:space="0" w:color="000000" w:themeColor="text1"/>
            </w:tcBorders>
            <w:shd w:val="clear" w:color="auto" w:fill="auto"/>
            <w:noWrap/>
          </w:tcPr>
          <w:p w14:paraId="425C8080" w14:textId="7990ACC0"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bottom w:val="single" w:sz="4" w:space="0" w:color="000000" w:themeColor="text1"/>
            </w:tcBorders>
            <w:shd w:val="clear" w:color="auto" w:fill="auto"/>
            <w:hideMark/>
          </w:tcPr>
          <w:p w14:paraId="71BA8603"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Uruguay</w:t>
            </w:r>
          </w:p>
        </w:tc>
        <w:tc>
          <w:tcPr>
            <w:tcW w:w="1701" w:type="dxa"/>
            <w:tcBorders>
              <w:top w:val="nil"/>
              <w:bottom w:val="single" w:sz="4" w:space="0" w:color="000000" w:themeColor="text1"/>
            </w:tcBorders>
            <w:shd w:val="clear" w:color="auto" w:fill="auto"/>
            <w:noWrap/>
            <w:hideMark/>
          </w:tcPr>
          <w:p w14:paraId="1BB4274A"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0.087</w:t>
            </w:r>
          </w:p>
        </w:tc>
        <w:tc>
          <w:tcPr>
            <w:tcW w:w="1984" w:type="dxa"/>
            <w:tcBorders>
              <w:top w:val="nil"/>
              <w:bottom w:val="single" w:sz="4" w:space="0" w:color="000000" w:themeColor="text1"/>
            </w:tcBorders>
            <w:shd w:val="clear" w:color="auto" w:fill="auto"/>
            <w:noWrap/>
            <w:hideMark/>
          </w:tcPr>
          <w:p w14:paraId="695401A5"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0.1066</w:t>
            </w:r>
          </w:p>
        </w:tc>
        <w:tc>
          <w:tcPr>
            <w:tcW w:w="1985" w:type="dxa"/>
            <w:tcBorders>
              <w:top w:val="nil"/>
              <w:bottom w:val="single" w:sz="4" w:space="0" w:color="000000" w:themeColor="text1"/>
            </w:tcBorders>
            <w:shd w:val="clear" w:color="auto" w:fill="auto"/>
            <w:noWrap/>
            <w:hideMark/>
          </w:tcPr>
          <w:p w14:paraId="56D006E2" w14:textId="77AF8D7C"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6</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890 </w:t>
            </w:r>
          </w:p>
        </w:tc>
      </w:tr>
      <w:tr w:rsidR="00767D30" w:rsidRPr="00A7082A" w14:paraId="4E77D78F" w14:textId="77777777" w:rsidTr="0095102B">
        <w:trPr>
          <w:trHeight w:val="57"/>
          <w:jc w:val="right"/>
        </w:trPr>
        <w:tc>
          <w:tcPr>
            <w:tcW w:w="8931" w:type="dxa"/>
            <w:gridSpan w:val="5"/>
            <w:tcBorders>
              <w:top w:val="single" w:sz="4" w:space="0" w:color="000000" w:themeColor="text1"/>
              <w:bottom w:val="single" w:sz="4" w:space="0" w:color="000000" w:themeColor="text1"/>
            </w:tcBorders>
            <w:shd w:val="clear" w:color="auto" w:fill="auto"/>
            <w:noWrap/>
            <w:hideMark/>
          </w:tcPr>
          <w:p w14:paraId="0A5087D6" w14:textId="411639D6" w:rsidR="00767D30" w:rsidRPr="00A7082A" w:rsidRDefault="00767D30" w:rsidP="00A27D30">
            <w:pPr>
              <w:pStyle w:val="ListParagraph"/>
              <w:tabs>
                <w:tab w:val="clear" w:pos="1247"/>
                <w:tab w:val="clear" w:pos="1814"/>
                <w:tab w:val="clear" w:pos="2381"/>
                <w:tab w:val="clear" w:pos="2948"/>
                <w:tab w:val="clear" w:pos="3515"/>
              </w:tabs>
              <w:spacing w:before="40" w:after="40"/>
              <w:ind w:left="57" w:right="57"/>
              <w:rPr>
                <w:rFonts w:asciiTheme="majorBidi" w:hAnsiTheme="majorBidi"/>
                <w:b/>
                <w:color w:val="000000"/>
                <w:sz w:val="18"/>
              </w:rPr>
            </w:pPr>
            <w:r w:rsidRPr="00A7082A">
              <w:rPr>
                <w:rFonts w:asciiTheme="majorBidi" w:hAnsiTheme="majorBidi"/>
                <w:b/>
                <w:color w:val="000000"/>
                <w:sz w:val="18"/>
              </w:rPr>
              <w:t>Western European and other States (21)</w:t>
            </w:r>
          </w:p>
        </w:tc>
      </w:tr>
      <w:tr w:rsidR="00290418" w:rsidRPr="00A7082A" w14:paraId="19C04CB9" w14:textId="77777777" w:rsidTr="0095102B">
        <w:trPr>
          <w:trHeight w:val="57"/>
          <w:jc w:val="right"/>
        </w:trPr>
        <w:tc>
          <w:tcPr>
            <w:tcW w:w="709" w:type="dxa"/>
            <w:tcBorders>
              <w:top w:val="single" w:sz="4" w:space="0" w:color="000000" w:themeColor="text1"/>
            </w:tcBorders>
            <w:shd w:val="clear" w:color="auto" w:fill="auto"/>
            <w:noWrap/>
          </w:tcPr>
          <w:p w14:paraId="66957957" w14:textId="3E40342A"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single" w:sz="4" w:space="0" w:color="000000" w:themeColor="text1"/>
            </w:tcBorders>
            <w:shd w:val="clear" w:color="auto" w:fill="auto"/>
            <w:hideMark/>
          </w:tcPr>
          <w:p w14:paraId="0F5CEA22"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Austria</w:t>
            </w:r>
          </w:p>
        </w:tc>
        <w:tc>
          <w:tcPr>
            <w:tcW w:w="1701" w:type="dxa"/>
            <w:tcBorders>
              <w:top w:val="single" w:sz="4" w:space="0" w:color="000000" w:themeColor="text1"/>
            </w:tcBorders>
            <w:shd w:val="clear" w:color="auto" w:fill="auto"/>
            <w:noWrap/>
            <w:hideMark/>
          </w:tcPr>
          <w:p w14:paraId="7A8EC090"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0.677</w:t>
            </w:r>
          </w:p>
        </w:tc>
        <w:tc>
          <w:tcPr>
            <w:tcW w:w="1984" w:type="dxa"/>
            <w:tcBorders>
              <w:top w:val="single" w:sz="4" w:space="0" w:color="000000" w:themeColor="text1"/>
            </w:tcBorders>
            <w:shd w:val="clear" w:color="auto" w:fill="auto"/>
            <w:noWrap/>
            <w:hideMark/>
          </w:tcPr>
          <w:p w14:paraId="517E4694"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0.8296</w:t>
            </w:r>
          </w:p>
        </w:tc>
        <w:tc>
          <w:tcPr>
            <w:tcW w:w="1985" w:type="dxa"/>
            <w:tcBorders>
              <w:top w:val="single" w:sz="4" w:space="0" w:color="000000" w:themeColor="text1"/>
            </w:tcBorders>
            <w:shd w:val="clear" w:color="auto" w:fill="auto"/>
            <w:noWrap/>
            <w:hideMark/>
          </w:tcPr>
          <w:p w14:paraId="746675C0" w14:textId="53681F63"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53</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616 </w:t>
            </w:r>
          </w:p>
        </w:tc>
      </w:tr>
      <w:tr w:rsidR="00290418" w:rsidRPr="00A7082A" w14:paraId="235A2B1C" w14:textId="77777777" w:rsidTr="0095102B">
        <w:trPr>
          <w:trHeight w:val="57"/>
          <w:jc w:val="right"/>
        </w:trPr>
        <w:tc>
          <w:tcPr>
            <w:tcW w:w="709" w:type="dxa"/>
            <w:tcBorders>
              <w:top w:val="nil"/>
            </w:tcBorders>
            <w:shd w:val="clear" w:color="auto" w:fill="auto"/>
            <w:noWrap/>
          </w:tcPr>
          <w:p w14:paraId="014C265C" w14:textId="401E172F"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61684008"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Belgium</w:t>
            </w:r>
          </w:p>
        </w:tc>
        <w:tc>
          <w:tcPr>
            <w:tcW w:w="1701" w:type="dxa"/>
            <w:tcBorders>
              <w:top w:val="nil"/>
            </w:tcBorders>
            <w:shd w:val="clear" w:color="auto" w:fill="auto"/>
            <w:noWrap/>
            <w:hideMark/>
          </w:tcPr>
          <w:p w14:paraId="776D5DFA"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0.821</w:t>
            </w:r>
          </w:p>
        </w:tc>
        <w:tc>
          <w:tcPr>
            <w:tcW w:w="1984" w:type="dxa"/>
            <w:tcBorders>
              <w:top w:val="nil"/>
            </w:tcBorders>
            <w:shd w:val="clear" w:color="auto" w:fill="auto"/>
            <w:noWrap/>
            <w:hideMark/>
          </w:tcPr>
          <w:p w14:paraId="39BB3AC7"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1.0060</w:t>
            </w:r>
          </w:p>
        </w:tc>
        <w:tc>
          <w:tcPr>
            <w:tcW w:w="1985" w:type="dxa"/>
            <w:tcBorders>
              <w:top w:val="nil"/>
            </w:tcBorders>
            <w:shd w:val="clear" w:color="auto" w:fill="auto"/>
            <w:noWrap/>
            <w:hideMark/>
          </w:tcPr>
          <w:p w14:paraId="5ECAC0FA" w14:textId="65E170DA"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65</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020 </w:t>
            </w:r>
          </w:p>
        </w:tc>
      </w:tr>
      <w:tr w:rsidR="00290418" w:rsidRPr="00A7082A" w14:paraId="5891EF46" w14:textId="77777777" w:rsidTr="0095102B">
        <w:trPr>
          <w:trHeight w:val="57"/>
          <w:jc w:val="right"/>
        </w:trPr>
        <w:tc>
          <w:tcPr>
            <w:tcW w:w="709" w:type="dxa"/>
            <w:tcBorders>
              <w:top w:val="nil"/>
            </w:tcBorders>
            <w:shd w:val="clear" w:color="auto" w:fill="auto"/>
            <w:noWrap/>
          </w:tcPr>
          <w:p w14:paraId="5534A76A" w14:textId="5D6C3D70"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600769F8"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Canada</w:t>
            </w:r>
          </w:p>
        </w:tc>
        <w:tc>
          <w:tcPr>
            <w:tcW w:w="1701" w:type="dxa"/>
            <w:tcBorders>
              <w:top w:val="nil"/>
            </w:tcBorders>
            <w:shd w:val="clear" w:color="auto" w:fill="auto"/>
            <w:noWrap/>
            <w:hideMark/>
          </w:tcPr>
          <w:p w14:paraId="17792E7B"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2.734</w:t>
            </w:r>
          </w:p>
        </w:tc>
        <w:tc>
          <w:tcPr>
            <w:tcW w:w="1984" w:type="dxa"/>
            <w:tcBorders>
              <w:top w:val="nil"/>
            </w:tcBorders>
            <w:shd w:val="clear" w:color="auto" w:fill="auto"/>
            <w:noWrap/>
            <w:hideMark/>
          </w:tcPr>
          <w:p w14:paraId="1EF8E0EE"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3.3501</w:t>
            </w:r>
          </w:p>
        </w:tc>
        <w:tc>
          <w:tcPr>
            <w:tcW w:w="1985" w:type="dxa"/>
            <w:tcBorders>
              <w:top w:val="nil"/>
            </w:tcBorders>
            <w:shd w:val="clear" w:color="auto" w:fill="auto"/>
            <w:noWrap/>
            <w:hideMark/>
          </w:tcPr>
          <w:p w14:paraId="4CD9BF6F" w14:textId="6D2C90B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216</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522 </w:t>
            </w:r>
          </w:p>
        </w:tc>
      </w:tr>
      <w:tr w:rsidR="00290418" w:rsidRPr="00A7082A" w14:paraId="205C90B5" w14:textId="77777777" w:rsidTr="0095102B">
        <w:trPr>
          <w:trHeight w:val="57"/>
          <w:jc w:val="right"/>
        </w:trPr>
        <w:tc>
          <w:tcPr>
            <w:tcW w:w="709" w:type="dxa"/>
            <w:tcBorders>
              <w:top w:val="nil"/>
            </w:tcBorders>
            <w:shd w:val="clear" w:color="auto" w:fill="auto"/>
            <w:noWrap/>
          </w:tcPr>
          <w:p w14:paraId="7195241F" w14:textId="1C7DE9F3"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0197B559"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Denmark</w:t>
            </w:r>
          </w:p>
        </w:tc>
        <w:tc>
          <w:tcPr>
            <w:tcW w:w="1701" w:type="dxa"/>
            <w:tcBorders>
              <w:top w:val="nil"/>
            </w:tcBorders>
            <w:shd w:val="clear" w:color="auto" w:fill="auto"/>
            <w:noWrap/>
            <w:hideMark/>
          </w:tcPr>
          <w:p w14:paraId="3414C304"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0.554</w:t>
            </w:r>
          </w:p>
        </w:tc>
        <w:tc>
          <w:tcPr>
            <w:tcW w:w="1984" w:type="dxa"/>
            <w:tcBorders>
              <w:top w:val="nil"/>
            </w:tcBorders>
            <w:shd w:val="clear" w:color="auto" w:fill="auto"/>
            <w:noWrap/>
            <w:hideMark/>
          </w:tcPr>
          <w:p w14:paraId="1B8A4653"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0.6788</w:t>
            </w:r>
          </w:p>
        </w:tc>
        <w:tc>
          <w:tcPr>
            <w:tcW w:w="1985" w:type="dxa"/>
            <w:tcBorders>
              <w:top w:val="nil"/>
            </w:tcBorders>
            <w:shd w:val="clear" w:color="auto" w:fill="auto"/>
            <w:noWrap/>
            <w:hideMark/>
          </w:tcPr>
          <w:p w14:paraId="22B8A347" w14:textId="509FA5F0"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43</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875 </w:t>
            </w:r>
          </w:p>
        </w:tc>
      </w:tr>
      <w:tr w:rsidR="00290418" w:rsidRPr="00A7082A" w14:paraId="0E71D1F1" w14:textId="77777777" w:rsidTr="0095102B">
        <w:trPr>
          <w:trHeight w:val="57"/>
          <w:jc w:val="right"/>
        </w:trPr>
        <w:tc>
          <w:tcPr>
            <w:tcW w:w="709" w:type="dxa"/>
            <w:tcBorders>
              <w:top w:val="nil"/>
            </w:tcBorders>
            <w:shd w:val="clear" w:color="auto" w:fill="auto"/>
            <w:noWrap/>
          </w:tcPr>
          <w:p w14:paraId="1A282A8A" w14:textId="2584D736"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11F4A380"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European Union</w:t>
            </w:r>
          </w:p>
        </w:tc>
        <w:tc>
          <w:tcPr>
            <w:tcW w:w="1701" w:type="dxa"/>
            <w:tcBorders>
              <w:top w:val="nil"/>
            </w:tcBorders>
            <w:shd w:val="clear" w:color="auto" w:fill="auto"/>
            <w:noWrap/>
            <w:hideMark/>
          </w:tcPr>
          <w:p w14:paraId="71311989"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2.5</w:t>
            </w:r>
          </w:p>
        </w:tc>
        <w:tc>
          <w:tcPr>
            <w:tcW w:w="1984" w:type="dxa"/>
            <w:tcBorders>
              <w:top w:val="nil"/>
            </w:tcBorders>
            <w:shd w:val="clear" w:color="auto" w:fill="auto"/>
            <w:noWrap/>
            <w:hideMark/>
          </w:tcPr>
          <w:p w14:paraId="03AD8F87"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2.5000</w:t>
            </w:r>
          </w:p>
        </w:tc>
        <w:tc>
          <w:tcPr>
            <w:tcW w:w="1985" w:type="dxa"/>
            <w:tcBorders>
              <w:top w:val="nil"/>
            </w:tcBorders>
            <w:shd w:val="clear" w:color="auto" w:fill="auto"/>
            <w:noWrap/>
            <w:hideMark/>
          </w:tcPr>
          <w:p w14:paraId="3467D562" w14:textId="74A166CB"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161</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578 </w:t>
            </w:r>
          </w:p>
        </w:tc>
      </w:tr>
      <w:tr w:rsidR="00290418" w:rsidRPr="00A7082A" w14:paraId="44A24AC6" w14:textId="77777777" w:rsidTr="0095102B">
        <w:trPr>
          <w:trHeight w:val="57"/>
          <w:jc w:val="right"/>
        </w:trPr>
        <w:tc>
          <w:tcPr>
            <w:tcW w:w="709" w:type="dxa"/>
            <w:tcBorders>
              <w:top w:val="nil"/>
            </w:tcBorders>
            <w:shd w:val="clear" w:color="auto" w:fill="auto"/>
            <w:noWrap/>
          </w:tcPr>
          <w:p w14:paraId="3F8FCD03" w14:textId="7440F47A"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0AB8CA5A"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Finland</w:t>
            </w:r>
          </w:p>
        </w:tc>
        <w:tc>
          <w:tcPr>
            <w:tcW w:w="1701" w:type="dxa"/>
            <w:tcBorders>
              <w:top w:val="nil"/>
            </w:tcBorders>
            <w:shd w:val="clear" w:color="auto" w:fill="auto"/>
            <w:noWrap/>
            <w:hideMark/>
          </w:tcPr>
          <w:p w14:paraId="6E37A580"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0.421</w:t>
            </w:r>
          </w:p>
        </w:tc>
        <w:tc>
          <w:tcPr>
            <w:tcW w:w="1984" w:type="dxa"/>
            <w:tcBorders>
              <w:top w:val="nil"/>
            </w:tcBorders>
            <w:shd w:val="clear" w:color="auto" w:fill="auto"/>
            <w:noWrap/>
            <w:hideMark/>
          </w:tcPr>
          <w:p w14:paraId="67D5124A"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0.5159</w:t>
            </w:r>
          </w:p>
        </w:tc>
        <w:tc>
          <w:tcPr>
            <w:tcW w:w="1985" w:type="dxa"/>
            <w:tcBorders>
              <w:top w:val="nil"/>
            </w:tcBorders>
            <w:shd w:val="clear" w:color="auto" w:fill="auto"/>
            <w:noWrap/>
            <w:hideMark/>
          </w:tcPr>
          <w:p w14:paraId="742B8535" w14:textId="09452C98"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33</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341 </w:t>
            </w:r>
          </w:p>
        </w:tc>
      </w:tr>
      <w:tr w:rsidR="00290418" w:rsidRPr="00A7082A" w14:paraId="673F6CA0" w14:textId="77777777" w:rsidTr="0095102B">
        <w:trPr>
          <w:trHeight w:val="57"/>
          <w:jc w:val="right"/>
        </w:trPr>
        <w:tc>
          <w:tcPr>
            <w:tcW w:w="709" w:type="dxa"/>
            <w:tcBorders>
              <w:top w:val="nil"/>
            </w:tcBorders>
            <w:shd w:val="clear" w:color="auto" w:fill="auto"/>
            <w:noWrap/>
          </w:tcPr>
          <w:p w14:paraId="211B65F9" w14:textId="7AEFDF8F"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3323C558"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France</w:t>
            </w:r>
          </w:p>
        </w:tc>
        <w:tc>
          <w:tcPr>
            <w:tcW w:w="1701" w:type="dxa"/>
            <w:tcBorders>
              <w:top w:val="nil"/>
            </w:tcBorders>
            <w:shd w:val="clear" w:color="auto" w:fill="auto"/>
            <w:noWrap/>
            <w:hideMark/>
          </w:tcPr>
          <w:p w14:paraId="7E568A2C"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4.427</w:t>
            </w:r>
          </w:p>
        </w:tc>
        <w:tc>
          <w:tcPr>
            <w:tcW w:w="1984" w:type="dxa"/>
            <w:tcBorders>
              <w:top w:val="nil"/>
            </w:tcBorders>
            <w:shd w:val="clear" w:color="auto" w:fill="auto"/>
            <w:noWrap/>
            <w:hideMark/>
          </w:tcPr>
          <w:p w14:paraId="58FFA595"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5.4246</w:t>
            </w:r>
          </w:p>
        </w:tc>
        <w:tc>
          <w:tcPr>
            <w:tcW w:w="1985" w:type="dxa"/>
            <w:tcBorders>
              <w:top w:val="nil"/>
            </w:tcBorders>
            <w:shd w:val="clear" w:color="auto" w:fill="auto"/>
            <w:noWrap/>
            <w:hideMark/>
          </w:tcPr>
          <w:p w14:paraId="628018AC" w14:textId="4072BE2D"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350</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600 </w:t>
            </w:r>
          </w:p>
        </w:tc>
      </w:tr>
      <w:tr w:rsidR="00290418" w:rsidRPr="00A7082A" w14:paraId="7922EC19" w14:textId="77777777" w:rsidTr="0095102B">
        <w:trPr>
          <w:trHeight w:val="57"/>
          <w:jc w:val="right"/>
        </w:trPr>
        <w:tc>
          <w:tcPr>
            <w:tcW w:w="709" w:type="dxa"/>
            <w:tcBorders>
              <w:top w:val="nil"/>
            </w:tcBorders>
            <w:shd w:val="clear" w:color="auto" w:fill="auto"/>
            <w:noWrap/>
          </w:tcPr>
          <w:p w14:paraId="073736C8" w14:textId="5F6058E0"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6C3D4569"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Germany</w:t>
            </w:r>
          </w:p>
        </w:tc>
        <w:tc>
          <w:tcPr>
            <w:tcW w:w="1701" w:type="dxa"/>
            <w:tcBorders>
              <w:top w:val="nil"/>
            </w:tcBorders>
            <w:shd w:val="clear" w:color="auto" w:fill="auto"/>
            <w:noWrap/>
            <w:hideMark/>
          </w:tcPr>
          <w:p w14:paraId="059CB42D"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6.09</w:t>
            </w:r>
          </w:p>
        </w:tc>
        <w:tc>
          <w:tcPr>
            <w:tcW w:w="1984" w:type="dxa"/>
            <w:tcBorders>
              <w:top w:val="nil"/>
            </w:tcBorders>
            <w:shd w:val="clear" w:color="auto" w:fill="auto"/>
            <w:noWrap/>
            <w:hideMark/>
          </w:tcPr>
          <w:p w14:paraId="67B8CC88"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7.4624</w:t>
            </w:r>
          </w:p>
        </w:tc>
        <w:tc>
          <w:tcPr>
            <w:tcW w:w="1985" w:type="dxa"/>
            <w:tcBorders>
              <w:top w:val="nil"/>
            </w:tcBorders>
            <w:shd w:val="clear" w:color="auto" w:fill="auto"/>
            <w:noWrap/>
            <w:hideMark/>
          </w:tcPr>
          <w:p w14:paraId="378B615D" w14:textId="1CE27126"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482</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303 </w:t>
            </w:r>
          </w:p>
        </w:tc>
      </w:tr>
      <w:tr w:rsidR="00290418" w:rsidRPr="00A7082A" w14:paraId="3411D711" w14:textId="77777777" w:rsidTr="0095102B">
        <w:trPr>
          <w:trHeight w:val="57"/>
          <w:jc w:val="right"/>
        </w:trPr>
        <w:tc>
          <w:tcPr>
            <w:tcW w:w="709" w:type="dxa"/>
            <w:tcBorders>
              <w:top w:val="nil"/>
            </w:tcBorders>
            <w:shd w:val="clear" w:color="auto" w:fill="auto"/>
            <w:noWrap/>
          </w:tcPr>
          <w:p w14:paraId="4BC86794" w14:textId="0E3E60D2"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623A7334"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Iceland</w:t>
            </w:r>
          </w:p>
        </w:tc>
        <w:tc>
          <w:tcPr>
            <w:tcW w:w="1701" w:type="dxa"/>
            <w:tcBorders>
              <w:top w:val="nil"/>
            </w:tcBorders>
            <w:shd w:val="clear" w:color="auto" w:fill="auto"/>
            <w:noWrap/>
            <w:hideMark/>
          </w:tcPr>
          <w:p w14:paraId="776274F1"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0.028</w:t>
            </w:r>
          </w:p>
        </w:tc>
        <w:tc>
          <w:tcPr>
            <w:tcW w:w="1984" w:type="dxa"/>
            <w:tcBorders>
              <w:top w:val="nil"/>
            </w:tcBorders>
            <w:shd w:val="clear" w:color="auto" w:fill="auto"/>
            <w:noWrap/>
            <w:hideMark/>
          </w:tcPr>
          <w:p w14:paraId="172D46B4"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0.0343</w:t>
            </w:r>
          </w:p>
        </w:tc>
        <w:tc>
          <w:tcPr>
            <w:tcW w:w="1985" w:type="dxa"/>
            <w:tcBorders>
              <w:top w:val="nil"/>
            </w:tcBorders>
            <w:shd w:val="clear" w:color="auto" w:fill="auto"/>
            <w:noWrap/>
            <w:hideMark/>
          </w:tcPr>
          <w:p w14:paraId="3EFE1253" w14:textId="39DDBF9E"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2</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217 </w:t>
            </w:r>
          </w:p>
        </w:tc>
      </w:tr>
      <w:tr w:rsidR="00290418" w:rsidRPr="00A7082A" w14:paraId="7F17E261" w14:textId="77777777" w:rsidTr="0095102B">
        <w:trPr>
          <w:trHeight w:val="57"/>
          <w:jc w:val="right"/>
        </w:trPr>
        <w:tc>
          <w:tcPr>
            <w:tcW w:w="709" w:type="dxa"/>
            <w:tcBorders>
              <w:top w:val="nil"/>
            </w:tcBorders>
            <w:shd w:val="clear" w:color="auto" w:fill="auto"/>
            <w:noWrap/>
          </w:tcPr>
          <w:p w14:paraId="2B7463A5" w14:textId="0A150ACB"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2B1F7AD3"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Ireland</w:t>
            </w:r>
          </w:p>
        </w:tc>
        <w:tc>
          <w:tcPr>
            <w:tcW w:w="1701" w:type="dxa"/>
            <w:tcBorders>
              <w:top w:val="nil"/>
            </w:tcBorders>
            <w:shd w:val="clear" w:color="auto" w:fill="auto"/>
            <w:noWrap/>
            <w:hideMark/>
          </w:tcPr>
          <w:p w14:paraId="71B7A7DF"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0.371</w:t>
            </w:r>
          </w:p>
        </w:tc>
        <w:tc>
          <w:tcPr>
            <w:tcW w:w="1984" w:type="dxa"/>
            <w:tcBorders>
              <w:top w:val="nil"/>
            </w:tcBorders>
            <w:shd w:val="clear" w:color="auto" w:fill="auto"/>
            <w:noWrap/>
            <w:hideMark/>
          </w:tcPr>
          <w:p w14:paraId="2DB01132"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0.4546</w:t>
            </w:r>
          </w:p>
        </w:tc>
        <w:tc>
          <w:tcPr>
            <w:tcW w:w="1985" w:type="dxa"/>
            <w:tcBorders>
              <w:top w:val="nil"/>
            </w:tcBorders>
            <w:shd w:val="clear" w:color="auto" w:fill="auto"/>
            <w:noWrap/>
            <w:hideMark/>
          </w:tcPr>
          <w:p w14:paraId="56907651" w14:textId="12F48C6A"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29</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382 </w:t>
            </w:r>
          </w:p>
        </w:tc>
      </w:tr>
      <w:tr w:rsidR="00290418" w:rsidRPr="00A7082A" w14:paraId="44F6D7EE" w14:textId="77777777" w:rsidTr="0095102B">
        <w:trPr>
          <w:trHeight w:val="57"/>
          <w:jc w:val="right"/>
        </w:trPr>
        <w:tc>
          <w:tcPr>
            <w:tcW w:w="709" w:type="dxa"/>
            <w:tcBorders>
              <w:top w:val="nil"/>
            </w:tcBorders>
            <w:shd w:val="clear" w:color="auto" w:fill="auto"/>
            <w:noWrap/>
          </w:tcPr>
          <w:p w14:paraId="5254A517" w14:textId="644BD18E"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144E34F5"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Liechtenstein</w:t>
            </w:r>
          </w:p>
        </w:tc>
        <w:tc>
          <w:tcPr>
            <w:tcW w:w="1701" w:type="dxa"/>
            <w:tcBorders>
              <w:top w:val="nil"/>
            </w:tcBorders>
            <w:shd w:val="clear" w:color="auto" w:fill="auto"/>
            <w:noWrap/>
            <w:hideMark/>
          </w:tcPr>
          <w:p w14:paraId="17524711"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0.009</w:t>
            </w:r>
          </w:p>
        </w:tc>
        <w:tc>
          <w:tcPr>
            <w:tcW w:w="1984" w:type="dxa"/>
            <w:tcBorders>
              <w:top w:val="nil"/>
            </w:tcBorders>
            <w:shd w:val="clear" w:color="auto" w:fill="auto"/>
            <w:noWrap/>
            <w:hideMark/>
          </w:tcPr>
          <w:p w14:paraId="4A7D0329"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0.0110</w:t>
            </w:r>
          </w:p>
        </w:tc>
        <w:tc>
          <w:tcPr>
            <w:tcW w:w="1985" w:type="dxa"/>
            <w:tcBorders>
              <w:top w:val="nil"/>
            </w:tcBorders>
            <w:shd w:val="clear" w:color="auto" w:fill="auto"/>
            <w:noWrap/>
            <w:hideMark/>
          </w:tcPr>
          <w:p w14:paraId="38EF0746" w14:textId="4B0F4B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 xml:space="preserve">713 </w:t>
            </w:r>
          </w:p>
        </w:tc>
      </w:tr>
      <w:tr w:rsidR="00290418" w:rsidRPr="00A7082A" w14:paraId="0CFD6F74" w14:textId="77777777" w:rsidTr="0095102B">
        <w:trPr>
          <w:trHeight w:val="57"/>
          <w:jc w:val="right"/>
        </w:trPr>
        <w:tc>
          <w:tcPr>
            <w:tcW w:w="709" w:type="dxa"/>
            <w:tcBorders>
              <w:top w:val="nil"/>
            </w:tcBorders>
            <w:shd w:val="clear" w:color="auto" w:fill="auto"/>
            <w:noWrap/>
          </w:tcPr>
          <w:p w14:paraId="4CC69496" w14:textId="4BB31D2F"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793F1123"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Luxembourg</w:t>
            </w:r>
          </w:p>
        </w:tc>
        <w:tc>
          <w:tcPr>
            <w:tcW w:w="1701" w:type="dxa"/>
            <w:tcBorders>
              <w:top w:val="nil"/>
            </w:tcBorders>
            <w:shd w:val="clear" w:color="auto" w:fill="auto"/>
            <w:noWrap/>
            <w:hideMark/>
          </w:tcPr>
          <w:p w14:paraId="038152F8"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0.067</w:t>
            </w:r>
          </w:p>
        </w:tc>
        <w:tc>
          <w:tcPr>
            <w:tcW w:w="1984" w:type="dxa"/>
            <w:tcBorders>
              <w:top w:val="nil"/>
            </w:tcBorders>
            <w:shd w:val="clear" w:color="auto" w:fill="auto"/>
            <w:noWrap/>
            <w:hideMark/>
          </w:tcPr>
          <w:p w14:paraId="1358B343"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0.0821</w:t>
            </w:r>
          </w:p>
        </w:tc>
        <w:tc>
          <w:tcPr>
            <w:tcW w:w="1985" w:type="dxa"/>
            <w:tcBorders>
              <w:top w:val="nil"/>
            </w:tcBorders>
            <w:shd w:val="clear" w:color="auto" w:fill="auto"/>
            <w:noWrap/>
            <w:hideMark/>
          </w:tcPr>
          <w:p w14:paraId="4CE1C989" w14:textId="51D3D9C2"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5</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306 </w:t>
            </w:r>
          </w:p>
        </w:tc>
      </w:tr>
      <w:tr w:rsidR="00290418" w:rsidRPr="00A7082A" w14:paraId="31DF6FBA" w14:textId="77777777" w:rsidTr="0095102B">
        <w:trPr>
          <w:trHeight w:val="57"/>
          <w:jc w:val="right"/>
        </w:trPr>
        <w:tc>
          <w:tcPr>
            <w:tcW w:w="709" w:type="dxa"/>
            <w:tcBorders>
              <w:top w:val="nil"/>
            </w:tcBorders>
            <w:shd w:val="clear" w:color="auto" w:fill="auto"/>
            <w:noWrap/>
          </w:tcPr>
          <w:p w14:paraId="71A97115" w14:textId="317383CB"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0C641876"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Malta</w:t>
            </w:r>
          </w:p>
        </w:tc>
        <w:tc>
          <w:tcPr>
            <w:tcW w:w="1701" w:type="dxa"/>
            <w:tcBorders>
              <w:top w:val="nil"/>
            </w:tcBorders>
            <w:shd w:val="clear" w:color="auto" w:fill="auto"/>
            <w:noWrap/>
            <w:hideMark/>
          </w:tcPr>
          <w:p w14:paraId="770B14A5"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0.017</w:t>
            </w:r>
          </w:p>
        </w:tc>
        <w:tc>
          <w:tcPr>
            <w:tcW w:w="1984" w:type="dxa"/>
            <w:tcBorders>
              <w:top w:val="nil"/>
            </w:tcBorders>
            <w:shd w:val="clear" w:color="auto" w:fill="auto"/>
            <w:noWrap/>
            <w:hideMark/>
          </w:tcPr>
          <w:p w14:paraId="7F23FD77"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0.0208</w:t>
            </w:r>
          </w:p>
        </w:tc>
        <w:tc>
          <w:tcPr>
            <w:tcW w:w="1985" w:type="dxa"/>
            <w:tcBorders>
              <w:top w:val="nil"/>
            </w:tcBorders>
            <w:shd w:val="clear" w:color="auto" w:fill="auto"/>
            <w:noWrap/>
            <w:hideMark/>
          </w:tcPr>
          <w:p w14:paraId="22BFC46E" w14:textId="7287FCD5"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1</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346 </w:t>
            </w:r>
          </w:p>
        </w:tc>
      </w:tr>
      <w:tr w:rsidR="00290418" w:rsidRPr="00A7082A" w14:paraId="4DE9D783" w14:textId="77777777" w:rsidTr="0095102B">
        <w:trPr>
          <w:trHeight w:val="57"/>
          <w:jc w:val="right"/>
        </w:trPr>
        <w:tc>
          <w:tcPr>
            <w:tcW w:w="709" w:type="dxa"/>
            <w:tcBorders>
              <w:top w:val="nil"/>
            </w:tcBorders>
            <w:shd w:val="clear" w:color="auto" w:fill="auto"/>
            <w:noWrap/>
          </w:tcPr>
          <w:p w14:paraId="63CDFC26" w14:textId="3793D5EB"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704F25E1"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Monaco</w:t>
            </w:r>
          </w:p>
        </w:tc>
        <w:tc>
          <w:tcPr>
            <w:tcW w:w="1701" w:type="dxa"/>
            <w:tcBorders>
              <w:top w:val="nil"/>
            </w:tcBorders>
            <w:shd w:val="clear" w:color="auto" w:fill="auto"/>
            <w:noWrap/>
            <w:hideMark/>
          </w:tcPr>
          <w:p w14:paraId="276D0E0B"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0.011</w:t>
            </w:r>
          </w:p>
        </w:tc>
        <w:tc>
          <w:tcPr>
            <w:tcW w:w="1984" w:type="dxa"/>
            <w:tcBorders>
              <w:top w:val="nil"/>
            </w:tcBorders>
            <w:shd w:val="clear" w:color="auto" w:fill="auto"/>
            <w:noWrap/>
            <w:hideMark/>
          </w:tcPr>
          <w:p w14:paraId="1DC085A7"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0.0135</w:t>
            </w:r>
          </w:p>
        </w:tc>
        <w:tc>
          <w:tcPr>
            <w:tcW w:w="1985" w:type="dxa"/>
            <w:tcBorders>
              <w:top w:val="nil"/>
            </w:tcBorders>
            <w:shd w:val="clear" w:color="auto" w:fill="auto"/>
            <w:noWrap/>
            <w:hideMark/>
          </w:tcPr>
          <w:p w14:paraId="7DD42058" w14:textId="7774ED7E"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 xml:space="preserve">871 </w:t>
            </w:r>
          </w:p>
        </w:tc>
      </w:tr>
      <w:tr w:rsidR="00290418" w:rsidRPr="00A7082A" w14:paraId="5DFFEE96" w14:textId="77777777" w:rsidTr="0095102B">
        <w:trPr>
          <w:trHeight w:val="57"/>
          <w:jc w:val="right"/>
        </w:trPr>
        <w:tc>
          <w:tcPr>
            <w:tcW w:w="709" w:type="dxa"/>
            <w:tcBorders>
              <w:top w:val="nil"/>
            </w:tcBorders>
            <w:shd w:val="clear" w:color="auto" w:fill="auto"/>
            <w:noWrap/>
          </w:tcPr>
          <w:p w14:paraId="1EFDAD0F" w14:textId="3D8263AD"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04E4E495"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Netherlands</w:t>
            </w:r>
          </w:p>
        </w:tc>
        <w:tc>
          <w:tcPr>
            <w:tcW w:w="1701" w:type="dxa"/>
            <w:tcBorders>
              <w:top w:val="nil"/>
            </w:tcBorders>
            <w:shd w:val="clear" w:color="auto" w:fill="auto"/>
            <w:noWrap/>
            <w:hideMark/>
          </w:tcPr>
          <w:p w14:paraId="5C21CA38"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1.356</w:t>
            </w:r>
          </w:p>
        </w:tc>
        <w:tc>
          <w:tcPr>
            <w:tcW w:w="1984" w:type="dxa"/>
            <w:tcBorders>
              <w:top w:val="nil"/>
            </w:tcBorders>
            <w:shd w:val="clear" w:color="auto" w:fill="auto"/>
            <w:noWrap/>
            <w:hideMark/>
          </w:tcPr>
          <w:p w14:paraId="1757B8FD"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1.6616</w:t>
            </w:r>
          </w:p>
        </w:tc>
        <w:tc>
          <w:tcPr>
            <w:tcW w:w="1985" w:type="dxa"/>
            <w:tcBorders>
              <w:top w:val="nil"/>
            </w:tcBorders>
            <w:shd w:val="clear" w:color="auto" w:fill="auto"/>
            <w:noWrap/>
            <w:hideMark/>
          </w:tcPr>
          <w:p w14:paraId="1B6071F1" w14:textId="1D3D6672"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107</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390 </w:t>
            </w:r>
          </w:p>
        </w:tc>
      </w:tr>
      <w:tr w:rsidR="00290418" w:rsidRPr="00A7082A" w14:paraId="6CC24923" w14:textId="77777777" w:rsidTr="0095102B">
        <w:trPr>
          <w:trHeight w:val="57"/>
          <w:jc w:val="right"/>
        </w:trPr>
        <w:tc>
          <w:tcPr>
            <w:tcW w:w="709" w:type="dxa"/>
            <w:tcBorders>
              <w:top w:val="nil"/>
            </w:tcBorders>
            <w:shd w:val="clear" w:color="auto" w:fill="auto"/>
            <w:noWrap/>
          </w:tcPr>
          <w:p w14:paraId="3E70C7A2" w14:textId="4E36AC61"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07A77536"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Norway</w:t>
            </w:r>
          </w:p>
        </w:tc>
        <w:tc>
          <w:tcPr>
            <w:tcW w:w="1701" w:type="dxa"/>
            <w:tcBorders>
              <w:top w:val="nil"/>
            </w:tcBorders>
            <w:shd w:val="clear" w:color="auto" w:fill="auto"/>
            <w:noWrap/>
            <w:hideMark/>
          </w:tcPr>
          <w:p w14:paraId="3E48468C"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0.754</w:t>
            </w:r>
          </w:p>
        </w:tc>
        <w:tc>
          <w:tcPr>
            <w:tcW w:w="1984" w:type="dxa"/>
            <w:tcBorders>
              <w:top w:val="nil"/>
            </w:tcBorders>
            <w:shd w:val="clear" w:color="auto" w:fill="auto"/>
            <w:noWrap/>
            <w:hideMark/>
          </w:tcPr>
          <w:p w14:paraId="75C74FF5"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0.9239</w:t>
            </w:r>
          </w:p>
        </w:tc>
        <w:tc>
          <w:tcPr>
            <w:tcW w:w="1985" w:type="dxa"/>
            <w:tcBorders>
              <w:top w:val="nil"/>
            </w:tcBorders>
            <w:shd w:val="clear" w:color="auto" w:fill="auto"/>
            <w:noWrap/>
            <w:hideMark/>
          </w:tcPr>
          <w:p w14:paraId="7A5367CE" w14:textId="56019886"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59</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714 </w:t>
            </w:r>
          </w:p>
        </w:tc>
      </w:tr>
      <w:tr w:rsidR="00290418" w:rsidRPr="00A7082A" w14:paraId="11C735E4" w14:textId="77777777" w:rsidTr="0095102B">
        <w:trPr>
          <w:trHeight w:val="57"/>
          <w:jc w:val="right"/>
        </w:trPr>
        <w:tc>
          <w:tcPr>
            <w:tcW w:w="709" w:type="dxa"/>
            <w:tcBorders>
              <w:top w:val="nil"/>
            </w:tcBorders>
            <w:shd w:val="clear" w:color="auto" w:fill="auto"/>
            <w:noWrap/>
          </w:tcPr>
          <w:p w14:paraId="747CB4EE" w14:textId="227FD87C"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6F35F9FB"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Portugal</w:t>
            </w:r>
          </w:p>
        </w:tc>
        <w:tc>
          <w:tcPr>
            <w:tcW w:w="1701" w:type="dxa"/>
            <w:tcBorders>
              <w:top w:val="nil"/>
            </w:tcBorders>
            <w:shd w:val="clear" w:color="auto" w:fill="auto"/>
            <w:noWrap/>
            <w:hideMark/>
          </w:tcPr>
          <w:p w14:paraId="04C40534"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0.35</w:t>
            </w:r>
          </w:p>
        </w:tc>
        <w:tc>
          <w:tcPr>
            <w:tcW w:w="1984" w:type="dxa"/>
            <w:tcBorders>
              <w:top w:val="nil"/>
            </w:tcBorders>
            <w:shd w:val="clear" w:color="auto" w:fill="auto"/>
            <w:noWrap/>
            <w:hideMark/>
          </w:tcPr>
          <w:p w14:paraId="6F084878"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0.4289</w:t>
            </w:r>
          </w:p>
        </w:tc>
        <w:tc>
          <w:tcPr>
            <w:tcW w:w="1985" w:type="dxa"/>
            <w:tcBorders>
              <w:top w:val="nil"/>
            </w:tcBorders>
            <w:shd w:val="clear" w:color="auto" w:fill="auto"/>
            <w:noWrap/>
            <w:hideMark/>
          </w:tcPr>
          <w:p w14:paraId="2BD126B8" w14:textId="588ACA60"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27</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719 </w:t>
            </w:r>
          </w:p>
        </w:tc>
      </w:tr>
      <w:tr w:rsidR="00290418" w:rsidRPr="00A7082A" w14:paraId="73B0E973" w14:textId="77777777" w:rsidTr="0095102B">
        <w:trPr>
          <w:trHeight w:val="57"/>
          <w:jc w:val="right"/>
        </w:trPr>
        <w:tc>
          <w:tcPr>
            <w:tcW w:w="709" w:type="dxa"/>
            <w:tcBorders>
              <w:top w:val="nil"/>
            </w:tcBorders>
            <w:shd w:val="clear" w:color="auto" w:fill="auto"/>
            <w:noWrap/>
          </w:tcPr>
          <w:p w14:paraId="226B2586" w14:textId="1DA0DF52"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038B5A47"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Sweden</w:t>
            </w:r>
          </w:p>
        </w:tc>
        <w:tc>
          <w:tcPr>
            <w:tcW w:w="1701" w:type="dxa"/>
            <w:tcBorders>
              <w:top w:val="nil"/>
            </w:tcBorders>
            <w:shd w:val="clear" w:color="auto" w:fill="auto"/>
            <w:noWrap/>
            <w:hideMark/>
          </w:tcPr>
          <w:p w14:paraId="14130C0B"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0.906</w:t>
            </w:r>
          </w:p>
        </w:tc>
        <w:tc>
          <w:tcPr>
            <w:tcW w:w="1984" w:type="dxa"/>
            <w:tcBorders>
              <w:top w:val="nil"/>
            </w:tcBorders>
            <w:shd w:val="clear" w:color="auto" w:fill="auto"/>
            <w:noWrap/>
            <w:hideMark/>
          </w:tcPr>
          <w:p w14:paraId="39C1C8F4"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1.1102</w:t>
            </w:r>
          </w:p>
        </w:tc>
        <w:tc>
          <w:tcPr>
            <w:tcW w:w="1985" w:type="dxa"/>
            <w:tcBorders>
              <w:top w:val="nil"/>
            </w:tcBorders>
            <w:shd w:val="clear" w:color="auto" w:fill="auto"/>
            <w:noWrap/>
            <w:hideMark/>
          </w:tcPr>
          <w:p w14:paraId="5A471301" w14:textId="27D225E4"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71</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751 </w:t>
            </w:r>
          </w:p>
        </w:tc>
      </w:tr>
      <w:tr w:rsidR="00290418" w:rsidRPr="00A7082A" w14:paraId="2E6660F5" w14:textId="77777777" w:rsidTr="0095102B">
        <w:trPr>
          <w:trHeight w:val="57"/>
          <w:jc w:val="right"/>
        </w:trPr>
        <w:tc>
          <w:tcPr>
            <w:tcW w:w="709" w:type="dxa"/>
            <w:tcBorders>
              <w:top w:val="nil"/>
            </w:tcBorders>
            <w:shd w:val="clear" w:color="auto" w:fill="auto"/>
            <w:noWrap/>
          </w:tcPr>
          <w:p w14:paraId="64F8C3AE" w14:textId="3FA41133"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3677E16C"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Switzerland</w:t>
            </w:r>
          </w:p>
        </w:tc>
        <w:tc>
          <w:tcPr>
            <w:tcW w:w="1701" w:type="dxa"/>
            <w:tcBorders>
              <w:top w:val="nil"/>
            </w:tcBorders>
            <w:shd w:val="clear" w:color="auto" w:fill="auto"/>
            <w:noWrap/>
            <w:hideMark/>
          </w:tcPr>
          <w:p w14:paraId="300FC5B3"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1.151</w:t>
            </w:r>
          </w:p>
        </w:tc>
        <w:tc>
          <w:tcPr>
            <w:tcW w:w="1984" w:type="dxa"/>
            <w:tcBorders>
              <w:top w:val="nil"/>
            </w:tcBorders>
            <w:shd w:val="clear" w:color="auto" w:fill="auto"/>
            <w:noWrap/>
            <w:hideMark/>
          </w:tcPr>
          <w:p w14:paraId="68203938"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1.4104</w:t>
            </w:r>
          </w:p>
        </w:tc>
        <w:tc>
          <w:tcPr>
            <w:tcW w:w="1985" w:type="dxa"/>
            <w:tcBorders>
              <w:top w:val="nil"/>
            </w:tcBorders>
            <w:shd w:val="clear" w:color="auto" w:fill="auto"/>
            <w:noWrap/>
            <w:hideMark/>
          </w:tcPr>
          <w:p w14:paraId="37400757" w14:textId="4BE1C10B"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91</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154 </w:t>
            </w:r>
          </w:p>
        </w:tc>
      </w:tr>
      <w:tr w:rsidR="00290418" w:rsidRPr="00A7082A" w14:paraId="1C335594" w14:textId="77777777" w:rsidTr="0095102B">
        <w:trPr>
          <w:trHeight w:val="57"/>
          <w:jc w:val="right"/>
        </w:trPr>
        <w:tc>
          <w:tcPr>
            <w:tcW w:w="709" w:type="dxa"/>
            <w:tcBorders>
              <w:top w:val="nil"/>
            </w:tcBorders>
            <w:shd w:val="clear" w:color="auto" w:fill="auto"/>
            <w:noWrap/>
          </w:tcPr>
          <w:p w14:paraId="28A2745E" w14:textId="1434A526"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tcBorders>
            <w:shd w:val="clear" w:color="auto" w:fill="auto"/>
            <w:hideMark/>
          </w:tcPr>
          <w:p w14:paraId="7B56FA0F" w14:textId="547A61D0"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United Kingdom</w:t>
            </w:r>
            <w:r w:rsidR="006B3037" w:rsidRPr="00A7082A">
              <w:rPr>
                <w:rFonts w:asciiTheme="majorBidi" w:hAnsiTheme="majorBidi"/>
                <w:color w:val="000000"/>
                <w:sz w:val="18"/>
              </w:rPr>
              <w:t xml:space="preserve"> of Great Britain and Northern Ireland</w:t>
            </w:r>
          </w:p>
        </w:tc>
        <w:tc>
          <w:tcPr>
            <w:tcW w:w="1701" w:type="dxa"/>
            <w:tcBorders>
              <w:top w:val="nil"/>
            </w:tcBorders>
            <w:shd w:val="clear" w:color="auto" w:fill="auto"/>
            <w:noWrap/>
            <w:hideMark/>
          </w:tcPr>
          <w:p w14:paraId="52C40F54"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4.567</w:t>
            </w:r>
          </w:p>
        </w:tc>
        <w:tc>
          <w:tcPr>
            <w:tcW w:w="1984" w:type="dxa"/>
            <w:tcBorders>
              <w:top w:val="nil"/>
            </w:tcBorders>
            <w:shd w:val="clear" w:color="auto" w:fill="auto"/>
            <w:noWrap/>
            <w:hideMark/>
          </w:tcPr>
          <w:p w14:paraId="468CE959"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5.5962</w:t>
            </w:r>
          </w:p>
        </w:tc>
        <w:tc>
          <w:tcPr>
            <w:tcW w:w="1985" w:type="dxa"/>
            <w:tcBorders>
              <w:top w:val="nil"/>
            </w:tcBorders>
            <w:shd w:val="clear" w:color="auto" w:fill="auto"/>
            <w:noWrap/>
            <w:hideMark/>
          </w:tcPr>
          <w:p w14:paraId="26E0E163" w14:textId="0DE4DF74"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361</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688 </w:t>
            </w:r>
          </w:p>
        </w:tc>
      </w:tr>
      <w:tr w:rsidR="00290418" w:rsidRPr="00A7082A" w14:paraId="5C71A8AF" w14:textId="77777777" w:rsidTr="0095102B">
        <w:trPr>
          <w:trHeight w:val="57"/>
          <w:jc w:val="right"/>
        </w:trPr>
        <w:tc>
          <w:tcPr>
            <w:tcW w:w="709" w:type="dxa"/>
            <w:tcBorders>
              <w:top w:val="nil"/>
              <w:bottom w:val="single" w:sz="4" w:space="0" w:color="000000" w:themeColor="text1"/>
            </w:tcBorders>
            <w:shd w:val="clear" w:color="auto" w:fill="auto"/>
            <w:noWrap/>
          </w:tcPr>
          <w:p w14:paraId="7866D498" w14:textId="42B0718E" w:rsidR="00290418" w:rsidRPr="00A7082A" w:rsidRDefault="00290418" w:rsidP="00024235">
            <w:pPr>
              <w:pStyle w:val="ListParagraph"/>
              <w:numPr>
                <w:ilvl w:val="0"/>
                <w:numId w:val="100"/>
              </w:numPr>
              <w:tabs>
                <w:tab w:val="clear" w:pos="1247"/>
                <w:tab w:val="clear" w:pos="1814"/>
                <w:tab w:val="clear" w:pos="2381"/>
                <w:tab w:val="clear" w:pos="2948"/>
                <w:tab w:val="clear" w:pos="3515"/>
              </w:tabs>
              <w:spacing w:before="40" w:after="40"/>
              <w:ind w:left="57" w:right="57" w:firstLine="0"/>
              <w:jc w:val="center"/>
              <w:rPr>
                <w:rFonts w:asciiTheme="majorBidi" w:hAnsiTheme="majorBidi"/>
                <w:color w:val="000000"/>
                <w:sz w:val="18"/>
              </w:rPr>
            </w:pPr>
          </w:p>
        </w:tc>
        <w:tc>
          <w:tcPr>
            <w:tcW w:w="2552" w:type="dxa"/>
            <w:tcBorders>
              <w:top w:val="nil"/>
              <w:bottom w:val="single" w:sz="4" w:space="0" w:color="000000" w:themeColor="text1"/>
            </w:tcBorders>
            <w:shd w:val="clear" w:color="auto" w:fill="auto"/>
            <w:hideMark/>
          </w:tcPr>
          <w:p w14:paraId="1BF6D683" w14:textId="77777777"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color w:val="000000"/>
                <w:sz w:val="18"/>
              </w:rPr>
            </w:pPr>
            <w:r w:rsidRPr="00A7082A">
              <w:rPr>
                <w:rFonts w:asciiTheme="majorBidi" w:hAnsiTheme="majorBidi"/>
                <w:color w:val="000000"/>
                <w:sz w:val="18"/>
              </w:rPr>
              <w:t xml:space="preserve">United States of America </w:t>
            </w:r>
          </w:p>
        </w:tc>
        <w:tc>
          <w:tcPr>
            <w:tcW w:w="1701" w:type="dxa"/>
            <w:tcBorders>
              <w:top w:val="nil"/>
              <w:bottom w:val="single" w:sz="4" w:space="0" w:color="000000" w:themeColor="text1"/>
            </w:tcBorders>
            <w:shd w:val="clear" w:color="auto" w:fill="auto"/>
            <w:noWrap/>
            <w:hideMark/>
          </w:tcPr>
          <w:p w14:paraId="67902CD7"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22.000</w:t>
            </w:r>
          </w:p>
        </w:tc>
        <w:tc>
          <w:tcPr>
            <w:tcW w:w="1984" w:type="dxa"/>
            <w:tcBorders>
              <w:top w:val="nil"/>
              <w:bottom w:val="single" w:sz="4" w:space="0" w:color="000000" w:themeColor="text1"/>
            </w:tcBorders>
            <w:shd w:val="clear" w:color="auto" w:fill="auto"/>
            <w:noWrap/>
            <w:hideMark/>
          </w:tcPr>
          <w:p w14:paraId="2115185D"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22.0000</w:t>
            </w:r>
          </w:p>
        </w:tc>
        <w:tc>
          <w:tcPr>
            <w:tcW w:w="1985" w:type="dxa"/>
            <w:tcBorders>
              <w:top w:val="nil"/>
              <w:bottom w:val="single" w:sz="4" w:space="0" w:color="000000" w:themeColor="text1"/>
            </w:tcBorders>
            <w:shd w:val="clear" w:color="auto" w:fill="auto"/>
            <w:noWrap/>
            <w:hideMark/>
          </w:tcPr>
          <w:p w14:paraId="41545C9C" w14:textId="2386189E"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color w:val="000000"/>
                <w:sz w:val="18"/>
              </w:rPr>
            </w:pPr>
            <w:r w:rsidRPr="00A7082A">
              <w:rPr>
                <w:rFonts w:asciiTheme="majorBidi" w:hAnsiTheme="majorBidi"/>
                <w:color w:val="000000"/>
                <w:sz w:val="18"/>
              </w:rPr>
              <w:t>1</w:t>
            </w:r>
            <w:r w:rsidR="00F22360" w:rsidRPr="00A7082A">
              <w:rPr>
                <w:rFonts w:asciiTheme="majorBidi" w:hAnsiTheme="majorBidi"/>
                <w:color w:val="000000"/>
                <w:sz w:val="18"/>
              </w:rPr>
              <w:t xml:space="preserve"> </w:t>
            </w:r>
            <w:r w:rsidRPr="00A7082A">
              <w:rPr>
                <w:rFonts w:asciiTheme="majorBidi" w:hAnsiTheme="majorBidi"/>
                <w:color w:val="000000"/>
                <w:sz w:val="18"/>
              </w:rPr>
              <w:t>421</w:t>
            </w:r>
            <w:r w:rsidR="00F22360" w:rsidRPr="00A7082A">
              <w:rPr>
                <w:rFonts w:asciiTheme="majorBidi" w:hAnsiTheme="majorBidi"/>
                <w:color w:val="000000"/>
                <w:sz w:val="18"/>
              </w:rPr>
              <w:t xml:space="preserve"> </w:t>
            </w:r>
            <w:r w:rsidRPr="00A7082A">
              <w:rPr>
                <w:rFonts w:asciiTheme="majorBidi" w:hAnsiTheme="majorBidi"/>
                <w:color w:val="000000"/>
                <w:sz w:val="18"/>
              </w:rPr>
              <w:t xml:space="preserve">885 </w:t>
            </w:r>
          </w:p>
        </w:tc>
      </w:tr>
      <w:tr w:rsidR="00290418" w:rsidRPr="00A7082A" w14:paraId="0C7AE492" w14:textId="77777777" w:rsidTr="0095102B">
        <w:trPr>
          <w:trHeight w:val="57"/>
          <w:jc w:val="right"/>
        </w:trPr>
        <w:tc>
          <w:tcPr>
            <w:tcW w:w="4962" w:type="dxa"/>
            <w:gridSpan w:val="3"/>
            <w:tcBorders>
              <w:top w:val="single" w:sz="4" w:space="0" w:color="000000" w:themeColor="text1"/>
              <w:bottom w:val="single" w:sz="4" w:space="0" w:color="000000" w:themeColor="text1"/>
            </w:tcBorders>
            <w:shd w:val="clear" w:color="auto" w:fill="auto"/>
            <w:noWrap/>
            <w:hideMark/>
          </w:tcPr>
          <w:p w14:paraId="1BB5FF90" w14:textId="7D53388B" w:rsidR="00290418" w:rsidRPr="00A7082A" w:rsidRDefault="00290418" w:rsidP="00A27D30">
            <w:pPr>
              <w:tabs>
                <w:tab w:val="clear" w:pos="1247"/>
                <w:tab w:val="clear" w:pos="1814"/>
                <w:tab w:val="clear" w:pos="2381"/>
                <w:tab w:val="clear" w:pos="2948"/>
                <w:tab w:val="clear" w:pos="3515"/>
              </w:tabs>
              <w:spacing w:before="40" w:after="40"/>
              <w:rPr>
                <w:rFonts w:asciiTheme="majorBidi" w:hAnsiTheme="majorBidi"/>
                <w:b/>
                <w:color w:val="000000"/>
                <w:sz w:val="18"/>
              </w:rPr>
            </w:pPr>
            <w:bookmarkStart w:id="78" w:name="_Hlk38285971"/>
            <w:bookmarkStart w:id="79" w:name="_Hlk38286014"/>
            <w:r w:rsidRPr="00A7082A">
              <w:rPr>
                <w:rFonts w:asciiTheme="majorBidi" w:hAnsiTheme="majorBidi"/>
                <w:b/>
                <w:color w:val="000000"/>
                <w:sz w:val="18"/>
              </w:rPr>
              <w:t xml:space="preserve">Total </w:t>
            </w:r>
            <w:r w:rsidR="006B3037" w:rsidRPr="00A7082A">
              <w:rPr>
                <w:rFonts w:asciiTheme="majorBidi" w:hAnsiTheme="majorBidi"/>
                <w:b/>
                <w:color w:val="000000"/>
                <w:sz w:val="18"/>
              </w:rPr>
              <w:t>a</w:t>
            </w:r>
            <w:r w:rsidRPr="00A7082A">
              <w:rPr>
                <w:rFonts w:asciiTheme="majorBidi" w:hAnsiTheme="majorBidi"/>
                <w:b/>
                <w:color w:val="000000"/>
                <w:sz w:val="18"/>
              </w:rPr>
              <w:t xml:space="preserve">ssessed </w:t>
            </w:r>
            <w:r w:rsidR="006B3037" w:rsidRPr="00A7082A">
              <w:rPr>
                <w:rFonts w:asciiTheme="majorBidi" w:hAnsiTheme="majorBidi"/>
                <w:b/>
                <w:color w:val="000000"/>
                <w:sz w:val="18"/>
              </w:rPr>
              <w:t>c</w:t>
            </w:r>
            <w:r w:rsidRPr="00A7082A">
              <w:rPr>
                <w:rFonts w:asciiTheme="majorBidi" w:hAnsiTheme="majorBidi"/>
                <w:b/>
                <w:color w:val="000000"/>
                <w:sz w:val="18"/>
              </w:rPr>
              <w:t>ontributions</w:t>
            </w:r>
            <w:bookmarkEnd w:id="78"/>
          </w:p>
        </w:tc>
        <w:tc>
          <w:tcPr>
            <w:tcW w:w="1984" w:type="dxa"/>
            <w:tcBorders>
              <w:top w:val="single" w:sz="4" w:space="0" w:color="000000" w:themeColor="text1"/>
              <w:bottom w:val="single" w:sz="4" w:space="0" w:color="000000" w:themeColor="text1"/>
            </w:tcBorders>
            <w:shd w:val="clear" w:color="auto" w:fill="auto"/>
            <w:noWrap/>
            <w:hideMark/>
          </w:tcPr>
          <w:p w14:paraId="3019EA0A" w14:textId="77777777"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b/>
                <w:color w:val="000000"/>
                <w:sz w:val="18"/>
              </w:rPr>
            </w:pPr>
            <w:r w:rsidRPr="00A7082A">
              <w:rPr>
                <w:rFonts w:asciiTheme="majorBidi" w:hAnsiTheme="majorBidi"/>
                <w:b/>
                <w:color w:val="000000"/>
                <w:sz w:val="18"/>
              </w:rPr>
              <w:t>100.00</w:t>
            </w:r>
          </w:p>
        </w:tc>
        <w:tc>
          <w:tcPr>
            <w:tcW w:w="1985" w:type="dxa"/>
            <w:tcBorders>
              <w:top w:val="single" w:sz="4" w:space="0" w:color="000000" w:themeColor="text1"/>
              <w:bottom w:val="single" w:sz="4" w:space="0" w:color="000000" w:themeColor="text1"/>
            </w:tcBorders>
            <w:shd w:val="clear" w:color="auto" w:fill="auto"/>
            <w:noWrap/>
            <w:hideMark/>
          </w:tcPr>
          <w:p w14:paraId="6D345A58" w14:textId="036F4178" w:rsidR="00290418" w:rsidRPr="00A7082A" w:rsidRDefault="00352BCD" w:rsidP="00BC3F9F">
            <w:pPr>
              <w:tabs>
                <w:tab w:val="clear" w:pos="1247"/>
                <w:tab w:val="clear" w:pos="1814"/>
                <w:tab w:val="clear" w:pos="2381"/>
                <w:tab w:val="clear" w:pos="2948"/>
                <w:tab w:val="clear" w:pos="3515"/>
              </w:tabs>
              <w:spacing w:before="40" w:after="40"/>
              <w:jc w:val="right"/>
              <w:rPr>
                <w:rFonts w:asciiTheme="majorBidi" w:hAnsiTheme="majorBidi"/>
                <w:b/>
                <w:color w:val="000000"/>
                <w:sz w:val="18"/>
              </w:rPr>
            </w:pPr>
            <w:r w:rsidRPr="00A7082A">
              <w:rPr>
                <w:rFonts w:asciiTheme="majorBidi" w:hAnsiTheme="majorBidi"/>
                <w:b/>
                <w:color w:val="000000"/>
                <w:sz w:val="18"/>
              </w:rPr>
              <w:t xml:space="preserve">6 </w:t>
            </w:r>
            <w:r w:rsidR="00290418" w:rsidRPr="00A7082A">
              <w:rPr>
                <w:rFonts w:asciiTheme="majorBidi" w:hAnsiTheme="majorBidi"/>
                <w:b/>
                <w:color w:val="000000"/>
                <w:sz w:val="18"/>
              </w:rPr>
              <w:t>463</w:t>
            </w:r>
            <w:r w:rsidR="00F22360" w:rsidRPr="00A7082A">
              <w:rPr>
                <w:rFonts w:asciiTheme="majorBidi" w:hAnsiTheme="majorBidi"/>
                <w:b/>
                <w:color w:val="000000"/>
                <w:sz w:val="18"/>
              </w:rPr>
              <w:t xml:space="preserve"> </w:t>
            </w:r>
            <w:r w:rsidR="00290418" w:rsidRPr="00A7082A">
              <w:rPr>
                <w:rFonts w:asciiTheme="majorBidi" w:hAnsiTheme="majorBidi"/>
                <w:b/>
                <w:color w:val="000000"/>
                <w:sz w:val="18"/>
              </w:rPr>
              <w:t xml:space="preserve">115 </w:t>
            </w:r>
          </w:p>
        </w:tc>
      </w:tr>
      <w:bookmarkEnd w:id="79"/>
      <w:tr w:rsidR="00290418" w:rsidRPr="00A7082A" w14:paraId="675A76D6" w14:textId="77777777" w:rsidTr="0095102B">
        <w:trPr>
          <w:trHeight w:val="57"/>
          <w:jc w:val="right"/>
        </w:trPr>
        <w:tc>
          <w:tcPr>
            <w:tcW w:w="6946" w:type="dxa"/>
            <w:gridSpan w:val="4"/>
            <w:tcBorders>
              <w:top w:val="single" w:sz="4" w:space="0" w:color="000000" w:themeColor="text1"/>
              <w:bottom w:val="single" w:sz="12" w:space="0" w:color="000000" w:themeColor="text1"/>
            </w:tcBorders>
            <w:shd w:val="clear" w:color="auto" w:fill="auto"/>
            <w:hideMark/>
          </w:tcPr>
          <w:p w14:paraId="619F7F97" w14:textId="0B0D2831" w:rsidR="00290418" w:rsidRPr="00A7082A" w:rsidRDefault="00290418" w:rsidP="00BC3F9F">
            <w:pPr>
              <w:tabs>
                <w:tab w:val="clear" w:pos="1247"/>
                <w:tab w:val="clear" w:pos="1814"/>
                <w:tab w:val="clear" w:pos="2381"/>
                <w:tab w:val="clear" w:pos="2948"/>
                <w:tab w:val="clear" w:pos="3515"/>
              </w:tabs>
              <w:spacing w:before="40" w:after="40"/>
              <w:rPr>
                <w:rFonts w:asciiTheme="majorBidi" w:hAnsiTheme="majorBidi"/>
                <w:b/>
                <w:color w:val="000000"/>
                <w:sz w:val="18"/>
              </w:rPr>
            </w:pPr>
            <w:r w:rsidRPr="00A7082A">
              <w:rPr>
                <w:rFonts w:asciiTheme="majorBidi" w:hAnsiTheme="majorBidi"/>
                <w:b/>
                <w:color w:val="000000"/>
                <w:sz w:val="18"/>
              </w:rPr>
              <w:t xml:space="preserve">Total </w:t>
            </w:r>
            <w:r w:rsidR="006B3037" w:rsidRPr="00A7082A">
              <w:rPr>
                <w:rFonts w:asciiTheme="majorBidi" w:hAnsiTheme="majorBidi"/>
                <w:b/>
                <w:color w:val="000000"/>
                <w:sz w:val="18"/>
              </w:rPr>
              <w:t>b</w:t>
            </w:r>
            <w:r w:rsidRPr="00A7082A">
              <w:rPr>
                <w:rFonts w:asciiTheme="majorBidi" w:hAnsiTheme="majorBidi"/>
                <w:b/>
                <w:color w:val="000000"/>
                <w:sz w:val="18"/>
              </w:rPr>
              <w:t xml:space="preserve">udget </w:t>
            </w:r>
            <w:r w:rsidRPr="00A7082A">
              <w:rPr>
                <w:rFonts w:asciiTheme="majorBidi" w:hAnsiTheme="majorBidi"/>
                <w:b/>
                <w:color w:val="000000"/>
                <w:sz w:val="18"/>
              </w:rPr>
              <w:br/>
              <w:t xml:space="preserve">(Including </w:t>
            </w:r>
            <w:r w:rsidR="006B3037" w:rsidRPr="00A7082A">
              <w:rPr>
                <w:rFonts w:asciiTheme="majorBidi" w:hAnsiTheme="majorBidi"/>
                <w:b/>
                <w:color w:val="000000"/>
                <w:sz w:val="18"/>
              </w:rPr>
              <w:t>h</w:t>
            </w:r>
            <w:r w:rsidRPr="00A7082A">
              <w:rPr>
                <w:rFonts w:asciiTheme="majorBidi" w:hAnsiTheme="majorBidi"/>
                <w:b/>
                <w:color w:val="000000"/>
                <w:sz w:val="18"/>
              </w:rPr>
              <w:t xml:space="preserve">ost </w:t>
            </w:r>
            <w:r w:rsidR="006B3037" w:rsidRPr="00A7082A">
              <w:rPr>
                <w:rFonts w:asciiTheme="majorBidi" w:hAnsiTheme="majorBidi"/>
                <w:b/>
                <w:color w:val="000000"/>
                <w:sz w:val="18"/>
              </w:rPr>
              <w:t>c</w:t>
            </w:r>
            <w:r w:rsidRPr="00A7082A">
              <w:rPr>
                <w:rFonts w:asciiTheme="majorBidi" w:hAnsiTheme="majorBidi"/>
                <w:b/>
                <w:color w:val="000000"/>
                <w:sz w:val="18"/>
              </w:rPr>
              <w:t xml:space="preserve">ountry </w:t>
            </w:r>
            <w:r w:rsidR="006B3037" w:rsidRPr="00A7082A">
              <w:rPr>
                <w:rFonts w:asciiTheme="majorBidi" w:hAnsiTheme="majorBidi"/>
                <w:b/>
                <w:color w:val="000000"/>
                <w:sz w:val="18"/>
              </w:rPr>
              <w:t>c</w:t>
            </w:r>
            <w:r w:rsidRPr="00A7082A">
              <w:rPr>
                <w:rFonts w:asciiTheme="majorBidi" w:hAnsiTheme="majorBidi"/>
                <w:b/>
                <w:color w:val="000000"/>
                <w:sz w:val="18"/>
              </w:rPr>
              <w:t>ontribution*)</w:t>
            </w:r>
          </w:p>
        </w:tc>
        <w:tc>
          <w:tcPr>
            <w:tcW w:w="1985" w:type="dxa"/>
            <w:tcBorders>
              <w:top w:val="single" w:sz="4" w:space="0" w:color="000000" w:themeColor="text1"/>
              <w:bottom w:val="single" w:sz="12" w:space="0" w:color="000000" w:themeColor="text1"/>
            </w:tcBorders>
            <w:shd w:val="clear" w:color="auto" w:fill="auto"/>
            <w:noWrap/>
            <w:hideMark/>
          </w:tcPr>
          <w:p w14:paraId="3EEEB9CB" w14:textId="281479CD" w:rsidR="00290418" w:rsidRPr="00A7082A" w:rsidRDefault="00290418" w:rsidP="00BC3F9F">
            <w:pPr>
              <w:tabs>
                <w:tab w:val="clear" w:pos="1247"/>
                <w:tab w:val="clear" w:pos="1814"/>
                <w:tab w:val="clear" w:pos="2381"/>
                <w:tab w:val="clear" w:pos="2948"/>
                <w:tab w:val="clear" w:pos="3515"/>
              </w:tabs>
              <w:spacing w:before="40" w:after="40"/>
              <w:jc w:val="right"/>
              <w:rPr>
                <w:rFonts w:asciiTheme="majorBidi" w:hAnsiTheme="majorBidi"/>
                <w:b/>
                <w:color w:val="000000"/>
                <w:sz w:val="18"/>
              </w:rPr>
            </w:pPr>
            <w:r w:rsidRPr="00A7082A">
              <w:rPr>
                <w:rFonts w:asciiTheme="majorBidi" w:hAnsiTheme="majorBidi"/>
                <w:b/>
                <w:color w:val="000000"/>
                <w:sz w:val="18"/>
              </w:rPr>
              <w:t>7</w:t>
            </w:r>
            <w:r w:rsidR="00F22360" w:rsidRPr="00A7082A">
              <w:rPr>
                <w:rFonts w:asciiTheme="majorBidi" w:hAnsiTheme="majorBidi"/>
                <w:b/>
                <w:color w:val="000000"/>
                <w:sz w:val="18"/>
              </w:rPr>
              <w:t xml:space="preserve"> </w:t>
            </w:r>
            <w:r w:rsidRPr="00A7082A">
              <w:rPr>
                <w:rFonts w:asciiTheme="majorBidi" w:hAnsiTheme="majorBidi"/>
                <w:b/>
                <w:color w:val="000000"/>
                <w:sz w:val="18"/>
              </w:rPr>
              <w:t>579</w:t>
            </w:r>
            <w:r w:rsidR="00F22360" w:rsidRPr="00A7082A">
              <w:rPr>
                <w:rFonts w:asciiTheme="majorBidi" w:hAnsiTheme="majorBidi"/>
                <w:b/>
                <w:color w:val="000000"/>
                <w:sz w:val="18"/>
              </w:rPr>
              <w:t xml:space="preserve"> </w:t>
            </w:r>
            <w:r w:rsidRPr="00A7082A">
              <w:rPr>
                <w:rFonts w:asciiTheme="majorBidi" w:hAnsiTheme="majorBidi"/>
                <w:b/>
                <w:color w:val="000000"/>
                <w:sz w:val="18"/>
              </w:rPr>
              <w:t xml:space="preserve">959 </w:t>
            </w:r>
          </w:p>
        </w:tc>
      </w:tr>
    </w:tbl>
    <w:p w14:paraId="148DE4A2" w14:textId="31C7B812" w:rsidR="00290418" w:rsidRPr="00A7082A" w:rsidRDefault="00290418" w:rsidP="006D4DE3">
      <w:pPr>
        <w:pStyle w:val="Titletable"/>
        <w:tabs>
          <w:tab w:val="clear" w:pos="1247"/>
          <w:tab w:val="clear" w:pos="1814"/>
          <w:tab w:val="clear" w:pos="2381"/>
          <w:tab w:val="clear" w:pos="2948"/>
          <w:tab w:val="clear" w:pos="3515"/>
          <w:tab w:val="clear" w:pos="4082"/>
          <w:tab w:val="left" w:pos="624"/>
        </w:tabs>
        <w:spacing w:before="40"/>
        <w:ind w:left="567"/>
        <w:rPr>
          <w:rFonts w:asciiTheme="majorBidi" w:hAnsiTheme="majorBidi" w:cstheme="majorBidi"/>
          <w:b w:val="0"/>
          <w:bCs w:val="0"/>
          <w:sz w:val="17"/>
          <w:szCs w:val="17"/>
        </w:rPr>
      </w:pPr>
      <w:r w:rsidRPr="00A7082A">
        <w:rPr>
          <w:rFonts w:asciiTheme="majorBidi" w:hAnsiTheme="majorBidi" w:cstheme="majorBidi"/>
          <w:b w:val="0"/>
          <w:bCs w:val="0"/>
          <w:sz w:val="17"/>
          <w:szCs w:val="17"/>
        </w:rPr>
        <w:t xml:space="preserve">* Includes (estimated) host country contribution of Switzerland to the General Trust Fund in </w:t>
      </w:r>
      <w:r w:rsidR="006B3037" w:rsidRPr="00A7082A">
        <w:rPr>
          <w:rFonts w:asciiTheme="majorBidi" w:hAnsiTheme="majorBidi" w:cstheme="majorBidi"/>
          <w:b w:val="0"/>
          <w:bCs w:val="0"/>
          <w:sz w:val="17"/>
          <w:szCs w:val="17"/>
        </w:rPr>
        <w:t>United States dollars.</w:t>
      </w:r>
      <w:r w:rsidR="001A7E53" w:rsidRPr="00A7082A">
        <w:rPr>
          <w:rFonts w:asciiTheme="majorBidi" w:hAnsiTheme="majorBidi" w:cstheme="majorBidi"/>
          <w:b w:val="0"/>
          <w:bCs w:val="0"/>
          <w:sz w:val="17"/>
          <w:szCs w:val="17"/>
        </w:rPr>
        <w:t xml:space="preserve"> </w:t>
      </w:r>
    </w:p>
    <w:p w14:paraId="422088A0" w14:textId="77777777" w:rsidR="00290418" w:rsidRPr="00A7082A" w:rsidRDefault="00290418" w:rsidP="009557F8">
      <w:pPr>
        <w:pStyle w:val="Normal-pool"/>
      </w:pPr>
      <w:r w:rsidRPr="00A7082A">
        <w:br w:type="page"/>
      </w:r>
    </w:p>
    <w:p w14:paraId="19C29442" w14:textId="77777777" w:rsidR="00E34240" w:rsidRPr="00A7082A" w:rsidRDefault="00290418" w:rsidP="00E34240">
      <w:pPr>
        <w:pStyle w:val="Titletable"/>
        <w:spacing w:after="0"/>
      </w:pPr>
      <w:r w:rsidRPr="00A7082A">
        <w:rPr>
          <w:b w:val="0"/>
        </w:rPr>
        <w:lastRenderedPageBreak/>
        <w:t>Table 3</w:t>
      </w:r>
      <w:r w:rsidR="00E34240" w:rsidRPr="00A7082A">
        <w:t xml:space="preserve"> </w:t>
      </w:r>
      <w:r w:rsidR="00E34240" w:rsidRPr="00A7082A">
        <w:br/>
      </w:r>
      <w:r w:rsidRPr="00A7082A">
        <w:t xml:space="preserve">Indicative staffing requirements </w:t>
      </w:r>
    </w:p>
    <w:p w14:paraId="56672972" w14:textId="05228E87" w:rsidR="00290418" w:rsidRPr="00A7082A" w:rsidRDefault="00290418" w:rsidP="00BC3F9F">
      <w:pPr>
        <w:pStyle w:val="Titletable"/>
        <w:spacing w:before="60"/>
        <w:rPr>
          <w:b w:val="0"/>
          <w:sz w:val="18"/>
          <w:szCs w:val="18"/>
        </w:rPr>
      </w:pPr>
      <w:r w:rsidRPr="00A7082A">
        <w:rPr>
          <w:b w:val="0"/>
          <w:sz w:val="18"/>
          <w:szCs w:val="18"/>
        </w:rPr>
        <w:t>(in United States dollars)</w:t>
      </w:r>
    </w:p>
    <w:tbl>
      <w:tblPr>
        <w:tblW w:w="8307" w:type="dxa"/>
        <w:jc w:val="right"/>
        <w:tblLook w:val="04A0" w:firstRow="1" w:lastRow="0" w:firstColumn="1" w:lastColumn="0" w:noHBand="0" w:noVBand="1"/>
      </w:tblPr>
      <w:tblGrid>
        <w:gridCol w:w="4820"/>
        <w:gridCol w:w="850"/>
        <w:gridCol w:w="2637"/>
      </w:tblGrid>
      <w:tr w:rsidR="00290418" w:rsidRPr="00A7082A" w14:paraId="67C7F114" w14:textId="77777777" w:rsidTr="00C06EA9">
        <w:trPr>
          <w:trHeight w:val="57"/>
          <w:jc w:val="right"/>
        </w:trPr>
        <w:tc>
          <w:tcPr>
            <w:tcW w:w="4820" w:type="dxa"/>
            <w:tcBorders>
              <w:top w:val="single" w:sz="4" w:space="0" w:color="000000" w:themeColor="text1"/>
              <w:bottom w:val="single" w:sz="12" w:space="0" w:color="000000" w:themeColor="text1"/>
            </w:tcBorders>
            <w:shd w:val="clear" w:color="auto" w:fill="auto"/>
            <w:hideMark/>
          </w:tcPr>
          <w:p w14:paraId="7EBD0762" w14:textId="77777777" w:rsidR="00290418" w:rsidRPr="00A7082A" w:rsidRDefault="00290418" w:rsidP="00E34240">
            <w:pPr>
              <w:tabs>
                <w:tab w:val="clear" w:pos="1247"/>
                <w:tab w:val="clear" w:pos="1814"/>
                <w:tab w:val="clear" w:pos="2381"/>
                <w:tab w:val="clear" w:pos="2948"/>
                <w:tab w:val="clear" w:pos="3515"/>
              </w:tabs>
              <w:spacing w:before="40" w:after="40"/>
              <w:rPr>
                <w:i/>
                <w:color w:val="000000"/>
                <w:sz w:val="18"/>
              </w:rPr>
            </w:pPr>
            <w:r w:rsidRPr="00A7082A">
              <w:rPr>
                <w:i/>
                <w:color w:val="000000"/>
                <w:sz w:val="18"/>
              </w:rPr>
              <w:t>Staff positions</w:t>
            </w:r>
          </w:p>
        </w:tc>
        <w:tc>
          <w:tcPr>
            <w:tcW w:w="850" w:type="dxa"/>
            <w:tcBorders>
              <w:top w:val="single" w:sz="4" w:space="0" w:color="000000" w:themeColor="text1"/>
              <w:bottom w:val="single" w:sz="12" w:space="0" w:color="000000" w:themeColor="text1"/>
            </w:tcBorders>
            <w:shd w:val="clear" w:color="auto" w:fill="auto"/>
            <w:hideMark/>
          </w:tcPr>
          <w:p w14:paraId="34D13EDA" w14:textId="63605576" w:rsidR="00290418" w:rsidRPr="00A7082A" w:rsidRDefault="00B8595C" w:rsidP="00E34240">
            <w:pPr>
              <w:tabs>
                <w:tab w:val="clear" w:pos="1247"/>
                <w:tab w:val="clear" w:pos="1814"/>
                <w:tab w:val="clear" w:pos="2381"/>
                <w:tab w:val="clear" w:pos="2948"/>
                <w:tab w:val="clear" w:pos="3515"/>
              </w:tabs>
              <w:spacing w:before="40" w:after="40"/>
              <w:jc w:val="right"/>
              <w:rPr>
                <w:i/>
                <w:color w:val="000000"/>
                <w:sz w:val="18"/>
              </w:rPr>
            </w:pPr>
            <w:r w:rsidRPr="00A7082A">
              <w:rPr>
                <w:i/>
                <w:color w:val="000000"/>
                <w:sz w:val="18"/>
              </w:rPr>
              <w:t>No.</w:t>
            </w:r>
          </w:p>
        </w:tc>
        <w:tc>
          <w:tcPr>
            <w:tcW w:w="2637" w:type="dxa"/>
            <w:tcBorders>
              <w:top w:val="single" w:sz="4" w:space="0" w:color="000000" w:themeColor="text1"/>
              <w:bottom w:val="single" w:sz="12" w:space="0" w:color="000000" w:themeColor="text1"/>
            </w:tcBorders>
            <w:shd w:val="clear" w:color="auto" w:fill="auto"/>
            <w:hideMark/>
          </w:tcPr>
          <w:p w14:paraId="145DA677" w14:textId="01798560" w:rsidR="00290418" w:rsidRPr="00A7082A" w:rsidRDefault="00290418" w:rsidP="009D036D">
            <w:pPr>
              <w:tabs>
                <w:tab w:val="clear" w:pos="1247"/>
                <w:tab w:val="clear" w:pos="1814"/>
                <w:tab w:val="clear" w:pos="2381"/>
                <w:tab w:val="clear" w:pos="2948"/>
                <w:tab w:val="clear" w:pos="3515"/>
              </w:tabs>
              <w:spacing w:before="40" w:after="40"/>
              <w:jc w:val="right"/>
              <w:rPr>
                <w:i/>
                <w:color w:val="000000"/>
                <w:sz w:val="18"/>
              </w:rPr>
            </w:pPr>
            <w:r w:rsidRPr="00A7082A">
              <w:rPr>
                <w:i/>
                <w:color w:val="000000"/>
                <w:sz w:val="18"/>
              </w:rPr>
              <w:t>Total costs for biennium</w:t>
            </w:r>
            <w:r w:rsidR="009D036D" w:rsidRPr="00A7082A">
              <w:rPr>
                <w:i/>
                <w:color w:val="000000"/>
                <w:sz w:val="18"/>
              </w:rPr>
              <w:t xml:space="preserve"> </w:t>
            </w:r>
            <w:r w:rsidR="00547AF3" w:rsidRPr="00A7082A">
              <w:rPr>
                <w:i/>
                <w:color w:val="000000"/>
                <w:sz w:val="18"/>
              </w:rPr>
              <w:t>2020</w:t>
            </w:r>
            <w:r w:rsidR="00547AF3" w:rsidRPr="00A7082A">
              <w:rPr>
                <w:i/>
                <w:color w:val="000000"/>
                <w:sz w:val="18"/>
              </w:rPr>
              <w:noBreakHyphen/>
              <w:t>2021</w:t>
            </w:r>
            <w:r w:rsidR="009D036D" w:rsidRPr="00A7082A">
              <w:rPr>
                <w:i/>
                <w:color w:val="000000"/>
                <w:sz w:val="18"/>
              </w:rPr>
              <w:t xml:space="preserve"> </w:t>
            </w:r>
            <w:r w:rsidR="00D34FF8" w:rsidRPr="00A7082A">
              <w:rPr>
                <w:i/>
                <w:color w:val="000000"/>
                <w:sz w:val="18"/>
              </w:rPr>
              <w:br/>
            </w:r>
            <w:r w:rsidRPr="00A7082A">
              <w:rPr>
                <w:i/>
                <w:color w:val="000000"/>
                <w:sz w:val="18"/>
              </w:rPr>
              <w:t>(Geneva standard salary costs)</w:t>
            </w:r>
          </w:p>
        </w:tc>
      </w:tr>
      <w:tr w:rsidR="00290418" w:rsidRPr="00A7082A" w14:paraId="08286D3A" w14:textId="77777777" w:rsidTr="00C06EA9">
        <w:trPr>
          <w:trHeight w:val="57"/>
          <w:jc w:val="right"/>
        </w:trPr>
        <w:tc>
          <w:tcPr>
            <w:tcW w:w="4820" w:type="dxa"/>
            <w:tcBorders>
              <w:top w:val="single" w:sz="12" w:space="0" w:color="000000" w:themeColor="text1"/>
            </w:tcBorders>
            <w:shd w:val="clear" w:color="auto" w:fill="auto"/>
            <w:noWrap/>
            <w:hideMark/>
          </w:tcPr>
          <w:p w14:paraId="7C7881E6" w14:textId="77777777" w:rsidR="00290418" w:rsidRPr="00A7082A" w:rsidRDefault="00290418" w:rsidP="00E34240">
            <w:pPr>
              <w:tabs>
                <w:tab w:val="clear" w:pos="1247"/>
                <w:tab w:val="clear" w:pos="1814"/>
                <w:tab w:val="clear" w:pos="2381"/>
                <w:tab w:val="clear" w:pos="2948"/>
                <w:tab w:val="clear" w:pos="3515"/>
              </w:tabs>
              <w:spacing w:before="40" w:after="40"/>
              <w:rPr>
                <w:color w:val="000000"/>
                <w:sz w:val="18"/>
              </w:rPr>
            </w:pPr>
            <w:r w:rsidRPr="00A7082A">
              <w:rPr>
                <w:color w:val="000000"/>
                <w:sz w:val="18"/>
              </w:rPr>
              <w:t>D-1 Executive Secretary</w:t>
            </w:r>
          </w:p>
        </w:tc>
        <w:tc>
          <w:tcPr>
            <w:tcW w:w="850" w:type="dxa"/>
            <w:tcBorders>
              <w:top w:val="single" w:sz="12" w:space="0" w:color="000000" w:themeColor="text1"/>
            </w:tcBorders>
            <w:shd w:val="clear" w:color="auto" w:fill="auto"/>
            <w:noWrap/>
            <w:hideMark/>
          </w:tcPr>
          <w:p w14:paraId="361C5B80" w14:textId="77777777" w:rsidR="00290418" w:rsidRPr="00A7082A" w:rsidRDefault="00290418" w:rsidP="00596957">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1</w:t>
            </w:r>
          </w:p>
        </w:tc>
        <w:tc>
          <w:tcPr>
            <w:tcW w:w="2637" w:type="dxa"/>
            <w:tcBorders>
              <w:top w:val="single" w:sz="12" w:space="0" w:color="000000" w:themeColor="text1"/>
            </w:tcBorders>
            <w:shd w:val="clear" w:color="auto" w:fill="auto"/>
            <w:noWrap/>
            <w:hideMark/>
          </w:tcPr>
          <w:p w14:paraId="78EF1C95" w14:textId="64990372" w:rsidR="00290418" w:rsidRPr="00A7082A" w:rsidRDefault="00290418" w:rsidP="00596957">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537</w:t>
            </w:r>
            <w:r w:rsidR="00F22360" w:rsidRPr="00A7082A">
              <w:rPr>
                <w:color w:val="000000"/>
                <w:sz w:val="18"/>
              </w:rPr>
              <w:t xml:space="preserve"> </w:t>
            </w:r>
            <w:r w:rsidRPr="00A7082A">
              <w:rPr>
                <w:color w:val="000000"/>
                <w:sz w:val="18"/>
              </w:rPr>
              <w:t xml:space="preserve">544 </w:t>
            </w:r>
          </w:p>
        </w:tc>
      </w:tr>
      <w:tr w:rsidR="00290418" w:rsidRPr="00A7082A" w14:paraId="27F0C000" w14:textId="77777777" w:rsidTr="00C06EA9">
        <w:trPr>
          <w:trHeight w:val="57"/>
          <w:jc w:val="right"/>
        </w:trPr>
        <w:tc>
          <w:tcPr>
            <w:tcW w:w="4820" w:type="dxa"/>
            <w:shd w:val="clear" w:color="auto" w:fill="auto"/>
            <w:noWrap/>
            <w:hideMark/>
          </w:tcPr>
          <w:p w14:paraId="11F30F88" w14:textId="77777777" w:rsidR="00290418" w:rsidRPr="00A7082A" w:rsidRDefault="00290418" w:rsidP="00E34240">
            <w:pPr>
              <w:tabs>
                <w:tab w:val="clear" w:pos="1247"/>
                <w:tab w:val="clear" w:pos="1814"/>
                <w:tab w:val="clear" w:pos="2381"/>
                <w:tab w:val="clear" w:pos="2948"/>
                <w:tab w:val="clear" w:pos="3515"/>
              </w:tabs>
              <w:spacing w:before="40" w:after="40"/>
              <w:rPr>
                <w:color w:val="000000"/>
                <w:sz w:val="18"/>
              </w:rPr>
            </w:pPr>
            <w:r w:rsidRPr="00A7082A">
              <w:rPr>
                <w:color w:val="000000"/>
                <w:sz w:val="18"/>
              </w:rPr>
              <w:t>P-5 Coordination and policy</w:t>
            </w:r>
          </w:p>
        </w:tc>
        <w:tc>
          <w:tcPr>
            <w:tcW w:w="850" w:type="dxa"/>
            <w:shd w:val="clear" w:color="auto" w:fill="auto"/>
            <w:noWrap/>
            <w:hideMark/>
          </w:tcPr>
          <w:p w14:paraId="34A7967E" w14:textId="77777777" w:rsidR="00290418" w:rsidRPr="00A7082A" w:rsidRDefault="00290418" w:rsidP="00596957">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1</w:t>
            </w:r>
          </w:p>
        </w:tc>
        <w:tc>
          <w:tcPr>
            <w:tcW w:w="2637" w:type="dxa"/>
            <w:shd w:val="clear" w:color="auto" w:fill="auto"/>
            <w:noWrap/>
            <w:hideMark/>
          </w:tcPr>
          <w:p w14:paraId="1C45418F" w14:textId="5C328D84" w:rsidR="00290418" w:rsidRPr="00A7082A" w:rsidRDefault="00290418" w:rsidP="00596957">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482</w:t>
            </w:r>
            <w:r w:rsidR="00F22360" w:rsidRPr="00A7082A">
              <w:rPr>
                <w:color w:val="000000"/>
                <w:sz w:val="18"/>
              </w:rPr>
              <w:t xml:space="preserve"> </w:t>
            </w:r>
            <w:r w:rsidRPr="00A7082A">
              <w:rPr>
                <w:color w:val="000000"/>
                <w:sz w:val="18"/>
              </w:rPr>
              <w:t xml:space="preserve">328 </w:t>
            </w:r>
          </w:p>
        </w:tc>
      </w:tr>
      <w:tr w:rsidR="00290418" w:rsidRPr="00A7082A" w14:paraId="5FCF4B6F" w14:textId="77777777" w:rsidTr="00C06EA9">
        <w:trPr>
          <w:trHeight w:val="57"/>
          <w:jc w:val="right"/>
        </w:trPr>
        <w:tc>
          <w:tcPr>
            <w:tcW w:w="4820" w:type="dxa"/>
            <w:shd w:val="clear" w:color="auto" w:fill="auto"/>
            <w:noWrap/>
            <w:hideMark/>
          </w:tcPr>
          <w:p w14:paraId="5A028A8D" w14:textId="77777777" w:rsidR="00290418" w:rsidRPr="00A7082A" w:rsidRDefault="00290418" w:rsidP="00E34240">
            <w:pPr>
              <w:tabs>
                <w:tab w:val="clear" w:pos="1247"/>
                <w:tab w:val="clear" w:pos="1814"/>
                <w:tab w:val="clear" w:pos="2381"/>
                <w:tab w:val="clear" w:pos="2948"/>
                <w:tab w:val="clear" w:pos="3515"/>
              </w:tabs>
              <w:spacing w:before="40" w:after="40"/>
              <w:rPr>
                <w:color w:val="000000"/>
                <w:sz w:val="18"/>
              </w:rPr>
            </w:pPr>
            <w:r w:rsidRPr="00A7082A">
              <w:rPr>
                <w:color w:val="000000"/>
                <w:sz w:val="18"/>
              </w:rPr>
              <w:t>P-4 Science and technology</w:t>
            </w:r>
          </w:p>
        </w:tc>
        <w:tc>
          <w:tcPr>
            <w:tcW w:w="850" w:type="dxa"/>
            <w:shd w:val="clear" w:color="auto" w:fill="auto"/>
            <w:noWrap/>
            <w:hideMark/>
          </w:tcPr>
          <w:p w14:paraId="2E8A3929" w14:textId="77777777" w:rsidR="00290418" w:rsidRPr="00A7082A" w:rsidRDefault="00290418" w:rsidP="00596957">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1</w:t>
            </w:r>
          </w:p>
        </w:tc>
        <w:tc>
          <w:tcPr>
            <w:tcW w:w="2637" w:type="dxa"/>
            <w:shd w:val="clear" w:color="auto" w:fill="auto"/>
            <w:noWrap/>
            <w:hideMark/>
          </w:tcPr>
          <w:p w14:paraId="07BFAFFE" w14:textId="51C578C9" w:rsidR="00290418" w:rsidRPr="00A7082A" w:rsidRDefault="00290418" w:rsidP="00596957">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414</w:t>
            </w:r>
            <w:r w:rsidR="00F22360" w:rsidRPr="00A7082A">
              <w:rPr>
                <w:color w:val="000000"/>
                <w:sz w:val="18"/>
              </w:rPr>
              <w:t xml:space="preserve"> </w:t>
            </w:r>
            <w:r w:rsidRPr="00A7082A">
              <w:rPr>
                <w:color w:val="000000"/>
                <w:sz w:val="18"/>
              </w:rPr>
              <w:t xml:space="preserve">120 </w:t>
            </w:r>
          </w:p>
        </w:tc>
      </w:tr>
      <w:tr w:rsidR="00290418" w:rsidRPr="00A7082A" w14:paraId="13A258BC" w14:textId="77777777" w:rsidTr="00C06EA9">
        <w:trPr>
          <w:trHeight w:val="57"/>
          <w:jc w:val="right"/>
        </w:trPr>
        <w:tc>
          <w:tcPr>
            <w:tcW w:w="4820" w:type="dxa"/>
            <w:shd w:val="clear" w:color="auto" w:fill="auto"/>
            <w:noWrap/>
            <w:hideMark/>
          </w:tcPr>
          <w:p w14:paraId="2E8DC8F4" w14:textId="6B929B23" w:rsidR="00290418" w:rsidRPr="00A7082A" w:rsidRDefault="00290418" w:rsidP="00E34240">
            <w:pPr>
              <w:tabs>
                <w:tab w:val="clear" w:pos="1247"/>
                <w:tab w:val="clear" w:pos="1814"/>
                <w:tab w:val="clear" w:pos="2381"/>
                <w:tab w:val="clear" w:pos="2948"/>
                <w:tab w:val="clear" w:pos="3515"/>
              </w:tabs>
              <w:spacing w:before="40" w:after="40"/>
              <w:rPr>
                <w:color w:val="000000"/>
                <w:sz w:val="18"/>
              </w:rPr>
            </w:pPr>
            <w:r w:rsidRPr="00A7082A">
              <w:rPr>
                <w:color w:val="000000"/>
                <w:sz w:val="18"/>
              </w:rPr>
              <w:t xml:space="preserve">P-4 </w:t>
            </w:r>
            <w:r w:rsidR="00F22310" w:rsidRPr="00A7082A">
              <w:rPr>
                <w:color w:val="000000"/>
                <w:sz w:val="18"/>
              </w:rPr>
              <w:t>Capacity</w:t>
            </w:r>
            <w:r w:rsidR="00F22310" w:rsidRPr="00A7082A">
              <w:rPr>
                <w:color w:val="000000"/>
                <w:sz w:val="18"/>
              </w:rPr>
              <w:noBreakHyphen/>
              <w:t>building</w:t>
            </w:r>
            <w:r w:rsidRPr="00A7082A">
              <w:rPr>
                <w:color w:val="000000"/>
                <w:sz w:val="18"/>
              </w:rPr>
              <w:t xml:space="preserve"> and technical assistance</w:t>
            </w:r>
          </w:p>
        </w:tc>
        <w:tc>
          <w:tcPr>
            <w:tcW w:w="850" w:type="dxa"/>
            <w:shd w:val="clear" w:color="auto" w:fill="auto"/>
            <w:noWrap/>
            <w:hideMark/>
          </w:tcPr>
          <w:p w14:paraId="1062F423" w14:textId="77777777" w:rsidR="00290418" w:rsidRPr="00A7082A" w:rsidRDefault="00290418" w:rsidP="00596957">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1</w:t>
            </w:r>
          </w:p>
        </w:tc>
        <w:tc>
          <w:tcPr>
            <w:tcW w:w="2637" w:type="dxa"/>
            <w:shd w:val="clear" w:color="auto" w:fill="auto"/>
            <w:noWrap/>
            <w:hideMark/>
          </w:tcPr>
          <w:p w14:paraId="3F3C9EBC" w14:textId="640F6658" w:rsidR="00290418" w:rsidRPr="00A7082A" w:rsidRDefault="00290418" w:rsidP="00596957">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414</w:t>
            </w:r>
            <w:r w:rsidR="00F22360" w:rsidRPr="00A7082A">
              <w:rPr>
                <w:color w:val="000000"/>
                <w:sz w:val="18"/>
              </w:rPr>
              <w:t xml:space="preserve"> </w:t>
            </w:r>
            <w:r w:rsidRPr="00A7082A">
              <w:rPr>
                <w:color w:val="000000"/>
                <w:sz w:val="18"/>
              </w:rPr>
              <w:t xml:space="preserve">120 </w:t>
            </w:r>
          </w:p>
        </w:tc>
      </w:tr>
      <w:tr w:rsidR="00290418" w:rsidRPr="00A7082A" w14:paraId="2A96C7C7" w14:textId="77777777" w:rsidTr="00C06EA9">
        <w:trPr>
          <w:trHeight w:val="57"/>
          <w:jc w:val="right"/>
        </w:trPr>
        <w:tc>
          <w:tcPr>
            <w:tcW w:w="4820" w:type="dxa"/>
            <w:shd w:val="clear" w:color="auto" w:fill="auto"/>
            <w:noWrap/>
            <w:hideMark/>
          </w:tcPr>
          <w:p w14:paraId="5632CDE2" w14:textId="77777777" w:rsidR="00290418" w:rsidRPr="00A7082A" w:rsidRDefault="00290418" w:rsidP="00E34240">
            <w:pPr>
              <w:tabs>
                <w:tab w:val="clear" w:pos="1247"/>
                <w:tab w:val="clear" w:pos="1814"/>
                <w:tab w:val="clear" w:pos="2381"/>
                <w:tab w:val="clear" w:pos="2948"/>
                <w:tab w:val="clear" w:pos="3515"/>
              </w:tabs>
              <w:spacing w:before="40" w:after="40"/>
              <w:rPr>
                <w:color w:val="000000"/>
                <w:sz w:val="18"/>
              </w:rPr>
            </w:pPr>
            <w:r w:rsidRPr="00A7082A">
              <w:rPr>
                <w:color w:val="000000"/>
                <w:sz w:val="18"/>
              </w:rPr>
              <w:t>P-3 Communication and Knowledge Management</w:t>
            </w:r>
          </w:p>
        </w:tc>
        <w:tc>
          <w:tcPr>
            <w:tcW w:w="850" w:type="dxa"/>
            <w:shd w:val="clear" w:color="auto" w:fill="auto"/>
            <w:noWrap/>
            <w:hideMark/>
          </w:tcPr>
          <w:p w14:paraId="761129AB" w14:textId="77777777" w:rsidR="00290418" w:rsidRPr="00A7082A" w:rsidRDefault="00290418" w:rsidP="00596957">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1</w:t>
            </w:r>
          </w:p>
        </w:tc>
        <w:tc>
          <w:tcPr>
            <w:tcW w:w="2637" w:type="dxa"/>
            <w:shd w:val="clear" w:color="auto" w:fill="auto"/>
            <w:noWrap/>
            <w:hideMark/>
          </w:tcPr>
          <w:p w14:paraId="0B788BC5" w14:textId="7E40CB0B" w:rsidR="00290418" w:rsidRPr="00A7082A" w:rsidRDefault="00290418" w:rsidP="00596957">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341</w:t>
            </w:r>
            <w:r w:rsidR="00F22360" w:rsidRPr="00A7082A">
              <w:rPr>
                <w:color w:val="000000"/>
                <w:sz w:val="18"/>
              </w:rPr>
              <w:t xml:space="preserve"> </w:t>
            </w:r>
            <w:r w:rsidRPr="00A7082A">
              <w:rPr>
                <w:color w:val="000000"/>
                <w:sz w:val="18"/>
              </w:rPr>
              <w:t xml:space="preserve">852 </w:t>
            </w:r>
          </w:p>
        </w:tc>
      </w:tr>
      <w:tr w:rsidR="00290418" w:rsidRPr="00A7082A" w14:paraId="0840880B" w14:textId="77777777" w:rsidTr="00C06EA9">
        <w:trPr>
          <w:trHeight w:val="57"/>
          <w:jc w:val="right"/>
        </w:trPr>
        <w:tc>
          <w:tcPr>
            <w:tcW w:w="4820" w:type="dxa"/>
            <w:shd w:val="clear" w:color="auto" w:fill="auto"/>
            <w:noWrap/>
            <w:hideMark/>
          </w:tcPr>
          <w:p w14:paraId="757AF482" w14:textId="77777777" w:rsidR="00290418" w:rsidRPr="00A7082A" w:rsidRDefault="00290418" w:rsidP="00596957">
            <w:pPr>
              <w:tabs>
                <w:tab w:val="clear" w:pos="1247"/>
                <w:tab w:val="clear" w:pos="1814"/>
                <w:tab w:val="clear" w:pos="2381"/>
                <w:tab w:val="clear" w:pos="2948"/>
                <w:tab w:val="clear" w:pos="3515"/>
              </w:tabs>
              <w:spacing w:before="40" w:after="40"/>
              <w:ind w:left="319" w:hanging="319"/>
              <w:rPr>
                <w:color w:val="000000"/>
                <w:sz w:val="18"/>
              </w:rPr>
            </w:pPr>
            <w:r w:rsidRPr="00A7082A">
              <w:rPr>
                <w:color w:val="000000"/>
                <w:sz w:val="18"/>
              </w:rPr>
              <w:t>P-3 Programme Officer (Reporting, effectiveness evaluation)</w:t>
            </w:r>
          </w:p>
        </w:tc>
        <w:tc>
          <w:tcPr>
            <w:tcW w:w="850" w:type="dxa"/>
            <w:shd w:val="clear" w:color="auto" w:fill="auto"/>
            <w:noWrap/>
            <w:hideMark/>
          </w:tcPr>
          <w:p w14:paraId="0903098E" w14:textId="77777777" w:rsidR="00290418" w:rsidRPr="00A7082A" w:rsidRDefault="00290418" w:rsidP="00596957">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1</w:t>
            </w:r>
          </w:p>
        </w:tc>
        <w:tc>
          <w:tcPr>
            <w:tcW w:w="2637" w:type="dxa"/>
            <w:shd w:val="clear" w:color="auto" w:fill="auto"/>
            <w:noWrap/>
            <w:hideMark/>
          </w:tcPr>
          <w:p w14:paraId="54923678" w14:textId="62BACA39" w:rsidR="00290418" w:rsidRPr="00A7082A" w:rsidRDefault="00290418" w:rsidP="00596957">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341</w:t>
            </w:r>
            <w:r w:rsidR="00F22360" w:rsidRPr="00A7082A">
              <w:rPr>
                <w:color w:val="000000"/>
                <w:sz w:val="18"/>
              </w:rPr>
              <w:t xml:space="preserve"> </w:t>
            </w:r>
            <w:r w:rsidRPr="00A7082A">
              <w:rPr>
                <w:color w:val="000000"/>
                <w:sz w:val="18"/>
              </w:rPr>
              <w:t xml:space="preserve">852 </w:t>
            </w:r>
          </w:p>
        </w:tc>
      </w:tr>
      <w:tr w:rsidR="00290418" w:rsidRPr="00A7082A" w14:paraId="778B8FCA" w14:textId="77777777" w:rsidTr="00C06EA9">
        <w:trPr>
          <w:trHeight w:val="57"/>
          <w:jc w:val="right"/>
        </w:trPr>
        <w:tc>
          <w:tcPr>
            <w:tcW w:w="4820" w:type="dxa"/>
            <w:shd w:val="clear" w:color="auto" w:fill="auto"/>
            <w:noWrap/>
            <w:hideMark/>
          </w:tcPr>
          <w:p w14:paraId="2EAFB76F" w14:textId="77777777" w:rsidR="00290418" w:rsidRPr="00A7082A" w:rsidRDefault="00290418" w:rsidP="00E34240">
            <w:pPr>
              <w:tabs>
                <w:tab w:val="clear" w:pos="1247"/>
                <w:tab w:val="clear" w:pos="1814"/>
                <w:tab w:val="clear" w:pos="2381"/>
                <w:tab w:val="clear" w:pos="2948"/>
                <w:tab w:val="clear" w:pos="3515"/>
              </w:tabs>
              <w:spacing w:before="40" w:after="40"/>
              <w:rPr>
                <w:color w:val="000000"/>
                <w:sz w:val="18"/>
              </w:rPr>
            </w:pPr>
            <w:r w:rsidRPr="00A7082A">
              <w:rPr>
                <w:color w:val="000000"/>
                <w:sz w:val="18"/>
              </w:rPr>
              <w:t xml:space="preserve">P-3 Legal Officer </w:t>
            </w:r>
          </w:p>
        </w:tc>
        <w:tc>
          <w:tcPr>
            <w:tcW w:w="850" w:type="dxa"/>
            <w:shd w:val="clear" w:color="auto" w:fill="auto"/>
            <w:noWrap/>
            <w:hideMark/>
          </w:tcPr>
          <w:p w14:paraId="261CE1F6" w14:textId="77777777" w:rsidR="00290418" w:rsidRPr="00A7082A" w:rsidRDefault="00290418" w:rsidP="00596957">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1</w:t>
            </w:r>
          </w:p>
        </w:tc>
        <w:tc>
          <w:tcPr>
            <w:tcW w:w="2637" w:type="dxa"/>
            <w:shd w:val="clear" w:color="auto" w:fill="auto"/>
            <w:noWrap/>
            <w:hideMark/>
          </w:tcPr>
          <w:p w14:paraId="3D155C88" w14:textId="6BFEAF85" w:rsidR="00290418" w:rsidRPr="00A7082A" w:rsidRDefault="00290418" w:rsidP="00596957">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341</w:t>
            </w:r>
            <w:r w:rsidR="00F22360" w:rsidRPr="00A7082A">
              <w:rPr>
                <w:color w:val="000000"/>
                <w:sz w:val="18"/>
              </w:rPr>
              <w:t xml:space="preserve"> </w:t>
            </w:r>
            <w:r w:rsidRPr="00A7082A">
              <w:rPr>
                <w:color w:val="000000"/>
                <w:sz w:val="18"/>
              </w:rPr>
              <w:t xml:space="preserve">852 </w:t>
            </w:r>
          </w:p>
        </w:tc>
      </w:tr>
      <w:tr w:rsidR="00290418" w:rsidRPr="00A7082A" w14:paraId="2CA14987" w14:textId="77777777" w:rsidTr="00C06EA9">
        <w:trPr>
          <w:trHeight w:val="57"/>
          <w:jc w:val="right"/>
        </w:trPr>
        <w:tc>
          <w:tcPr>
            <w:tcW w:w="4820" w:type="dxa"/>
            <w:tcBorders>
              <w:bottom w:val="single" w:sz="4" w:space="0" w:color="auto"/>
            </w:tcBorders>
            <w:shd w:val="clear" w:color="auto" w:fill="auto"/>
            <w:noWrap/>
            <w:hideMark/>
          </w:tcPr>
          <w:p w14:paraId="4018360A" w14:textId="77777777" w:rsidR="00290418" w:rsidRPr="00A7082A" w:rsidRDefault="00290418" w:rsidP="00E34240">
            <w:pPr>
              <w:tabs>
                <w:tab w:val="clear" w:pos="1247"/>
                <w:tab w:val="clear" w:pos="1814"/>
                <w:tab w:val="clear" w:pos="2381"/>
                <w:tab w:val="clear" w:pos="2948"/>
                <w:tab w:val="clear" w:pos="3515"/>
              </w:tabs>
              <w:spacing w:before="40" w:after="40"/>
              <w:rPr>
                <w:color w:val="000000"/>
                <w:sz w:val="18"/>
              </w:rPr>
            </w:pPr>
            <w:r w:rsidRPr="00A7082A">
              <w:rPr>
                <w:color w:val="000000"/>
                <w:sz w:val="18"/>
              </w:rPr>
              <w:t>GS Programme assistance</w:t>
            </w:r>
          </w:p>
        </w:tc>
        <w:tc>
          <w:tcPr>
            <w:tcW w:w="850" w:type="dxa"/>
            <w:tcBorders>
              <w:bottom w:val="single" w:sz="4" w:space="0" w:color="auto"/>
            </w:tcBorders>
            <w:shd w:val="clear" w:color="auto" w:fill="auto"/>
            <w:noWrap/>
            <w:hideMark/>
          </w:tcPr>
          <w:p w14:paraId="7BDDE8A2" w14:textId="77777777" w:rsidR="00290418" w:rsidRPr="00A7082A" w:rsidRDefault="00290418" w:rsidP="00596957">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4</w:t>
            </w:r>
          </w:p>
        </w:tc>
        <w:tc>
          <w:tcPr>
            <w:tcW w:w="2637" w:type="dxa"/>
            <w:tcBorders>
              <w:bottom w:val="single" w:sz="4" w:space="0" w:color="auto"/>
            </w:tcBorders>
            <w:shd w:val="clear" w:color="auto" w:fill="auto"/>
            <w:noWrap/>
            <w:hideMark/>
          </w:tcPr>
          <w:p w14:paraId="0B32883D" w14:textId="0EFE24E4" w:rsidR="00290418" w:rsidRPr="00A7082A" w:rsidRDefault="00290418" w:rsidP="00596957">
            <w:pPr>
              <w:tabs>
                <w:tab w:val="clear" w:pos="1247"/>
                <w:tab w:val="clear" w:pos="1814"/>
                <w:tab w:val="clear" w:pos="2381"/>
                <w:tab w:val="clear" w:pos="2948"/>
                <w:tab w:val="clear" w:pos="3515"/>
              </w:tabs>
              <w:spacing w:before="40" w:after="40"/>
              <w:jc w:val="right"/>
              <w:rPr>
                <w:color w:val="000000"/>
                <w:sz w:val="18"/>
              </w:rPr>
            </w:pPr>
            <w:r w:rsidRPr="00A7082A">
              <w:rPr>
                <w:color w:val="000000"/>
                <w:sz w:val="18"/>
              </w:rPr>
              <w:t>1</w:t>
            </w:r>
            <w:r w:rsidR="00F22360" w:rsidRPr="00A7082A">
              <w:rPr>
                <w:color w:val="000000"/>
                <w:sz w:val="18"/>
              </w:rPr>
              <w:t xml:space="preserve"> </w:t>
            </w:r>
            <w:r w:rsidRPr="00A7082A">
              <w:rPr>
                <w:color w:val="000000"/>
                <w:sz w:val="18"/>
              </w:rPr>
              <w:t>100</w:t>
            </w:r>
            <w:r w:rsidR="00F22360" w:rsidRPr="00A7082A">
              <w:rPr>
                <w:color w:val="000000"/>
                <w:sz w:val="18"/>
              </w:rPr>
              <w:t xml:space="preserve"> </w:t>
            </w:r>
            <w:r w:rsidRPr="00A7082A">
              <w:rPr>
                <w:color w:val="000000"/>
                <w:sz w:val="18"/>
              </w:rPr>
              <w:t xml:space="preserve">260 </w:t>
            </w:r>
          </w:p>
        </w:tc>
      </w:tr>
      <w:tr w:rsidR="00290418" w:rsidRPr="00A7082A" w14:paraId="6962E47A" w14:textId="77777777" w:rsidTr="00C06EA9">
        <w:trPr>
          <w:trHeight w:val="57"/>
          <w:jc w:val="right"/>
        </w:trPr>
        <w:tc>
          <w:tcPr>
            <w:tcW w:w="4820" w:type="dxa"/>
            <w:tcBorders>
              <w:top w:val="single" w:sz="4" w:space="0" w:color="auto"/>
              <w:bottom w:val="single" w:sz="12" w:space="0" w:color="000000" w:themeColor="text1"/>
            </w:tcBorders>
            <w:shd w:val="clear" w:color="auto" w:fill="auto"/>
            <w:hideMark/>
          </w:tcPr>
          <w:p w14:paraId="428E90D1" w14:textId="51E4CA5A" w:rsidR="00290418" w:rsidRPr="00A7082A" w:rsidRDefault="00290418" w:rsidP="00E34240">
            <w:pPr>
              <w:tabs>
                <w:tab w:val="clear" w:pos="1247"/>
                <w:tab w:val="clear" w:pos="1814"/>
                <w:tab w:val="clear" w:pos="2381"/>
                <w:tab w:val="clear" w:pos="2948"/>
                <w:tab w:val="clear" w:pos="3515"/>
              </w:tabs>
              <w:spacing w:before="40" w:after="40"/>
              <w:rPr>
                <w:b/>
                <w:color w:val="000000"/>
                <w:sz w:val="18"/>
              </w:rPr>
            </w:pPr>
            <w:r w:rsidRPr="00A7082A">
              <w:rPr>
                <w:b/>
                <w:color w:val="000000"/>
                <w:sz w:val="18"/>
              </w:rPr>
              <w:t xml:space="preserve">Total staff costs (in </w:t>
            </w:r>
            <w:r w:rsidR="006B3037" w:rsidRPr="00A7082A">
              <w:rPr>
                <w:b/>
                <w:color w:val="000000"/>
                <w:sz w:val="18"/>
              </w:rPr>
              <w:t>United States dollars</w:t>
            </w:r>
            <w:r w:rsidRPr="00A7082A">
              <w:rPr>
                <w:b/>
                <w:color w:val="000000"/>
                <w:sz w:val="18"/>
              </w:rPr>
              <w:t>)</w:t>
            </w:r>
          </w:p>
        </w:tc>
        <w:tc>
          <w:tcPr>
            <w:tcW w:w="850" w:type="dxa"/>
            <w:tcBorders>
              <w:top w:val="single" w:sz="4" w:space="0" w:color="auto"/>
              <w:bottom w:val="single" w:sz="12" w:space="0" w:color="000000" w:themeColor="text1"/>
            </w:tcBorders>
            <w:shd w:val="clear" w:color="auto" w:fill="auto"/>
            <w:hideMark/>
          </w:tcPr>
          <w:p w14:paraId="7256746B" w14:textId="77777777" w:rsidR="00290418" w:rsidRPr="00A7082A" w:rsidRDefault="00290418" w:rsidP="00596957">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11</w:t>
            </w:r>
          </w:p>
        </w:tc>
        <w:tc>
          <w:tcPr>
            <w:tcW w:w="2637" w:type="dxa"/>
            <w:tcBorders>
              <w:top w:val="single" w:sz="4" w:space="0" w:color="auto"/>
              <w:bottom w:val="single" w:sz="12" w:space="0" w:color="000000" w:themeColor="text1"/>
            </w:tcBorders>
            <w:shd w:val="clear" w:color="auto" w:fill="auto"/>
            <w:hideMark/>
          </w:tcPr>
          <w:p w14:paraId="79BD2C8C" w14:textId="5439AE3D" w:rsidR="00290418" w:rsidRPr="00A7082A" w:rsidRDefault="00290418" w:rsidP="00596957">
            <w:pPr>
              <w:tabs>
                <w:tab w:val="clear" w:pos="1247"/>
                <w:tab w:val="clear" w:pos="1814"/>
                <w:tab w:val="clear" w:pos="2381"/>
                <w:tab w:val="clear" w:pos="2948"/>
                <w:tab w:val="clear" w:pos="3515"/>
              </w:tabs>
              <w:spacing w:before="40" w:after="40"/>
              <w:jc w:val="right"/>
              <w:rPr>
                <w:b/>
                <w:color w:val="000000"/>
                <w:sz w:val="18"/>
              </w:rPr>
            </w:pPr>
            <w:r w:rsidRPr="00A7082A">
              <w:rPr>
                <w:b/>
                <w:color w:val="000000"/>
                <w:sz w:val="18"/>
              </w:rPr>
              <w:t>3</w:t>
            </w:r>
            <w:r w:rsidR="00F22360" w:rsidRPr="00A7082A">
              <w:rPr>
                <w:b/>
                <w:color w:val="000000"/>
                <w:sz w:val="18"/>
              </w:rPr>
              <w:t xml:space="preserve"> </w:t>
            </w:r>
            <w:r w:rsidRPr="00A7082A">
              <w:rPr>
                <w:b/>
                <w:color w:val="000000"/>
                <w:sz w:val="18"/>
              </w:rPr>
              <w:t>973</w:t>
            </w:r>
            <w:r w:rsidR="00F22360" w:rsidRPr="00A7082A">
              <w:rPr>
                <w:b/>
                <w:color w:val="000000"/>
                <w:sz w:val="18"/>
              </w:rPr>
              <w:t xml:space="preserve"> </w:t>
            </w:r>
            <w:r w:rsidRPr="00A7082A">
              <w:rPr>
                <w:b/>
                <w:color w:val="000000"/>
                <w:sz w:val="18"/>
              </w:rPr>
              <w:t>928</w:t>
            </w:r>
          </w:p>
        </w:tc>
      </w:tr>
    </w:tbl>
    <w:p w14:paraId="13A3D15C" w14:textId="16259E79" w:rsidR="00E34240" w:rsidRPr="00A7082A" w:rsidRDefault="00E34240" w:rsidP="006D4DE3">
      <w:pPr>
        <w:tabs>
          <w:tab w:val="clear" w:pos="1247"/>
          <w:tab w:val="clear" w:pos="1814"/>
          <w:tab w:val="clear" w:pos="2381"/>
          <w:tab w:val="clear" w:pos="2948"/>
          <w:tab w:val="clear" w:pos="3515"/>
          <w:tab w:val="left" w:pos="624"/>
        </w:tabs>
        <w:spacing w:before="40" w:after="120"/>
        <w:ind w:left="1247"/>
        <w:rPr>
          <w:b/>
          <w:color w:val="000000"/>
          <w:sz w:val="17"/>
          <w:highlight w:val="green"/>
        </w:rPr>
      </w:pPr>
      <w:r w:rsidRPr="00A7082A">
        <w:rPr>
          <w:color w:val="000000"/>
          <w:sz w:val="17"/>
        </w:rPr>
        <w:t>Note: In addition to the staff indicated above, the posts of one P-4 Administrative Officer and one GS-6 Finance and Budget Assistant will be funded from programme support costs.</w:t>
      </w:r>
      <w:bookmarkStart w:id="80" w:name="_Toc27124754"/>
      <w:r w:rsidR="00F55A86" w:rsidRPr="00A7082A">
        <w:rPr>
          <w:color w:val="000000"/>
          <w:sz w:val="17"/>
        </w:rPr>
        <w:t xml:space="preserve"> </w:t>
      </w:r>
    </w:p>
    <w:p w14:paraId="691CE7FC" w14:textId="335A22EE" w:rsidR="003F20F5" w:rsidRPr="00A7082A" w:rsidRDefault="003F20F5" w:rsidP="004B57E1">
      <w:pPr>
        <w:pStyle w:val="Titletable"/>
        <w:spacing w:before="240" w:after="0"/>
        <w:rPr>
          <w:bCs w:val="0"/>
        </w:rPr>
      </w:pPr>
      <w:r w:rsidRPr="00A7082A">
        <w:rPr>
          <w:b w:val="0"/>
        </w:rPr>
        <w:t>Table 4</w:t>
      </w:r>
      <w:r w:rsidR="00D34FF8" w:rsidRPr="00A7082A">
        <w:rPr>
          <w:b w:val="0"/>
        </w:rPr>
        <w:t xml:space="preserve"> </w:t>
      </w:r>
      <w:r w:rsidR="002C2C8B" w:rsidRPr="00A7082A">
        <w:rPr>
          <w:b w:val="0"/>
        </w:rPr>
        <w:br/>
      </w:r>
      <w:r w:rsidRPr="00A7082A">
        <w:rPr>
          <w:bCs w:val="0"/>
        </w:rPr>
        <w:t xml:space="preserve">Organizational chart of the Secretariat of the Minamata Convention </w:t>
      </w:r>
    </w:p>
    <w:p w14:paraId="57719B43" w14:textId="2C115CC5" w:rsidR="002F6441" w:rsidRPr="00A7082A" w:rsidRDefault="008549ED" w:rsidP="002F6441">
      <w:pPr>
        <w:pStyle w:val="Normal-pool"/>
      </w:pPr>
      <w:r w:rsidRPr="00A7082A">
        <w:object w:dxaOrig="9622" w:dyaOrig="5390" w14:anchorId="3120AD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5pt;height:270pt" o:ole="">
            <v:imagedata r:id="rId27" o:title=""/>
          </v:shape>
          <o:OLEObject Type="Embed" ProgID="PowerPoint.Show.12" ShapeID="_x0000_i1025" DrawAspect="Content" ObjectID="_1651057964" r:id="rId28"/>
        </w:object>
      </w:r>
    </w:p>
    <w:p w14:paraId="0D54048B" w14:textId="606C4E51" w:rsidR="00271237" w:rsidRPr="00A7082A" w:rsidRDefault="00271237" w:rsidP="002F6441">
      <w:pPr>
        <w:pStyle w:val="Normal-pool"/>
      </w:pPr>
    </w:p>
    <w:p w14:paraId="3984530E" w14:textId="77777777" w:rsidR="003F20F5" w:rsidRPr="00A7082A" w:rsidRDefault="003F20F5" w:rsidP="009557F8">
      <w:pPr>
        <w:pStyle w:val="Normal-pool"/>
      </w:pPr>
      <w:r w:rsidRPr="00A7082A">
        <w:br w:type="page"/>
      </w:r>
    </w:p>
    <w:p w14:paraId="684F36A4" w14:textId="77777777" w:rsidR="002C2C8B" w:rsidRPr="00A7082A" w:rsidRDefault="002C2C8B" w:rsidP="009557F8">
      <w:pPr>
        <w:pStyle w:val="CH1"/>
      </w:pPr>
      <w:r w:rsidRPr="00A7082A">
        <w:lastRenderedPageBreak/>
        <w:tab/>
      </w:r>
      <w:r w:rsidRPr="00A7082A">
        <w:tab/>
        <w:t>MC-3/13: Guidance for completing the national reporting format</w:t>
      </w:r>
    </w:p>
    <w:bookmarkEnd w:id="80"/>
    <w:p w14:paraId="2DCC3148" w14:textId="3D6D1D96" w:rsidR="003F4DA7" w:rsidRPr="00A7082A" w:rsidRDefault="004E2C3A" w:rsidP="009557F8">
      <w:pPr>
        <w:tabs>
          <w:tab w:val="clear" w:pos="1247"/>
          <w:tab w:val="clear" w:pos="1814"/>
          <w:tab w:val="clear" w:pos="2381"/>
          <w:tab w:val="clear" w:pos="2948"/>
          <w:tab w:val="clear" w:pos="3515"/>
          <w:tab w:val="left" w:pos="624"/>
        </w:tabs>
        <w:spacing w:after="120"/>
        <w:ind w:left="1247" w:firstLine="624"/>
        <w:rPr>
          <w:i/>
        </w:rPr>
      </w:pPr>
      <w:r w:rsidRPr="00A7082A">
        <w:rPr>
          <w:i/>
        </w:rPr>
        <w:tab/>
      </w:r>
      <w:r w:rsidR="003F4DA7" w:rsidRPr="00A7082A">
        <w:rPr>
          <w:i/>
        </w:rPr>
        <w:t>The Conference of the Parties,</w:t>
      </w:r>
    </w:p>
    <w:p w14:paraId="0D8B5CD8" w14:textId="77777777" w:rsidR="003F4DA7" w:rsidRPr="00A7082A" w:rsidRDefault="003F4DA7" w:rsidP="003F4DA7">
      <w:pPr>
        <w:tabs>
          <w:tab w:val="clear" w:pos="1247"/>
          <w:tab w:val="clear" w:pos="1814"/>
          <w:tab w:val="clear" w:pos="2381"/>
          <w:tab w:val="clear" w:pos="2948"/>
          <w:tab w:val="clear" w:pos="3515"/>
          <w:tab w:val="left" w:pos="624"/>
        </w:tabs>
        <w:spacing w:after="120"/>
        <w:ind w:left="1247" w:firstLine="624"/>
      </w:pPr>
      <w:r w:rsidRPr="00A7082A">
        <w:rPr>
          <w:i/>
        </w:rPr>
        <w:t>Recognizing</w:t>
      </w:r>
      <w:r w:rsidRPr="00A7082A">
        <w:t xml:space="preserve"> the need for complete and consistent national reporting to provide information for the effectiveness evaluation and supporting compliance,</w:t>
      </w:r>
    </w:p>
    <w:p w14:paraId="36757B19" w14:textId="21A8A11C" w:rsidR="003F4DA7" w:rsidRPr="00A7082A" w:rsidRDefault="003F4DA7" w:rsidP="003F4DA7">
      <w:pPr>
        <w:tabs>
          <w:tab w:val="clear" w:pos="1247"/>
          <w:tab w:val="clear" w:pos="1814"/>
          <w:tab w:val="clear" w:pos="2381"/>
          <w:tab w:val="clear" w:pos="2948"/>
          <w:tab w:val="clear" w:pos="3515"/>
          <w:tab w:val="left" w:pos="624"/>
        </w:tabs>
        <w:spacing w:after="120"/>
        <w:ind w:left="1247" w:firstLine="624"/>
      </w:pPr>
      <w:r w:rsidRPr="00A7082A">
        <w:rPr>
          <w:i/>
        </w:rPr>
        <w:t>Welcoming</w:t>
      </w:r>
      <w:r w:rsidRPr="00A7082A">
        <w:t xml:space="preserve"> the work of the </w:t>
      </w:r>
      <w:r w:rsidR="0012067A" w:rsidRPr="00A7082A">
        <w:t>s</w:t>
      </w:r>
      <w:r w:rsidRPr="00A7082A">
        <w:t>ecretariat to prepare information on the short national reporting format for consideration by the Conference of Parties at its third meeting,</w:t>
      </w:r>
    </w:p>
    <w:p w14:paraId="54004380" w14:textId="7EB25EA7" w:rsidR="003F4DA7" w:rsidRPr="00A7082A" w:rsidRDefault="003F4DA7" w:rsidP="00D34FF8">
      <w:pPr>
        <w:numPr>
          <w:ilvl w:val="0"/>
          <w:numId w:val="33"/>
        </w:numPr>
        <w:tabs>
          <w:tab w:val="clear" w:pos="1247"/>
          <w:tab w:val="clear" w:pos="1814"/>
          <w:tab w:val="clear" w:pos="2381"/>
          <w:tab w:val="clear" w:pos="2948"/>
          <w:tab w:val="clear" w:pos="3515"/>
          <w:tab w:val="left" w:pos="624"/>
        </w:tabs>
        <w:spacing w:after="120"/>
        <w:ind w:left="1247" w:firstLine="624"/>
      </w:pPr>
      <w:r w:rsidRPr="00A7082A">
        <w:rPr>
          <w:i/>
        </w:rPr>
        <w:t xml:space="preserve">Requests </w:t>
      </w:r>
      <w:r w:rsidRPr="00A7082A">
        <w:t xml:space="preserve">the </w:t>
      </w:r>
      <w:r w:rsidR="0012067A" w:rsidRPr="00A7082A">
        <w:t>s</w:t>
      </w:r>
      <w:r w:rsidRPr="00A7082A">
        <w:t xml:space="preserve">ecretariat to prepare draft guidance for the full national reporting format, </w:t>
      </w:r>
      <w:r w:rsidR="0012067A" w:rsidRPr="00A7082A">
        <w:t xml:space="preserve">in order </w:t>
      </w:r>
      <w:r w:rsidRPr="00A7082A">
        <w:t>to clarify the information being sought</w:t>
      </w:r>
      <w:r w:rsidR="00B31474" w:rsidRPr="00A7082A">
        <w:t xml:space="preserve"> in the national report format</w:t>
      </w:r>
      <w:r w:rsidRPr="00A7082A">
        <w:t xml:space="preserve">; </w:t>
      </w:r>
    </w:p>
    <w:p w14:paraId="292A620A" w14:textId="1E14E87F" w:rsidR="003F4DA7" w:rsidRPr="00A7082A" w:rsidRDefault="004E2C3A" w:rsidP="001C7C06">
      <w:pPr>
        <w:numPr>
          <w:ilvl w:val="0"/>
          <w:numId w:val="33"/>
        </w:numPr>
        <w:tabs>
          <w:tab w:val="clear" w:pos="1247"/>
          <w:tab w:val="clear" w:pos="1814"/>
          <w:tab w:val="clear" w:pos="2381"/>
          <w:tab w:val="clear" w:pos="2948"/>
          <w:tab w:val="clear" w:pos="3515"/>
          <w:tab w:val="left" w:pos="624"/>
        </w:tabs>
        <w:spacing w:after="120"/>
        <w:ind w:left="1247" w:firstLine="624"/>
      </w:pPr>
      <w:r w:rsidRPr="00A7082A">
        <w:rPr>
          <w:i/>
        </w:rPr>
        <w:t>Also r</w:t>
      </w:r>
      <w:r w:rsidR="003F4DA7" w:rsidRPr="00A7082A">
        <w:rPr>
          <w:i/>
        </w:rPr>
        <w:t xml:space="preserve">equests </w:t>
      </w:r>
      <w:r w:rsidR="003F4DA7" w:rsidRPr="00A7082A">
        <w:t xml:space="preserve">the </w:t>
      </w:r>
      <w:r w:rsidR="00851014" w:rsidRPr="00A7082A">
        <w:t>s</w:t>
      </w:r>
      <w:r w:rsidR="003F4DA7" w:rsidRPr="00A7082A">
        <w:t xml:space="preserve">ecretariat to seek comments from </w:t>
      </w:r>
      <w:r w:rsidR="0012067A" w:rsidRPr="00A7082A">
        <w:t>p</w:t>
      </w:r>
      <w:r w:rsidR="003F4DA7" w:rsidRPr="00A7082A">
        <w:t xml:space="preserve">arties and other stakeholders on the draft guidance by March 2021, to take into account the comments, and to provide a revised draft of the guidance, as appropriate; </w:t>
      </w:r>
    </w:p>
    <w:p w14:paraId="59FFD99F" w14:textId="23282449" w:rsidR="003F4DA7" w:rsidRPr="00A7082A" w:rsidRDefault="003F4DA7" w:rsidP="001C7C06">
      <w:pPr>
        <w:numPr>
          <w:ilvl w:val="0"/>
          <w:numId w:val="33"/>
        </w:numPr>
        <w:tabs>
          <w:tab w:val="clear" w:pos="1247"/>
          <w:tab w:val="clear" w:pos="1814"/>
          <w:tab w:val="clear" w:pos="2381"/>
          <w:tab w:val="clear" w:pos="2948"/>
          <w:tab w:val="clear" w:pos="3515"/>
          <w:tab w:val="left" w:pos="624"/>
        </w:tabs>
        <w:spacing w:after="120"/>
        <w:ind w:left="1247" w:firstLine="624"/>
      </w:pPr>
      <w:r w:rsidRPr="00A7082A">
        <w:rPr>
          <w:i/>
        </w:rPr>
        <w:t>Encourages</w:t>
      </w:r>
      <w:r w:rsidRPr="00A7082A">
        <w:t xml:space="preserve"> </w:t>
      </w:r>
      <w:r w:rsidR="002F2529" w:rsidRPr="00A7082A">
        <w:t xml:space="preserve">parties </w:t>
      </w:r>
      <w:r w:rsidRPr="00A7082A">
        <w:t xml:space="preserve">to use the draft guidance on a provisional basis to assist </w:t>
      </w:r>
      <w:r w:rsidR="0012067A" w:rsidRPr="00A7082A">
        <w:t xml:space="preserve">in </w:t>
      </w:r>
      <w:r w:rsidRPr="00A7082A">
        <w:t>preparing their full national reports</w:t>
      </w:r>
      <w:r w:rsidR="0012067A" w:rsidRPr="00A7082A">
        <w:t>,</w:t>
      </w:r>
      <w:r w:rsidRPr="00A7082A">
        <w:t xml:space="preserve"> </w:t>
      </w:r>
      <w:r w:rsidR="0012067A" w:rsidRPr="00A7082A">
        <w:t xml:space="preserve">which </w:t>
      </w:r>
      <w:r w:rsidRPr="00A7082A">
        <w:t xml:space="preserve">are due by </w:t>
      </w:r>
      <w:r w:rsidR="0012067A" w:rsidRPr="00A7082A">
        <w:t xml:space="preserve">31 </w:t>
      </w:r>
      <w:r w:rsidRPr="00A7082A">
        <w:t xml:space="preserve">December 2021; </w:t>
      </w:r>
    </w:p>
    <w:p w14:paraId="474C873F" w14:textId="2D745413" w:rsidR="003F4DA7" w:rsidRPr="00A7082A" w:rsidRDefault="003F4DA7" w:rsidP="001C7C06">
      <w:pPr>
        <w:numPr>
          <w:ilvl w:val="0"/>
          <w:numId w:val="33"/>
        </w:numPr>
        <w:tabs>
          <w:tab w:val="clear" w:pos="1247"/>
          <w:tab w:val="clear" w:pos="1814"/>
          <w:tab w:val="clear" w:pos="2381"/>
          <w:tab w:val="clear" w:pos="2948"/>
          <w:tab w:val="clear" w:pos="3515"/>
          <w:tab w:val="left" w:pos="624"/>
        </w:tabs>
        <w:spacing w:after="120"/>
        <w:ind w:left="1247" w:firstLine="624"/>
      </w:pPr>
      <w:r w:rsidRPr="00A7082A">
        <w:rPr>
          <w:i/>
        </w:rPr>
        <w:t xml:space="preserve">Requests </w:t>
      </w:r>
      <w:r w:rsidRPr="00A7082A">
        <w:t xml:space="preserve">the </w:t>
      </w:r>
      <w:r w:rsidR="00851014" w:rsidRPr="00A7082A">
        <w:t>s</w:t>
      </w:r>
      <w:r w:rsidRPr="00A7082A">
        <w:t>ecretariat to submit the draft guidance for consideration and possible adoption by the Conference of the Parties at its fourth meeting.</w:t>
      </w:r>
    </w:p>
    <w:p w14:paraId="74A2DEE9" w14:textId="77777777" w:rsidR="003F4DA7" w:rsidRPr="00A7082A" w:rsidRDefault="003F4DA7" w:rsidP="003F4DA7">
      <w:pPr>
        <w:pStyle w:val="Normal-poo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1896"/>
        <w:gridCol w:w="1896"/>
        <w:gridCol w:w="1896"/>
        <w:gridCol w:w="1896"/>
      </w:tblGrid>
      <w:tr w:rsidR="006D169F" w:rsidRPr="00A7082A" w14:paraId="776A2DD9" w14:textId="77777777" w:rsidTr="006D169F">
        <w:tc>
          <w:tcPr>
            <w:tcW w:w="1896" w:type="dxa"/>
          </w:tcPr>
          <w:p w14:paraId="1022BC7A" w14:textId="77777777" w:rsidR="006D169F" w:rsidRPr="00A7082A" w:rsidRDefault="006D169F" w:rsidP="006D169F">
            <w:pPr>
              <w:pStyle w:val="Normal-pool"/>
              <w:spacing w:before="520"/>
            </w:pPr>
          </w:p>
        </w:tc>
        <w:tc>
          <w:tcPr>
            <w:tcW w:w="1896" w:type="dxa"/>
          </w:tcPr>
          <w:p w14:paraId="1FA5592F" w14:textId="77777777" w:rsidR="006D169F" w:rsidRPr="00A7082A" w:rsidRDefault="006D169F" w:rsidP="006D169F">
            <w:pPr>
              <w:pStyle w:val="Normal-pool"/>
              <w:spacing w:before="520"/>
            </w:pPr>
          </w:p>
        </w:tc>
        <w:tc>
          <w:tcPr>
            <w:tcW w:w="1896" w:type="dxa"/>
            <w:tcBorders>
              <w:bottom w:val="single" w:sz="4" w:space="0" w:color="000000" w:themeColor="text1"/>
            </w:tcBorders>
          </w:tcPr>
          <w:p w14:paraId="255B10C8" w14:textId="77777777" w:rsidR="006D169F" w:rsidRPr="00A7082A" w:rsidRDefault="006D169F" w:rsidP="006D169F">
            <w:pPr>
              <w:pStyle w:val="Normal-pool"/>
              <w:spacing w:before="520"/>
            </w:pPr>
          </w:p>
        </w:tc>
        <w:tc>
          <w:tcPr>
            <w:tcW w:w="1896" w:type="dxa"/>
          </w:tcPr>
          <w:p w14:paraId="319F7EAE" w14:textId="77777777" w:rsidR="006D169F" w:rsidRPr="00A7082A" w:rsidRDefault="006D169F" w:rsidP="006D169F">
            <w:pPr>
              <w:pStyle w:val="Normal-pool"/>
              <w:spacing w:before="520"/>
            </w:pPr>
          </w:p>
        </w:tc>
        <w:tc>
          <w:tcPr>
            <w:tcW w:w="1896" w:type="dxa"/>
          </w:tcPr>
          <w:p w14:paraId="4ECBB1A0" w14:textId="77777777" w:rsidR="006D169F" w:rsidRPr="00A7082A" w:rsidRDefault="006D169F" w:rsidP="006D169F">
            <w:pPr>
              <w:pStyle w:val="Normal-pool"/>
              <w:spacing w:before="520"/>
            </w:pPr>
          </w:p>
        </w:tc>
      </w:tr>
      <w:bookmarkEnd w:id="0"/>
    </w:tbl>
    <w:p w14:paraId="533807B3" w14:textId="77777777" w:rsidR="009E64B0" w:rsidRPr="00A7082A" w:rsidRDefault="009E64B0" w:rsidP="009E64B0">
      <w:pPr>
        <w:pStyle w:val="Normal-pool"/>
      </w:pPr>
    </w:p>
    <w:sectPr w:rsidR="009E64B0" w:rsidRPr="00A7082A" w:rsidSect="007D789B">
      <w:pgSz w:w="11900" w:h="16840"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F9C60" w14:textId="77777777" w:rsidR="00A138A1" w:rsidRDefault="00A138A1">
      <w:r>
        <w:separator/>
      </w:r>
    </w:p>
  </w:endnote>
  <w:endnote w:type="continuationSeparator" w:id="0">
    <w:p w14:paraId="4747EEE0" w14:textId="77777777" w:rsidR="00A138A1" w:rsidRDefault="00A138A1">
      <w:r>
        <w:continuationSeparator/>
      </w:r>
    </w:p>
  </w:endnote>
  <w:endnote w:type="continuationNotice" w:id="1">
    <w:p w14:paraId="010423AD" w14:textId="77777777" w:rsidR="00A138A1" w:rsidRDefault="00A138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Neu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126208"/>
      <w:docPartObj>
        <w:docPartGallery w:val="Page Numbers (Bottom of Page)"/>
        <w:docPartUnique/>
      </w:docPartObj>
    </w:sdtPr>
    <w:sdtEndPr>
      <w:rPr>
        <w:noProof/>
      </w:rPr>
    </w:sdtEndPr>
    <w:sdtContent>
      <w:p w14:paraId="2D576942" w14:textId="1AB1A78E" w:rsidR="005629FD" w:rsidRDefault="005629FD" w:rsidP="00D02286">
        <w:pPr>
          <w:pStyle w:val="Footer-pool"/>
        </w:pPr>
        <w:r>
          <w:fldChar w:fldCharType="begin"/>
        </w:r>
        <w:r>
          <w:instrText xml:space="preserve"> PAGE   \* MERGEFORMAT </w:instrText>
        </w:r>
        <w:r>
          <w:fldChar w:fldCharType="separate"/>
        </w:r>
        <w:r>
          <w:rPr>
            <w:noProof/>
          </w:rPr>
          <w:t>20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36604"/>
      <w:docPartObj>
        <w:docPartGallery w:val="Page Numbers (Bottom of Page)"/>
        <w:docPartUnique/>
      </w:docPartObj>
    </w:sdtPr>
    <w:sdtEndPr>
      <w:rPr>
        <w:noProof/>
      </w:rPr>
    </w:sdtEndPr>
    <w:sdtContent>
      <w:p w14:paraId="60F47901" w14:textId="3D27CF2B" w:rsidR="005629FD" w:rsidRDefault="005629FD" w:rsidP="00D02286">
        <w:pPr>
          <w:pStyle w:val="Footer-pool"/>
          <w:jc w:val="right"/>
        </w:pPr>
        <w:r>
          <w:fldChar w:fldCharType="begin"/>
        </w:r>
        <w:r>
          <w:instrText xml:space="preserve"> PAGE   \* MERGEFORMAT </w:instrText>
        </w:r>
        <w:r>
          <w:fldChar w:fldCharType="separate"/>
        </w:r>
        <w:r>
          <w:rPr>
            <w:noProof/>
          </w:rPr>
          <w:t>21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A87A4" w14:textId="574FFE95" w:rsidR="005629FD" w:rsidRPr="009C52E8" w:rsidRDefault="005629FD" w:rsidP="009C52E8">
    <w:pPr>
      <w:pStyle w:val="Footer-pool"/>
      <w:tabs>
        <w:tab w:val="clear" w:pos="1247"/>
        <w:tab w:val="clear" w:pos="1814"/>
        <w:tab w:val="clear" w:pos="2381"/>
        <w:tab w:val="clear" w:pos="2948"/>
        <w:tab w:val="clear" w:pos="3515"/>
        <w:tab w:val="clear" w:pos="4082"/>
        <w:tab w:val="clear" w:pos="4321"/>
        <w:tab w:val="clear" w:pos="8641"/>
        <w:tab w:val="left" w:pos="624"/>
      </w:tabs>
      <w:rPr>
        <w:b w:val="0"/>
        <w:sz w:val="20"/>
      </w:rPr>
    </w:pPr>
    <w:r w:rsidRPr="009C52E8">
      <w:rPr>
        <w:b w:val="0"/>
        <w:sz w:val="20"/>
      </w:rPr>
      <w:t>K2000021</w:t>
    </w:r>
    <w:r w:rsidRPr="009C52E8">
      <w:rPr>
        <w:b w:val="0"/>
        <w:sz w:val="20"/>
      </w:rPr>
      <w:tab/>
    </w:r>
    <w:r w:rsidR="006968AB">
      <w:rPr>
        <w:b w:val="0"/>
        <w:sz w:val="20"/>
      </w:rPr>
      <w:t>1</w:t>
    </w:r>
    <w:r w:rsidR="00737EF7">
      <w:rPr>
        <w:b w:val="0"/>
        <w:sz w:val="20"/>
      </w:rPr>
      <w:t>5</w:t>
    </w:r>
    <w:r>
      <w:rPr>
        <w:b w:val="0"/>
        <w:sz w:val="20"/>
      </w:rPr>
      <w:t>05</w:t>
    </w:r>
    <w:r w:rsidRPr="009C52E8">
      <w:rPr>
        <w:b w:val="0"/>
        <w:sz w:val="20"/>
      </w:rPr>
      <w:t>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EEB3" w14:textId="468B4EE1" w:rsidR="005629FD" w:rsidRPr="003F4DA7" w:rsidRDefault="005629FD" w:rsidP="003F4DA7">
    <w:pPr>
      <w:pStyle w:val="Footer"/>
      <w:jc w:val="right"/>
      <w:rPr>
        <w:b/>
      </w:rPr>
    </w:pPr>
    <w:r w:rsidRPr="003F4DA7">
      <w:rPr>
        <w:b/>
      </w:rPr>
      <w:fldChar w:fldCharType="begin"/>
    </w:r>
    <w:r w:rsidRPr="003F4DA7">
      <w:rPr>
        <w:b/>
      </w:rPr>
      <w:instrText xml:space="preserve"> PAGE   \* MERGEFORMAT </w:instrText>
    </w:r>
    <w:r w:rsidRPr="003F4DA7">
      <w:rPr>
        <w:b/>
      </w:rPr>
      <w:fldChar w:fldCharType="separate"/>
    </w:r>
    <w:r>
      <w:rPr>
        <w:b/>
        <w:noProof/>
      </w:rPr>
      <w:t>31</w:t>
    </w:r>
    <w:r w:rsidRPr="003F4DA7">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D8FFF" w14:textId="77777777" w:rsidR="00A138A1" w:rsidRPr="008D1ED6" w:rsidRDefault="00A138A1" w:rsidP="009A29A2">
      <w:pPr>
        <w:tabs>
          <w:tab w:val="clear" w:pos="1247"/>
          <w:tab w:val="clear" w:pos="1814"/>
          <w:tab w:val="clear" w:pos="2381"/>
          <w:tab w:val="clear" w:pos="2948"/>
          <w:tab w:val="clear" w:pos="3515"/>
          <w:tab w:val="left" w:pos="624"/>
        </w:tabs>
        <w:spacing w:before="60"/>
        <w:ind w:left="624"/>
        <w:rPr>
          <w:sz w:val="18"/>
          <w:szCs w:val="18"/>
        </w:rPr>
      </w:pPr>
      <w:r w:rsidRPr="008D1ED6">
        <w:rPr>
          <w:sz w:val="18"/>
          <w:szCs w:val="18"/>
        </w:rPr>
        <w:separator/>
      </w:r>
    </w:p>
  </w:footnote>
  <w:footnote w:type="continuationSeparator" w:id="0">
    <w:p w14:paraId="2A8D787F" w14:textId="77777777" w:rsidR="00A138A1" w:rsidRDefault="00A138A1">
      <w:r>
        <w:continuationSeparator/>
      </w:r>
    </w:p>
  </w:footnote>
  <w:footnote w:type="continuationNotice" w:id="1">
    <w:p w14:paraId="0F5A713A" w14:textId="77777777" w:rsidR="00A138A1" w:rsidRDefault="00A138A1"/>
  </w:footnote>
  <w:footnote w:id="2">
    <w:p w14:paraId="3913D131" w14:textId="6D3B62F6" w:rsidR="005629FD" w:rsidRPr="009A29A2" w:rsidRDefault="005629FD" w:rsidP="00FB4230">
      <w:pPr>
        <w:pStyle w:val="FootnoteText"/>
        <w:rPr>
          <w:szCs w:val="18"/>
          <w:lang w:val="en-US"/>
        </w:rPr>
      </w:pPr>
      <w:r w:rsidRPr="009A29A2">
        <w:rPr>
          <w:rStyle w:val="FootnoteReference"/>
          <w:sz w:val="18"/>
        </w:rPr>
        <w:footnoteRef/>
      </w:r>
      <w:r w:rsidRPr="009A29A2">
        <w:rPr>
          <w:szCs w:val="18"/>
          <w:lang w:val="en-GB"/>
        </w:rPr>
        <w:t xml:space="preserve"> </w:t>
      </w:r>
      <w:r w:rsidRPr="009A29A2">
        <w:rPr>
          <w:bCs/>
          <w:szCs w:val="18"/>
          <w:lang w:val="en-GB"/>
        </w:rPr>
        <w:t>UNEP/MC/COP.3/6, annex II.</w:t>
      </w:r>
    </w:p>
  </w:footnote>
  <w:footnote w:id="3">
    <w:p w14:paraId="2A1D852E" w14:textId="77777777" w:rsidR="005629FD" w:rsidRPr="009A29A2" w:rsidRDefault="005629FD" w:rsidP="00FB4230">
      <w:pPr>
        <w:pStyle w:val="FootnoteText"/>
        <w:tabs>
          <w:tab w:val="left" w:pos="624"/>
        </w:tabs>
        <w:rPr>
          <w:szCs w:val="18"/>
          <w:lang w:val="en-GB"/>
        </w:rPr>
      </w:pPr>
      <w:r w:rsidRPr="009A29A2">
        <w:rPr>
          <w:rStyle w:val="FootnoteReference"/>
          <w:sz w:val="18"/>
        </w:rPr>
        <w:footnoteRef/>
      </w:r>
      <w:r w:rsidRPr="009A29A2">
        <w:rPr>
          <w:szCs w:val="18"/>
          <w:lang w:val="en-US"/>
        </w:rPr>
        <w:t xml:space="preserve"> UNEP/CHW.12/5/Add.8/Rev.1.</w:t>
      </w:r>
    </w:p>
  </w:footnote>
  <w:footnote w:id="4">
    <w:p w14:paraId="4A69AFCB" w14:textId="5ECA48AB" w:rsidR="005629FD" w:rsidRPr="009A29A2" w:rsidRDefault="005629FD" w:rsidP="00FB4230">
      <w:pPr>
        <w:pStyle w:val="FootnoteText"/>
        <w:rPr>
          <w:szCs w:val="18"/>
          <w:lang w:val="en-US"/>
        </w:rPr>
      </w:pPr>
      <w:r w:rsidRPr="009A29A2">
        <w:rPr>
          <w:rStyle w:val="FootnoteReference"/>
          <w:sz w:val="18"/>
        </w:rPr>
        <w:footnoteRef/>
      </w:r>
      <w:r w:rsidRPr="009A29A2">
        <w:rPr>
          <w:szCs w:val="18"/>
          <w:lang w:val="en-GB"/>
        </w:rPr>
        <w:t xml:space="preserve"> UNEP/MC/COP.3/8.</w:t>
      </w:r>
    </w:p>
  </w:footnote>
  <w:footnote w:id="5">
    <w:p w14:paraId="4EBB4200" w14:textId="1093062C" w:rsidR="005629FD" w:rsidRPr="009A29A2" w:rsidRDefault="005629FD" w:rsidP="00FB4230">
      <w:pPr>
        <w:pStyle w:val="FootnoteText"/>
        <w:rPr>
          <w:szCs w:val="18"/>
          <w:lang w:val="en-US"/>
        </w:rPr>
      </w:pPr>
      <w:r w:rsidRPr="009A29A2">
        <w:rPr>
          <w:rStyle w:val="FootnoteReference"/>
          <w:sz w:val="18"/>
        </w:rPr>
        <w:footnoteRef/>
      </w:r>
      <w:r w:rsidRPr="009A29A2">
        <w:rPr>
          <w:szCs w:val="18"/>
          <w:lang w:val="en-GB"/>
        </w:rPr>
        <w:t xml:space="preserve"> UNEP/MC/COP.3/8/Rev.1.</w:t>
      </w:r>
    </w:p>
  </w:footnote>
  <w:footnote w:id="6">
    <w:p w14:paraId="66CC0559" w14:textId="1CDE3CAF" w:rsidR="005629FD" w:rsidRPr="009A29A2" w:rsidRDefault="005629FD" w:rsidP="00FB4230">
      <w:pPr>
        <w:pStyle w:val="FootnoteText"/>
        <w:rPr>
          <w:szCs w:val="18"/>
          <w:lang w:val="en-US"/>
        </w:rPr>
      </w:pPr>
      <w:r w:rsidRPr="009A29A2">
        <w:rPr>
          <w:rStyle w:val="FootnoteReference"/>
          <w:sz w:val="18"/>
        </w:rPr>
        <w:footnoteRef/>
      </w:r>
      <w:r w:rsidRPr="009A29A2">
        <w:rPr>
          <w:szCs w:val="18"/>
          <w:lang w:val="en-GB"/>
        </w:rPr>
        <w:t xml:space="preserve"> </w:t>
      </w:r>
      <w:r w:rsidRPr="009A29A2">
        <w:rPr>
          <w:szCs w:val="18"/>
          <w:lang w:val="en-US"/>
        </w:rPr>
        <w:t>UNEP/MC/COP.3/11.</w:t>
      </w:r>
    </w:p>
  </w:footnote>
  <w:footnote w:id="7">
    <w:p w14:paraId="69A19BAB" w14:textId="39FC80FF" w:rsidR="005629FD" w:rsidRPr="009A29A2" w:rsidRDefault="005629FD" w:rsidP="00FB4230">
      <w:pPr>
        <w:pStyle w:val="FootnoteText"/>
        <w:rPr>
          <w:szCs w:val="18"/>
          <w:lang w:val="en-US"/>
        </w:rPr>
      </w:pPr>
      <w:r w:rsidRPr="009A29A2">
        <w:rPr>
          <w:rStyle w:val="FootnoteReference"/>
          <w:sz w:val="18"/>
        </w:rPr>
        <w:footnoteRef/>
      </w:r>
      <w:r w:rsidRPr="009A29A2">
        <w:rPr>
          <w:szCs w:val="18"/>
          <w:lang w:val="en-GB"/>
        </w:rPr>
        <w:t xml:space="preserve"> UNEP/MC/COP.3/INF/14.</w:t>
      </w:r>
    </w:p>
  </w:footnote>
  <w:footnote w:id="8">
    <w:p w14:paraId="498B0D74" w14:textId="77777777" w:rsidR="005629FD" w:rsidRPr="009A29A2" w:rsidRDefault="005629FD" w:rsidP="00FB4230">
      <w:pPr>
        <w:pStyle w:val="FootnoteText"/>
        <w:tabs>
          <w:tab w:val="left" w:pos="624"/>
        </w:tabs>
        <w:rPr>
          <w:szCs w:val="18"/>
          <w:lang w:val="en-US"/>
        </w:rPr>
      </w:pPr>
      <w:r w:rsidRPr="009A29A2">
        <w:rPr>
          <w:rStyle w:val="FootnoteReference"/>
          <w:sz w:val="18"/>
        </w:rPr>
        <w:footnoteRef/>
      </w:r>
      <w:r w:rsidRPr="009A29A2">
        <w:rPr>
          <w:szCs w:val="18"/>
          <w:lang w:val="en-GB"/>
        </w:rPr>
        <w:t xml:space="preserve"> </w:t>
      </w:r>
      <w:r w:rsidRPr="009A29A2">
        <w:rPr>
          <w:szCs w:val="18"/>
          <w:lang w:val="en-US"/>
        </w:rPr>
        <w:t>UNEP/MC/COP.3/13.</w:t>
      </w:r>
    </w:p>
  </w:footnote>
  <w:footnote w:id="9">
    <w:p w14:paraId="22AC943C" w14:textId="77777777" w:rsidR="005629FD" w:rsidRPr="009A29A2" w:rsidRDefault="005629FD" w:rsidP="00FB4230">
      <w:pPr>
        <w:tabs>
          <w:tab w:val="left" w:pos="624"/>
        </w:tabs>
        <w:spacing w:before="20" w:after="40"/>
        <w:ind w:left="1247"/>
        <w:rPr>
          <w:sz w:val="18"/>
          <w:szCs w:val="18"/>
        </w:rPr>
      </w:pPr>
      <w:r w:rsidRPr="009A29A2">
        <w:rPr>
          <w:rFonts w:eastAsia="Calibri Light"/>
          <w:sz w:val="18"/>
          <w:szCs w:val="18"/>
          <w:vertAlign w:val="superscript"/>
        </w:rPr>
        <w:footnoteRef/>
      </w:r>
      <w:r w:rsidRPr="009A29A2">
        <w:rPr>
          <w:sz w:val="18"/>
          <w:szCs w:val="18"/>
        </w:rPr>
        <w:t xml:space="preserve"> UNEP/MC/COP.3/14.</w:t>
      </w:r>
    </w:p>
  </w:footnote>
  <w:footnote w:id="10">
    <w:p w14:paraId="09FE46A5" w14:textId="7926168B" w:rsidR="005629FD" w:rsidRPr="009A29A2" w:rsidRDefault="005629FD" w:rsidP="00FB4230">
      <w:pPr>
        <w:tabs>
          <w:tab w:val="left" w:pos="624"/>
        </w:tabs>
        <w:spacing w:before="20" w:after="40"/>
        <w:ind w:left="1247"/>
        <w:rPr>
          <w:sz w:val="18"/>
          <w:szCs w:val="18"/>
        </w:rPr>
      </w:pPr>
      <w:r w:rsidRPr="009A29A2">
        <w:rPr>
          <w:rFonts w:eastAsia="Calibri Light"/>
          <w:sz w:val="18"/>
          <w:szCs w:val="18"/>
          <w:vertAlign w:val="superscript"/>
        </w:rPr>
        <w:footnoteRef/>
      </w:r>
      <w:r w:rsidRPr="009A29A2">
        <w:rPr>
          <w:sz w:val="18"/>
          <w:szCs w:val="18"/>
        </w:rPr>
        <w:t xml:space="preserve"> UNEP/MC/COP.3/INF/15.</w:t>
      </w:r>
    </w:p>
  </w:footnote>
  <w:footnote w:id="11">
    <w:p w14:paraId="5628523F" w14:textId="453BBA92" w:rsidR="005629FD" w:rsidRPr="009A29A2" w:rsidRDefault="005629FD" w:rsidP="00FB4230">
      <w:pPr>
        <w:pStyle w:val="FootnoteText"/>
        <w:rPr>
          <w:szCs w:val="18"/>
          <w:lang w:val="en-US"/>
        </w:rPr>
      </w:pPr>
      <w:r w:rsidRPr="009A29A2">
        <w:rPr>
          <w:rStyle w:val="FootnoteReference"/>
          <w:sz w:val="18"/>
        </w:rPr>
        <w:footnoteRef/>
      </w:r>
      <w:r w:rsidRPr="009A29A2">
        <w:rPr>
          <w:szCs w:val="18"/>
          <w:lang w:val="en-GB"/>
        </w:rPr>
        <w:t xml:space="preserve"> UNEP/MC/COP.3/INF/15.</w:t>
      </w:r>
    </w:p>
  </w:footnote>
  <w:footnote w:id="12">
    <w:p w14:paraId="42950269" w14:textId="4A5E8CFB" w:rsidR="00844147" w:rsidRPr="00A7082A" w:rsidRDefault="00844147">
      <w:pPr>
        <w:pStyle w:val="FootnoteText"/>
        <w:rPr>
          <w:szCs w:val="18"/>
          <w:lang w:val="en-GB"/>
        </w:rPr>
      </w:pPr>
      <w:r w:rsidRPr="009A29A2">
        <w:rPr>
          <w:rStyle w:val="FootnoteReference"/>
          <w:sz w:val="18"/>
        </w:rPr>
        <w:footnoteRef/>
      </w:r>
      <w:r w:rsidRPr="009A29A2">
        <w:rPr>
          <w:szCs w:val="18"/>
          <w:lang w:val="en-GB"/>
        </w:rPr>
        <w:t xml:space="preserve"> UNEP/MC/COP.3/16.</w:t>
      </w:r>
    </w:p>
  </w:footnote>
  <w:footnote w:id="13">
    <w:p w14:paraId="54A90D59" w14:textId="77777777" w:rsidR="005629FD" w:rsidRPr="009A29A2" w:rsidRDefault="005629FD" w:rsidP="00FB4230">
      <w:pPr>
        <w:pStyle w:val="FootnoteText"/>
        <w:tabs>
          <w:tab w:val="left" w:pos="624"/>
        </w:tabs>
        <w:rPr>
          <w:szCs w:val="18"/>
          <w:lang w:val="en-GB"/>
        </w:rPr>
      </w:pPr>
      <w:r w:rsidRPr="009A29A2">
        <w:rPr>
          <w:rStyle w:val="FootnoteReference"/>
          <w:sz w:val="18"/>
        </w:rPr>
        <w:footnoteRef/>
      </w:r>
      <w:r w:rsidRPr="009A29A2">
        <w:rPr>
          <w:szCs w:val="18"/>
          <w:lang w:val="en-GB"/>
        </w:rPr>
        <w:t xml:space="preserve"> UNEP/MC/COP.3/19.</w:t>
      </w:r>
    </w:p>
  </w:footnote>
  <w:footnote w:id="14">
    <w:p w14:paraId="7471FF0C" w14:textId="77777777" w:rsidR="005629FD" w:rsidRPr="009A29A2" w:rsidRDefault="005629FD" w:rsidP="00FB4230">
      <w:pPr>
        <w:pStyle w:val="FootnoteText"/>
        <w:tabs>
          <w:tab w:val="left" w:pos="624"/>
        </w:tabs>
        <w:rPr>
          <w:szCs w:val="18"/>
          <w:lang w:val="en-US"/>
        </w:rPr>
      </w:pPr>
      <w:r w:rsidRPr="009A29A2">
        <w:rPr>
          <w:rStyle w:val="FootnoteReference"/>
          <w:sz w:val="18"/>
        </w:rPr>
        <w:footnoteRef/>
      </w:r>
      <w:r w:rsidRPr="009A29A2">
        <w:rPr>
          <w:szCs w:val="18"/>
          <w:lang w:val="en-US"/>
        </w:rPr>
        <w:t xml:space="preserve"> UNEP/MC/COP.3/INF/10.</w:t>
      </w:r>
    </w:p>
  </w:footnote>
  <w:footnote w:id="15">
    <w:p w14:paraId="545268E4" w14:textId="77777777" w:rsidR="005629FD" w:rsidRPr="009A29A2" w:rsidRDefault="005629FD" w:rsidP="00FB4230">
      <w:pPr>
        <w:pStyle w:val="FootnoteText"/>
        <w:tabs>
          <w:tab w:val="left" w:pos="624"/>
        </w:tabs>
        <w:rPr>
          <w:szCs w:val="18"/>
          <w:lang w:val="en-US"/>
        </w:rPr>
      </w:pPr>
      <w:r w:rsidRPr="009A29A2">
        <w:rPr>
          <w:rStyle w:val="FootnoteReference"/>
          <w:sz w:val="18"/>
        </w:rPr>
        <w:footnoteRef/>
      </w:r>
      <w:r w:rsidRPr="009A29A2">
        <w:rPr>
          <w:szCs w:val="18"/>
          <w:lang w:val="en-US"/>
        </w:rPr>
        <w:t xml:space="preserve"> </w:t>
      </w:r>
      <w:r w:rsidRPr="009A29A2">
        <w:rPr>
          <w:szCs w:val="18"/>
          <w:lang w:val="en-GB"/>
        </w:rPr>
        <w:t>UNEP/MC/COP.3/20.</w:t>
      </w:r>
    </w:p>
  </w:footnote>
  <w:footnote w:id="16">
    <w:p w14:paraId="788EE4A4" w14:textId="77777777" w:rsidR="005629FD" w:rsidRPr="009A29A2" w:rsidRDefault="005629FD" w:rsidP="00FB4230">
      <w:pPr>
        <w:pStyle w:val="FootnoteText"/>
        <w:tabs>
          <w:tab w:val="left" w:pos="624"/>
        </w:tabs>
        <w:rPr>
          <w:szCs w:val="18"/>
          <w:lang w:val="en-US"/>
        </w:rPr>
      </w:pPr>
      <w:r w:rsidRPr="009A29A2">
        <w:rPr>
          <w:rStyle w:val="FootnoteReference"/>
          <w:sz w:val="18"/>
        </w:rPr>
        <w:footnoteRef/>
      </w:r>
      <w:r w:rsidRPr="009A29A2">
        <w:rPr>
          <w:szCs w:val="18"/>
          <w:lang w:val="en-US"/>
        </w:rPr>
        <w:t xml:space="preserve"> </w:t>
      </w:r>
      <w:r w:rsidRPr="009A29A2">
        <w:rPr>
          <w:szCs w:val="18"/>
          <w:lang w:val="en-GB"/>
        </w:rPr>
        <w:t>UNEP/MC/COP.3/INF/10.</w:t>
      </w:r>
    </w:p>
  </w:footnote>
  <w:footnote w:id="17">
    <w:p w14:paraId="1CE66469" w14:textId="1F71586B" w:rsidR="005629FD" w:rsidRPr="009A29A2" w:rsidRDefault="005629FD" w:rsidP="00FB4230">
      <w:pPr>
        <w:pStyle w:val="FootnoteText"/>
        <w:tabs>
          <w:tab w:val="left" w:pos="624"/>
        </w:tabs>
        <w:rPr>
          <w:szCs w:val="18"/>
          <w:lang w:val="en-US"/>
        </w:rPr>
      </w:pPr>
      <w:r w:rsidRPr="009A29A2">
        <w:rPr>
          <w:rStyle w:val="FootnoteReference"/>
          <w:sz w:val="18"/>
        </w:rPr>
        <w:footnoteRef/>
      </w:r>
      <w:r w:rsidRPr="009A29A2">
        <w:rPr>
          <w:szCs w:val="18"/>
          <w:lang w:val="en-US"/>
        </w:rPr>
        <w:t xml:space="preserve"> </w:t>
      </w:r>
      <w:bookmarkStart w:id="75" w:name="_Hlk38285255"/>
      <w:r w:rsidRPr="009A29A2">
        <w:rPr>
          <w:szCs w:val="18"/>
          <w:lang w:val="en-GB"/>
        </w:rPr>
        <w:t>UNEP/MC/COP.3/INF/11</w:t>
      </w:r>
      <w:bookmarkEnd w:id="75"/>
      <w:r w:rsidRPr="009A29A2">
        <w:rPr>
          <w:szCs w:val="18"/>
          <w:lang w:val="en-GB"/>
        </w:rPr>
        <w:t xml:space="preserve"> and INF/11/Add.1.</w:t>
      </w:r>
    </w:p>
  </w:footnote>
  <w:footnote w:id="18">
    <w:p w14:paraId="4DA6DB4C" w14:textId="77777777" w:rsidR="005629FD" w:rsidRPr="009A29A2" w:rsidRDefault="005629FD" w:rsidP="00FB4230">
      <w:pPr>
        <w:pStyle w:val="FootnoteText"/>
        <w:tabs>
          <w:tab w:val="left" w:pos="624"/>
        </w:tabs>
        <w:rPr>
          <w:szCs w:val="18"/>
          <w:lang w:val="en-US"/>
        </w:rPr>
      </w:pPr>
      <w:r w:rsidRPr="009A29A2">
        <w:rPr>
          <w:rStyle w:val="FootnoteReference"/>
          <w:sz w:val="18"/>
        </w:rPr>
        <w:footnoteRef/>
      </w:r>
      <w:r w:rsidRPr="009A29A2">
        <w:rPr>
          <w:szCs w:val="18"/>
          <w:lang w:val="en-US"/>
        </w:rPr>
        <w:t xml:space="preserve"> </w:t>
      </w:r>
      <w:r w:rsidRPr="009A29A2">
        <w:rPr>
          <w:szCs w:val="18"/>
          <w:lang w:val="en-GB"/>
        </w:rPr>
        <w:t>UNEP/MC/COP.3/INF/9.</w:t>
      </w:r>
    </w:p>
  </w:footnote>
  <w:footnote w:id="19">
    <w:p w14:paraId="19BC3D2A" w14:textId="77777777" w:rsidR="005629FD" w:rsidRPr="009A29A2" w:rsidRDefault="005629FD" w:rsidP="00FB4230">
      <w:pPr>
        <w:pStyle w:val="FootnoteText"/>
        <w:tabs>
          <w:tab w:val="left" w:pos="624"/>
        </w:tabs>
        <w:rPr>
          <w:szCs w:val="18"/>
          <w:lang w:val="en-GB"/>
        </w:rPr>
      </w:pPr>
      <w:r w:rsidRPr="009A29A2">
        <w:rPr>
          <w:rStyle w:val="FootnoteReference"/>
          <w:sz w:val="18"/>
        </w:rPr>
        <w:footnoteRef/>
      </w:r>
      <w:r w:rsidRPr="009A29A2">
        <w:rPr>
          <w:szCs w:val="18"/>
          <w:lang w:val="en-GB"/>
        </w:rPr>
        <w:t xml:space="preserve"> UNEP/MC/COP.3/INF/10.</w:t>
      </w:r>
    </w:p>
  </w:footnote>
  <w:footnote w:id="20">
    <w:p w14:paraId="658345C7" w14:textId="77777777" w:rsidR="005629FD" w:rsidRPr="009A29A2" w:rsidRDefault="005629FD" w:rsidP="00FB4230">
      <w:pPr>
        <w:pStyle w:val="FootnoteText"/>
        <w:tabs>
          <w:tab w:val="left" w:pos="624"/>
        </w:tabs>
        <w:rPr>
          <w:szCs w:val="18"/>
          <w:lang w:val="en-GB"/>
        </w:rPr>
      </w:pPr>
      <w:r w:rsidRPr="009A29A2">
        <w:rPr>
          <w:rStyle w:val="FootnoteReference"/>
          <w:sz w:val="18"/>
        </w:rPr>
        <w:footnoteRef/>
      </w:r>
      <w:r w:rsidRPr="009A29A2">
        <w:rPr>
          <w:szCs w:val="18"/>
          <w:lang w:val="en-GB"/>
        </w:rPr>
        <w:t xml:space="preserve"> UNEP/MC/COP.3/19.</w:t>
      </w:r>
    </w:p>
  </w:footnote>
  <w:footnote w:id="21">
    <w:p w14:paraId="7818D51B" w14:textId="77777777" w:rsidR="005629FD" w:rsidRPr="009A29A2" w:rsidRDefault="005629FD" w:rsidP="00FB4230">
      <w:pPr>
        <w:pStyle w:val="FootnoteText"/>
        <w:tabs>
          <w:tab w:val="left" w:pos="624"/>
        </w:tabs>
        <w:rPr>
          <w:szCs w:val="18"/>
          <w:lang w:val="en-US"/>
        </w:rPr>
      </w:pPr>
      <w:r w:rsidRPr="009A29A2">
        <w:rPr>
          <w:rStyle w:val="FootnoteReference"/>
          <w:sz w:val="18"/>
        </w:rPr>
        <w:footnoteRef/>
      </w:r>
      <w:r w:rsidRPr="009A29A2">
        <w:rPr>
          <w:szCs w:val="18"/>
          <w:lang w:val="en-US"/>
        </w:rPr>
        <w:t xml:space="preserve"> </w:t>
      </w:r>
      <w:r w:rsidRPr="009A29A2">
        <w:rPr>
          <w:szCs w:val="18"/>
          <w:lang w:val="en-GB"/>
        </w:rPr>
        <w:t>UNEP/MC/COP.3/20.</w:t>
      </w:r>
    </w:p>
  </w:footnote>
  <w:footnote w:id="22">
    <w:p w14:paraId="6BB469A3" w14:textId="77777777" w:rsidR="005629FD" w:rsidRPr="009A29A2" w:rsidRDefault="005629FD" w:rsidP="00FB4230">
      <w:pPr>
        <w:pStyle w:val="FootnoteText"/>
        <w:tabs>
          <w:tab w:val="left" w:pos="624"/>
        </w:tabs>
        <w:rPr>
          <w:szCs w:val="18"/>
          <w:lang w:val="en-US"/>
        </w:rPr>
      </w:pPr>
      <w:r w:rsidRPr="009A29A2">
        <w:rPr>
          <w:rStyle w:val="FootnoteReference"/>
          <w:sz w:val="18"/>
        </w:rPr>
        <w:footnoteRef/>
      </w:r>
      <w:r w:rsidRPr="009A29A2">
        <w:rPr>
          <w:szCs w:val="18"/>
          <w:lang w:val="en-US"/>
        </w:rPr>
        <w:t xml:space="preserve"> </w:t>
      </w:r>
      <w:r w:rsidRPr="009A29A2">
        <w:rPr>
          <w:szCs w:val="18"/>
          <w:lang w:val="en-GB"/>
        </w:rPr>
        <w:t>UNEP/MC/COP.3/INF/10.</w:t>
      </w:r>
    </w:p>
  </w:footnote>
  <w:footnote w:id="23">
    <w:p w14:paraId="034583BC" w14:textId="72D71E88" w:rsidR="005629FD" w:rsidRPr="009A29A2" w:rsidRDefault="005629FD" w:rsidP="00FB4230">
      <w:pPr>
        <w:pStyle w:val="FootnoteText"/>
        <w:tabs>
          <w:tab w:val="left" w:pos="624"/>
        </w:tabs>
        <w:rPr>
          <w:szCs w:val="18"/>
          <w:lang w:val="en-US"/>
        </w:rPr>
      </w:pPr>
      <w:r w:rsidRPr="009A29A2">
        <w:rPr>
          <w:rStyle w:val="FootnoteReference"/>
          <w:sz w:val="18"/>
        </w:rPr>
        <w:footnoteRef/>
      </w:r>
      <w:r w:rsidRPr="009A29A2">
        <w:rPr>
          <w:szCs w:val="18"/>
          <w:lang w:val="en-US"/>
        </w:rPr>
        <w:t xml:space="preserve"> </w:t>
      </w:r>
      <w:r w:rsidRPr="009A29A2">
        <w:rPr>
          <w:szCs w:val="18"/>
          <w:lang w:val="en-GB"/>
        </w:rPr>
        <w:t>UNEP/MC/COP.3/INF/11 and INF/11/Add.1.</w:t>
      </w:r>
    </w:p>
  </w:footnote>
  <w:footnote w:id="24">
    <w:p w14:paraId="1CDB7DF8" w14:textId="77777777" w:rsidR="005629FD" w:rsidRPr="009A29A2" w:rsidRDefault="005629FD" w:rsidP="00FB4230">
      <w:pPr>
        <w:pStyle w:val="FootnoteText"/>
        <w:tabs>
          <w:tab w:val="left" w:pos="624"/>
        </w:tabs>
        <w:rPr>
          <w:szCs w:val="18"/>
          <w:lang w:val="en-GB"/>
        </w:rPr>
      </w:pPr>
      <w:r w:rsidRPr="009A29A2">
        <w:rPr>
          <w:rStyle w:val="FootnoteReference"/>
          <w:sz w:val="18"/>
        </w:rPr>
        <w:footnoteRef/>
      </w:r>
      <w:r w:rsidRPr="009A29A2">
        <w:rPr>
          <w:szCs w:val="18"/>
          <w:lang w:val="en-GB"/>
        </w:rPr>
        <w:t xml:space="preserve"> UNEP/MC/COP.3/INF/9.</w:t>
      </w:r>
    </w:p>
  </w:footnote>
  <w:footnote w:id="25">
    <w:p w14:paraId="2B7C4F31" w14:textId="77777777" w:rsidR="005629FD" w:rsidRPr="009A29A2" w:rsidRDefault="005629FD" w:rsidP="00FB4230">
      <w:pPr>
        <w:pStyle w:val="FootnoteText"/>
        <w:tabs>
          <w:tab w:val="left" w:pos="624"/>
        </w:tabs>
        <w:rPr>
          <w:szCs w:val="18"/>
          <w:lang w:val="en-GB"/>
        </w:rPr>
      </w:pPr>
      <w:r w:rsidRPr="009A29A2">
        <w:rPr>
          <w:rStyle w:val="FootnoteReference"/>
          <w:sz w:val="18"/>
        </w:rPr>
        <w:footnoteRef/>
      </w:r>
      <w:r w:rsidRPr="009A29A2">
        <w:rPr>
          <w:szCs w:val="18"/>
          <w:lang w:val="en-GB"/>
        </w:rPr>
        <w:t xml:space="preserve"> UNEP/MC/COP.3/10.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D798B" w14:textId="5604B752" w:rsidR="005629FD" w:rsidRPr="005C0019" w:rsidRDefault="005629FD">
    <w:pPr>
      <w:pStyle w:val="Header"/>
      <w:rPr>
        <w:szCs w:val="18"/>
      </w:rPr>
    </w:pPr>
    <w:r w:rsidRPr="009C52E8">
      <w:rPr>
        <w:bCs/>
        <w:szCs w:val="18"/>
      </w:rPr>
      <w:t>UNEP</w:t>
    </w:r>
    <w:r w:rsidRPr="009C52E8">
      <w:rPr>
        <w:szCs w:val="18"/>
      </w:rPr>
      <w:t>/MC/COP.3/23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BDC65" w14:textId="0DF9A47A" w:rsidR="005629FD" w:rsidRPr="005C0019" w:rsidRDefault="005629FD" w:rsidP="001D516A">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w:t>
    </w:r>
    <w:r w:rsidRPr="001D516A">
      <w:rPr>
        <w:szCs w:val="18"/>
      </w:rPr>
      <w:t>3/</w:t>
    </w:r>
    <w:r>
      <w:rPr>
        <w:szCs w:val="18"/>
      </w:rPr>
      <w:t>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33184" w14:textId="447A8C77" w:rsidR="005629FD" w:rsidRDefault="005629FD" w:rsidP="009557F8">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3B306AEF" w:rsidR="005629FD" w:rsidRPr="00417FE2" w:rsidRDefault="005629FD">
    <w:pPr>
      <w:pStyle w:val="Header"/>
      <w:rPr>
        <w:szCs w:val="18"/>
      </w:rPr>
    </w:pPr>
    <w:r w:rsidRPr="009C52E8">
      <w:rPr>
        <w:bCs/>
        <w:szCs w:val="18"/>
      </w:rPr>
      <w:t>UNEP</w:t>
    </w:r>
    <w:r w:rsidRPr="009C52E8">
      <w:rPr>
        <w:szCs w:val="18"/>
      </w:rPr>
      <w:t>/MC/COP.3/23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7FD16465" w:rsidR="005629FD" w:rsidRPr="00417FE2" w:rsidRDefault="005629FD" w:rsidP="00417FE2">
    <w:pPr>
      <w:pStyle w:val="Header"/>
      <w:jc w:val="right"/>
      <w:rPr>
        <w:szCs w:val="18"/>
      </w:rPr>
    </w:pPr>
    <w:r w:rsidRPr="009C52E8">
      <w:rPr>
        <w:bCs/>
        <w:szCs w:val="18"/>
      </w:rPr>
      <w:t>UNEP</w:t>
    </w:r>
    <w:r w:rsidRPr="009C52E8">
      <w:rPr>
        <w:szCs w:val="18"/>
      </w:rPr>
      <w:t>/MC/COP.3/23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1F0578D8" w:rsidR="005629FD" w:rsidRPr="003F4DA7" w:rsidRDefault="005629FD" w:rsidP="00417FE2">
    <w:pPr>
      <w:pStyle w:val="Header"/>
      <w:jc w:val="right"/>
      <w:rPr>
        <w:szCs w:val="18"/>
      </w:rPr>
    </w:pPr>
    <w:r w:rsidRPr="009C52E8">
      <w:rPr>
        <w:bCs/>
        <w:szCs w:val="18"/>
      </w:rPr>
      <w:t>UNEP</w:t>
    </w:r>
    <w:r w:rsidRPr="009C52E8">
      <w:rPr>
        <w:szCs w:val="18"/>
      </w:rPr>
      <w:t>/MC/COP.3/23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4EE2"/>
    <w:multiLevelType w:val="hybridMultilevel"/>
    <w:tmpl w:val="FC90C11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B90B45"/>
    <w:multiLevelType w:val="hybridMultilevel"/>
    <w:tmpl w:val="2884B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D1585F"/>
    <w:multiLevelType w:val="hybridMultilevel"/>
    <w:tmpl w:val="E35276A8"/>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8F66D60"/>
    <w:multiLevelType w:val="hybridMultilevel"/>
    <w:tmpl w:val="967476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B235F78"/>
    <w:multiLevelType w:val="hybridMultilevel"/>
    <w:tmpl w:val="7AC09686"/>
    <w:lvl w:ilvl="0" w:tplc="FC78434E">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76ACC40">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AEC29E">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B4EF5E">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E18C6A2">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B6E6C2">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F2167C">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F25294">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280F4">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E272851"/>
    <w:multiLevelType w:val="multilevel"/>
    <w:tmpl w:val="D53268CE"/>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0E6156D2"/>
    <w:multiLevelType w:val="hybridMultilevel"/>
    <w:tmpl w:val="0D0CEF42"/>
    <w:lvl w:ilvl="0" w:tplc="4E9C3542">
      <w:start w:val="1"/>
      <w:numFmt w:val="bullet"/>
      <w:lvlText w:val="o"/>
      <w:lvlJc w:val="left"/>
      <w:pPr>
        <w:tabs>
          <w:tab w:val="left" w:pos="1163"/>
          <w:tab w:val="left" w:pos="1247"/>
          <w:tab w:val="left" w:pos="1815"/>
          <w:tab w:val="left" w:pos="2381"/>
          <w:tab w:val="left" w:pos="2948"/>
          <w:tab w:val="left" w:pos="3515"/>
        </w:tabs>
        <w:ind w:left="2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D7A1310">
      <w:start w:val="1"/>
      <w:numFmt w:val="bullet"/>
      <w:lvlText w:val="o"/>
      <w:lvlJc w:val="left"/>
      <w:pPr>
        <w:tabs>
          <w:tab w:val="left" w:pos="1163"/>
          <w:tab w:val="left" w:pos="1247"/>
          <w:tab w:val="left" w:pos="1815"/>
          <w:tab w:val="left" w:pos="2381"/>
          <w:tab w:val="left" w:pos="2948"/>
          <w:tab w:val="left" w:pos="3515"/>
        </w:tabs>
        <w:ind w:left="10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86E5996">
      <w:start w:val="1"/>
      <w:numFmt w:val="bullet"/>
      <w:lvlText w:val="▪"/>
      <w:lvlJc w:val="left"/>
      <w:pPr>
        <w:tabs>
          <w:tab w:val="left" w:pos="1163"/>
          <w:tab w:val="left" w:pos="1247"/>
          <w:tab w:val="left" w:pos="1815"/>
          <w:tab w:val="left" w:pos="2381"/>
          <w:tab w:val="left" w:pos="2948"/>
          <w:tab w:val="left" w:pos="3515"/>
        </w:tabs>
        <w:ind w:left="17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2B25AA2">
      <w:start w:val="1"/>
      <w:numFmt w:val="bullet"/>
      <w:suff w:val="nothing"/>
      <w:lvlText w:val="•"/>
      <w:lvlJc w:val="left"/>
      <w:pPr>
        <w:tabs>
          <w:tab w:val="left" w:pos="1163"/>
          <w:tab w:val="left" w:pos="1247"/>
          <w:tab w:val="left" w:pos="1815"/>
          <w:tab w:val="left" w:pos="2381"/>
          <w:tab w:val="left" w:pos="2948"/>
          <w:tab w:val="left" w:pos="3515"/>
        </w:tabs>
        <w:ind w:left="2381" w:hanging="10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3D84FCC">
      <w:start w:val="1"/>
      <w:numFmt w:val="bullet"/>
      <w:lvlText w:val="o"/>
      <w:lvlJc w:val="left"/>
      <w:pPr>
        <w:tabs>
          <w:tab w:val="left" w:pos="1163"/>
          <w:tab w:val="left" w:pos="1247"/>
          <w:tab w:val="left" w:pos="1815"/>
          <w:tab w:val="left" w:pos="2381"/>
          <w:tab w:val="left" w:pos="2948"/>
          <w:tab w:val="left" w:pos="3515"/>
        </w:tabs>
        <w:ind w:left="316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8705E3C">
      <w:start w:val="1"/>
      <w:numFmt w:val="bullet"/>
      <w:lvlText w:val="▪"/>
      <w:lvlJc w:val="left"/>
      <w:pPr>
        <w:tabs>
          <w:tab w:val="left" w:pos="1163"/>
          <w:tab w:val="left" w:pos="1247"/>
          <w:tab w:val="left" w:pos="1815"/>
          <w:tab w:val="left" w:pos="2381"/>
          <w:tab w:val="left" w:pos="2948"/>
          <w:tab w:val="left" w:pos="3515"/>
        </w:tabs>
        <w:ind w:left="38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55E9198">
      <w:start w:val="1"/>
      <w:numFmt w:val="bullet"/>
      <w:lvlText w:val="•"/>
      <w:lvlJc w:val="left"/>
      <w:pPr>
        <w:tabs>
          <w:tab w:val="left" w:pos="1163"/>
          <w:tab w:val="left" w:pos="1247"/>
          <w:tab w:val="left" w:pos="1815"/>
          <w:tab w:val="left" w:pos="2381"/>
          <w:tab w:val="left" w:pos="2948"/>
          <w:tab w:val="left" w:pos="3515"/>
        </w:tabs>
        <w:ind w:left="46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B88776E">
      <w:start w:val="1"/>
      <w:numFmt w:val="bullet"/>
      <w:lvlText w:val="o"/>
      <w:lvlJc w:val="left"/>
      <w:pPr>
        <w:tabs>
          <w:tab w:val="left" w:pos="1163"/>
          <w:tab w:val="left" w:pos="1247"/>
          <w:tab w:val="left" w:pos="1815"/>
          <w:tab w:val="left" w:pos="2381"/>
          <w:tab w:val="left" w:pos="2948"/>
          <w:tab w:val="left" w:pos="3515"/>
        </w:tabs>
        <w:ind w:left="53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CFCCC62">
      <w:start w:val="1"/>
      <w:numFmt w:val="bullet"/>
      <w:lvlText w:val="▪"/>
      <w:lvlJc w:val="left"/>
      <w:pPr>
        <w:tabs>
          <w:tab w:val="left" w:pos="1163"/>
          <w:tab w:val="left" w:pos="1247"/>
          <w:tab w:val="left" w:pos="1815"/>
          <w:tab w:val="left" w:pos="2381"/>
          <w:tab w:val="left" w:pos="2948"/>
          <w:tab w:val="left" w:pos="3515"/>
        </w:tabs>
        <w:ind w:left="604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31122E4"/>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207640"/>
    <w:multiLevelType w:val="hybridMultilevel"/>
    <w:tmpl w:val="1494D5EC"/>
    <w:lvl w:ilvl="0" w:tplc="5316F0A6">
      <w:start w:val="1"/>
      <w:numFmt w:val="decimal"/>
      <w:lvlText w:val="%1."/>
      <w:lvlJc w:val="left"/>
      <w:pPr>
        <w:tabs>
          <w:tab w:val="left" w:pos="624"/>
          <w:tab w:val="left" w:pos="1247"/>
          <w:tab w:val="left" w:pos="1814"/>
          <w:tab w:val="left" w:pos="2381"/>
          <w:tab w:val="left" w:pos="2948"/>
          <w:tab w:val="left" w:pos="3515"/>
        </w:tabs>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86CD6A">
      <w:start w:val="1"/>
      <w:numFmt w:val="lowerLetter"/>
      <w:lvlText w:val="(%2)"/>
      <w:lvlJc w:val="left"/>
      <w:pPr>
        <w:tabs>
          <w:tab w:val="left" w:pos="624"/>
          <w:tab w:val="left" w:pos="1247"/>
          <w:tab w:val="left" w:pos="1814"/>
          <w:tab w:val="left" w:pos="2381"/>
          <w:tab w:val="left" w:pos="2948"/>
          <w:tab w:val="left" w:pos="3515"/>
        </w:tabs>
        <w:ind w:left="1647" w:hanging="360"/>
      </w:pPr>
      <w:rPr>
        <w:highlight w:val="none"/>
      </w:rPr>
    </w:lvl>
    <w:lvl w:ilvl="2" w:tplc="B664A4C2">
      <w:start w:val="1"/>
      <w:numFmt w:val="lowerRoman"/>
      <w:lvlText w:val="%3)"/>
      <w:lvlJc w:val="left"/>
      <w:pPr>
        <w:tabs>
          <w:tab w:val="left" w:pos="624"/>
          <w:tab w:val="left" w:pos="1247"/>
          <w:tab w:val="left" w:pos="1814"/>
          <w:tab w:val="left" w:pos="2948"/>
          <w:tab w:val="left" w:pos="3515"/>
        </w:tabs>
        <w:ind w:left="2381"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B26CF6">
      <w:start w:val="1"/>
      <w:numFmt w:val="decimal"/>
      <w:lvlText w:val="%4."/>
      <w:lvlJc w:val="left"/>
      <w:pPr>
        <w:tabs>
          <w:tab w:val="left" w:pos="624"/>
          <w:tab w:val="left" w:pos="1247"/>
          <w:tab w:val="left" w:pos="1814"/>
          <w:tab w:val="left" w:pos="2381"/>
          <w:tab w:val="left" w:pos="3515"/>
        </w:tabs>
        <w:ind w:left="2948"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CF032">
      <w:start w:val="1"/>
      <w:numFmt w:val="lowerLetter"/>
      <w:lvlText w:val="(%5)"/>
      <w:lvlJc w:val="left"/>
      <w:pPr>
        <w:tabs>
          <w:tab w:val="left" w:pos="624"/>
          <w:tab w:val="left" w:pos="1247"/>
          <w:tab w:val="left" w:pos="1814"/>
          <w:tab w:val="left" w:pos="2381"/>
          <w:tab w:val="left" w:pos="2948"/>
          <w:tab w:val="left" w:pos="3515"/>
        </w:tabs>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72B596">
      <w:start w:val="1"/>
      <w:numFmt w:val="lowerRoman"/>
      <w:lvlText w:val="%6."/>
      <w:lvlJc w:val="left"/>
      <w:pPr>
        <w:tabs>
          <w:tab w:val="left" w:pos="624"/>
          <w:tab w:val="left" w:pos="1247"/>
          <w:tab w:val="left" w:pos="1814"/>
          <w:tab w:val="left" w:pos="2381"/>
          <w:tab w:val="left" w:pos="2948"/>
          <w:tab w:val="left" w:pos="3515"/>
        </w:tabs>
        <w:ind w:left="452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C69D18">
      <w:start w:val="1"/>
      <w:numFmt w:val="decimal"/>
      <w:lvlText w:val="%7."/>
      <w:lvlJc w:val="left"/>
      <w:pPr>
        <w:tabs>
          <w:tab w:val="left" w:pos="624"/>
          <w:tab w:val="left" w:pos="1247"/>
          <w:tab w:val="left" w:pos="1814"/>
          <w:tab w:val="left" w:pos="2381"/>
          <w:tab w:val="left" w:pos="2948"/>
          <w:tab w:val="left" w:pos="3515"/>
        </w:tabs>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2E4B24">
      <w:start w:val="1"/>
      <w:numFmt w:val="lowerLetter"/>
      <w:lvlText w:val="%8."/>
      <w:lvlJc w:val="left"/>
      <w:pPr>
        <w:tabs>
          <w:tab w:val="left" w:pos="624"/>
          <w:tab w:val="left" w:pos="1247"/>
          <w:tab w:val="left" w:pos="1814"/>
          <w:tab w:val="left" w:pos="2381"/>
          <w:tab w:val="left" w:pos="2948"/>
          <w:tab w:val="left" w:pos="3515"/>
        </w:tabs>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4CD54">
      <w:start w:val="1"/>
      <w:numFmt w:val="lowerRoman"/>
      <w:lvlText w:val="%9."/>
      <w:lvlJc w:val="left"/>
      <w:pPr>
        <w:tabs>
          <w:tab w:val="left" w:pos="624"/>
          <w:tab w:val="left" w:pos="1247"/>
          <w:tab w:val="left" w:pos="1814"/>
          <w:tab w:val="left" w:pos="2381"/>
          <w:tab w:val="left" w:pos="2948"/>
          <w:tab w:val="left" w:pos="3515"/>
        </w:tabs>
        <w:ind w:left="668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74C637E"/>
    <w:multiLevelType w:val="hybridMultilevel"/>
    <w:tmpl w:val="966E9898"/>
    <w:lvl w:ilvl="0" w:tplc="B492C146">
      <w:start w:val="1"/>
      <w:numFmt w:val="lowerLetter"/>
      <w:lvlText w:val="(%1)"/>
      <w:lvlJc w:val="left"/>
      <w:pPr>
        <w:ind w:left="3246" w:hanging="360"/>
      </w:pPr>
      <w:rPr>
        <w:rFonts w:hint="default"/>
      </w:rPr>
    </w:lvl>
    <w:lvl w:ilvl="1" w:tplc="ECA88BCE">
      <w:start w:val="1"/>
      <w:numFmt w:val="lowerLetter"/>
      <w:lvlText w:val="(%2)"/>
      <w:lvlJc w:val="left"/>
      <w:pPr>
        <w:ind w:left="3966" w:hanging="360"/>
      </w:pPr>
      <w:rPr>
        <w:rFonts w:hint="default"/>
        <w:i w:val="0"/>
      </w:rPr>
    </w:lvl>
    <w:lvl w:ilvl="2" w:tplc="6DC6A358">
      <w:start w:val="1"/>
      <w:numFmt w:val="decimal"/>
      <w:lvlText w:val="%3."/>
      <w:lvlJc w:val="left"/>
      <w:pPr>
        <w:ind w:left="4866" w:hanging="360"/>
      </w:pPr>
      <w:rPr>
        <w:rFonts w:hint="default"/>
      </w:rPr>
    </w:lvl>
    <w:lvl w:ilvl="3" w:tplc="0409000F" w:tentative="1">
      <w:start w:val="1"/>
      <w:numFmt w:val="decimal"/>
      <w:lvlText w:val="%4."/>
      <w:lvlJc w:val="left"/>
      <w:pPr>
        <w:ind w:left="5406" w:hanging="360"/>
      </w:pPr>
    </w:lvl>
    <w:lvl w:ilvl="4" w:tplc="04090019" w:tentative="1">
      <w:start w:val="1"/>
      <w:numFmt w:val="lowerLetter"/>
      <w:lvlText w:val="%5."/>
      <w:lvlJc w:val="left"/>
      <w:pPr>
        <w:ind w:left="6126" w:hanging="360"/>
      </w:pPr>
    </w:lvl>
    <w:lvl w:ilvl="5" w:tplc="0409001B" w:tentative="1">
      <w:start w:val="1"/>
      <w:numFmt w:val="lowerRoman"/>
      <w:lvlText w:val="%6."/>
      <w:lvlJc w:val="right"/>
      <w:pPr>
        <w:ind w:left="6846" w:hanging="180"/>
      </w:pPr>
    </w:lvl>
    <w:lvl w:ilvl="6" w:tplc="0409000F" w:tentative="1">
      <w:start w:val="1"/>
      <w:numFmt w:val="decimal"/>
      <w:lvlText w:val="%7."/>
      <w:lvlJc w:val="left"/>
      <w:pPr>
        <w:ind w:left="7566" w:hanging="360"/>
      </w:pPr>
    </w:lvl>
    <w:lvl w:ilvl="7" w:tplc="04090019" w:tentative="1">
      <w:start w:val="1"/>
      <w:numFmt w:val="lowerLetter"/>
      <w:lvlText w:val="%8."/>
      <w:lvlJc w:val="left"/>
      <w:pPr>
        <w:ind w:left="8286" w:hanging="360"/>
      </w:pPr>
    </w:lvl>
    <w:lvl w:ilvl="8" w:tplc="0409001B" w:tentative="1">
      <w:start w:val="1"/>
      <w:numFmt w:val="lowerRoman"/>
      <w:lvlText w:val="%9."/>
      <w:lvlJc w:val="right"/>
      <w:pPr>
        <w:ind w:left="9006" w:hanging="180"/>
      </w:pPr>
    </w:lvl>
  </w:abstractNum>
  <w:abstractNum w:abstractNumId="11" w15:restartNumberingAfterBreak="0">
    <w:nsid w:val="1A3C3625"/>
    <w:multiLevelType w:val="hybridMultilevel"/>
    <w:tmpl w:val="8ACA138C"/>
    <w:lvl w:ilvl="0" w:tplc="78083696">
      <w:start w:val="1"/>
      <w:numFmt w:val="lowerLetter"/>
      <w:lvlText w:val="(%1)"/>
      <w:lvlJc w:val="left"/>
      <w:pPr>
        <w:ind w:left="2232" w:hanging="360"/>
      </w:pPr>
      <w:rPr>
        <w:rFonts w:hint="default"/>
      </w:rPr>
    </w:lvl>
    <w:lvl w:ilvl="1" w:tplc="78083696">
      <w:start w:val="1"/>
      <w:numFmt w:val="lowerLetter"/>
      <w:lvlText w:val="(%2)"/>
      <w:lvlJc w:val="left"/>
      <w:pPr>
        <w:ind w:left="2952" w:hanging="360"/>
      </w:pPr>
      <w:rPr>
        <w:rFonts w:hint="default"/>
      </w:rPr>
    </w:lvl>
    <w:lvl w:ilvl="2" w:tplc="0809001B">
      <w:start w:val="1"/>
      <w:numFmt w:val="lowerRoman"/>
      <w:lvlText w:val="%3."/>
      <w:lvlJc w:val="right"/>
      <w:pPr>
        <w:ind w:left="3672" w:hanging="180"/>
      </w:pPr>
    </w:lvl>
    <w:lvl w:ilvl="3" w:tplc="0809000F" w:tentative="1">
      <w:start w:val="1"/>
      <w:numFmt w:val="decimal"/>
      <w:lvlText w:val="%4."/>
      <w:lvlJc w:val="left"/>
      <w:pPr>
        <w:ind w:left="4392" w:hanging="360"/>
      </w:pPr>
    </w:lvl>
    <w:lvl w:ilvl="4" w:tplc="08090019" w:tentative="1">
      <w:start w:val="1"/>
      <w:numFmt w:val="lowerLetter"/>
      <w:lvlText w:val="%5."/>
      <w:lvlJc w:val="left"/>
      <w:pPr>
        <w:ind w:left="5112" w:hanging="360"/>
      </w:pPr>
    </w:lvl>
    <w:lvl w:ilvl="5" w:tplc="0809001B" w:tentative="1">
      <w:start w:val="1"/>
      <w:numFmt w:val="lowerRoman"/>
      <w:lvlText w:val="%6."/>
      <w:lvlJc w:val="right"/>
      <w:pPr>
        <w:ind w:left="5832" w:hanging="180"/>
      </w:pPr>
    </w:lvl>
    <w:lvl w:ilvl="6" w:tplc="0809000F" w:tentative="1">
      <w:start w:val="1"/>
      <w:numFmt w:val="decimal"/>
      <w:lvlText w:val="%7."/>
      <w:lvlJc w:val="left"/>
      <w:pPr>
        <w:ind w:left="6552" w:hanging="360"/>
      </w:pPr>
    </w:lvl>
    <w:lvl w:ilvl="7" w:tplc="08090019" w:tentative="1">
      <w:start w:val="1"/>
      <w:numFmt w:val="lowerLetter"/>
      <w:lvlText w:val="%8."/>
      <w:lvlJc w:val="left"/>
      <w:pPr>
        <w:ind w:left="7272" w:hanging="360"/>
      </w:pPr>
    </w:lvl>
    <w:lvl w:ilvl="8" w:tplc="0809001B" w:tentative="1">
      <w:start w:val="1"/>
      <w:numFmt w:val="lowerRoman"/>
      <w:lvlText w:val="%9."/>
      <w:lvlJc w:val="right"/>
      <w:pPr>
        <w:ind w:left="7992" w:hanging="180"/>
      </w:pPr>
    </w:lvl>
  </w:abstractNum>
  <w:abstractNum w:abstractNumId="1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3" w15:restartNumberingAfterBreak="0">
    <w:nsid w:val="22BA736E"/>
    <w:multiLevelType w:val="hybridMultilevel"/>
    <w:tmpl w:val="3EC8D13C"/>
    <w:lvl w:ilvl="0" w:tplc="FFFFFFFF">
      <w:start w:val="1"/>
      <w:numFmt w:val="lowerLetter"/>
      <w:lvlText w:val="(%1)"/>
      <w:lvlJc w:val="left"/>
      <w:pPr>
        <w:tabs>
          <w:tab w:val="left" w:pos="848"/>
          <w:tab w:val="left" w:pos="1247"/>
          <w:tab w:val="left" w:pos="1814"/>
          <w:tab w:val="left" w:pos="2381"/>
          <w:tab w:val="left" w:pos="2948"/>
          <w:tab w:val="left" w:pos="3515"/>
        </w:tabs>
        <w:ind w:left="1871"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14" w15:restartNumberingAfterBreak="0">
    <w:nsid w:val="23122D5A"/>
    <w:multiLevelType w:val="hybridMultilevel"/>
    <w:tmpl w:val="2DF095B2"/>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424446"/>
    <w:multiLevelType w:val="hybridMultilevel"/>
    <w:tmpl w:val="A24CB1CE"/>
    <w:lvl w:ilvl="0" w:tplc="BCE88806">
      <w:start w:val="1"/>
      <w:numFmt w:val="decimal"/>
      <w:lvlText w:val="%1."/>
      <w:lvlJc w:val="left"/>
      <w:pPr>
        <w:ind w:left="2591" w:hanging="360"/>
      </w:pPr>
      <w:rPr>
        <w:i w:val="0"/>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6" w15:restartNumberingAfterBreak="0">
    <w:nsid w:val="23693738"/>
    <w:multiLevelType w:val="hybridMultilevel"/>
    <w:tmpl w:val="5524C290"/>
    <w:lvl w:ilvl="0" w:tplc="AA62171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FFEC6BC">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CC989E">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8A034C">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9084492">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CC13F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6E061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3A84F5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E2CD9C">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3884FA4"/>
    <w:multiLevelType w:val="hybridMultilevel"/>
    <w:tmpl w:val="00AE56BA"/>
    <w:styleLink w:val="Importovanstyl8"/>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4FF7BCD"/>
    <w:multiLevelType w:val="hybridMultilevel"/>
    <w:tmpl w:val="25BE336C"/>
    <w:lvl w:ilvl="0" w:tplc="41140BC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2E3B6C"/>
    <w:multiLevelType w:val="hybridMultilevel"/>
    <w:tmpl w:val="E35276A8"/>
    <w:numStyleLink w:val="ImportedStyle2"/>
  </w:abstractNum>
  <w:abstractNum w:abstractNumId="20"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895181E"/>
    <w:multiLevelType w:val="hybridMultilevel"/>
    <w:tmpl w:val="C61A7318"/>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E93A2C"/>
    <w:multiLevelType w:val="hybridMultilevel"/>
    <w:tmpl w:val="C73CEC88"/>
    <w:lvl w:ilvl="0" w:tplc="DFD47FAE">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39EE168">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18DDA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5CEBD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2AE729C">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8CBDD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6C11D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FF0BC9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DAA00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9D03C2A"/>
    <w:multiLevelType w:val="hybridMultilevel"/>
    <w:tmpl w:val="C1268A52"/>
    <w:lvl w:ilvl="0" w:tplc="DF1CD7B8">
      <w:start w:val="1"/>
      <w:numFmt w:val="bullet"/>
      <w:lvlText w:val="o"/>
      <w:lvlJc w:val="left"/>
      <w:pPr>
        <w:tabs>
          <w:tab w:val="left" w:pos="1163"/>
          <w:tab w:val="left" w:pos="1248"/>
          <w:tab w:val="left" w:pos="1814"/>
          <w:tab w:val="left" w:pos="2381"/>
          <w:tab w:val="left" w:pos="2948"/>
          <w:tab w:val="left" w:pos="3515"/>
        </w:tabs>
        <w:ind w:left="2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8EAE3DE">
      <w:start w:val="1"/>
      <w:numFmt w:val="bullet"/>
      <w:lvlText w:val="o"/>
      <w:lvlJc w:val="left"/>
      <w:pPr>
        <w:tabs>
          <w:tab w:val="left" w:pos="1163"/>
          <w:tab w:val="left" w:pos="1248"/>
          <w:tab w:val="left" w:pos="1814"/>
          <w:tab w:val="left" w:pos="2381"/>
          <w:tab w:val="left" w:pos="2948"/>
          <w:tab w:val="left" w:pos="3515"/>
        </w:tabs>
        <w:ind w:left="10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63495F2">
      <w:start w:val="1"/>
      <w:numFmt w:val="bullet"/>
      <w:lvlText w:val="▪"/>
      <w:lvlJc w:val="left"/>
      <w:pPr>
        <w:tabs>
          <w:tab w:val="left" w:pos="1163"/>
          <w:tab w:val="left" w:pos="1248"/>
          <w:tab w:val="left" w:pos="1814"/>
          <w:tab w:val="left" w:pos="2381"/>
          <w:tab w:val="left" w:pos="2948"/>
          <w:tab w:val="left" w:pos="3515"/>
        </w:tabs>
        <w:ind w:left="17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5D6CE78">
      <w:start w:val="1"/>
      <w:numFmt w:val="bullet"/>
      <w:suff w:val="nothing"/>
      <w:lvlText w:val="•"/>
      <w:lvlJc w:val="left"/>
      <w:pPr>
        <w:tabs>
          <w:tab w:val="left" w:pos="1163"/>
          <w:tab w:val="left" w:pos="1248"/>
          <w:tab w:val="left" w:pos="1814"/>
          <w:tab w:val="left" w:pos="2381"/>
          <w:tab w:val="left" w:pos="2948"/>
          <w:tab w:val="left" w:pos="3515"/>
        </w:tabs>
        <w:ind w:left="2381" w:hanging="10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7328132">
      <w:start w:val="1"/>
      <w:numFmt w:val="bullet"/>
      <w:lvlText w:val="o"/>
      <w:lvlJc w:val="left"/>
      <w:pPr>
        <w:tabs>
          <w:tab w:val="left" w:pos="1163"/>
          <w:tab w:val="left" w:pos="1248"/>
          <w:tab w:val="left" w:pos="1814"/>
          <w:tab w:val="left" w:pos="2381"/>
          <w:tab w:val="left" w:pos="2948"/>
          <w:tab w:val="left" w:pos="3515"/>
        </w:tabs>
        <w:ind w:left="316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87C048A">
      <w:start w:val="1"/>
      <w:numFmt w:val="bullet"/>
      <w:lvlText w:val="▪"/>
      <w:lvlJc w:val="left"/>
      <w:pPr>
        <w:tabs>
          <w:tab w:val="left" w:pos="1163"/>
          <w:tab w:val="left" w:pos="1248"/>
          <w:tab w:val="left" w:pos="1814"/>
          <w:tab w:val="left" w:pos="2381"/>
          <w:tab w:val="left" w:pos="2948"/>
          <w:tab w:val="left" w:pos="3515"/>
        </w:tabs>
        <w:ind w:left="38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8E098B2">
      <w:start w:val="1"/>
      <w:numFmt w:val="bullet"/>
      <w:lvlText w:val="•"/>
      <w:lvlJc w:val="left"/>
      <w:pPr>
        <w:tabs>
          <w:tab w:val="left" w:pos="1163"/>
          <w:tab w:val="left" w:pos="1248"/>
          <w:tab w:val="left" w:pos="1814"/>
          <w:tab w:val="left" w:pos="2381"/>
          <w:tab w:val="left" w:pos="2948"/>
          <w:tab w:val="left" w:pos="3515"/>
        </w:tabs>
        <w:ind w:left="46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3A6FC4E">
      <w:start w:val="1"/>
      <w:numFmt w:val="bullet"/>
      <w:lvlText w:val="o"/>
      <w:lvlJc w:val="left"/>
      <w:pPr>
        <w:tabs>
          <w:tab w:val="left" w:pos="1163"/>
          <w:tab w:val="left" w:pos="1248"/>
          <w:tab w:val="left" w:pos="1814"/>
          <w:tab w:val="left" w:pos="2381"/>
          <w:tab w:val="left" w:pos="2948"/>
          <w:tab w:val="left" w:pos="3515"/>
        </w:tabs>
        <w:ind w:left="53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A047B3E">
      <w:start w:val="1"/>
      <w:numFmt w:val="bullet"/>
      <w:lvlText w:val="▪"/>
      <w:lvlJc w:val="left"/>
      <w:pPr>
        <w:tabs>
          <w:tab w:val="left" w:pos="1163"/>
          <w:tab w:val="left" w:pos="1248"/>
          <w:tab w:val="left" w:pos="1814"/>
          <w:tab w:val="left" w:pos="2381"/>
          <w:tab w:val="left" w:pos="2948"/>
          <w:tab w:val="left" w:pos="3515"/>
        </w:tabs>
        <w:ind w:left="604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E0F2A71"/>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25"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26" w15:restartNumberingAfterBreak="0">
    <w:nsid w:val="30363FFE"/>
    <w:multiLevelType w:val="hybridMultilevel"/>
    <w:tmpl w:val="5D7E35D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8" w15:restartNumberingAfterBreak="0">
    <w:nsid w:val="381A73AC"/>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291CC6"/>
    <w:multiLevelType w:val="hybridMultilevel"/>
    <w:tmpl w:val="69707BDA"/>
    <w:lvl w:ilvl="0" w:tplc="F0C20A4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3E81218F"/>
    <w:multiLevelType w:val="hybridMultilevel"/>
    <w:tmpl w:val="48A68780"/>
    <w:lvl w:ilvl="0" w:tplc="B7DAD524">
      <w:start w:val="1"/>
      <w:numFmt w:val="decimal"/>
      <w:lvlText w:val="%1."/>
      <w:lvlJc w:val="left"/>
      <w:pPr>
        <w:tabs>
          <w:tab w:val="left" w:pos="1163"/>
          <w:tab w:val="left" w:pos="1247"/>
          <w:tab w:val="left" w:pos="1814"/>
          <w:tab w:val="left" w:pos="2381"/>
          <w:tab w:val="left" w:pos="2948"/>
          <w:tab w:val="left" w:pos="3515"/>
        </w:tabs>
        <w:ind w:left="283" w:hanging="170"/>
      </w:pPr>
      <w:rPr>
        <w:rFonts w:hAnsi="Arial Unicode MS"/>
        <w:caps w:val="0"/>
        <w:smallCaps w:val="0"/>
        <w:strike w:val="0"/>
        <w:dstrike w:val="0"/>
        <w:outline w:val="0"/>
        <w:emboss w:val="0"/>
        <w:imprint w:val="0"/>
        <w:spacing w:val="0"/>
        <w:w w:val="100"/>
        <w:kern w:val="0"/>
        <w:position w:val="0"/>
        <w:highlight w:val="none"/>
        <w:vertAlign w:val="baseline"/>
      </w:rPr>
    </w:lvl>
    <w:lvl w:ilvl="1" w:tplc="706099C8">
      <w:start w:val="1"/>
      <w:numFmt w:val="decimal"/>
      <w:lvlText w:val="%2."/>
      <w:lvlJc w:val="left"/>
      <w:pPr>
        <w:tabs>
          <w:tab w:val="left" w:pos="1163"/>
          <w:tab w:val="left" w:pos="1247"/>
          <w:tab w:val="left" w:pos="1814"/>
          <w:tab w:val="left" w:pos="2381"/>
          <w:tab w:val="left" w:pos="2948"/>
          <w:tab w:val="left" w:pos="3515"/>
        </w:tabs>
        <w:ind w:left="890" w:hanging="170"/>
      </w:pPr>
      <w:rPr>
        <w:rFonts w:hAnsi="Arial Unicode MS"/>
        <w:caps w:val="0"/>
        <w:smallCaps w:val="0"/>
        <w:strike w:val="0"/>
        <w:dstrike w:val="0"/>
        <w:outline w:val="0"/>
        <w:emboss w:val="0"/>
        <w:imprint w:val="0"/>
        <w:spacing w:val="0"/>
        <w:w w:val="100"/>
        <w:kern w:val="0"/>
        <w:position w:val="0"/>
        <w:highlight w:val="none"/>
        <w:vertAlign w:val="baseline"/>
      </w:rPr>
    </w:lvl>
    <w:lvl w:ilvl="2" w:tplc="325C5BCA">
      <w:start w:val="1"/>
      <w:numFmt w:val="decimal"/>
      <w:lvlText w:val="%3."/>
      <w:lvlJc w:val="left"/>
      <w:pPr>
        <w:tabs>
          <w:tab w:val="left" w:pos="1163"/>
          <w:tab w:val="left" w:pos="1247"/>
          <w:tab w:val="left" w:pos="1814"/>
          <w:tab w:val="left" w:pos="2381"/>
          <w:tab w:val="left" w:pos="2948"/>
          <w:tab w:val="left" w:pos="3515"/>
        </w:tabs>
        <w:ind w:left="1610"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BF84DD04">
      <w:start w:val="1"/>
      <w:numFmt w:val="decimal"/>
      <w:lvlText w:val="%4."/>
      <w:lvlJc w:val="left"/>
      <w:pPr>
        <w:tabs>
          <w:tab w:val="left" w:pos="1163"/>
          <w:tab w:val="left" w:pos="1247"/>
          <w:tab w:val="left" w:pos="1814"/>
          <w:tab w:val="left" w:pos="2381"/>
          <w:tab w:val="left" w:pos="2948"/>
          <w:tab w:val="left" w:pos="3515"/>
        </w:tabs>
        <w:ind w:left="2330" w:hanging="170"/>
      </w:pPr>
      <w:rPr>
        <w:rFonts w:hAnsi="Arial Unicode MS"/>
        <w:caps w:val="0"/>
        <w:smallCaps w:val="0"/>
        <w:strike w:val="0"/>
        <w:dstrike w:val="0"/>
        <w:outline w:val="0"/>
        <w:emboss w:val="0"/>
        <w:imprint w:val="0"/>
        <w:spacing w:val="0"/>
        <w:w w:val="100"/>
        <w:kern w:val="0"/>
        <w:position w:val="0"/>
        <w:highlight w:val="none"/>
        <w:vertAlign w:val="baseline"/>
      </w:rPr>
    </w:lvl>
    <w:lvl w:ilvl="4" w:tplc="9698E778">
      <w:start w:val="1"/>
      <w:numFmt w:val="decimal"/>
      <w:lvlText w:val="%5."/>
      <w:lvlJc w:val="left"/>
      <w:pPr>
        <w:tabs>
          <w:tab w:val="left" w:pos="1163"/>
          <w:tab w:val="left" w:pos="1247"/>
          <w:tab w:val="left" w:pos="1814"/>
          <w:tab w:val="left" w:pos="2381"/>
          <w:tab w:val="left" w:pos="2948"/>
          <w:tab w:val="left" w:pos="3515"/>
        </w:tabs>
        <w:ind w:left="3050" w:hanging="170"/>
      </w:pPr>
      <w:rPr>
        <w:rFonts w:hAnsi="Arial Unicode MS"/>
        <w:caps w:val="0"/>
        <w:smallCaps w:val="0"/>
        <w:strike w:val="0"/>
        <w:dstrike w:val="0"/>
        <w:outline w:val="0"/>
        <w:emboss w:val="0"/>
        <w:imprint w:val="0"/>
        <w:spacing w:val="0"/>
        <w:w w:val="100"/>
        <w:kern w:val="0"/>
        <w:position w:val="0"/>
        <w:highlight w:val="none"/>
        <w:vertAlign w:val="baseline"/>
      </w:rPr>
    </w:lvl>
    <w:lvl w:ilvl="5" w:tplc="8232317E">
      <w:start w:val="1"/>
      <w:numFmt w:val="decimal"/>
      <w:lvlText w:val="%6."/>
      <w:lvlJc w:val="left"/>
      <w:pPr>
        <w:tabs>
          <w:tab w:val="left" w:pos="1163"/>
          <w:tab w:val="left" w:pos="1247"/>
          <w:tab w:val="left" w:pos="1814"/>
          <w:tab w:val="left" w:pos="2381"/>
          <w:tab w:val="left" w:pos="2948"/>
          <w:tab w:val="left" w:pos="3515"/>
        </w:tabs>
        <w:ind w:left="3770"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38E04868">
      <w:start w:val="1"/>
      <w:numFmt w:val="decimal"/>
      <w:lvlText w:val="%7."/>
      <w:lvlJc w:val="left"/>
      <w:pPr>
        <w:tabs>
          <w:tab w:val="left" w:pos="1163"/>
          <w:tab w:val="left" w:pos="1247"/>
          <w:tab w:val="left" w:pos="1814"/>
          <w:tab w:val="left" w:pos="2381"/>
          <w:tab w:val="left" w:pos="2948"/>
          <w:tab w:val="left" w:pos="3515"/>
        </w:tabs>
        <w:ind w:left="4490" w:hanging="170"/>
      </w:pPr>
      <w:rPr>
        <w:rFonts w:hAnsi="Arial Unicode MS"/>
        <w:caps w:val="0"/>
        <w:smallCaps w:val="0"/>
        <w:strike w:val="0"/>
        <w:dstrike w:val="0"/>
        <w:outline w:val="0"/>
        <w:emboss w:val="0"/>
        <w:imprint w:val="0"/>
        <w:spacing w:val="0"/>
        <w:w w:val="100"/>
        <w:kern w:val="0"/>
        <w:position w:val="0"/>
        <w:highlight w:val="none"/>
        <w:vertAlign w:val="baseline"/>
      </w:rPr>
    </w:lvl>
    <w:lvl w:ilvl="7" w:tplc="13C23B92">
      <w:start w:val="1"/>
      <w:numFmt w:val="decimal"/>
      <w:lvlText w:val="%8."/>
      <w:lvlJc w:val="left"/>
      <w:pPr>
        <w:tabs>
          <w:tab w:val="left" w:pos="1163"/>
          <w:tab w:val="left" w:pos="1247"/>
          <w:tab w:val="left" w:pos="1814"/>
          <w:tab w:val="left" w:pos="2381"/>
          <w:tab w:val="left" w:pos="2948"/>
          <w:tab w:val="left" w:pos="3515"/>
        </w:tabs>
        <w:ind w:left="5210" w:hanging="170"/>
      </w:pPr>
      <w:rPr>
        <w:rFonts w:hAnsi="Arial Unicode MS"/>
        <w:caps w:val="0"/>
        <w:smallCaps w:val="0"/>
        <w:strike w:val="0"/>
        <w:dstrike w:val="0"/>
        <w:outline w:val="0"/>
        <w:emboss w:val="0"/>
        <w:imprint w:val="0"/>
        <w:spacing w:val="0"/>
        <w:w w:val="100"/>
        <w:kern w:val="0"/>
        <w:position w:val="0"/>
        <w:highlight w:val="none"/>
        <w:vertAlign w:val="baseline"/>
      </w:rPr>
    </w:lvl>
    <w:lvl w:ilvl="8" w:tplc="B88C81DE">
      <w:start w:val="1"/>
      <w:numFmt w:val="decimal"/>
      <w:lvlText w:val="%9."/>
      <w:lvlJc w:val="left"/>
      <w:pPr>
        <w:tabs>
          <w:tab w:val="left" w:pos="1163"/>
          <w:tab w:val="left" w:pos="1247"/>
          <w:tab w:val="left" w:pos="1814"/>
          <w:tab w:val="left" w:pos="2381"/>
          <w:tab w:val="left" w:pos="2948"/>
          <w:tab w:val="left" w:pos="3515"/>
        </w:tabs>
        <w:ind w:left="5930"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5D25BFB"/>
    <w:multiLevelType w:val="hybridMultilevel"/>
    <w:tmpl w:val="0F3CD492"/>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6001E9B"/>
    <w:multiLevelType w:val="hybridMultilevel"/>
    <w:tmpl w:val="A6C4426A"/>
    <w:lvl w:ilvl="0" w:tplc="5D90EC60">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AEC59A2">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5AC0E8">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B62730">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87EE044">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622A4C">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401C94">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E6468F8">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06C766">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7ED1D44"/>
    <w:multiLevelType w:val="hybridMultilevel"/>
    <w:tmpl w:val="CBF03FCC"/>
    <w:lvl w:ilvl="0" w:tplc="F9AE0F88">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856D0E8">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3EFFB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E2D4F6">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1F416DA">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80CBB8">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946AE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E7C657E">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448906">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BCB68A8"/>
    <w:multiLevelType w:val="hybridMultilevel"/>
    <w:tmpl w:val="652001B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40277A"/>
    <w:multiLevelType w:val="hybridMultilevel"/>
    <w:tmpl w:val="35C8B356"/>
    <w:lvl w:ilvl="0" w:tplc="6596AA24">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F1A2E20">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626538">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F4723A">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5EA6786">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32FE10">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74C79E">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21E43C6">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56B18E">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E684106"/>
    <w:multiLevelType w:val="hybridMultilevel"/>
    <w:tmpl w:val="6D048E66"/>
    <w:lvl w:ilvl="0" w:tplc="994214D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DA0201"/>
    <w:multiLevelType w:val="hybridMultilevel"/>
    <w:tmpl w:val="26E48006"/>
    <w:lvl w:ilvl="0" w:tplc="D3284F9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8BA5D10">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6A9AD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5AC86A">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8C6D3A">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0E089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C83FCE">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02C35A0">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F2BB8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12945D7"/>
    <w:multiLevelType w:val="hybridMultilevel"/>
    <w:tmpl w:val="12BE7FBA"/>
    <w:lvl w:ilvl="0" w:tplc="794835AE">
      <w:start w:val="1"/>
      <w:numFmt w:val="bullet"/>
      <w:lvlText w:val="▪"/>
      <w:lvlJc w:val="left"/>
      <w:pPr>
        <w:tabs>
          <w:tab w:val="left" w:pos="1247"/>
          <w:tab w:val="left" w:pos="1814"/>
          <w:tab w:val="left" w:pos="2381"/>
          <w:tab w:val="left" w:pos="2948"/>
          <w:tab w:val="left" w:pos="3515"/>
        </w:tabs>
        <w:ind w:left="2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1E41962">
      <w:start w:val="1"/>
      <w:numFmt w:val="bullet"/>
      <w:lvlText w:val="o"/>
      <w:lvlJc w:val="left"/>
      <w:pPr>
        <w:tabs>
          <w:tab w:val="left" w:pos="1247"/>
          <w:tab w:val="left" w:pos="1814"/>
          <w:tab w:val="left" w:pos="2381"/>
          <w:tab w:val="left" w:pos="2948"/>
          <w:tab w:val="left" w:pos="3515"/>
        </w:tabs>
        <w:ind w:left="9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D24924">
      <w:start w:val="1"/>
      <w:numFmt w:val="bullet"/>
      <w:lvlText w:val="▪"/>
      <w:lvlJc w:val="left"/>
      <w:pPr>
        <w:tabs>
          <w:tab w:val="left" w:pos="1247"/>
          <w:tab w:val="left" w:pos="1814"/>
          <w:tab w:val="left" w:pos="2381"/>
          <w:tab w:val="left" w:pos="2948"/>
          <w:tab w:val="left" w:pos="3515"/>
        </w:tabs>
        <w:ind w:left="16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32B5EE">
      <w:start w:val="1"/>
      <w:numFmt w:val="bullet"/>
      <w:lvlText w:val="•"/>
      <w:lvlJc w:val="left"/>
      <w:pPr>
        <w:tabs>
          <w:tab w:val="left" w:pos="1247"/>
          <w:tab w:val="left" w:pos="1814"/>
          <w:tab w:val="left" w:pos="2381"/>
          <w:tab w:val="left" w:pos="2948"/>
          <w:tab w:val="left" w:pos="3515"/>
        </w:tabs>
        <w:ind w:left="23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99CB4AE">
      <w:start w:val="1"/>
      <w:numFmt w:val="bullet"/>
      <w:lvlText w:val="o"/>
      <w:lvlJc w:val="left"/>
      <w:pPr>
        <w:tabs>
          <w:tab w:val="left" w:pos="1247"/>
          <w:tab w:val="left" w:pos="1814"/>
          <w:tab w:val="left" w:pos="2381"/>
          <w:tab w:val="left" w:pos="2948"/>
          <w:tab w:val="left" w:pos="3515"/>
        </w:tabs>
        <w:ind w:left="308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3E514A">
      <w:start w:val="1"/>
      <w:numFmt w:val="bullet"/>
      <w:lvlText w:val="▪"/>
      <w:lvlJc w:val="left"/>
      <w:pPr>
        <w:tabs>
          <w:tab w:val="left" w:pos="1247"/>
          <w:tab w:val="left" w:pos="1814"/>
          <w:tab w:val="left" w:pos="2381"/>
          <w:tab w:val="left" w:pos="2948"/>
          <w:tab w:val="left" w:pos="3515"/>
        </w:tabs>
        <w:ind w:left="38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8085AA">
      <w:start w:val="1"/>
      <w:numFmt w:val="bullet"/>
      <w:lvlText w:val="•"/>
      <w:lvlJc w:val="left"/>
      <w:pPr>
        <w:tabs>
          <w:tab w:val="left" w:pos="1247"/>
          <w:tab w:val="left" w:pos="1814"/>
          <w:tab w:val="left" w:pos="2381"/>
          <w:tab w:val="left" w:pos="2948"/>
          <w:tab w:val="left" w:pos="3515"/>
        </w:tabs>
        <w:ind w:left="45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28E8734">
      <w:start w:val="1"/>
      <w:numFmt w:val="bullet"/>
      <w:lvlText w:val="o"/>
      <w:lvlJc w:val="left"/>
      <w:pPr>
        <w:tabs>
          <w:tab w:val="left" w:pos="1247"/>
          <w:tab w:val="left" w:pos="1814"/>
          <w:tab w:val="left" w:pos="2381"/>
          <w:tab w:val="left" w:pos="2948"/>
          <w:tab w:val="left" w:pos="3515"/>
        </w:tabs>
        <w:ind w:left="52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4CB380">
      <w:start w:val="1"/>
      <w:numFmt w:val="bullet"/>
      <w:lvlText w:val="▪"/>
      <w:lvlJc w:val="left"/>
      <w:pPr>
        <w:tabs>
          <w:tab w:val="left" w:pos="1247"/>
          <w:tab w:val="left" w:pos="1814"/>
          <w:tab w:val="left" w:pos="2381"/>
          <w:tab w:val="left" w:pos="2948"/>
          <w:tab w:val="left" w:pos="3515"/>
        </w:tabs>
        <w:ind w:left="59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2413E0B"/>
    <w:multiLevelType w:val="hybridMultilevel"/>
    <w:tmpl w:val="04D4A5DE"/>
    <w:lvl w:ilvl="0" w:tplc="29F2B758">
      <w:start w:val="1"/>
      <w:numFmt w:val="decimal"/>
      <w:lvlText w:val="%1."/>
      <w:lvlJc w:val="left"/>
      <w:pPr>
        <w:ind w:left="2591" w:hanging="360"/>
      </w:pPr>
      <w:rPr>
        <w:b w:val="0"/>
      </w:rPr>
    </w:lvl>
    <w:lvl w:ilvl="1" w:tplc="D780CF48">
      <w:start w:val="1"/>
      <w:numFmt w:val="lowerRoman"/>
      <w:lvlText w:val="(%2)"/>
      <w:lvlJc w:val="left"/>
      <w:pPr>
        <w:ind w:left="3671" w:hanging="720"/>
      </w:pPr>
      <w:rPr>
        <w:rFonts w:hint="default"/>
      </w:r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2" w15:restartNumberingAfterBreak="0">
    <w:nsid w:val="52A66A9D"/>
    <w:multiLevelType w:val="multilevel"/>
    <w:tmpl w:val="FB0485AE"/>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3" w15:restartNumberingAfterBreak="0">
    <w:nsid w:val="56CA5BAC"/>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062A34"/>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5" w15:restartNumberingAfterBreak="0">
    <w:nsid w:val="5AFE1330"/>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5D427D00"/>
    <w:multiLevelType w:val="hybridMultilevel"/>
    <w:tmpl w:val="89FE5F40"/>
    <w:lvl w:ilvl="0" w:tplc="A31009E2">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3DA39BE">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90A090">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B4C85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E46EB28">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56D3F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CE4522">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1C0E6BA">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427F78">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DBC4BD9"/>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3267EB"/>
    <w:multiLevelType w:val="hybridMultilevel"/>
    <w:tmpl w:val="B966241E"/>
    <w:lvl w:ilvl="0" w:tplc="DFFC8182">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78AAFBC">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96D76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665DA0">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C42FB0">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2C1BA0">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76DF1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1EAEB22">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C81970">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5F297111"/>
    <w:multiLevelType w:val="hybridMultilevel"/>
    <w:tmpl w:val="E572ED9E"/>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E04D5B"/>
    <w:multiLevelType w:val="hybridMultilevel"/>
    <w:tmpl w:val="5EB2697A"/>
    <w:lvl w:ilvl="0" w:tplc="C51200A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3F0A0D"/>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65F35ECC"/>
    <w:multiLevelType w:val="hybridMultilevel"/>
    <w:tmpl w:val="C204B10C"/>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C80ADB92">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53" w15:restartNumberingAfterBreak="0">
    <w:nsid w:val="68C06696"/>
    <w:multiLevelType w:val="hybridMultilevel"/>
    <w:tmpl w:val="AF14FE7C"/>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C9F6BCD"/>
    <w:multiLevelType w:val="hybridMultilevel"/>
    <w:tmpl w:val="C06ED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B42071"/>
    <w:multiLevelType w:val="hybridMultilevel"/>
    <w:tmpl w:val="9822F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03575B0"/>
    <w:multiLevelType w:val="hybridMultilevel"/>
    <w:tmpl w:val="5F3850CC"/>
    <w:lvl w:ilvl="0" w:tplc="780836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5D258FB"/>
    <w:multiLevelType w:val="hybridMultilevel"/>
    <w:tmpl w:val="DAF8FEF2"/>
    <w:lvl w:ilvl="0" w:tplc="0409000F">
      <w:start w:val="1"/>
      <w:numFmt w:val="decimal"/>
      <w:lvlText w:val="%1."/>
      <w:lvlJc w:val="left"/>
      <w:pPr>
        <w:ind w:left="291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768114D1"/>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9402DA"/>
    <w:multiLevelType w:val="hybridMultilevel"/>
    <w:tmpl w:val="2DF095B2"/>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7C6E5555"/>
    <w:multiLevelType w:val="hybridMultilevel"/>
    <w:tmpl w:val="B7665C2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DCF4843"/>
    <w:multiLevelType w:val="hybridMultilevel"/>
    <w:tmpl w:val="FAB8F50A"/>
    <w:lvl w:ilvl="0" w:tplc="A492E86C">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7E025600"/>
    <w:multiLevelType w:val="hybridMultilevel"/>
    <w:tmpl w:val="FA042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610582"/>
    <w:multiLevelType w:val="hybridMultilevel"/>
    <w:tmpl w:val="0472E0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2"/>
  </w:num>
  <w:num w:numId="2">
    <w:abstractNumId w:val="12"/>
  </w:num>
  <w:num w:numId="3">
    <w:abstractNumId w:val="27"/>
  </w:num>
  <w:num w:numId="4">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25"/>
  </w:num>
  <w:num w:numId="6">
    <w:abstractNumId w:val="1"/>
  </w:num>
  <w:num w:numId="7">
    <w:abstractNumId w:val="20"/>
  </w:num>
  <w:num w:numId="8">
    <w:abstractNumId w:val="31"/>
  </w:num>
  <w:num w:numId="9">
    <w:abstractNumId w:val="17"/>
  </w:num>
  <w:num w:numId="10">
    <w:abstractNumId w:val="35"/>
  </w:num>
  <w:num w:numId="11">
    <w:abstractNumId w:val="3"/>
  </w:num>
  <w:num w:numId="12">
    <w:abstractNumId w:val="62"/>
  </w:num>
  <w:num w:numId="13">
    <w:abstractNumId w:val="43"/>
  </w:num>
  <w:num w:numId="14">
    <w:abstractNumId w:val="28"/>
  </w:num>
  <w:num w:numId="15">
    <w:abstractNumId w:val="8"/>
  </w:num>
  <w:num w:numId="16">
    <w:abstractNumId w:val="58"/>
  </w:num>
  <w:num w:numId="1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8">
    <w:abstractNumId w:val="47"/>
  </w:num>
  <w:num w:numId="19">
    <w:abstractNumId w:val="18"/>
  </w:num>
  <w:num w:numId="20">
    <w:abstractNumId w:val="49"/>
  </w:num>
  <w:num w:numId="21">
    <w:abstractNumId w:val="15"/>
  </w:num>
  <w:num w:numId="2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10"/>
  </w:num>
  <w:num w:numId="28">
    <w:abstractNumId w:val="55"/>
  </w:num>
  <w:num w:numId="29">
    <w:abstractNumId w:val="29"/>
  </w:num>
  <w:num w:numId="30">
    <w:abstractNumId w:val="51"/>
  </w:num>
  <w:num w:numId="31">
    <w:abstractNumId w:val="45"/>
  </w:num>
  <w:num w:numId="32">
    <w:abstractNumId w:val="63"/>
  </w:num>
  <w:num w:numId="33">
    <w:abstractNumId w:val="32"/>
  </w:num>
  <w:num w:numId="34">
    <w:abstractNumId w:val="24"/>
  </w:num>
  <w:num w:numId="35">
    <w:abstractNumId w:val="9"/>
  </w:num>
  <w:num w:numId="36">
    <w:abstractNumId w:val="44"/>
  </w:num>
  <w:num w:numId="37">
    <w:abstractNumId w:val="13"/>
  </w:num>
  <w:num w:numId="38">
    <w:abstractNumId w:val="11"/>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num>
  <w:num w:numId="41">
    <w:abstractNumId w:val="42"/>
    <w:lvlOverride w:ilvl="0">
      <w:lvl w:ilvl="0">
        <w:start w:val="1"/>
        <w:numFmt w:val="decimal"/>
        <w:pStyle w:val="Normalnumber"/>
        <w:lvlText w:val="%1."/>
        <w:lvlJc w:val="left"/>
        <w:pPr>
          <w:tabs>
            <w:tab w:val="num" w:pos="171"/>
          </w:tabs>
          <w:ind w:left="284"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2">
    <w:abstractNumId w:val="42"/>
    <w:lvlOverride w:ilvl="0">
      <w:lvl w:ilvl="0">
        <w:start w:val="1"/>
        <w:numFmt w:val="decimal"/>
        <w:pStyle w:val="Normalnumber"/>
        <w:lvlText w:val="%1."/>
        <w:lvlJc w:val="left"/>
        <w:pPr>
          <w:tabs>
            <w:tab w:val="num" w:pos="1164"/>
          </w:tabs>
          <w:ind w:left="1277" w:firstLine="0"/>
        </w:pPr>
        <w:rPr>
          <w:rFonts w:hint="default"/>
        </w:rPr>
      </w:lvl>
    </w:lvlOverride>
  </w:num>
  <w:num w:numId="43">
    <w:abstractNumId w:val="54"/>
  </w:num>
  <w:num w:numId="44">
    <w:abstractNumId w:val="26"/>
  </w:num>
  <w:num w:numId="45">
    <w:abstractNumId w:val="53"/>
  </w:num>
  <w:num w:numId="46">
    <w:abstractNumId w:val="36"/>
  </w:num>
  <w:num w:numId="47">
    <w:abstractNumId w:val="21"/>
  </w:num>
  <w:num w:numId="48">
    <w:abstractNumId w:val="0"/>
  </w:num>
  <w:num w:numId="49">
    <w:abstractNumId w:val="38"/>
  </w:num>
  <w:num w:numId="50">
    <w:abstractNumId w:val="40"/>
  </w:num>
  <w:num w:numId="51">
    <w:abstractNumId w:val="39"/>
  </w:num>
  <w:num w:numId="52">
    <w:abstractNumId w:val="46"/>
  </w:num>
  <w:num w:numId="53">
    <w:abstractNumId w:val="48"/>
  </w:num>
  <w:num w:numId="54">
    <w:abstractNumId w:val="7"/>
  </w:num>
  <w:num w:numId="55">
    <w:abstractNumId w:val="7"/>
    <w:lvlOverride w:ilvl="0">
      <w:lvl w:ilvl="0" w:tplc="4E9C3542">
        <w:start w:val="1"/>
        <w:numFmt w:val="bullet"/>
        <w:lvlText w:val="o"/>
        <w:lvlJc w:val="left"/>
        <w:pPr>
          <w:tabs>
            <w:tab w:val="left" w:pos="1163"/>
            <w:tab w:val="left" w:pos="1247"/>
            <w:tab w:val="left" w:pos="1814"/>
            <w:tab w:val="left" w:pos="2381"/>
            <w:tab w:val="left" w:pos="2948"/>
            <w:tab w:val="left" w:pos="3515"/>
          </w:tabs>
          <w:ind w:left="28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D7A1310">
        <w:start w:val="1"/>
        <w:numFmt w:val="bullet"/>
        <w:lvlText w:val="o"/>
        <w:lvlJc w:val="left"/>
        <w:pPr>
          <w:tabs>
            <w:tab w:val="left" w:pos="1163"/>
            <w:tab w:val="left" w:pos="1247"/>
            <w:tab w:val="left" w:pos="1814"/>
            <w:tab w:val="left" w:pos="2381"/>
            <w:tab w:val="left" w:pos="2948"/>
            <w:tab w:val="left" w:pos="3515"/>
          </w:tabs>
          <w:ind w:left="100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86E5996">
        <w:start w:val="1"/>
        <w:numFmt w:val="bullet"/>
        <w:lvlText w:val="▪"/>
        <w:lvlJc w:val="left"/>
        <w:pPr>
          <w:tabs>
            <w:tab w:val="left" w:pos="1163"/>
            <w:tab w:val="left" w:pos="1247"/>
            <w:tab w:val="left" w:pos="1814"/>
            <w:tab w:val="left" w:pos="2381"/>
            <w:tab w:val="left" w:pos="2948"/>
            <w:tab w:val="left" w:pos="3515"/>
          </w:tabs>
          <w:ind w:left="172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B25AA2">
        <w:start w:val="1"/>
        <w:numFmt w:val="bullet"/>
        <w:suff w:val="nothing"/>
        <w:lvlText w:val="•"/>
        <w:lvlJc w:val="left"/>
        <w:pPr>
          <w:tabs>
            <w:tab w:val="left" w:pos="1163"/>
            <w:tab w:val="left" w:pos="1247"/>
            <w:tab w:val="left" w:pos="1814"/>
            <w:tab w:val="left" w:pos="2381"/>
            <w:tab w:val="left" w:pos="2948"/>
            <w:tab w:val="left" w:pos="3515"/>
          </w:tabs>
          <w:ind w:left="2381" w:hanging="11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3D84FCC">
        <w:start w:val="1"/>
        <w:numFmt w:val="bullet"/>
        <w:lvlText w:val="o"/>
        <w:lvlJc w:val="left"/>
        <w:pPr>
          <w:tabs>
            <w:tab w:val="left" w:pos="1163"/>
            <w:tab w:val="left" w:pos="1247"/>
            <w:tab w:val="left" w:pos="1814"/>
            <w:tab w:val="left" w:pos="2381"/>
            <w:tab w:val="left" w:pos="2948"/>
            <w:tab w:val="left" w:pos="3515"/>
          </w:tabs>
          <w:ind w:left="316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8705E3C">
        <w:start w:val="1"/>
        <w:numFmt w:val="bullet"/>
        <w:lvlText w:val="▪"/>
        <w:lvlJc w:val="left"/>
        <w:pPr>
          <w:tabs>
            <w:tab w:val="left" w:pos="1163"/>
            <w:tab w:val="left" w:pos="1247"/>
            <w:tab w:val="left" w:pos="1814"/>
            <w:tab w:val="left" w:pos="2381"/>
            <w:tab w:val="left" w:pos="2948"/>
            <w:tab w:val="left" w:pos="3515"/>
          </w:tabs>
          <w:ind w:left="388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5E9198">
        <w:start w:val="1"/>
        <w:numFmt w:val="bullet"/>
        <w:lvlText w:val="•"/>
        <w:lvlJc w:val="left"/>
        <w:pPr>
          <w:tabs>
            <w:tab w:val="left" w:pos="1163"/>
            <w:tab w:val="left" w:pos="1247"/>
            <w:tab w:val="left" w:pos="1814"/>
            <w:tab w:val="left" w:pos="2381"/>
            <w:tab w:val="left" w:pos="2948"/>
            <w:tab w:val="left" w:pos="3515"/>
          </w:tabs>
          <w:ind w:left="460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B88776E">
        <w:start w:val="1"/>
        <w:numFmt w:val="bullet"/>
        <w:lvlText w:val="o"/>
        <w:lvlJc w:val="left"/>
        <w:pPr>
          <w:tabs>
            <w:tab w:val="left" w:pos="1163"/>
            <w:tab w:val="left" w:pos="1247"/>
            <w:tab w:val="left" w:pos="1814"/>
            <w:tab w:val="left" w:pos="2381"/>
            <w:tab w:val="left" w:pos="2948"/>
            <w:tab w:val="left" w:pos="3515"/>
          </w:tabs>
          <w:ind w:left="532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CFCCC62">
        <w:start w:val="1"/>
        <w:numFmt w:val="bullet"/>
        <w:lvlText w:val="▪"/>
        <w:lvlJc w:val="left"/>
        <w:pPr>
          <w:tabs>
            <w:tab w:val="left" w:pos="1163"/>
            <w:tab w:val="left" w:pos="1247"/>
            <w:tab w:val="left" w:pos="1814"/>
            <w:tab w:val="left" w:pos="2381"/>
            <w:tab w:val="left" w:pos="2948"/>
            <w:tab w:val="left" w:pos="3515"/>
          </w:tabs>
          <w:ind w:left="604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abstractNumId w:val="23"/>
  </w:num>
  <w:num w:numId="57">
    <w:abstractNumId w:val="30"/>
  </w:num>
  <w:num w:numId="58">
    <w:abstractNumId w:val="37"/>
  </w:num>
  <w:num w:numId="59">
    <w:abstractNumId w:val="5"/>
  </w:num>
  <w:num w:numId="60">
    <w:abstractNumId w:val="34"/>
  </w:num>
  <w:num w:numId="61">
    <w:abstractNumId w:val="16"/>
  </w:num>
  <w:num w:numId="62">
    <w:abstractNumId w:val="22"/>
  </w:num>
  <w:num w:numId="63">
    <w:abstractNumId w:val="33"/>
  </w:num>
  <w:num w:numId="64">
    <w:abstractNumId w:val="4"/>
  </w:num>
  <w:num w:numId="6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8">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9">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0">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1">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2">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3">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4">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8">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9">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0">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1">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2">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3">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4">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8">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9">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0">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1">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2">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3">
    <w:abstractNumId w:val="52"/>
  </w:num>
  <w:num w:numId="94">
    <w:abstractNumId w:val="60"/>
  </w:num>
  <w:num w:numId="9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7">
    <w:abstractNumId w:val="19"/>
  </w:num>
  <w:num w:numId="98">
    <w:abstractNumId w:val="6"/>
  </w:num>
  <w:num w:numId="99">
    <w:abstractNumId w:val="56"/>
  </w:num>
  <w:num w:numId="100">
    <w:abstractNumId w:val="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4096"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E4A"/>
    <w:rsid w:val="000024A3"/>
    <w:rsid w:val="00003786"/>
    <w:rsid w:val="00004299"/>
    <w:rsid w:val="000057BB"/>
    <w:rsid w:val="000077AD"/>
    <w:rsid w:val="00011A16"/>
    <w:rsid w:val="000149E6"/>
    <w:rsid w:val="00016424"/>
    <w:rsid w:val="000171FD"/>
    <w:rsid w:val="00022680"/>
    <w:rsid w:val="0002372D"/>
    <w:rsid w:val="00023DA9"/>
    <w:rsid w:val="00024235"/>
    <w:rsid w:val="000247B0"/>
    <w:rsid w:val="000249AF"/>
    <w:rsid w:val="00026997"/>
    <w:rsid w:val="00026A08"/>
    <w:rsid w:val="00032E4E"/>
    <w:rsid w:val="000338A8"/>
    <w:rsid w:val="00033E0B"/>
    <w:rsid w:val="000347CB"/>
    <w:rsid w:val="00035EDE"/>
    <w:rsid w:val="00041EB8"/>
    <w:rsid w:val="00042EFC"/>
    <w:rsid w:val="00045C5B"/>
    <w:rsid w:val="00046230"/>
    <w:rsid w:val="00046DB6"/>
    <w:rsid w:val="000475E2"/>
    <w:rsid w:val="000509B4"/>
    <w:rsid w:val="00053CC2"/>
    <w:rsid w:val="00053E20"/>
    <w:rsid w:val="00053FF1"/>
    <w:rsid w:val="000543A8"/>
    <w:rsid w:val="00054828"/>
    <w:rsid w:val="000548F9"/>
    <w:rsid w:val="00054C83"/>
    <w:rsid w:val="00055DC5"/>
    <w:rsid w:val="0005743F"/>
    <w:rsid w:val="0006035B"/>
    <w:rsid w:val="0006096F"/>
    <w:rsid w:val="000632BF"/>
    <w:rsid w:val="000649C5"/>
    <w:rsid w:val="00067A62"/>
    <w:rsid w:val="00067DDB"/>
    <w:rsid w:val="000712DE"/>
    <w:rsid w:val="00071652"/>
    <w:rsid w:val="00071886"/>
    <w:rsid w:val="00071AFC"/>
    <w:rsid w:val="00071C12"/>
    <w:rsid w:val="00073984"/>
    <w:rsid w:val="000742BC"/>
    <w:rsid w:val="00076758"/>
    <w:rsid w:val="00076CC6"/>
    <w:rsid w:val="00077945"/>
    <w:rsid w:val="00077F12"/>
    <w:rsid w:val="00080762"/>
    <w:rsid w:val="0008244A"/>
    <w:rsid w:val="00082A0C"/>
    <w:rsid w:val="00083504"/>
    <w:rsid w:val="000860C3"/>
    <w:rsid w:val="000874FC"/>
    <w:rsid w:val="00092C24"/>
    <w:rsid w:val="0009366E"/>
    <w:rsid w:val="0009509A"/>
    <w:rsid w:val="0009640C"/>
    <w:rsid w:val="00096F57"/>
    <w:rsid w:val="00097305"/>
    <w:rsid w:val="0009789E"/>
    <w:rsid w:val="000A1B30"/>
    <w:rsid w:val="000A2C42"/>
    <w:rsid w:val="000A50C8"/>
    <w:rsid w:val="000A6D5B"/>
    <w:rsid w:val="000A6D92"/>
    <w:rsid w:val="000A751B"/>
    <w:rsid w:val="000B1B03"/>
    <w:rsid w:val="000B22A2"/>
    <w:rsid w:val="000B24AD"/>
    <w:rsid w:val="000B502C"/>
    <w:rsid w:val="000B541B"/>
    <w:rsid w:val="000B5B4C"/>
    <w:rsid w:val="000B73F9"/>
    <w:rsid w:val="000C2A52"/>
    <w:rsid w:val="000C2A88"/>
    <w:rsid w:val="000C4F45"/>
    <w:rsid w:val="000C5F5C"/>
    <w:rsid w:val="000C690C"/>
    <w:rsid w:val="000D07BE"/>
    <w:rsid w:val="000D1282"/>
    <w:rsid w:val="000D2FAB"/>
    <w:rsid w:val="000D3391"/>
    <w:rsid w:val="000D33C0"/>
    <w:rsid w:val="000D49CE"/>
    <w:rsid w:val="000D4CF6"/>
    <w:rsid w:val="000D5F2E"/>
    <w:rsid w:val="000D6941"/>
    <w:rsid w:val="000D78F4"/>
    <w:rsid w:val="000E06DF"/>
    <w:rsid w:val="000E08E0"/>
    <w:rsid w:val="000E215D"/>
    <w:rsid w:val="000E2A2E"/>
    <w:rsid w:val="000E4923"/>
    <w:rsid w:val="000E74B4"/>
    <w:rsid w:val="000F2A9B"/>
    <w:rsid w:val="000F4829"/>
    <w:rsid w:val="000F6B21"/>
    <w:rsid w:val="001000BC"/>
    <w:rsid w:val="001004E7"/>
    <w:rsid w:val="001018D1"/>
    <w:rsid w:val="00102557"/>
    <w:rsid w:val="00102B48"/>
    <w:rsid w:val="00102EFB"/>
    <w:rsid w:val="00106D20"/>
    <w:rsid w:val="00112CBE"/>
    <w:rsid w:val="00113D26"/>
    <w:rsid w:val="0011707E"/>
    <w:rsid w:val="001170B8"/>
    <w:rsid w:val="001202E3"/>
    <w:rsid w:val="0012067A"/>
    <w:rsid w:val="00120E0C"/>
    <w:rsid w:val="00121E44"/>
    <w:rsid w:val="00123699"/>
    <w:rsid w:val="00123A93"/>
    <w:rsid w:val="001241FB"/>
    <w:rsid w:val="001248F8"/>
    <w:rsid w:val="00124F1B"/>
    <w:rsid w:val="0013059D"/>
    <w:rsid w:val="0013548D"/>
    <w:rsid w:val="00135ADF"/>
    <w:rsid w:val="00136187"/>
    <w:rsid w:val="001413D1"/>
    <w:rsid w:val="001413F6"/>
    <w:rsid w:val="00141A55"/>
    <w:rsid w:val="0014293F"/>
    <w:rsid w:val="001431B1"/>
    <w:rsid w:val="0014370B"/>
    <w:rsid w:val="0014397D"/>
    <w:rsid w:val="00143DDD"/>
    <w:rsid w:val="001446A3"/>
    <w:rsid w:val="00146792"/>
    <w:rsid w:val="001472C1"/>
    <w:rsid w:val="00152B6B"/>
    <w:rsid w:val="00154BAE"/>
    <w:rsid w:val="00155395"/>
    <w:rsid w:val="00155A2F"/>
    <w:rsid w:val="00155EA1"/>
    <w:rsid w:val="00156B6B"/>
    <w:rsid w:val="00160397"/>
    <w:rsid w:val="00160D74"/>
    <w:rsid w:val="00163711"/>
    <w:rsid w:val="001646EA"/>
    <w:rsid w:val="00164C8D"/>
    <w:rsid w:val="00167D02"/>
    <w:rsid w:val="00170792"/>
    <w:rsid w:val="0017355C"/>
    <w:rsid w:val="00173A13"/>
    <w:rsid w:val="00174D64"/>
    <w:rsid w:val="001751B3"/>
    <w:rsid w:val="001759D8"/>
    <w:rsid w:val="00177D7F"/>
    <w:rsid w:val="00180C3F"/>
    <w:rsid w:val="00181EC8"/>
    <w:rsid w:val="00182BC7"/>
    <w:rsid w:val="00184349"/>
    <w:rsid w:val="00186790"/>
    <w:rsid w:val="00186A59"/>
    <w:rsid w:val="00187284"/>
    <w:rsid w:val="00190CE3"/>
    <w:rsid w:val="0019194B"/>
    <w:rsid w:val="00191FB2"/>
    <w:rsid w:val="001921DA"/>
    <w:rsid w:val="00193CBE"/>
    <w:rsid w:val="00193F1E"/>
    <w:rsid w:val="001955C0"/>
    <w:rsid w:val="00195AEC"/>
    <w:rsid w:val="00195F33"/>
    <w:rsid w:val="00196E6D"/>
    <w:rsid w:val="001A07BC"/>
    <w:rsid w:val="001A2FF9"/>
    <w:rsid w:val="001A3452"/>
    <w:rsid w:val="001A3953"/>
    <w:rsid w:val="001A47E5"/>
    <w:rsid w:val="001A7E53"/>
    <w:rsid w:val="001B02D6"/>
    <w:rsid w:val="001B0D65"/>
    <w:rsid w:val="001B1617"/>
    <w:rsid w:val="001B303B"/>
    <w:rsid w:val="001B504B"/>
    <w:rsid w:val="001B62F1"/>
    <w:rsid w:val="001B6F98"/>
    <w:rsid w:val="001C191A"/>
    <w:rsid w:val="001C1FC1"/>
    <w:rsid w:val="001C3AD9"/>
    <w:rsid w:val="001C7C06"/>
    <w:rsid w:val="001D1053"/>
    <w:rsid w:val="001D3874"/>
    <w:rsid w:val="001D3B61"/>
    <w:rsid w:val="001D4900"/>
    <w:rsid w:val="001D516A"/>
    <w:rsid w:val="001D5DEF"/>
    <w:rsid w:val="001D65B7"/>
    <w:rsid w:val="001D7E75"/>
    <w:rsid w:val="001E0D73"/>
    <w:rsid w:val="001E239B"/>
    <w:rsid w:val="001E45BD"/>
    <w:rsid w:val="001E56D2"/>
    <w:rsid w:val="001E7D56"/>
    <w:rsid w:val="001F3DF8"/>
    <w:rsid w:val="001F5186"/>
    <w:rsid w:val="001F6928"/>
    <w:rsid w:val="001F75DE"/>
    <w:rsid w:val="0020005A"/>
    <w:rsid w:val="002007CF"/>
    <w:rsid w:val="00200D58"/>
    <w:rsid w:val="002011C1"/>
    <w:rsid w:val="002013BE"/>
    <w:rsid w:val="00201EDC"/>
    <w:rsid w:val="0020364F"/>
    <w:rsid w:val="00203D4C"/>
    <w:rsid w:val="00205538"/>
    <w:rsid w:val="00205869"/>
    <w:rsid w:val="002063A4"/>
    <w:rsid w:val="0021145B"/>
    <w:rsid w:val="00211475"/>
    <w:rsid w:val="00213D57"/>
    <w:rsid w:val="002148FB"/>
    <w:rsid w:val="00214D18"/>
    <w:rsid w:val="00215CF4"/>
    <w:rsid w:val="00220C23"/>
    <w:rsid w:val="00223DB3"/>
    <w:rsid w:val="002247F6"/>
    <w:rsid w:val="00225BA1"/>
    <w:rsid w:val="00225E21"/>
    <w:rsid w:val="00225E44"/>
    <w:rsid w:val="0023014E"/>
    <w:rsid w:val="002326B2"/>
    <w:rsid w:val="002349CA"/>
    <w:rsid w:val="00234E78"/>
    <w:rsid w:val="00236D9B"/>
    <w:rsid w:val="002378F0"/>
    <w:rsid w:val="00237A9E"/>
    <w:rsid w:val="00240A60"/>
    <w:rsid w:val="00241339"/>
    <w:rsid w:val="00241BDC"/>
    <w:rsid w:val="002434DA"/>
    <w:rsid w:val="00243D36"/>
    <w:rsid w:val="002441ED"/>
    <w:rsid w:val="00245877"/>
    <w:rsid w:val="00246151"/>
    <w:rsid w:val="002464A9"/>
    <w:rsid w:val="0024719B"/>
    <w:rsid w:val="00247707"/>
    <w:rsid w:val="00252145"/>
    <w:rsid w:val="00252456"/>
    <w:rsid w:val="0025346F"/>
    <w:rsid w:val="0025789B"/>
    <w:rsid w:val="0026018E"/>
    <w:rsid w:val="00262301"/>
    <w:rsid w:val="00264E2F"/>
    <w:rsid w:val="0026572F"/>
    <w:rsid w:val="0026615A"/>
    <w:rsid w:val="00266CB7"/>
    <w:rsid w:val="00271237"/>
    <w:rsid w:val="00271861"/>
    <w:rsid w:val="00275DD0"/>
    <w:rsid w:val="00275E07"/>
    <w:rsid w:val="00281B88"/>
    <w:rsid w:val="00281CAF"/>
    <w:rsid w:val="00282D2D"/>
    <w:rsid w:val="00283CDD"/>
    <w:rsid w:val="00285B55"/>
    <w:rsid w:val="00286740"/>
    <w:rsid w:val="00286BF5"/>
    <w:rsid w:val="00287038"/>
    <w:rsid w:val="00290418"/>
    <w:rsid w:val="00291EAE"/>
    <w:rsid w:val="002929D8"/>
    <w:rsid w:val="00294ACF"/>
    <w:rsid w:val="002A237D"/>
    <w:rsid w:val="002A4C53"/>
    <w:rsid w:val="002A50B3"/>
    <w:rsid w:val="002A6C21"/>
    <w:rsid w:val="002B0323"/>
    <w:rsid w:val="002B0672"/>
    <w:rsid w:val="002B247F"/>
    <w:rsid w:val="002B50D4"/>
    <w:rsid w:val="002B58BF"/>
    <w:rsid w:val="002B6D5E"/>
    <w:rsid w:val="002C0E7A"/>
    <w:rsid w:val="002C145D"/>
    <w:rsid w:val="002C2C3E"/>
    <w:rsid w:val="002C2C8B"/>
    <w:rsid w:val="002C533E"/>
    <w:rsid w:val="002C7987"/>
    <w:rsid w:val="002D027F"/>
    <w:rsid w:val="002D04FB"/>
    <w:rsid w:val="002D275C"/>
    <w:rsid w:val="002D3E15"/>
    <w:rsid w:val="002D56AE"/>
    <w:rsid w:val="002D7867"/>
    <w:rsid w:val="002D7A85"/>
    <w:rsid w:val="002D7B60"/>
    <w:rsid w:val="002D7BCA"/>
    <w:rsid w:val="002E05D2"/>
    <w:rsid w:val="002E0944"/>
    <w:rsid w:val="002E3FD9"/>
    <w:rsid w:val="002E728C"/>
    <w:rsid w:val="002F2529"/>
    <w:rsid w:val="002F29FC"/>
    <w:rsid w:val="002F2B44"/>
    <w:rsid w:val="002F2E0D"/>
    <w:rsid w:val="002F2E7B"/>
    <w:rsid w:val="002F4297"/>
    <w:rsid w:val="002F4761"/>
    <w:rsid w:val="002F4928"/>
    <w:rsid w:val="002F5391"/>
    <w:rsid w:val="002F5C79"/>
    <w:rsid w:val="002F6236"/>
    <w:rsid w:val="002F6441"/>
    <w:rsid w:val="002F68EE"/>
    <w:rsid w:val="003019E2"/>
    <w:rsid w:val="003037C3"/>
    <w:rsid w:val="00303850"/>
    <w:rsid w:val="003051A1"/>
    <w:rsid w:val="0030535E"/>
    <w:rsid w:val="00305B9F"/>
    <w:rsid w:val="00306CEE"/>
    <w:rsid w:val="003071D7"/>
    <w:rsid w:val="00310BEB"/>
    <w:rsid w:val="003114F5"/>
    <w:rsid w:val="00311769"/>
    <w:rsid w:val="00311CAC"/>
    <w:rsid w:val="00311F6A"/>
    <w:rsid w:val="00312895"/>
    <w:rsid w:val="0031413F"/>
    <w:rsid w:val="00314854"/>
    <w:rsid w:val="003148BB"/>
    <w:rsid w:val="00317976"/>
    <w:rsid w:val="00320066"/>
    <w:rsid w:val="00320F2F"/>
    <w:rsid w:val="00321D40"/>
    <w:rsid w:val="0032457E"/>
    <w:rsid w:val="00325CBF"/>
    <w:rsid w:val="00325D38"/>
    <w:rsid w:val="00326DDB"/>
    <w:rsid w:val="0032700A"/>
    <w:rsid w:val="00335455"/>
    <w:rsid w:val="00337AFC"/>
    <w:rsid w:val="0034200A"/>
    <w:rsid w:val="00343F65"/>
    <w:rsid w:val="00345D7F"/>
    <w:rsid w:val="00345E23"/>
    <w:rsid w:val="00347F8B"/>
    <w:rsid w:val="00350059"/>
    <w:rsid w:val="00352668"/>
    <w:rsid w:val="0035277E"/>
    <w:rsid w:val="00352BCD"/>
    <w:rsid w:val="00353228"/>
    <w:rsid w:val="0035573D"/>
    <w:rsid w:val="00355EA9"/>
    <w:rsid w:val="003578DE"/>
    <w:rsid w:val="003610B8"/>
    <w:rsid w:val="00361688"/>
    <w:rsid w:val="003655AC"/>
    <w:rsid w:val="00367266"/>
    <w:rsid w:val="00372928"/>
    <w:rsid w:val="00380921"/>
    <w:rsid w:val="00382DD5"/>
    <w:rsid w:val="003858F9"/>
    <w:rsid w:val="003877D5"/>
    <w:rsid w:val="003912D6"/>
    <w:rsid w:val="003929B8"/>
    <w:rsid w:val="00393432"/>
    <w:rsid w:val="00394A5E"/>
    <w:rsid w:val="00396257"/>
    <w:rsid w:val="00397781"/>
    <w:rsid w:val="00397EB8"/>
    <w:rsid w:val="003A006F"/>
    <w:rsid w:val="003A11B3"/>
    <w:rsid w:val="003A2652"/>
    <w:rsid w:val="003A2669"/>
    <w:rsid w:val="003A36C0"/>
    <w:rsid w:val="003A4FD0"/>
    <w:rsid w:val="003A6893"/>
    <w:rsid w:val="003A69D1"/>
    <w:rsid w:val="003A7705"/>
    <w:rsid w:val="003A77F1"/>
    <w:rsid w:val="003B1545"/>
    <w:rsid w:val="003B2CAC"/>
    <w:rsid w:val="003B2D02"/>
    <w:rsid w:val="003B69F0"/>
    <w:rsid w:val="003C09F2"/>
    <w:rsid w:val="003C2150"/>
    <w:rsid w:val="003C3219"/>
    <w:rsid w:val="003C409D"/>
    <w:rsid w:val="003C4544"/>
    <w:rsid w:val="003C4AD3"/>
    <w:rsid w:val="003C5583"/>
    <w:rsid w:val="003C5BA6"/>
    <w:rsid w:val="003C5C2C"/>
    <w:rsid w:val="003C625B"/>
    <w:rsid w:val="003C6916"/>
    <w:rsid w:val="003C74CF"/>
    <w:rsid w:val="003D18B2"/>
    <w:rsid w:val="003D2643"/>
    <w:rsid w:val="003D3752"/>
    <w:rsid w:val="003D42CF"/>
    <w:rsid w:val="003D5434"/>
    <w:rsid w:val="003D7662"/>
    <w:rsid w:val="003E0FFF"/>
    <w:rsid w:val="003E1AFF"/>
    <w:rsid w:val="003E3257"/>
    <w:rsid w:val="003E339D"/>
    <w:rsid w:val="003E35DA"/>
    <w:rsid w:val="003E455D"/>
    <w:rsid w:val="003E4E1E"/>
    <w:rsid w:val="003E793F"/>
    <w:rsid w:val="003F0DEC"/>
    <w:rsid w:val="003F0E85"/>
    <w:rsid w:val="003F20F5"/>
    <w:rsid w:val="003F3608"/>
    <w:rsid w:val="003F3E2F"/>
    <w:rsid w:val="003F4B01"/>
    <w:rsid w:val="003F4DA7"/>
    <w:rsid w:val="003F5091"/>
    <w:rsid w:val="003F51C7"/>
    <w:rsid w:val="00401A45"/>
    <w:rsid w:val="00406DA0"/>
    <w:rsid w:val="00410C55"/>
    <w:rsid w:val="00415171"/>
    <w:rsid w:val="00416854"/>
    <w:rsid w:val="00416DEA"/>
    <w:rsid w:val="0041747D"/>
    <w:rsid w:val="00417725"/>
    <w:rsid w:val="00417FE2"/>
    <w:rsid w:val="00421BCD"/>
    <w:rsid w:val="0042266F"/>
    <w:rsid w:val="004233DC"/>
    <w:rsid w:val="004250EB"/>
    <w:rsid w:val="00425504"/>
    <w:rsid w:val="00425F8B"/>
    <w:rsid w:val="00426C5A"/>
    <w:rsid w:val="00430363"/>
    <w:rsid w:val="0043165A"/>
    <w:rsid w:val="00432222"/>
    <w:rsid w:val="0043263A"/>
    <w:rsid w:val="0043334D"/>
    <w:rsid w:val="004334A6"/>
    <w:rsid w:val="00434321"/>
    <w:rsid w:val="0043587E"/>
    <w:rsid w:val="00437F26"/>
    <w:rsid w:val="00444097"/>
    <w:rsid w:val="004447B6"/>
    <w:rsid w:val="00445487"/>
    <w:rsid w:val="004478CD"/>
    <w:rsid w:val="00447E0D"/>
    <w:rsid w:val="004510EE"/>
    <w:rsid w:val="0045134A"/>
    <w:rsid w:val="00453EA8"/>
    <w:rsid w:val="00454769"/>
    <w:rsid w:val="00455C83"/>
    <w:rsid w:val="00456C71"/>
    <w:rsid w:val="004605BC"/>
    <w:rsid w:val="00465501"/>
    <w:rsid w:val="00465AF0"/>
    <w:rsid w:val="00466991"/>
    <w:rsid w:val="0047064C"/>
    <w:rsid w:val="0047119C"/>
    <w:rsid w:val="00476ADD"/>
    <w:rsid w:val="00477A76"/>
    <w:rsid w:val="004822B7"/>
    <w:rsid w:val="00482B20"/>
    <w:rsid w:val="0048379A"/>
    <w:rsid w:val="00487880"/>
    <w:rsid w:val="0049106E"/>
    <w:rsid w:val="00491DAD"/>
    <w:rsid w:val="0049469E"/>
    <w:rsid w:val="00497E01"/>
    <w:rsid w:val="004A2217"/>
    <w:rsid w:val="004A24F9"/>
    <w:rsid w:val="004A2D55"/>
    <w:rsid w:val="004A42E1"/>
    <w:rsid w:val="004A4DA1"/>
    <w:rsid w:val="004A7615"/>
    <w:rsid w:val="004A766B"/>
    <w:rsid w:val="004A7EE0"/>
    <w:rsid w:val="004B162C"/>
    <w:rsid w:val="004B2ABE"/>
    <w:rsid w:val="004B48BE"/>
    <w:rsid w:val="004B4D52"/>
    <w:rsid w:val="004B57E1"/>
    <w:rsid w:val="004B5C11"/>
    <w:rsid w:val="004C3DBE"/>
    <w:rsid w:val="004C4AE8"/>
    <w:rsid w:val="004C5C96"/>
    <w:rsid w:val="004D06A4"/>
    <w:rsid w:val="004D3A31"/>
    <w:rsid w:val="004D5441"/>
    <w:rsid w:val="004D60D7"/>
    <w:rsid w:val="004D65A6"/>
    <w:rsid w:val="004E0AB7"/>
    <w:rsid w:val="004E2C3A"/>
    <w:rsid w:val="004E5024"/>
    <w:rsid w:val="004E58BA"/>
    <w:rsid w:val="004E6B38"/>
    <w:rsid w:val="004F111A"/>
    <w:rsid w:val="004F1A81"/>
    <w:rsid w:val="004F5C75"/>
    <w:rsid w:val="004F5D88"/>
    <w:rsid w:val="005007C0"/>
    <w:rsid w:val="00501354"/>
    <w:rsid w:val="00504D3B"/>
    <w:rsid w:val="005050D2"/>
    <w:rsid w:val="00512ECA"/>
    <w:rsid w:val="0051483C"/>
    <w:rsid w:val="005218D9"/>
    <w:rsid w:val="00522167"/>
    <w:rsid w:val="00524D33"/>
    <w:rsid w:val="0052730B"/>
    <w:rsid w:val="005273AE"/>
    <w:rsid w:val="0053069F"/>
    <w:rsid w:val="0053138D"/>
    <w:rsid w:val="00531BE0"/>
    <w:rsid w:val="00536186"/>
    <w:rsid w:val="00536E61"/>
    <w:rsid w:val="00536F53"/>
    <w:rsid w:val="00537F88"/>
    <w:rsid w:val="00540628"/>
    <w:rsid w:val="00544CBB"/>
    <w:rsid w:val="00544DB7"/>
    <w:rsid w:val="00546E2E"/>
    <w:rsid w:val="00547AF3"/>
    <w:rsid w:val="00550A9F"/>
    <w:rsid w:val="00551B65"/>
    <w:rsid w:val="00556704"/>
    <w:rsid w:val="005629FD"/>
    <w:rsid w:val="00563292"/>
    <w:rsid w:val="005645B1"/>
    <w:rsid w:val="005655AA"/>
    <w:rsid w:val="005656D7"/>
    <w:rsid w:val="00565CE7"/>
    <w:rsid w:val="0057315F"/>
    <w:rsid w:val="00573E7F"/>
    <w:rsid w:val="00576104"/>
    <w:rsid w:val="00582E46"/>
    <w:rsid w:val="00582F02"/>
    <w:rsid w:val="00583314"/>
    <w:rsid w:val="005841FC"/>
    <w:rsid w:val="005853CB"/>
    <w:rsid w:val="00586418"/>
    <w:rsid w:val="00587D09"/>
    <w:rsid w:val="00592B21"/>
    <w:rsid w:val="00592F59"/>
    <w:rsid w:val="00593714"/>
    <w:rsid w:val="00596957"/>
    <w:rsid w:val="005A0CCE"/>
    <w:rsid w:val="005A1A70"/>
    <w:rsid w:val="005A3334"/>
    <w:rsid w:val="005A3B3E"/>
    <w:rsid w:val="005A5A62"/>
    <w:rsid w:val="005B2DF4"/>
    <w:rsid w:val="005B3107"/>
    <w:rsid w:val="005B364D"/>
    <w:rsid w:val="005B427A"/>
    <w:rsid w:val="005B44BF"/>
    <w:rsid w:val="005B514F"/>
    <w:rsid w:val="005B5CF4"/>
    <w:rsid w:val="005B6D98"/>
    <w:rsid w:val="005C0019"/>
    <w:rsid w:val="005C0132"/>
    <w:rsid w:val="005C09DE"/>
    <w:rsid w:val="005C39AB"/>
    <w:rsid w:val="005C5239"/>
    <w:rsid w:val="005C5B32"/>
    <w:rsid w:val="005C67C8"/>
    <w:rsid w:val="005D0249"/>
    <w:rsid w:val="005D03D4"/>
    <w:rsid w:val="005D1761"/>
    <w:rsid w:val="005D18FA"/>
    <w:rsid w:val="005D4FD4"/>
    <w:rsid w:val="005D6E8C"/>
    <w:rsid w:val="005E262E"/>
    <w:rsid w:val="005E3004"/>
    <w:rsid w:val="005E6CAE"/>
    <w:rsid w:val="005F100C"/>
    <w:rsid w:val="005F1DE6"/>
    <w:rsid w:val="005F4391"/>
    <w:rsid w:val="005F4E03"/>
    <w:rsid w:val="005F68DA"/>
    <w:rsid w:val="005F7419"/>
    <w:rsid w:val="006006B1"/>
    <w:rsid w:val="00601BC9"/>
    <w:rsid w:val="006040B4"/>
    <w:rsid w:val="00605283"/>
    <w:rsid w:val="0060773B"/>
    <w:rsid w:val="006077FF"/>
    <w:rsid w:val="00607C33"/>
    <w:rsid w:val="00612D58"/>
    <w:rsid w:val="00613FD6"/>
    <w:rsid w:val="006157B5"/>
    <w:rsid w:val="0061654B"/>
    <w:rsid w:val="00617224"/>
    <w:rsid w:val="00617FDE"/>
    <w:rsid w:val="006201E6"/>
    <w:rsid w:val="00620F0B"/>
    <w:rsid w:val="00623D70"/>
    <w:rsid w:val="006258C9"/>
    <w:rsid w:val="00625E09"/>
    <w:rsid w:val="00626FC6"/>
    <w:rsid w:val="006303B4"/>
    <w:rsid w:val="00630ADC"/>
    <w:rsid w:val="00631729"/>
    <w:rsid w:val="00631ACD"/>
    <w:rsid w:val="00633D3D"/>
    <w:rsid w:val="00636791"/>
    <w:rsid w:val="00636B12"/>
    <w:rsid w:val="00641703"/>
    <w:rsid w:val="006431A6"/>
    <w:rsid w:val="00643E3A"/>
    <w:rsid w:val="00644ECE"/>
    <w:rsid w:val="006459F6"/>
    <w:rsid w:val="006501AD"/>
    <w:rsid w:val="00651BFA"/>
    <w:rsid w:val="00652D1E"/>
    <w:rsid w:val="00653DA0"/>
    <w:rsid w:val="00654475"/>
    <w:rsid w:val="00656DF0"/>
    <w:rsid w:val="00657CD1"/>
    <w:rsid w:val="00660CBD"/>
    <w:rsid w:val="006622A7"/>
    <w:rsid w:val="00665A4B"/>
    <w:rsid w:val="00670C29"/>
    <w:rsid w:val="00670FAE"/>
    <w:rsid w:val="00676D88"/>
    <w:rsid w:val="00677DBF"/>
    <w:rsid w:val="00681A4E"/>
    <w:rsid w:val="00682F43"/>
    <w:rsid w:val="00683434"/>
    <w:rsid w:val="00686B1D"/>
    <w:rsid w:val="00686C40"/>
    <w:rsid w:val="00687D9F"/>
    <w:rsid w:val="00692A11"/>
    <w:rsid w:val="00692E2A"/>
    <w:rsid w:val="00693481"/>
    <w:rsid w:val="0069496A"/>
    <w:rsid w:val="006968AB"/>
    <w:rsid w:val="00696C1C"/>
    <w:rsid w:val="00697127"/>
    <w:rsid w:val="006A7696"/>
    <w:rsid w:val="006A76F2"/>
    <w:rsid w:val="006A7AA0"/>
    <w:rsid w:val="006B1AD4"/>
    <w:rsid w:val="006B3037"/>
    <w:rsid w:val="006B4C7F"/>
    <w:rsid w:val="006B4F1D"/>
    <w:rsid w:val="006B7260"/>
    <w:rsid w:val="006B7D29"/>
    <w:rsid w:val="006C05B7"/>
    <w:rsid w:val="006C1088"/>
    <w:rsid w:val="006C4068"/>
    <w:rsid w:val="006C5082"/>
    <w:rsid w:val="006C5749"/>
    <w:rsid w:val="006D145A"/>
    <w:rsid w:val="006D169F"/>
    <w:rsid w:val="006D19D4"/>
    <w:rsid w:val="006D214C"/>
    <w:rsid w:val="006D4DE3"/>
    <w:rsid w:val="006D5644"/>
    <w:rsid w:val="006D5BCA"/>
    <w:rsid w:val="006D667A"/>
    <w:rsid w:val="006D7923"/>
    <w:rsid w:val="006D7C69"/>
    <w:rsid w:val="006D7EFB"/>
    <w:rsid w:val="006E0C39"/>
    <w:rsid w:val="006E1A2E"/>
    <w:rsid w:val="006E4FAF"/>
    <w:rsid w:val="006E58D7"/>
    <w:rsid w:val="006E6672"/>
    <w:rsid w:val="006E6722"/>
    <w:rsid w:val="006E7101"/>
    <w:rsid w:val="006F7AFF"/>
    <w:rsid w:val="007004FB"/>
    <w:rsid w:val="007027B9"/>
    <w:rsid w:val="007047D5"/>
    <w:rsid w:val="007055F4"/>
    <w:rsid w:val="00705951"/>
    <w:rsid w:val="007066B5"/>
    <w:rsid w:val="00706E76"/>
    <w:rsid w:val="007114C6"/>
    <w:rsid w:val="00711DD6"/>
    <w:rsid w:val="007145A7"/>
    <w:rsid w:val="007145DA"/>
    <w:rsid w:val="00715280"/>
    <w:rsid w:val="00715BC2"/>
    <w:rsid w:val="00715E88"/>
    <w:rsid w:val="00716803"/>
    <w:rsid w:val="00716D8B"/>
    <w:rsid w:val="007170F7"/>
    <w:rsid w:val="0072039D"/>
    <w:rsid w:val="00723437"/>
    <w:rsid w:val="00723B6C"/>
    <w:rsid w:val="00726051"/>
    <w:rsid w:val="007265D5"/>
    <w:rsid w:val="00727394"/>
    <w:rsid w:val="00730218"/>
    <w:rsid w:val="007311EE"/>
    <w:rsid w:val="00731576"/>
    <w:rsid w:val="00731C4E"/>
    <w:rsid w:val="007330F9"/>
    <w:rsid w:val="00734CAA"/>
    <w:rsid w:val="0073584A"/>
    <w:rsid w:val="007363EE"/>
    <w:rsid w:val="00737EF7"/>
    <w:rsid w:val="00740EE2"/>
    <w:rsid w:val="00742680"/>
    <w:rsid w:val="007445C6"/>
    <w:rsid w:val="007479FE"/>
    <w:rsid w:val="00747B72"/>
    <w:rsid w:val="00751825"/>
    <w:rsid w:val="00755079"/>
    <w:rsid w:val="0075533C"/>
    <w:rsid w:val="00755A18"/>
    <w:rsid w:val="00755D83"/>
    <w:rsid w:val="00757380"/>
    <w:rsid w:val="00757581"/>
    <w:rsid w:val="007602F5"/>
    <w:rsid w:val="00760D36"/>
    <w:rsid w:val="007611A0"/>
    <w:rsid w:val="007636C4"/>
    <w:rsid w:val="007661A1"/>
    <w:rsid w:val="00767BFE"/>
    <w:rsid w:val="00767D30"/>
    <w:rsid w:val="00767F6B"/>
    <w:rsid w:val="00772574"/>
    <w:rsid w:val="00773E54"/>
    <w:rsid w:val="0077441D"/>
    <w:rsid w:val="007746F5"/>
    <w:rsid w:val="00774B38"/>
    <w:rsid w:val="00776BEA"/>
    <w:rsid w:val="0077732E"/>
    <w:rsid w:val="0078183C"/>
    <w:rsid w:val="00781DFC"/>
    <w:rsid w:val="0078701E"/>
    <w:rsid w:val="007875B8"/>
    <w:rsid w:val="00787688"/>
    <w:rsid w:val="00790F4A"/>
    <w:rsid w:val="007935E6"/>
    <w:rsid w:val="0079421B"/>
    <w:rsid w:val="007968AD"/>
    <w:rsid w:val="00796D3F"/>
    <w:rsid w:val="007A131C"/>
    <w:rsid w:val="007A1683"/>
    <w:rsid w:val="007A1BFB"/>
    <w:rsid w:val="007A3B6F"/>
    <w:rsid w:val="007A5C12"/>
    <w:rsid w:val="007A64F3"/>
    <w:rsid w:val="007A7CB0"/>
    <w:rsid w:val="007B0270"/>
    <w:rsid w:val="007B1846"/>
    <w:rsid w:val="007B1A70"/>
    <w:rsid w:val="007B31FB"/>
    <w:rsid w:val="007B4546"/>
    <w:rsid w:val="007B512C"/>
    <w:rsid w:val="007B5A1D"/>
    <w:rsid w:val="007B6424"/>
    <w:rsid w:val="007B68A3"/>
    <w:rsid w:val="007C2541"/>
    <w:rsid w:val="007C3941"/>
    <w:rsid w:val="007D4814"/>
    <w:rsid w:val="007D4E66"/>
    <w:rsid w:val="007D6524"/>
    <w:rsid w:val="007D66A8"/>
    <w:rsid w:val="007D736F"/>
    <w:rsid w:val="007D789B"/>
    <w:rsid w:val="007E003F"/>
    <w:rsid w:val="007E0C1B"/>
    <w:rsid w:val="007E511B"/>
    <w:rsid w:val="007E78E9"/>
    <w:rsid w:val="007E7A7B"/>
    <w:rsid w:val="007F0033"/>
    <w:rsid w:val="007F0CF8"/>
    <w:rsid w:val="007F427B"/>
    <w:rsid w:val="007F5E1B"/>
    <w:rsid w:val="007F62CB"/>
    <w:rsid w:val="007F7A62"/>
    <w:rsid w:val="00800080"/>
    <w:rsid w:val="00802517"/>
    <w:rsid w:val="00802BE4"/>
    <w:rsid w:val="008142EC"/>
    <w:rsid w:val="00815020"/>
    <w:rsid w:val="00815F2E"/>
    <w:rsid w:val="008164F2"/>
    <w:rsid w:val="00821395"/>
    <w:rsid w:val="00824F2D"/>
    <w:rsid w:val="0082626E"/>
    <w:rsid w:val="00830E26"/>
    <w:rsid w:val="0083340D"/>
    <w:rsid w:val="00834368"/>
    <w:rsid w:val="0083441A"/>
    <w:rsid w:val="008349B1"/>
    <w:rsid w:val="0083636C"/>
    <w:rsid w:val="00836EBA"/>
    <w:rsid w:val="00841043"/>
    <w:rsid w:val="008425D8"/>
    <w:rsid w:val="00843576"/>
    <w:rsid w:val="00843B64"/>
    <w:rsid w:val="00844147"/>
    <w:rsid w:val="00845261"/>
    <w:rsid w:val="008478FC"/>
    <w:rsid w:val="00851014"/>
    <w:rsid w:val="00851C51"/>
    <w:rsid w:val="008538F7"/>
    <w:rsid w:val="008541DC"/>
    <w:rsid w:val="008549ED"/>
    <w:rsid w:val="00860AC0"/>
    <w:rsid w:val="008643EE"/>
    <w:rsid w:val="00865EB1"/>
    <w:rsid w:val="0086757E"/>
    <w:rsid w:val="00867BFF"/>
    <w:rsid w:val="00870215"/>
    <w:rsid w:val="00871542"/>
    <w:rsid w:val="00871A7D"/>
    <w:rsid w:val="00871F2F"/>
    <w:rsid w:val="00872BF6"/>
    <w:rsid w:val="008735C5"/>
    <w:rsid w:val="0087433C"/>
    <w:rsid w:val="0087796B"/>
    <w:rsid w:val="0088480A"/>
    <w:rsid w:val="0088650A"/>
    <w:rsid w:val="0088757A"/>
    <w:rsid w:val="00890358"/>
    <w:rsid w:val="0089120E"/>
    <w:rsid w:val="00891EA5"/>
    <w:rsid w:val="00892910"/>
    <w:rsid w:val="00892DE1"/>
    <w:rsid w:val="00893D2A"/>
    <w:rsid w:val="0089431B"/>
    <w:rsid w:val="00895668"/>
    <w:rsid w:val="008957DD"/>
    <w:rsid w:val="00897D98"/>
    <w:rsid w:val="008A032F"/>
    <w:rsid w:val="008A05C2"/>
    <w:rsid w:val="008A261B"/>
    <w:rsid w:val="008A2801"/>
    <w:rsid w:val="008A6DF2"/>
    <w:rsid w:val="008A743C"/>
    <w:rsid w:val="008A7807"/>
    <w:rsid w:val="008B1DF7"/>
    <w:rsid w:val="008B4CC9"/>
    <w:rsid w:val="008B725B"/>
    <w:rsid w:val="008C0B15"/>
    <w:rsid w:val="008C1FBD"/>
    <w:rsid w:val="008C3DA2"/>
    <w:rsid w:val="008C7C57"/>
    <w:rsid w:val="008D01BD"/>
    <w:rsid w:val="008D0E97"/>
    <w:rsid w:val="008D1ED6"/>
    <w:rsid w:val="008D2CA9"/>
    <w:rsid w:val="008D3539"/>
    <w:rsid w:val="008D4674"/>
    <w:rsid w:val="008D75E4"/>
    <w:rsid w:val="008D7ADA"/>
    <w:rsid w:val="008D7C99"/>
    <w:rsid w:val="008E0FCB"/>
    <w:rsid w:val="008E34D9"/>
    <w:rsid w:val="008F25AA"/>
    <w:rsid w:val="008F3D2B"/>
    <w:rsid w:val="008F4D12"/>
    <w:rsid w:val="008F5CA8"/>
    <w:rsid w:val="008F6DFE"/>
    <w:rsid w:val="008F77F9"/>
    <w:rsid w:val="00901DBE"/>
    <w:rsid w:val="00905166"/>
    <w:rsid w:val="0090529F"/>
    <w:rsid w:val="009053C3"/>
    <w:rsid w:val="00905AD7"/>
    <w:rsid w:val="00906F0A"/>
    <w:rsid w:val="009125AF"/>
    <w:rsid w:val="00920EF1"/>
    <w:rsid w:val="0092178C"/>
    <w:rsid w:val="0092538E"/>
    <w:rsid w:val="0092628E"/>
    <w:rsid w:val="00930B88"/>
    <w:rsid w:val="0093456E"/>
    <w:rsid w:val="00935376"/>
    <w:rsid w:val="00935817"/>
    <w:rsid w:val="00940DCC"/>
    <w:rsid w:val="0094179A"/>
    <w:rsid w:val="00943DC4"/>
    <w:rsid w:val="0094459E"/>
    <w:rsid w:val="00944DBC"/>
    <w:rsid w:val="009451BB"/>
    <w:rsid w:val="00946A93"/>
    <w:rsid w:val="009473E1"/>
    <w:rsid w:val="00947CFA"/>
    <w:rsid w:val="00950977"/>
    <w:rsid w:val="0095102B"/>
    <w:rsid w:val="00951A7B"/>
    <w:rsid w:val="00955512"/>
    <w:rsid w:val="009557F8"/>
    <w:rsid w:val="009564A6"/>
    <w:rsid w:val="00957120"/>
    <w:rsid w:val="00957EF8"/>
    <w:rsid w:val="009617AB"/>
    <w:rsid w:val="0096247A"/>
    <w:rsid w:val="00963095"/>
    <w:rsid w:val="0096553B"/>
    <w:rsid w:val="00966A53"/>
    <w:rsid w:val="00966E25"/>
    <w:rsid w:val="0096715A"/>
    <w:rsid w:val="00967621"/>
    <w:rsid w:val="00967E6A"/>
    <w:rsid w:val="00972425"/>
    <w:rsid w:val="00972C49"/>
    <w:rsid w:val="0098077A"/>
    <w:rsid w:val="0099003C"/>
    <w:rsid w:val="009907B9"/>
    <w:rsid w:val="00990918"/>
    <w:rsid w:val="00990DF9"/>
    <w:rsid w:val="00990E1B"/>
    <w:rsid w:val="00995DBC"/>
    <w:rsid w:val="00995F3C"/>
    <w:rsid w:val="00996BF1"/>
    <w:rsid w:val="009A061D"/>
    <w:rsid w:val="009A12C3"/>
    <w:rsid w:val="009A29A2"/>
    <w:rsid w:val="009A3A83"/>
    <w:rsid w:val="009A3FB1"/>
    <w:rsid w:val="009A6BF1"/>
    <w:rsid w:val="009B2DF7"/>
    <w:rsid w:val="009B32D1"/>
    <w:rsid w:val="009B44C9"/>
    <w:rsid w:val="009B4A0F"/>
    <w:rsid w:val="009B546A"/>
    <w:rsid w:val="009B5684"/>
    <w:rsid w:val="009B691D"/>
    <w:rsid w:val="009B71AB"/>
    <w:rsid w:val="009C11D2"/>
    <w:rsid w:val="009C2532"/>
    <w:rsid w:val="009C2A09"/>
    <w:rsid w:val="009C4F01"/>
    <w:rsid w:val="009C52E8"/>
    <w:rsid w:val="009C55D7"/>
    <w:rsid w:val="009C6C70"/>
    <w:rsid w:val="009C7B0A"/>
    <w:rsid w:val="009D036D"/>
    <w:rsid w:val="009D0B63"/>
    <w:rsid w:val="009D12F5"/>
    <w:rsid w:val="009D294E"/>
    <w:rsid w:val="009D4F1A"/>
    <w:rsid w:val="009D4F21"/>
    <w:rsid w:val="009D509F"/>
    <w:rsid w:val="009D5C92"/>
    <w:rsid w:val="009D5CB8"/>
    <w:rsid w:val="009E0120"/>
    <w:rsid w:val="009E027F"/>
    <w:rsid w:val="009E307E"/>
    <w:rsid w:val="009E63BD"/>
    <w:rsid w:val="009E64B0"/>
    <w:rsid w:val="009F2E94"/>
    <w:rsid w:val="009F596E"/>
    <w:rsid w:val="00A023C0"/>
    <w:rsid w:val="00A05DAE"/>
    <w:rsid w:val="00A06A39"/>
    <w:rsid w:val="00A07870"/>
    <w:rsid w:val="00A07B09"/>
    <w:rsid w:val="00A07C54"/>
    <w:rsid w:val="00A07F01"/>
    <w:rsid w:val="00A07F19"/>
    <w:rsid w:val="00A10ABB"/>
    <w:rsid w:val="00A1348D"/>
    <w:rsid w:val="00A138A1"/>
    <w:rsid w:val="00A13C99"/>
    <w:rsid w:val="00A15C38"/>
    <w:rsid w:val="00A16415"/>
    <w:rsid w:val="00A176CA"/>
    <w:rsid w:val="00A2178F"/>
    <w:rsid w:val="00A220F7"/>
    <w:rsid w:val="00A232EE"/>
    <w:rsid w:val="00A23B74"/>
    <w:rsid w:val="00A23EA7"/>
    <w:rsid w:val="00A25F9E"/>
    <w:rsid w:val="00A26651"/>
    <w:rsid w:val="00A27D30"/>
    <w:rsid w:val="00A31E85"/>
    <w:rsid w:val="00A32D85"/>
    <w:rsid w:val="00A34AD8"/>
    <w:rsid w:val="00A35572"/>
    <w:rsid w:val="00A35F55"/>
    <w:rsid w:val="00A4175F"/>
    <w:rsid w:val="00A44411"/>
    <w:rsid w:val="00A469FA"/>
    <w:rsid w:val="00A46AE2"/>
    <w:rsid w:val="00A47FB0"/>
    <w:rsid w:val="00A53662"/>
    <w:rsid w:val="00A55B01"/>
    <w:rsid w:val="00A56B5B"/>
    <w:rsid w:val="00A60181"/>
    <w:rsid w:val="00A60336"/>
    <w:rsid w:val="00A603FF"/>
    <w:rsid w:val="00A619B6"/>
    <w:rsid w:val="00A64160"/>
    <w:rsid w:val="00A648CA"/>
    <w:rsid w:val="00A657DD"/>
    <w:rsid w:val="00A66558"/>
    <w:rsid w:val="00A666A6"/>
    <w:rsid w:val="00A673FE"/>
    <w:rsid w:val="00A675FD"/>
    <w:rsid w:val="00A7033C"/>
    <w:rsid w:val="00A7082A"/>
    <w:rsid w:val="00A72437"/>
    <w:rsid w:val="00A8048B"/>
    <w:rsid w:val="00A80611"/>
    <w:rsid w:val="00A81499"/>
    <w:rsid w:val="00A81A69"/>
    <w:rsid w:val="00A84C80"/>
    <w:rsid w:val="00A85D3F"/>
    <w:rsid w:val="00A87154"/>
    <w:rsid w:val="00A9471A"/>
    <w:rsid w:val="00A94D54"/>
    <w:rsid w:val="00A95DE3"/>
    <w:rsid w:val="00A965EE"/>
    <w:rsid w:val="00A9792E"/>
    <w:rsid w:val="00A97AC8"/>
    <w:rsid w:val="00AA210D"/>
    <w:rsid w:val="00AA2E51"/>
    <w:rsid w:val="00AA31B0"/>
    <w:rsid w:val="00AA40F8"/>
    <w:rsid w:val="00AA4A0E"/>
    <w:rsid w:val="00AA5BF4"/>
    <w:rsid w:val="00AA5D77"/>
    <w:rsid w:val="00AB3B26"/>
    <w:rsid w:val="00AB3E9B"/>
    <w:rsid w:val="00AB5340"/>
    <w:rsid w:val="00AB79ED"/>
    <w:rsid w:val="00AB7FBE"/>
    <w:rsid w:val="00AC0A89"/>
    <w:rsid w:val="00AC0CCA"/>
    <w:rsid w:val="00AC0FC9"/>
    <w:rsid w:val="00AC30F5"/>
    <w:rsid w:val="00AC39AF"/>
    <w:rsid w:val="00AC65D1"/>
    <w:rsid w:val="00AC680B"/>
    <w:rsid w:val="00AC6CC5"/>
    <w:rsid w:val="00AC7C96"/>
    <w:rsid w:val="00AD1D7F"/>
    <w:rsid w:val="00AD29EE"/>
    <w:rsid w:val="00AD2FC4"/>
    <w:rsid w:val="00AD3593"/>
    <w:rsid w:val="00AD37EC"/>
    <w:rsid w:val="00AD4503"/>
    <w:rsid w:val="00AD7ACF"/>
    <w:rsid w:val="00AE0812"/>
    <w:rsid w:val="00AE118E"/>
    <w:rsid w:val="00AE119F"/>
    <w:rsid w:val="00AE237D"/>
    <w:rsid w:val="00AE2C51"/>
    <w:rsid w:val="00AE2D06"/>
    <w:rsid w:val="00AE502A"/>
    <w:rsid w:val="00AF0010"/>
    <w:rsid w:val="00AF094D"/>
    <w:rsid w:val="00AF0CF7"/>
    <w:rsid w:val="00AF1AA8"/>
    <w:rsid w:val="00AF2C1F"/>
    <w:rsid w:val="00AF2EEB"/>
    <w:rsid w:val="00AF5000"/>
    <w:rsid w:val="00AF549A"/>
    <w:rsid w:val="00AF7C07"/>
    <w:rsid w:val="00B0048F"/>
    <w:rsid w:val="00B00667"/>
    <w:rsid w:val="00B03CDB"/>
    <w:rsid w:val="00B06C64"/>
    <w:rsid w:val="00B07D8E"/>
    <w:rsid w:val="00B118EA"/>
    <w:rsid w:val="00B11CAC"/>
    <w:rsid w:val="00B1232F"/>
    <w:rsid w:val="00B13D2A"/>
    <w:rsid w:val="00B14C4B"/>
    <w:rsid w:val="00B15A29"/>
    <w:rsid w:val="00B17724"/>
    <w:rsid w:val="00B179BF"/>
    <w:rsid w:val="00B22C93"/>
    <w:rsid w:val="00B22E9B"/>
    <w:rsid w:val="00B24582"/>
    <w:rsid w:val="00B26660"/>
    <w:rsid w:val="00B27203"/>
    <w:rsid w:val="00B27589"/>
    <w:rsid w:val="00B31474"/>
    <w:rsid w:val="00B33D33"/>
    <w:rsid w:val="00B405B7"/>
    <w:rsid w:val="00B426CD"/>
    <w:rsid w:val="00B451B8"/>
    <w:rsid w:val="00B468C0"/>
    <w:rsid w:val="00B505A2"/>
    <w:rsid w:val="00B50AB4"/>
    <w:rsid w:val="00B52222"/>
    <w:rsid w:val="00B531DA"/>
    <w:rsid w:val="00B54895"/>
    <w:rsid w:val="00B54ABB"/>
    <w:rsid w:val="00B54FE7"/>
    <w:rsid w:val="00B56FE3"/>
    <w:rsid w:val="00B57520"/>
    <w:rsid w:val="00B605AA"/>
    <w:rsid w:val="00B62407"/>
    <w:rsid w:val="00B647C6"/>
    <w:rsid w:val="00B655F9"/>
    <w:rsid w:val="00B66901"/>
    <w:rsid w:val="00B66F60"/>
    <w:rsid w:val="00B67989"/>
    <w:rsid w:val="00B70CE2"/>
    <w:rsid w:val="00B71453"/>
    <w:rsid w:val="00B71E6D"/>
    <w:rsid w:val="00B72070"/>
    <w:rsid w:val="00B739CC"/>
    <w:rsid w:val="00B73F5A"/>
    <w:rsid w:val="00B779E1"/>
    <w:rsid w:val="00B81E3A"/>
    <w:rsid w:val="00B8595C"/>
    <w:rsid w:val="00B85CFB"/>
    <w:rsid w:val="00B90B5B"/>
    <w:rsid w:val="00B914E9"/>
    <w:rsid w:val="00B91EE1"/>
    <w:rsid w:val="00B94602"/>
    <w:rsid w:val="00BA0090"/>
    <w:rsid w:val="00BA133D"/>
    <w:rsid w:val="00BA1A67"/>
    <w:rsid w:val="00BA6A80"/>
    <w:rsid w:val="00BA6CFA"/>
    <w:rsid w:val="00BB26EB"/>
    <w:rsid w:val="00BB2C85"/>
    <w:rsid w:val="00BB4ABB"/>
    <w:rsid w:val="00BB7121"/>
    <w:rsid w:val="00BB7647"/>
    <w:rsid w:val="00BC0F67"/>
    <w:rsid w:val="00BC254A"/>
    <w:rsid w:val="00BC351B"/>
    <w:rsid w:val="00BC3F9F"/>
    <w:rsid w:val="00BC4BFC"/>
    <w:rsid w:val="00BC507E"/>
    <w:rsid w:val="00BC53BA"/>
    <w:rsid w:val="00BC5645"/>
    <w:rsid w:val="00BC57A1"/>
    <w:rsid w:val="00BC62BA"/>
    <w:rsid w:val="00BC67D7"/>
    <w:rsid w:val="00BD473C"/>
    <w:rsid w:val="00BD604A"/>
    <w:rsid w:val="00BD704B"/>
    <w:rsid w:val="00BD77E5"/>
    <w:rsid w:val="00BE03D7"/>
    <w:rsid w:val="00BE0EC1"/>
    <w:rsid w:val="00BE13CD"/>
    <w:rsid w:val="00BE4B84"/>
    <w:rsid w:val="00BE5431"/>
    <w:rsid w:val="00BE5B5F"/>
    <w:rsid w:val="00BE5BE5"/>
    <w:rsid w:val="00BE7993"/>
    <w:rsid w:val="00BE7E28"/>
    <w:rsid w:val="00BF0CFE"/>
    <w:rsid w:val="00BF1456"/>
    <w:rsid w:val="00BF19F2"/>
    <w:rsid w:val="00BF2AF8"/>
    <w:rsid w:val="00BF507F"/>
    <w:rsid w:val="00BF54D6"/>
    <w:rsid w:val="00C0043D"/>
    <w:rsid w:val="00C00A80"/>
    <w:rsid w:val="00C01AD3"/>
    <w:rsid w:val="00C031D0"/>
    <w:rsid w:val="00C03257"/>
    <w:rsid w:val="00C03D2E"/>
    <w:rsid w:val="00C06EA9"/>
    <w:rsid w:val="00C07333"/>
    <w:rsid w:val="00C114B7"/>
    <w:rsid w:val="00C11971"/>
    <w:rsid w:val="00C179DE"/>
    <w:rsid w:val="00C202B3"/>
    <w:rsid w:val="00C20EFE"/>
    <w:rsid w:val="00C217A2"/>
    <w:rsid w:val="00C268DF"/>
    <w:rsid w:val="00C26F55"/>
    <w:rsid w:val="00C30206"/>
    <w:rsid w:val="00C3080B"/>
    <w:rsid w:val="00C30C63"/>
    <w:rsid w:val="00C30FF3"/>
    <w:rsid w:val="00C32A9A"/>
    <w:rsid w:val="00C33ECE"/>
    <w:rsid w:val="00C34D5C"/>
    <w:rsid w:val="00C3589A"/>
    <w:rsid w:val="00C36B8B"/>
    <w:rsid w:val="00C37932"/>
    <w:rsid w:val="00C37B74"/>
    <w:rsid w:val="00C40D44"/>
    <w:rsid w:val="00C415C1"/>
    <w:rsid w:val="00C422E3"/>
    <w:rsid w:val="00C42763"/>
    <w:rsid w:val="00C433AC"/>
    <w:rsid w:val="00C43F22"/>
    <w:rsid w:val="00C457D8"/>
    <w:rsid w:val="00C47DBF"/>
    <w:rsid w:val="00C5004A"/>
    <w:rsid w:val="00C5197A"/>
    <w:rsid w:val="00C5288F"/>
    <w:rsid w:val="00C54FDE"/>
    <w:rsid w:val="00C552FF"/>
    <w:rsid w:val="00C558DA"/>
    <w:rsid w:val="00C55AF3"/>
    <w:rsid w:val="00C56BC2"/>
    <w:rsid w:val="00C60C79"/>
    <w:rsid w:val="00C60E1C"/>
    <w:rsid w:val="00C611FC"/>
    <w:rsid w:val="00C771A9"/>
    <w:rsid w:val="00C80A1D"/>
    <w:rsid w:val="00C82943"/>
    <w:rsid w:val="00C832DE"/>
    <w:rsid w:val="00C8347D"/>
    <w:rsid w:val="00C84759"/>
    <w:rsid w:val="00C8535A"/>
    <w:rsid w:val="00C860C6"/>
    <w:rsid w:val="00C86AD9"/>
    <w:rsid w:val="00C86C21"/>
    <w:rsid w:val="00C870D3"/>
    <w:rsid w:val="00C87D9C"/>
    <w:rsid w:val="00C93096"/>
    <w:rsid w:val="00C93888"/>
    <w:rsid w:val="00C943B2"/>
    <w:rsid w:val="00C95B7D"/>
    <w:rsid w:val="00CA1198"/>
    <w:rsid w:val="00CA141F"/>
    <w:rsid w:val="00CA161C"/>
    <w:rsid w:val="00CA2647"/>
    <w:rsid w:val="00CA5CA9"/>
    <w:rsid w:val="00CA6154"/>
    <w:rsid w:val="00CA6C7F"/>
    <w:rsid w:val="00CB007D"/>
    <w:rsid w:val="00CB1EBE"/>
    <w:rsid w:val="00CB229E"/>
    <w:rsid w:val="00CB2628"/>
    <w:rsid w:val="00CB38F6"/>
    <w:rsid w:val="00CB60CA"/>
    <w:rsid w:val="00CC0FC7"/>
    <w:rsid w:val="00CC10A6"/>
    <w:rsid w:val="00CC19E4"/>
    <w:rsid w:val="00CC2EF0"/>
    <w:rsid w:val="00CC57F8"/>
    <w:rsid w:val="00CC6D5F"/>
    <w:rsid w:val="00CD282C"/>
    <w:rsid w:val="00CD2A00"/>
    <w:rsid w:val="00CD3A0F"/>
    <w:rsid w:val="00CD585A"/>
    <w:rsid w:val="00CD5EB8"/>
    <w:rsid w:val="00CD6283"/>
    <w:rsid w:val="00CD7044"/>
    <w:rsid w:val="00CE08B9"/>
    <w:rsid w:val="00CE13C3"/>
    <w:rsid w:val="00CE25B9"/>
    <w:rsid w:val="00CE29CB"/>
    <w:rsid w:val="00CE3515"/>
    <w:rsid w:val="00CE502E"/>
    <w:rsid w:val="00CE524C"/>
    <w:rsid w:val="00CE5F69"/>
    <w:rsid w:val="00CE7722"/>
    <w:rsid w:val="00CF0BFD"/>
    <w:rsid w:val="00CF141F"/>
    <w:rsid w:val="00CF4777"/>
    <w:rsid w:val="00CF65C8"/>
    <w:rsid w:val="00CF73E2"/>
    <w:rsid w:val="00D013F5"/>
    <w:rsid w:val="00D01C9C"/>
    <w:rsid w:val="00D02286"/>
    <w:rsid w:val="00D03046"/>
    <w:rsid w:val="00D035C4"/>
    <w:rsid w:val="00D036A3"/>
    <w:rsid w:val="00D049C8"/>
    <w:rsid w:val="00D05E3F"/>
    <w:rsid w:val="00D067BB"/>
    <w:rsid w:val="00D07009"/>
    <w:rsid w:val="00D1352A"/>
    <w:rsid w:val="00D14D8F"/>
    <w:rsid w:val="00D14FE4"/>
    <w:rsid w:val="00D157F5"/>
    <w:rsid w:val="00D15BB4"/>
    <w:rsid w:val="00D1638E"/>
    <w:rsid w:val="00D169AF"/>
    <w:rsid w:val="00D200EF"/>
    <w:rsid w:val="00D24300"/>
    <w:rsid w:val="00D24A13"/>
    <w:rsid w:val="00D25175"/>
    <w:rsid w:val="00D25249"/>
    <w:rsid w:val="00D26854"/>
    <w:rsid w:val="00D26BF5"/>
    <w:rsid w:val="00D34FF8"/>
    <w:rsid w:val="00D35835"/>
    <w:rsid w:val="00D417B1"/>
    <w:rsid w:val="00D44172"/>
    <w:rsid w:val="00D47BE3"/>
    <w:rsid w:val="00D50042"/>
    <w:rsid w:val="00D505FA"/>
    <w:rsid w:val="00D51FD9"/>
    <w:rsid w:val="00D5234D"/>
    <w:rsid w:val="00D540A5"/>
    <w:rsid w:val="00D5474A"/>
    <w:rsid w:val="00D57009"/>
    <w:rsid w:val="00D60B33"/>
    <w:rsid w:val="00D60C5A"/>
    <w:rsid w:val="00D61551"/>
    <w:rsid w:val="00D638E0"/>
    <w:rsid w:val="00D63B8C"/>
    <w:rsid w:val="00D64654"/>
    <w:rsid w:val="00D648F6"/>
    <w:rsid w:val="00D6688B"/>
    <w:rsid w:val="00D67D13"/>
    <w:rsid w:val="00D739CC"/>
    <w:rsid w:val="00D75F73"/>
    <w:rsid w:val="00D766F6"/>
    <w:rsid w:val="00D76CD4"/>
    <w:rsid w:val="00D77C35"/>
    <w:rsid w:val="00D80134"/>
    <w:rsid w:val="00D806F9"/>
    <w:rsid w:val="00D8093D"/>
    <w:rsid w:val="00D8108C"/>
    <w:rsid w:val="00D842AE"/>
    <w:rsid w:val="00D90BAA"/>
    <w:rsid w:val="00D9211C"/>
    <w:rsid w:val="00D92DE0"/>
    <w:rsid w:val="00D92FEF"/>
    <w:rsid w:val="00D931F9"/>
    <w:rsid w:val="00D93A0F"/>
    <w:rsid w:val="00D94081"/>
    <w:rsid w:val="00D94609"/>
    <w:rsid w:val="00D95755"/>
    <w:rsid w:val="00D97546"/>
    <w:rsid w:val="00D97A8A"/>
    <w:rsid w:val="00DA11EA"/>
    <w:rsid w:val="00DA1BCA"/>
    <w:rsid w:val="00DA324E"/>
    <w:rsid w:val="00DA3663"/>
    <w:rsid w:val="00DA610F"/>
    <w:rsid w:val="00DA659A"/>
    <w:rsid w:val="00DA68FD"/>
    <w:rsid w:val="00DA780B"/>
    <w:rsid w:val="00DB1640"/>
    <w:rsid w:val="00DB1C90"/>
    <w:rsid w:val="00DC1845"/>
    <w:rsid w:val="00DC22D3"/>
    <w:rsid w:val="00DC274A"/>
    <w:rsid w:val="00DC46FF"/>
    <w:rsid w:val="00DC497A"/>
    <w:rsid w:val="00DC5254"/>
    <w:rsid w:val="00DC569D"/>
    <w:rsid w:val="00DC6661"/>
    <w:rsid w:val="00DD1A4F"/>
    <w:rsid w:val="00DD3107"/>
    <w:rsid w:val="00DD3130"/>
    <w:rsid w:val="00DD5908"/>
    <w:rsid w:val="00DD7C2C"/>
    <w:rsid w:val="00DE298C"/>
    <w:rsid w:val="00DE2DE4"/>
    <w:rsid w:val="00DE335D"/>
    <w:rsid w:val="00DE3DD2"/>
    <w:rsid w:val="00DE5BDA"/>
    <w:rsid w:val="00DE7BA0"/>
    <w:rsid w:val="00DF0641"/>
    <w:rsid w:val="00DF174D"/>
    <w:rsid w:val="00DF30E2"/>
    <w:rsid w:val="00DF344A"/>
    <w:rsid w:val="00DF38B8"/>
    <w:rsid w:val="00DF433C"/>
    <w:rsid w:val="00DF519F"/>
    <w:rsid w:val="00DF5F15"/>
    <w:rsid w:val="00E00008"/>
    <w:rsid w:val="00E0035A"/>
    <w:rsid w:val="00E00A79"/>
    <w:rsid w:val="00E05356"/>
    <w:rsid w:val="00E0673E"/>
    <w:rsid w:val="00E06797"/>
    <w:rsid w:val="00E06D79"/>
    <w:rsid w:val="00E07443"/>
    <w:rsid w:val="00E1265B"/>
    <w:rsid w:val="00E12E09"/>
    <w:rsid w:val="00E13B48"/>
    <w:rsid w:val="00E1404F"/>
    <w:rsid w:val="00E14B9C"/>
    <w:rsid w:val="00E17780"/>
    <w:rsid w:val="00E17F33"/>
    <w:rsid w:val="00E20086"/>
    <w:rsid w:val="00E20B37"/>
    <w:rsid w:val="00E21C83"/>
    <w:rsid w:val="00E21E02"/>
    <w:rsid w:val="00E2232C"/>
    <w:rsid w:val="00E2358D"/>
    <w:rsid w:val="00E23737"/>
    <w:rsid w:val="00E24ADA"/>
    <w:rsid w:val="00E27760"/>
    <w:rsid w:val="00E311E8"/>
    <w:rsid w:val="00E321C7"/>
    <w:rsid w:val="00E323FA"/>
    <w:rsid w:val="00E32F59"/>
    <w:rsid w:val="00E33B25"/>
    <w:rsid w:val="00E34240"/>
    <w:rsid w:val="00E34BC4"/>
    <w:rsid w:val="00E35212"/>
    <w:rsid w:val="00E360AB"/>
    <w:rsid w:val="00E3750A"/>
    <w:rsid w:val="00E41908"/>
    <w:rsid w:val="00E439D3"/>
    <w:rsid w:val="00E46D9A"/>
    <w:rsid w:val="00E472C8"/>
    <w:rsid w:val="00E51E24"/>
    <w:rsid w:val="00E544F4"/>
    <w:rsid w:val="00E55328"/>
    <w:rsid w:val="00E565FF"/>
    <w:rsid w:val="00E56D6B"/>
    <w:rsid w:val="00E64DCB"/>
    <w:rsid w:val="00E65388"/>
    <w:rsid w:val="00E6633B"/>
    <w:rsid w:val="00E6709E"/>
    <w:rsid w:val="00E67667"/>
    <w:rsid w:val="00E73A69"/>
    <w:rsid w:val="00E74160"/>
    <w:rsid w:val="00E752A1"/>
    <w:rsid w:val="00E75BE3"/>
    <w:rsid w:val="00E7741D"/>
    <w:rsid w:val="00E77445"/>
    <w:rsid w:val="00E808CD"/>
    <w:rsid w:val="00E8348F"/>
    <w:rsid w:val="00E853C8"/>
    <w:rsid w:val="00E85854"/>
    <w:rsid w:val="00E85B7D"/>
    <w:rsid w:val="00E87919"/>
    <w:rsid w:val="00E9121B"/>
    <w:rsid w:val="00E92FAF"/>
    <w:rsid w:val="00E9302E"/>
    <w:rsid w:val="00E951E7"/>
    <w:rsid w:val="00E976AB"/>
    <w:rsid w:val="00EA0AE2"/>
    <w:rsid w:val="00EA157D"/>
    <w:rsid w:val="00EA239D"/>
    <w:rsid w:val="00EA39E5"/>
    <w:rsid w:val="00EA5785"/>
    <w:rsid w:val="00EA57A3"/>
    <w:rsid w:val="00EA57CE"/>
    <w:rsid w:val="00EA5FE9"/>
    <w:rsid w:val="00EA7037"/>
    <w:rsid w:val="00EB07D6"/>
    <w:rsid w:val="00EB3633"/>
    <w:rsid w:val="00EB3B1D"/>
    <w:rsid w:val="00EB7249"/>
    <w:rsid w:val="00EC2813"/>
    <w:rsid w:val="00EC349F"/>
    <w:rsid w:val="00EC362A"/>
    <w:rsid w:val="00EC5A46"/>
    <w:rsid w:val="00EC636E"/>
    <w:rsid w:val="00EC63E2"/>
    <w:rsid w:val="00ED0225"/>
    <w:rsid w:val="00ED1E2C"/>
    <w:rsid w:val="00ED366A"/>
    <w:rsid w:val="00ED4699"/>
    <w:rsid w:val="00ED510A"/>
    <w:rsid w:val="00ED6BB7"/>
    <w:rsid w:val="00EE120F"/>
    <w:rsid w:val="00EE18A1"/>
    <w:rsid w:val="00EE54A1"/>
    <w:rsid w:val="00EE6A6E"/>
    <w:rsid w:val="00EE6BE4"/>
    <w:rsid w:val="00EE7010"/>
    <w:rsid w:val="00EF0296"/>
    <w:rsid w:val="00EF0951"/>
    <w:rsid w:val="00EF0D69"/>
    <w:rsid w:val="00EF22B3"/>
    <w:rsid w:val="00EF314F"/>
    <w:rsid w:val="00EF3808"/>
    <w:rsid w:val="00EF5366"/>
    <w:rsid w:val="00EF7CA8"/>
    <w:rsid w:val="00F01791"/>
    <w:rsid w:val="00F03235"/>
    <w:rsid w:val="00F03979"/>
    <w:rsid w:val="00F03B69"/>
    <w:rsid w:val="00F03D2F"/>
    <w:rsid w:val="00F07A50"/>
    <w:rsid w:val="00F113DA"/>
    <w:rsid w:val="00F15160"/>
    <w:rsid w:val="00F1559E"/>
    <w:rsid w:val="00F22310"/>
    <w:rsid w:val="00F22360"/>
    <w:rsid w:val="00F22967"/>
    <w:rsid w:val="00F266FC"/>
    <w:rsid w:val="00F27FFB"/>
    <w:rsid w:val="00F30105"/>
    <w:rsid w:val="00F3037A"/>
    <w:rsid w:val="00F3091C"/>
    <w:rsid w:val="00F317CD"/>
    <w:rsid w:val="00F3395A"/>
    <w:rsid w:val="00F3465A"/>
    <w:rsid w:val="00F37DC8"/>
    <w:rsid w:val="00F40C70"/>
    <w:rsid w:val="00F4294B"/>
    <w:rsid w:val="00F439B3"/>
    <w:rsid w:val="00F47865"/>
    <w:rsid w:val="00F505E0"/>
    <w:rsid w:val="00F519E9"/>
    <w:rsid w:val="00F51B63"/>
    <w:rsid w:val="00F528E0"/>
    <w:rsid w:val="00F53463"/>
    <w:rsid w:val="00F55A86"/>
    <w:rsid w:val="00F55F57"/>
    <w:rsid w:val="00F56012"/>
    <w:rsid w:val="00F56194"/>
    <w:rsid w:val="00F572BB"/>
    <w:rsid w:val="00F57BFC"/>
    <w:rsid w:val="00F63534"/>
    <w:rsid w:val="00F650C3"/>
    <w:rsid w:val="00F65CA1"/>
    <w:rsid w:val="00F65CC1"/>
    <w:rsid w:val="00F65D85"/>
    <w:rsid w:val="00F6700B"/>
    <w:rsid w:val="00F679EA"/>
    <w:rsid w:val="00F7137B"/>
    <w:rsid w:val="00F75E76"/>
    <w:rsid w:val="00F8084E"/>
    <w:rsid w:val="00F8091E"/>
    <w:rsid w:val="00F85716"/>
    <w:rsid w:val="00F8615C"/>
    <w:rsid w:val="00F8699A"/>
    <w:rsid w:val="00F87352"/>
    <w:rsid w:val="00F91C4F"/>
    <w:rsid w:val="00F922D3"/>
    <w:rsid w:val="00F93600"/>
    <w:rsid w:val="00F94207"/>
    <w:rsid w:val="00F94B1B"/>
    <w:rsid w:val="00F969E5"/>
    <w:rsid w:val="00FA12A8"/>
    <w:rsid w:val="00FA3406"/>
    <w:rsid w:val="00FA4972"/>
    <w:rsid w:val="00FA6144"/>
    <w:rsid w:val="00FA6BB0"/>
    <w:rsid w:val="00FB142F"/>
    <w:rsid w:val="00FB2324"/>
    <w:rsid w:val="00FB2DBD"/>
    <w:rsid w:val="00FB3481"/>
    <w:rsid w:val="00FB4230"/>
    <w:rsid w:val="00FB539E"/>
    <w:rsid w:val="00FB5830"/>
    <w:rsid w:val="00FC34A7"/>
    <w:rsid w:val="00FC3DA6"/>
    <w:rsid w:val="00FC485A"/>
    <w:rsid w:val="00FD2698"/>
    <w:rsid w:val="00FD48DF"/>
    <w:rsid w:val="00FD5860"/>
    <w:rsid w:val="00FD6D11"/>
    <w:rsid w:val="00FE1452"/>
    <w:rsid w:val="00FE352D"/>
    <w:rsid w:val="00FE40EB"/>
    <w:rsid w:val="00FE4D02"/>
    <w:rsid w:val="00FE67ED"/>
    <w:rsid w:val="00FE7D62"/>
    <w:rsid w:val="00FF0DA0"/>
    <w:rsid w:val="00FF1231"/>
    <w:rsid w:val="00FF3819"/>
    <w:rsid w:val="00FF3822"/>
    <w:rsid w:val="00FF476C"/>
    <w:rsid w:val="00FF4DE7"/>
    <w:rsid w:val="00FF556A"/>
    <w:rsid w:val="00FF73EB"/>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06B4B"/>
  <w15:docId w15:val="{509422EE-C704-4A03-9F39-2CC478C4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55A86"/>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5A3334"/>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D2FC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qFormat/>
    <w:rsid w:val="00AD2FC4"/>
    <w:pPr>
      <w:spacing w:after="120"/>
      <w:ind w:left="1247"/>
    </w:pPr>
    <w:rPr>
      <w:lang w:val="en-GB"/>
    </w:rPr>
  </w:style>
  <w:style w:type="paragraph" w:customStyle="1" w:styleId="Normalnumber">
    <w:name w:val="Normal_number"/>
    <w:basedOn w:val="Normalpool"/>
    <w:link w:val="NormalnumberChar"/>
    <w:rsid w:val="008F77F9"/>
    <w:pPr>
      <w:numPr>
        <w:numId w:val="4"/>
      </w:num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qFormat/>
    <w:rsid w:val="00AD2FC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CH2Char">
    <w:name w:val="CH2 Char"/>
    <w:link w:val="CH2"/>
    <w:locked/>
    <w:rsid w:val="00F55A86"/>
    <w:rPr>
      <w:b/>
      <w:sz w:val="24"/>
      <w:szCs w:val="24"/>
      <w:lang w:eastAsia="en-US"/>
    </w:rPr>
  </w:style>
  <w:style w:type="character" w:customStyle="1" w:styleId="CH3Char">
    <w:name w:val="CH3 Char"/>
    <w:link w:val="CH3"/>
    <w:locked/>
    <w:rsid w:val="005A3334"/>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5"/>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547AF3"/>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4F5C75"/>
    <w:rPr>
      <w:lang w:eastAsia="en-US"/>
    </w:rPr>
  </w:style>
  <w:style w:type="numbering" w:customStyle="1" w:styleId="Importovanstyl4">
    <w:name w:val="Importovaný styl 4"/>
    <w:rsid w:val="0099003C"/>
    <w:pPr>
      <w:numPr>
        <w:numId w:val="6"/>
      </w:numPr>
    </w:pPr>
  </w:style>
  <w:style w:type="numbering" w:customStyle="1" w:styleId="Importovanstyl5">
    <w:name w:val="Importovaný styl 5"/>
    <w:rsid w:val="0099003C"/>
    <w:pPr>
      <w:numPr>
        <w:numId w:val="7"/>
      </w:numPr>
    </w:pPr>
  </w:style>
  <w:style w:type="numbering" w:customStyle="1" w:styleId="Importovanstyl6">
    <w:name w:val="Importovaný styl 6"/>
    <w:rsid w:val="0099003C"/>
    <w:pPr>
      <w:numPr>
        <w:numId w:val="8"/>
      </w:numPr>
    </w:pPr>
  </w:style>
  <w:style w:type="numbering" w:customStyle="1" w:styleId="Importovanstyl8">
    <w:name w:val="Importovaný styl 8"/>
    <w:rsid w:val="0099003C"/>
    <w:pPr>
      <w:numPr>
        <w:numId w:val="9"/>
      </w:numPr>
    </w:pPr>
  </w:style>
  <w:style w:type="numbering" w:customStyle="1" w:styleId="Importovanstyl9">
    <w:name w:val="Importovaný styl 9"/>
    <w:rsid w:val="0099003C"/>
    <w:pPr>
      <w:numPr>
        <w:numId w:val="10"/>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1"/>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Normal"/>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2200983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mercuryconvention.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package" Target="embeddings/Microsoft_PowerPoint_Presentation.pptx"/><Relationship Id="rId10" Type="http://schemas.openxmlformats.org/officeDocument/2006/relationships/endnotes" Target="endnotes.xml"/><Relationship Id="rId19" Type="http://schemas.openxmlformats.org/officeDocument/2006/relationships/hyperlink" Target="mailto:mea-minamatasecretariat@u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image" Target="media/image5.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2.xml><?xml version="1.0" encoding="utf-8"?>
<ds:datastoreItem xmlns:ds="http://schemas.openxmlformats.org/officeDocument/2006/customXml" ds:itemID="{467E7182-E151-448B-A5E3-79FC485B2854}"/>
</file>

<file path=customXml/itemProps3.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371731-8583-4223-8FD0-40963F343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34475</Words>
  <Characters>196513</Characters>
  <Application>Microsoft Office Word</Application>
  <DocSecurity>0</DocSecurity>
  <Lines>1637</Lines>
  <Paragraphs>461</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230527</CharactersWithSpaces>
  <SharedDoc>false</SharedDoc>
  <HLinks>
    <vt:vector size="90" baseType="variant">
      <vt:variant>
        <vt:i4>4194315</vt:i4>
      </vt:variant>
      <vt:variant>
        <vt:i4>84</vt:i4>
      </vt:variant>
      <vt:variant>
        <vt:i4>0</vt:i4>
      </vt:variant>
      <vt:variant>
        <vt:i4>5</vt:i4>
      </vt:variant>
      <vt:variant>
        <vt:lpwstr>http://www.mercuryconvention.org/</vt:lpwstr>
      </vt:variant>
      <vt:variant>
        <vt:lpwstr/>
      </vt:variant>
      <vt:variant>
        <vt:i4>5505083</vt:i4>
      </vt:variant>
      <vt:variant>
        <vt:i4>81</vt:i4>
      </vt:variant>
      <vt:variant>
        <vt:i4>0</vt:i4>
      </vt:variant>
      <vt:variant>
        <vt:i4>5</vt:i4>
      </vt:variant>
      <vt:variant>
        <vt:lpwstr>mailto:mea-minamatasecretariat@un.org</vt:lpwstr>
      </vt:variant>
      <vt:variant>
        <vt:lpwstr/>
      </vt:variant>
      <vt:variant>
        <vt:i4>1114162</vt:i4>
      </vt:variant>
      <vt:variant>
        <vt:i4>74</vt:i4>
      </vt:variant>
      <vt:variant>
        <vt:i4>0</vt:i4>
      </vt:variant>
      <vt:variant>
        <vt:i4>5</vt:i4>
      </vt:variant>
      <vt:variant>
        <vt:lpwstr/>
      </vt:variant>
      <vt:variant>
        <vt:lpwstr>_Toc27124754</vt:lpwstr>
      </vt:variant>
      <vt:variant>
        <vt:i4>1441842</vt:i4>
      </vt:variant>
      <vt:variant>
        <vt:i4>68</vt:i4>
      </vt:variant>
      <vt:variant>
        <vt:i4>0</vt:i4>
      </vt:variant>
      <vt:variant>
        <vt:i4>5</vt:i4>
      </vt:variant>
      <vt:variant>
        <vt:lpwstr/>
      </vt:variant>
      <vt:variant>
        <vt:lpwstr>_Toc27124753</vt:lpwstr>
      </vt:variant>
      <vt:variant>
        <vt:i4>1507378</vt:i4>
      </vt:variant>
      <vt:variant>
        <vt:i4>62</vt:i4>
      </vt:variant>
      <vt:variant>
        <vt:i4>0</vt:i4>
      </vt:variant>
      <vt:variant>
        <vt:i4>5</vt:i4>
      </vt:variant>
      <vt:variant>
        <vt:lpwstr/>
      </vt:variant>
      <vt:variant>
        <vt:lpwstr>_Toc27124752</vt:lpwstr>
      </vt:variant>
      <vt:variant>
        <vt:i4>1310770</vt:i4>
      </vt:variant>
      <vt:variant>
        <vt:i4>56</vt:i4>
      </vt:variant>
      <vt:variant>
        <vt:i4>0</vt:i4>
      </vt:variant>
      <vt:variant>
        <vt:i4>5</vt:i4>
      </vt:variant>
      <vt:variant>
        <vt:lpwstr/>
      </vt:variant>
      <vt:variant>
        <vt:lpwstr>_Toc27124751</vt:lpwstr>
      </vt:variant>
      <vt:variant>
        <vt:i4>1376306</vt:i4>
      </vt:variant>
      <vt:variant>
        <vt:i4>50</vt:i4>
      </vt:variant>
      <vt:variant>
        <vt:i4>0</vt:i4>
      </vt:variant>
      <vt:variant>
        <vt:i4>5</vt:i4>
      </vt:variant>
      <vt:variant>
        <vt:lpwstr/>
      </vt:variant>
      <vt:variant>
        <vt:lpwstr>_Toc27124750</vt:lpwstr>
      </vt:variant>
      <vt:variant>
        <vt:i4>1835059</vt:i4>
      </vt:variant>
      <vt:variant>
        <vt:i4>44</vt:i4>
      </vt:variant>
      <vt:variant>
        <vt:i4>0</vt:i4>
      </vt:variant>
      <vt:variant>
        <vt:i4>5</vt:i4>
      </vt:variant>
      <vt:variant>
        <vt:lpwstr/>
      </vt:variant>
      <vt:variant>
        <vt:lpwstr>_Toc27124749</vt:lpwstr>
      </vt:variant>
      <vt:variant>
        <vt:i4>1900595</vt:i4>
      </vt:variant>
      <vt:variant>
        <vt:i4>38</vt:i4>
      </vt:variant>
      <vt:variant>
        <vt:i4>0</vt:i4>
      </vt:variant>
      <vt:variant>
        <vt:i4>5</vt:i4>
      </vt:variant>
      <vt:variant>
        <vt:lpwstr/>
      </vt:variant>
      <vt:variant>
        <vt:lpwstr>_Toc27124748</vt:lpwstr>
      </vt:variant>
      <vt:variant>
        <vt:i4>1179699</vt:i4>
      </vt:variant>
      <vt:variant>
        <vt:i4>32</vt:i4>
      </vt:variant>
      <vt:variant>
        <vt:i4>0</vt:i4>
      </vt:variant>
      <vt:variant>
        <vt:i4>5</vt:i4>
      </vt:variant>
      <vt:variant>
        <vt:lpwstr/>
      </vt:variant>
      <vt:variant>
        <vt:lpwstr>_Toc27124747</vt:lpwstr>
      </vt:variant>
      <vt:variant>
        <vt:i4>1245235</vt:i4>
      </vt:variant>
      <vt:variant>
        <vt:i4>26</vt:i4>
      </vt:variant>
      <vt:variant>
        <vt:i4>0</vt:i4>
      </vt:variant>
      <vt:variant>
        <vt:i4>5</vt:i4>
      </vt:variant>
      <vt:variant>
        <vt:lpwstr/>
      </vt:variant>
      <vt:variant>
        <vt:lpwstr>_Toc27124746</vt:lpwstr>
      </vt:variant>
      <vt:variant>
        <vt:i4>1114163</vt:i4>
      </vt:variant>
      <vt:variant>
        <vt:i4>20</vt:i4>
      </vt:variant>
      <vt:variant>
        <vt:i4>0</vt:i4>
      </vt:variant>
      <vt:variant>
        <vt:i4>5</vt:i4>
      </vt:variant>
      <vt:variant>
        <vt:lpwstr/>
      </vt:variant>
      <vt:variant>
        <vt:lpwstr>_Toc27124744</vt:lpwstr>
      </vt:variant>
      <vt:variant>
        <vt:i4>1441843</vt:i4>
      </vt:variant>
      <vt:variant>
        <vt:i4>14</vt:i4>
      </vt:variant>
      <vt:variant>
        <vt:i4>0</vt:i4>
      </vt:variant>
      <vt:variant>
        <vt:i4>5</vt:i4>
      </vt:variant>
      <vt:variant>
        <vt:lpwstr/>
      </vt:variant>
      <vt:variant>
        <vt:lpwstr>_Toc27124743</vt:lpwstr>
      </vt:variant>
      <vt:variant>
        <vt:i4>1507379</vt:i4>
      </vt:variant>
      <vt:variant>
        <vt:i4>8</vt:i4>
      </vt:variant>
      <vt:variant>
        <vt:i4>0</vt:i4>
      </vt:variant>
      <vt:variant>
        <vt:i4>5</vt:i4>
      </vt:variant>
      <vt:variant>
        <vt:lpwstr/>
      </vt:variant>
      <vt:variant>
        <vt:lpwstr>_Toc27124742</vt:lpwstr>
      </vt:variant>
      <vt:variant>
        <vt:i4>1310771</vt:i4>
      </vt:variant>
      <vt:variant>
        <vt:i4>2</vt:i4>
      </vt:variant>
      <vt:variant>
        <vt:i4>0</vt:i4>
      </vt:variant>
      <vt:variant>
        <vt:i4>5</vt:i4>
      </vt:variant>
      <vt:variant>
        <vt:lpwstr/>
      </vt:variant>
      <vt:variant>
        <vt:lpwstr>_Toc27124741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Veronica Gathu</cp:lastModifiedBy>
  <cp:revision>5</cp:revision>
  <cp:lastPrinted>2020-05-15T11:26:00Z</cp:lastPrinted>
  <dcterms:created xsi:type="dcterms:W3CDTF">2020-05-15T11:21:00Z</dcterms:created>
  <dcterms:modified xsi:type="dcterms:W3CDTF">2020-05-15T11:26:00Z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