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C739E" w14:textId="3951FB08" w:rsidR="00443A56" w:rsidRPr="00443A56" w:rsidRDefault="00443A56" w:rsidP="00D64494">
      <w:pPr>
        <w:spacing w:after="0"/>
        <w:rPr>
          <w:rFonts w:asciiTheme="majorBidi" w:hAnsiTheme="majorBidi" w:cstheme="majorBidi"/>
          <w:b/>
          <w:bCs/>
          <w:sz w:val="28"/>
          <w:szCs w:val="28"/>
        </w:rPr>
      </w:pPr>
      <w:r w:rsidRPr="00443A56">
        <w:rPr>
          <w:rFonts w:asciiTheme="majorBidi" w:hAnsiTheme="majorBidi" w:cstheme="majorBidi"/>
          <w:b/>
          <w:bCs/>
          <w:sz w:val="28"/>
          <w:szCs w:val="28"/>
        </w:rPr>
        <w:t>Minamata Convention on Mercury</w:t>
      </w:r>
    </w:p>
    <w:p w14:paraId="7FBA79D2" w14:textId="77777777" w:rsidR="00443A56" w:rsidRDefault="00443A56" w:rsidP="00D64494">
      <w:pPr>
        <w:spacing w:after="0"/>
        <w:rPr>
          <w:rFonts w:asciiTheme="majorBidi" w:hAnsiTheme="majorBidi" w:cstheme="majorBidi"/>
          <w:b/>
          <w:bCs/>
          <w:sz w:val="28"/>
          <w:szCs w:val="28"/>
          <w:highlight w:val="yellow"/>
        </w:rPr>
      </w:pPr>
    </w:p>
    <w:p w14:paraId="255DE532" w14:textId="0DF15E47" w:rsidR="008062D8" w:rsidRPr="00FC73F5" w:rsidRDefault="00E062F7" w:rsidP="00D64494">
      <w:pPr>
        <w:spacing w:after="0"/>
        <w:rPr>
          <w:rFonts w:asciiTheme="majorBidi" w:hAnsiTheme="majorBidi" w:cstheme="majorBidi"/>
          <w:b/>
          <w:bCs/>
          <w:sz w:val="28"/>
          <w:szCs w:val="28"/>
          <w:highlight w:val="yellow"/>
        </w:rPr>
      </w:pPr>
      <w:r w:rsidRPr="00443A56">
        <w:rPr>
          <w:rFonts w:asciiTheme="majorBidi" w:hAnsiTheme="majorBidi" w:cstheme="majorBidi"/>
          <w:b/>
          <w:bCs/>
          <w:sz w:val="28"/>
          <w:szCs w:val="28"/>
        </w:rPr>
        <w:t>DRAFT Report</w:t>
      </w:r>
      <w:r w:rsidRPr="00FC73F5">
        <w:rPr>
          <w:rFonts w:asciiTheme="majorBidi" w:hAnsiTheme="majorBidi" w:cstheme="majorBidi"/>
          <w:b/>
          <w:bCs/>
          <w:sz w:val="28"/>
          <w:szCs w:val="28"/>
        </w:rPr>
        <w:t xml:space="preserve"> on the work of the ad</w:t>
      </w:r>
      <w:r w:rsidR="008B32B9">
        <w:rPr>
          <w:rFonts w:asciiTheme="majorBidi" w:hAnsiTheme="majorBidi" w:cstheme="majorBidi"/>
          <w:b/>
          <w:bCs/>
          <w:sz w:val="28"/>
          <w:szCs w:val="28"/>
        </w:rPr>
        <w:t xml:space="preserve"> </w:t>
      </w:r>
      <w:r w:rsidRPr="00FC73F5">
        <w:rPr>
          <w:rFonts w:asciiTheme="majorBidi" w:hAnsiTheme="majorBidi" w:cstheme="majorBidi"/>
          <w:b/>
          <w:bCs/>
          <w:sz w:val="28"/>
          <w:szCs w:val="28"/>
        </w:rPr>
        <w:t xml:space="preserve">hoc technical group on effectiveness evaluation </w:t>
      </w:r>
    </w:p>
    <w:p w14:paraId="75E10FDB" w14:textId="77777777" w:rsidR="008062D8" w:rsidRPr="00FC73F5" w:rsidRDefault="008062D8" w:rsidP="00D64494">
      <w:pPr>
        <w:spacing w:after="0"/>
        <w:rPr>
          <w:rFonts w:asciiTheme="majorBidi" w:hAnsiTheme="majorBidi" w:cstheme="majorBidi"/>
          <w:b/>
          <w:bCs/>
          <w:sz w:val="24"/>
          <w:szCs w:val="24"/>
          <w:highlight w:val="yellow"/>
        </w:rPr>
      </w:pPr>
    </w:p>
    <w:p w14:paraId="70D2C51C" w14:textId="42AC0B47" w:rsidR="008062D8" w:rsidRPr="00A752E5" w:rsidRDefault="0086104E" w:rsidP="00D64494">
      <w:pPr>
        <w:spacing w:after="0"/>
        <w:rPr>
          <w:rFonts w:asciiTheme="majorBidi" w:hAnsiTheme="majorBidi" w:cstheme="majorBidi"/>
          <w:b/>
          <w:bCs/>
          <w:sz w:val="24"/>
          <w:szCs w:val="24"/>
        </w:rPr>
      </w:pPr>
      <w:r>
        <w:rPr>
          <w:rFonts w:asciiTheme="majorBidi" w:hAnsiTheme="majorBidi" w:cstheme="majorBidi"/>
          <w:b/>
          <w:bCs/>
          <w:sz w:val="24"/>
          <w:szCs w:val="24"/>
        </w:rPr>
        <w:t>Open for</w:t>
      </w:r>
      <w:r w:rsidR="008062D8" w:rsidRPr="00A752E5">
        <w:rPr>
          <w:rFonts w:asciiTheme="majorBidi" w:hAnsiTheme="majorBidi" w:cstheme="majorBidi"/>
          <w:b/>
          <w:bCs/>
          <w:sz w:val="24"/>
          <w:szCs w:val="24"/>
        </w:rPr>
        <w:t xml:space="preserve"> comment: 1 August to 5 September 2019</w:t>
      </w:r>
    </w:p>
    <w:p w14:paraId="21A132B0" w14:textId="2901545C" w:rsidR="00FF22D3" w:rsidRDefault="00973BDA" w:rsidP="00443A56">
      <w:pPr>
        <w:spacing w:after="0"/>
        <w:rPr>
          <w:rFonts w:asciiTheme="majorBidi" w:hAnsiTheme="majorBidi" w:cstheme="majorBidi"/>
          <w:sz w:val="24"/>
          <w:szCs w:val="24"/>
        </w:rPr>
      </w:pPr>
      <w:r w:rsidRPr="00A752E5">
        <w:rPr>
          <w:rFonts w:asciiTheme="majorBidi" w:hAnsiTheme="majorBidi" w:cstheme="majorBidi"/>
          <w:sz w:val="24"/>
          <w:szCs w:val="24"/>
        </w:rPr>
        <w:t xml:space="preserve">Comments </w:t>
      </w:r>
      <w:r w:rsidR="00FF22D3">
        <w:rPr>
          <w:rFonts w:asciiTheme="majorBidi" w:hAnsiTheme="majorBidi" w:cstheme="majorBidi"/>
          <w:sz w:val="24"/>
          <w:szCs w:val="24"/>
        </w:rPr>
        <w:t xml:space="preserve">to: </w:t>
      </w:r>
      <w:hyperlink r:id="rId8" w:history="1">
        <w:r w:rsidR="00FF22D3" w:rsidRPr="00040F06">
          <w:rPr>
            <w:rStyle w:val="Hyperlink"/>
            <w:rFonts w:asciiTheme="majorBidi" w:hAnsiTheme="majorBidi" w:cstheme="majorBidi"/>
            <w:sz w:val="24"/>
            <w:szCs w:val="24"/>
          </w:rPr>
          <w:t>mea-minamatasecretariat@un.org</w:t>
        </w:r>
      </w:hyperlink>
    </w:p>
    <w:p w14:paraId="07BB4201" w14:textId="77777777" w:rsidR="00FF22D3" w:rsidRDefault="00FF22D3" w:rsidP="00443A56">
      <w:pPr>
        <w:spacing w:after="0"/>
        <w:rPr>
          <w:rFonts w:asciiTheme="majorBidi" w:hAnsiTheme="majorBidi" w:cstheme="majorBidi"/>
          <w:sz w:val="24"/>
          <w:szCs w:val="24"/>
        </w:rPr>
      </w:pPr>
    </w:p>
    <w:p w14:paraId="0400A37E" w14:textId="35058351" w:rsidR="00973BDA" w:rsidRPr="00FC73F5" w:rsidRDefault="00FF22D3" w:rsidP="00443A56">
      <w:pPr>
        <w:spacing w:after="0"/>
        <w:rPr>
          <w:rFonts w:asciiTheme="majorBidi" w:hAnsiTheme="majorBidi" w:cstheme="majorBidi"/>
          <w:sz w:val="24"/>
          <w:szCs w:val="24"/>
        </w:rPr>
      </w:pPr>
      <w:r>
        <w:rPr>
          <w:rFonts w:asciiTheme="majorBidi" w:hAnsiTheme="majorBidi" w:cstheme="majorBidi"/>
          <w:sz w:val="24"/>
          <w:szCs w:val="24"/>
        </w:rPr>
        <w:t>E</w:t>
      </w:r>
      <w:r w:rsidR="00443A56">
        <w:rPr>
          <w:rFonts w:asciiTheme="majorBidi" w:hAnsiTheme="majorBidi" w:cstheme="majorBidi"/>
          <w:sz w:val="24"/>
          <w:szCs w:val="24"/>
        </w:rPr>
        <w:t xml:space="preserve">nquiries </w:t>
      </w:r>
      <w:r w:rsidR="00973BDA" w:rsidRPr="00A752E5">
        <w:rPr>
          <w:rFonts w:asciiTheme="majorBidi" w:hAnsiTheme="majorBidi" w:cstheme="majorBidi"/>
          <w:sz w:val="24"/>
          <w:szCs w:val="24"/>
        </w:rPr>
        <w:t>to be sent to:</w:t>
      </w:r>
      <w:r w:rsidR="00973BDA" w:rsidRPr="00FC73F5">
        <w:rPr>
          <w:rFonts w:asciiTheme="majorBidi" w:hAnsiTheme="majorBidi" w:cstheme="majorBidi"/>
          <w:sz w:val="24"/>
          <w:szCs w:val="24"/>
        </w:rPr>
        <w:t xml:space="preserve"> </w:t>
      </w:r>
      <w:hyperlink r:id="rId9" w:history="1">
        <w:r w:rsidR="0017114F" w:rsidRPr="00921C16">
          <w:rPr>
            <w:rStyle w:val="Hyperlink"/>
            <w:rFonts w:asciiTheme="majorBidi" w:hAnsiTheme="majorBidi" w:cstheme="majorBidi"/>
            <w:sz w:val="24"/>
            <w:szCs w:val="24"/>
          </w:rPr>
          <w:t>Claudia.tenHave@un.org</w:t>
        </w:r>
      </w:hyperlink>
      <w:r w:rsidR="00973BDA" w:rsidRPr="00FC73F5">
        <w:rPr>
          <w:rFonts w:asciiTheme="majorBidi" w:hAnsiTheme="majorBidi" w:cstheme="majorBidi"/>
          <w:sz w:val="24"/>
          <w:szCs w:val="24"/>
        </w:rPr>
        <w:t xml:space="preserve"> and </w:t>
      </w:r>
      <w:hyperlink r:id="rId10" w:history="1">
        <w:r w:rsidR="00973BDA" w:rsidRPr="00FC73F5">
          <w:rPr>
            <w:rStyle w:val="Hyperlink"/>
            <w:rFonts w:asciiTheme="majorBidi" w:hAnsiTheme="majorBidi" w:cstheme="majorBidi"/>
            <w:sz w:val="24"/>
            <w:szCs w:val="24"/>
          </w:rPr>
          <w:t>Eisaku.Toda@un.org</w:t>
        </w:r>
      </w:hyperlink>
    </w:p>
    <w:p w14:paraId="24E2FD8D" w14:textId="313F4027" w:rsidR="00973BDA" w:rsidRPr="00FC73F5" w:rsidRDefault="00973BDA" w:rsidP="00D64494">
      <w:pPr>
        <w:spacing w:after="0"/>
        <w:rPr>
          <w:rFonts w:asciiTheme="majorBidi" w:hAnsiTheme="majorBidi" w:cstheme="majorBidi"/>
          <w:sz w:val="24"/>
          <w:szCs w:val="24"/>
        </w:rPr>
      </w:pPr>
    </w:p>
    <w:p w14:paraId="0FAA8602" w14:textId="77777777" w:rsidR="00D64494" w:rsidRPr="00FC73F5" w:rsidRDefault="00D64494" w:rsidP="00D64494">
      <w:pPr>
        <w:pStyle w:val="TextA"/>
        <w:spacing w:after="0"/>
        <w:rPr>
          <w:rFonts w:asciiTheme="majorBidi" w:eastAsia="Times New Roman" w:hAnsiTheme="majorBidi" w:cstheme="majorBidi"/>
          <w:b/>
          <w:bCs/>
          <w:color w:val="4472C4" w:themeColor="accent1"/>
          <w:sz w:val="24"/>
          <w:szCs w:val="24"/>
          <w:u w:color="4F81BD"/>
          <w:lang w:val="en-GB"/>
        </w:rPr>
      </w:pPr>
    </w:p>
    <w:tbl>
      <w:tblPr>
        <w:tblStyle w:val="TableGrid"/>
        <w:tblW w:w="9350" w:type="dxa"/>
        <w:tblLook w:val="04A0" w:firstRow="1" w:lastRow="0" w:firstColumn="1" w:lastColumn="0" w:noHBand="0" w:noVBand="1"/>
      </w:tblPr>
      <w:tblGrid>
        <w:gridCol w:w="8359"/>
        <w:gridCol w:w="991"/>
      </w:tblGrid>
      <w:tr w:rsidR="00973BDA" w:rsidRPr="00FC73F5" w14:paraId="6FD93B41" w14:textId="77777777" w:rsidTr="00973BDA">
        <w:tc>
          <w:tcPr>
            <w:tcW w:w="8359" w:type="dxa"/>
          </w:tcPr>
          <w:p w14:paraId="5328A410" w14:textId="47FD6476" w:rsidR="00973BDA" w:rsidRPr="0017114F" w:rsidRDefault="00973BDA" w:rsidP="00973BDA">
            <w:pPr>
              <w:rPr>
                <w:rFonts w:asciiTheme="majorBidi" w:hAnsiTheme="majorBidi" w:cstheme="majorBidi"/>
                <w:b/>
                <w:bCs/>
                <w:sz w:val="24"/>
                <w:szCs w:val="24"/>
              </w:rPr>
            </w:pPr>
            <w:r w:rsidRPr="0017114F">
              <w:rPr>
                <w:rFonts w:asciiTheme="majorBidi" w:hAnsiTheme="majorBidi" w:cstheme="majorBidi"/>
                <w:b/>
                <w:bCs/>
                <w:sz w:val="24"/>
                <w:szCs w:val="24"/>
                <w:u w:color="4F81BD"/>
              </w:rPr>
              <w:t>Table of Content</w:t>
            </w:r>
          </w:p>
        </w:tc>
        <w:tc>
          <w:tcPr>
            <w:tcW w:w="991" w:type="dxa"/>
          </w:tcPr>
          <w:p w14:paraId="0C343836" w14:textId="6A3D77C5" w:rsidR="00973BDA" w:rsidRPr="00FC73F5" w:rsidRDefault="00973BDA" w:rsidP="00973BDA">
            <w:pPr>
              <w:rPr>
                <w:rFonts w:asciiTheme="majorBidi" w:hAnsiTheme="majorBidi" w:cstheme="majorBidi"/>
                <w:b/>
                <w:bCs/>
                <w:sz w:val="24"/>
                <w:szCs w:val="24"/>
              </w:rPr>
            </w:pPr>
          </w:p>
        </w:tc>
      </w:tr>
      <w:tr w:rsidR="00973BDA" w:rsidRPr="00FC73F5" w14:paraId="50D73B70" w14:textId="77777777" w:rsidTr="00973BDA">
        <w:tc>
          <w:tcPr>
            <w:tcW w:w="8359" w:type="dxa"/>
          </w:tcPr>
          <w:p w14:paraId="59FE0B3D" w14:textId="5F03CD45" w:rsidR="00973BDA" w:rsidRPr="0017114F" w:rsidRDefault="00973BDA" w:rsidP="00973BDA">
            <w:pPr>
              <w:rPr>
                <w:rFonts w:asciiTheme="majorBidi" w:hAnsiTheme="majorBidi" w:cstheme="majorBidi"/>
                <w:b/>
                <w:bCs/>
                <w:sz w:val="24"/>
                <w:szCs w:val="24"/>
              </w:rPr>
            </w:pPr>
            <w:r w:rsidRPr="0017114F">
              <w:rPr>
                <w:rFonts w:asciiTheme="majorBidi" w:hAnsiTheme="majorBidi" w:cstheme="majorBidi"/>
                <w:sz w:val="24"/>
                <w:szCs w:val="24"/>
                <w:u w:color="4F81BD"/>
              </w:rPr>
              <w:t>Executive summary</w:t>
            </w:r>
          </w:p>
        </w:tc>
        <w:tc>
          <w:tcPr>
            <w:tcW w:w="991" w:type="dxa"/>
          </w:tcPr>
          <w:p w14:paraId="7BC31895" w14:textId="592ACCC2" w:rsidR="00973BDA" w:rsidRPr="00FC73F5" w:rsidRDefault="00973BDA" w:rsidP="00973BDA">
            <w:pPr>
              <w:rPr>
                <w:rFonts w:asciiTheme="majorBidi" w:hAnsiTheme="majorBidi" w:cstheme="majorBidi"/>
                <w:b/>
                <w:bCs/>
                <w:sz w:val="24"/>
                <w:szCs w:val="24"/>
              </w:rPr>
            </w:pPr>
          </w:p>
        </w:tc>
      </w:tr>
      <w:tr w:rsidR="00973BDA" w:rsidRPr="00FC73F5" w14:paraId="7B168566" w14:textId="77777777" w:rsidTr="00973BDA">
        <w:tc>
          <w:tcPr>
            <w:tcW w:w="8359" w:type="dxa"/>
          </w:tcPr>
          <w:p w14:paraId="20960336" w14:textId="2FE6B811" w:rsidR="00973BDA" w:rsidRPr="0017114F" w:rsidRDefault="00973BDA" w:rsidP="00973BDA">
            <w:pPr>
              <w:rPr>
                <w:rFonts w:asciiTheme="majorBidi" w:hAnsiTheme="majorBidi" w:cstheme="majorBidi"/>
                <w:b/>
                <w:bCs/>
                <w:sz w:val="24"/>
                <w:szCs w:val="24"/>
              </w:rPr>
            </w:pPr>
            <w:r w:rsidRPr="0017114F">
              <w:rPr>
                <w:rFonts w:asciiTheme="majorBidi" w:hAnsiTheme="majorBidi" w:cstheme="majorBidi"/>
                <w:sz w:val="24"/>
                <w:szCs w:val="24"/>
                <w:u w:color="4F81BD"/>
              </w:rPr>
              <w:t>I Introduction</w:t>
            </w:r>
          </w:p>
        </w:tc>
        <w:tc>
          <w:tcPr>
            <w:tcW w:w="991" w:type="dxa"/>
          </w:tcPr>
          <w:p w14:paraId="6C1016B2" w14:textId="0201F80F" w:rsidR="00973BDA" w:rsidRPr="00FC73F5" w:rsidRDefault="00973BDA" w:rsidP="00973BDA">
            <w:pPr>
              <w:rPr>
                <w:rFonts w:asciiTheme="majorBidi" w:hAnsiTheme="majorBidi" w:cstheme="majorBidi"/>
                <w:b/>
                <w:bCs/>
                <w:sz w:val="24"/>
                <w:szCs w:val="24"/>
              </w:rPr>
            </w:pPr>
          </w:p>
        </w:tc>
      </w:tr>
      <w:tr w:rsidR="00973BDA" w:rsidRPr="00FC73F5" w14:paraId="6CBF6B79" w14:textId="77777777" w:rsidTr="00973BDA">
        <w:tc>
          <w:tcPr>
            <w:tcW w:w="8359" w:type="dxa"/>
          </w:tcPr>
          <w:p w14:paraId="1B329639" w14:textId="3E75F9A8" w:rsidR="00973BDA" w:rsidRPr="0017114F" w:rsidRDefault="00973BDA" w:rsidP="00973BDA">
            <w:pPr>
              <w:rPr>
                <w:rFonts w:asciiTheme="majorBidi" w:hAnsiTheme="majorBidi" w:cstheme="majorBidi"/>
                <w:b/>
                <w:bCs/>
                <w:sz w:val="24"/>
                <w:szCs w:val="24"/>
              </w:rPr>
            </w:pPr>
            <w:r w:rsidRPr="0017114F">
              <w:rPr>
                <w:rFonts w:asciiTheme="majorBidi" w:hAnsiTheme="majorBidi" w:cstheme="majorBidi"/>
                <w:sz w:val="24"/>
                <w:szCs w:val="24"/>
                <w:u w:color="4F81BD"/>
              </w:rPr>
              <w:t xml:space="preserve">II </w:t>
            </w:r>
            <w:r w:rsidR="00447C1B" w:rsidRPr="0017114F">
              <w:rPr>
                <w:rFonts w:asciiTheme="majorBidi" w:hAnsiTheme="majorBidi" w:cstheme="majorBidi"/>
                <w:sz w:val="24"/>
                <w:szCs w:val="24"/>
                <w:u w:color="4F81BD"/>
              </w:rPr>
              <w:t>Overall d</w:t>
            </w:r>
            <w:r w:rsidRPr="0017114F">
              <w:rPr>
                <w:rFonts w:asciiTheme="majorBidi" w:hAnsiTheme="majorBidi" w:cstheme="majorBidi"/>
                <w:sz w:val="24"/>
                <w:szCs w:val="24"/>
                <w:u w:color="4F81BD"/>
              </w:rPr>
              <w:t xml:space="preserve">escription of the effectiveness evaluation framework </w:t>
            </w:r>
          </w:p>
        </w:tc>
        <w:tc>
          <w:tcPr>
            <w:tcW w:w="991" w:type="dxa"/>
          </w:tcPr>
          <w:p w14:paraId="2A08891A" w14:textId="3605E518" w:rsidR="00973BDA" w:rsidRPr="00FC73F5" w:rsidRDefault="00973BDA" w:rsidP="00973BDA">
            <w:pPr>
              <w:rPr>
                <w:rFonts w:asciiTheme="majorBidi" w:hAnsiTheme="majorBidi" w:cstheme="majorBidi"/>
                <w:b/>
                <w:bCs/>
                <w:sz w:val="24"/>
                <w:szCs w:val="24"/>
              </w:rPr>
            </w:pPr>
          </w:p>
        </w:tc>
      </w:tr>
      <w:tr w:rsidR="00973BDA" w:rsidRPr="00FC73F5" w14:paraId="7D41F123" w14:textId="77777777" w:rsidTr="00973BDA">
        <w:tc>
          <w:tcPr>
            <w:tcW w:w="8359" w:type="dxa"/>
          </w:tcPr>
          <w:p w14:paraId="3912EA9D" w14:textId="7374695D" w:rsidR="00973BDA" w:rsidRPr="0017114F" w:rsidRDefault="00973BDA" w:rsidP="00973BDA">
            <w:pPr>
              <w:rPr>
                <w:rFonts w:asciiTheme="majorBidi" w:hAnsiTheme="majorBidi" w:cstheme="majorBidi"/>
                <w:b/>
                <w:bCs/>
                <w:sz w:val="24"/>
                <w:szCs w:val="24"/>
              </w:rPr>
            </w:pPr>
            <w:r w:rsidRPr="0017114F">
              <w:rPr>
                <w:rFonts w:asciiTheme="majorBidi" w:hAnsiTheme="majorBidi" w:cstheme="majorBidi"/>
                <w:sz w:val="24"/>
                <w:szCs w:val="24"/>
                <w:u w:color="4F81BD"/>
              </w:rPr>
              <w:t>III Proposed methodology and schedule for the evaluation</w:t>
            </w:r>
          </w:p>
        </w:tc>
        <w:tc>
          <w:tcPr>
            <w:tcW w:w="991" w:type="dxa"/>
          </w:tcPr>
          <w:p w14:paraId="068AE43E" w14:textId="7EB9CDA3" w:rsidR="00973BDA" w:rsidRPr="00FC73F5" w:rsidRDefault="00973BDA" w:rsidP="00973BDA">
            <w:pPr>
              <w:rPr>
                <w:rFonts w:asciiTheme="majorBidi" w:hAnsiTheme="majorBidi" w:cstheme="majorBidi"/>
                <w:b/>
                <w:bCs/>
                <w:sz w:val="24"/>
                <w:szCs w:val="24"/>
              </w:rPr>
            </w:pPr>
          </w:p>
        </w:tc>
      </w:tr>
      <w:tr w:rsidR="00973BDA" w:rsidRPr="00FC73F5" w14:paraId="1036F952" w14:textId="77777777" w:rsidTr="00973BDA">
        <w:tc>
          <w:tcPr>
            <w:tcW w:w="8359" w:type="dxa"/>
          </w:tcPr>
          <w:p w14:paraId="3A077FA2" w14:textId="27CC54B8" w:rsidR="00973BDA" w:rsidRPr="0017114F" w:rsidRDefault="00973BDA" w:rsidP="00973BDA">
            <w:pPr>
              <w:rPr>
                <w:rFonts w:asciiTheme="majorBidi" w:hAnsiTheme="majorBidi" w:cstheme="majorBidi"/>
                <w:b/>
                <w:bCs/>
                <w:sz w:val="24"/>
                <w:szCs w:val="24"/>
              </w:rPr>
            </w:pPr>
            <w:r w:rsidRPr="0017114F">
              <w:rPr>
                <w:rFonts w:asciiTheme="majorBidi" w:hAnsiTheme="majorBidi" w:cstheme="majorBidi"/>
                <w:sz w:val="24"/>
                <w:szCs w:val="24"/>
                <w:u w:color="4F81BD"/>
              </w:rPr>
              <w:t>IV Issues for further consideration</w:t>
            </w:r>
          </w:p>
        </w:tc>
        <w:tc>
          <w:tcPr>
            <w:tcW w:w="991" w:type="dxa"/>
          </w:tcPr>
          <w:p w14:paraId="65CCC506" w14:textId="25BF6161" w:rsidR="00973BDA" w:rsidRPr="00FC73F5" w:rsidRDefault="00973BDA" w:rsidP="00973BDA">
            <w:pPr>
              <w:rPr>
                <w:rFonts w:asciiTheme="majorBidi" w:hAnsiTheme="majorBidi" w:cstheme="majorBidi"/>
                <w:b/>
                <w:bCs/>
                <w:sz w:val="24"/>
                <w:szCs w:val="24"/>
              </w:rPr>
            </w:pPr>
          </w:p>
        </w:tc>
      </w:tr>
      <w:tr w:rsidR="00973BDA" w:rsidRPr="00FC73F5" w14:paraId="24DCF153" w14:textId="77777777" w:rsidTr="00973BDA">
        <w:tc>
          <w:tcPr>
            <w:tcW w:w="8359" w:type="dxa"/>
          </w:tcPr>
          <w:p w14:paraId="54D2E5EB" w14:textId="68E2DBEC" w:rsidR="00973BDA" w:rsidRPr="0017114F" w:rsidRDefault="00973BDA" w:rsidP="00973BDA">
            <w:pPr>
              <w:rPr>
                <w:rFonts w:asciiTheme="majorBidi" w:hAnsiTheme="majorBidi" w:cstheme="majorBidi"/>
                <w:b/>
                <w:bCs/>
                <w:sz w:val="24"/>
                <w:szCs w:val="24"/>
              </w:rPr>
            </w:pPr>
            <w:r w:rsidRPr="0017114F">
              <w:rPr>
                <w:rFonts w:asciiTheme="majorBidi" w:hAnsiTheme="majorBidi" w:cstheme="majorBidi"/>
                <w:sz w:val="24"/>
                <w:szCs w:val="24"/>
                <w:u w:color="4F81BD"/>
              </w:rPr>
              <w:t>Annex 1: Technical information on monitoring</w:t>
            </w:r>
          </w:p>
        </w:tc>
        <w:tc>
          <w:tcPr>
            <w:tcW w:w="991" w:type="dxa"/>
          </w:tcPr>
          <w:p w14:paraId="28076694" w14:textId="4CB848EF" w:rsidR="00973BDA" w:rsidRPr="00FC73F5" w:rsidRDefault="00973BDA" w:rsidP="00973BDA">
            <w:pPr>
              <w:rPr>
                <w:rFonts w:asciiTheme="majorBidi" w:hAnsiTheme="majorBidi" w:cstheme="majorBidi"/>
                <w:b/>
                <w:bCs/>
                <w:sz w:val="24"/>
                <w:szCs w:val="24"/>
              </w:rPr>
            </w:pPr>
          </w:p>
        </w:tc>
      </w:tr>
      <w:tr w:rsidR="00973BDA" w:rsidRPr="00FC73F5" w14:paraId="3411E88E" w14:textId="77777777" w:rsidTr="00973BDA">
        <w:tc>
          <w:tcPr>
            <w:tcW w:w="8359" w:type="dxa"/>
          </w:tcPr>
          <w:p w14:paraId="4869C440" w14:textId="3D167FB9" w:rsidR="00973BDA" w:rsidRPr="0017114F" w:rsidRDefault="00973BDA" w:rsidP="000F179A">
            <w:pPr>
              <w:pStyle w:val="TextA"/>
              <w:tabs>
                <w:tab w:val="clear" w:pos="1247"/>
                <w:tab w:val="clear" w:pos="1814"/>
                <w:tab w:val="clear" w:pos="2381"/>
                <w:tab w:val="clear" w:pos="2948"/>
                <w:tab w:val="clear" w:pos="3515"/>
                <w:tab w:val="left" w:pos="624"/>
              </w:tabs>
              <w:rPr>
                <w:rFonts w:asciiTheme="majorBidi" w:hAnsiTheme="majorBidi" w:cstheme="majorBidi"/>
                <w:color w:val="auto"/>
                <w:sz w:val="24"/>
                <w:szCs w:val="24"/>
                <w:u w:color="4F81BD"/>
              </w:rPr>
            </w:pPr>
            <w:r w:rsidRPr="0017114F">
              <w:rPr>
                <w:rFonts w:asciiTheme="majorBidi" w:hAnsiTheme="majorBidi" w:cstheme="majorBidi"/>
                <w:color w:val="auto"/>
                <w:sz w:val="24"/>
                <w:szCs w:val="24"/>
                <w:u w:color="4F81BD"/>
              </w:rPr>
              <w:t>Annex 2: Draft terms of reference of the effectiveness evaluation committee</w:t>
            </w:r>
          </w:p>
        </w:tc>
        <w:tc>
          <w:tcPr>
            <w:tcW w:w="991" w:type="dxa"/>
          </w:tcPr>
          <w:p w14:paraId="4B22B74C" w14:textId="39CB5432" w:rsidR="00973BDA" w:rsidRPr="00FC73F5" w:rsidRDefault="00973BDA" w:rsidP="00973BDA">
            <w:pPr>
              <w:rPr>
                <w:rFonts w:asciiTheme="majorBidi" w:hAnsiTheme="majorBidi" w:cstheme="majorBidi"/>
                <w:b/>
                <w:bCs/>
                <w:sz w:val="24"/>
                <w:szCs w:val="24"/>
              </w:rPr>
            </w:pPr>
          </w:p>
        </w:tc>
      </w:tr>
      <w:tr w:rsidR="00973BDA" w:rsidRPr="00FC73F5" w14:paraId="380065BB" w14:textId="77777777" w:rsidTr="00973BDA">
        <w:tc>
          <w:tcPr>
            <w:tcW w:w="8359" w:type="dxa"/>
          </w:tcPr>
          <w:p w14:paraId="1E9007E6" w14:textId="782A8293" w:rsidR="00973BDA" w:rsidRPr="0017114F" w:rsidRDefault="00973BDA" w:rsidP="000F179A">
            <w:pPr>
              <w:pStyle w:val="TextA"/>
              <w:tabs>
                <w:tab w:val="clear" w:pos="1247"/>
                <w:tab w:val="clear" w:pos="1814"/>
                <w:tab w:val="clear" w:pos="2381"/>
                <w:tab w:val="clear" w:pos="2948"/>
                <w:tab w:val="clear" w:pos="3515"/>
                <w:tab w:val="left" w:pos="624"/>
              </w:tabs>
              <w:rPr>
                <w:rFonts w:asciiTheme="majorBidi" w:hAnsiTheme="majorBidi" w:cstheme="majorBidi"/>
                <w:color w:val="auto"/>
                <w:sz w:val="24"/>
                <w:szCs w:val="24"/>
                <w:u w:color="4F81BD"/>
              </w:rPr>
            </w:pPr>
            <w:r w:rsidRPr="0017114F">
              <w:rPr>
                <w:rFonts w:asciiTheme="majorBidi" w:hAnsiTheme="majorBidi" w:cstheme="majorBidi"/>
                <w:color w:val="auto"/>
                <w:sz w:val="24"/>
                <w:szCs w:val="24"/>
                <w:u w:color="4F81BD"/>
              </w:rPr>
              <w:t>Annex 3: Draft terms of reference of the global monitoring arrangements</w:t>
            </w:r>
          </w:p>
        </w:tc>
        <w:tc>
          <w:tcPr>
            <w:tcW w:w="991" w:type="dxa"/>
          </w:tcPr>
          <w:p w14:paraId="168BCE4F" w14:textId="77777777" w:rsidR="00973BDA" w:rsidRPr="00FC73F5" w:rsidRDefault="00973BDA" w:rsidP="00973BDA">
            <w:pPr>
              <w:rPr>
                <w:rFonts w:asciiTheme="majorBidi" w:hAnsiTheme="majorBidi" w:cstheme="majorBidi"/>
                <w:b/>
                <w:bCs/>
                <w:sz w:val="24"/>
                <w:szCs w:val="24"/>
              </w:rPr>
            </w:pPr>
          </w:p>
        </w:tc>
      </w:tr>
      <w:tr w:rsidR="00680418" w:rsidRPr="00FC73F5" w14:paraId="25F2DE8C" w14:textId="77777777" w:rsidTr="00973BDA">
        <w:tc>
          <w:tcPr>
            <w:tcW w:w="8359" w:type="dxa"/>
          </w:tcPr>
          <w:p w14:paraId="51C19517" w14:textId="17A33640" w:rsidR="00680418" w:rsidRPr="0017114F" w:rsidRDefault="00680418" w:rsidP="00973BDA">
            <w:pPr>
              <w:pStyle w:val="TextA"/>
              <w:tabs>
                <w:tab w:val="clear" w:pos="1247"/>
                <w:tab w:val="clear" w:pos="1814"/>
                <w:tab w:val="clear" w:pos="2381"/>
                <w:tab w:val="clear" w:pos="2948"/>
                <w:tab w:val="clear" w:pos="3515"/>
                <w:tab w:val="left" w:pos="624"/>
              </w:tabs>
              <w:rPr>
                <w:rFonts w:asciiTheme="majorBidi" w:hAnsiTheme="majorBidi" w:cstheme="majorBidi"/>
                <w:color w:val="auto"/>
                <w:sz w:val="24"/>
                <w:szCs w:val="24"/>
                <w:u w:color="4F81BD"/>
              </w:rPr>
            </w:pPr>
            <w:r w:rsidRPr="0017114F">
              <w:rPr>
                <w:rFonts w:asciiTheme="majorBidi" w:hAnsiTheme="majorBidi" w:cstheme="majorBidi"/>
                <w:color w:val="auto"/>
                <w:sz w:val="24"/>
                <w:szCs w:val="24"/>
                <w:u w:color="4F81BD"/>
              </w:rPr>
              <w:t xml:space="preserve">Annex 4: Description of the </w:t>
            </w:r>
            <w:r w:rsidR="0017114F" w:rsidRPr="0017114F">
              <w:rPr>
                <w:rFonts w:asciiTheme="majorBidi" w:hAnsiTheme="majorBidi" w:cstheme="majorBidi"/>
                <w:color w:val="auto"/>
                <w:sz w:val="24"/>
                <w:szCs w:val="24"/>
                <w:u w:color="4F81BD"/>
              </w:rPr>
              <w:t>reports</w:t>
            </w:r>
            <w:r w:rsidR="0017114F">
              <w:rPr>
                <w:rFonts w:asciiTheme="majorBidi" w:hAnsiTheme="majorBidi" w:cstheme="majorBidi"/>
                <w:color w:val="auto"/>
                <w:sz w:val="24"/>
                <w:szCs w:val="24"/>
                <w:u w:color="4F81BD"/>
              </w:rPr>
              <w:t xml:space="preserve"> to be prepared for the Effectiveness Evaluation Committee</w:t>
            </w:r>
          </w:p>
        </w:tc>
        <w:tc>
          <w:tcPr>
            <w:tcW w:w="991" w:type="dxa"/>
          </w:tcPr>
          <w:p w14:paraId="0A8185B3" w14:textId="77777777" w:rsidR="00680418" w:rsidRPr="00FC73F5" w:rsidRDefault="00680418" w:rsidP="00973BDA">
            <w:pPr>
              <w:rPr>
                <w:rFonts w:asciiTheme="majorBidi" w:hAnsiTheme="majorBidi" w:cstheme="majorBidi"/>
                <w:b/>
                <w:bCs/>
                <w:sz w:val="24"/>
                <w:szCs w:val="24"/>
              </w:rPr>
            </w:pPr>
          </w:p>
        </w:tc>
      </w:tr>
    </w:tbl>
    <w:p w14:paraId="7826B35D" w14:textId="77777777" w:rsidR="00D64494" w:rsidRPr="00FC73F5" w:rsidRDefault="00D64494" w:rsidP="00D64494">
      <w:pPr>
        <w:spacing w:after="0"/>
        <w:rPr>
          <w:rFonts w:asciiTheme="majorBidi" w:hAnsiTheme="majorBidi" w:cstheme="majorBidi"/>
          <w:b/>
          <w:bCs/>
          <w:sz w:val="24"/>
          <w:szCs w:val="24"/>
        </w:rPr>
      </w:pPr>
    </w:p>
    <w:p w14:paraId="4D61147C" w14:textId="77777777" w:rsidR="003C45D4" w:rsidRPr="00FC73F5" w:rsidRDefault="003C45D4">
      <w:pPr>
        <w:rPr>
          <w:rFonts w:asciiTheme="majorBidi" w:hAnsiTheme="majorBidi" w:cstheme="majorBidi"/>
          <w:b/>
          <w:bCs/>
          <w:sz w:val="24"/>
          <w:szCs w:val="24"/>
        </w:rPr>
      </w:pPr>
      <w:r w:rsidRPr="00FC73F5">
        <w:rPr>
          <w:rFonts w:asciiTheme="majorBidi" w:hAnsiTheme="majorBidi" w:cstheme="majorBidi"/>
          <w:b/>
          <w:bCs/>
          <w:sz w:val="24"/>
          <w:szCs w:val="24"/>
        </w:rPr>
        <w:br w:type="page"/>
      </w:r>
    </w:p>
    <w:p w14:paraId="7FBBEB4C" w14:textId="195AD9C5" w:rsidR="00D64494" w:rsidRPr="00FC73F5" w:rsidRDefault="00D64494" w:rsidP="00D64494">
      <w:pPr>
        <w:spacing w:after="0"/>
        <w:rPr>
          <w:rFonts w:asciiTheme="majorBidi" w:hAnsiTheme="majorBidi" w:cstheme="majorBidi"/>
          <w:b/>
          <w:bCs/>
          <w:sz w:val="28"/>
          <w:szCs w:val="28"/>
        </w:rPr>
      </w:pPr>
      <w:r w:rsidRPr="00FC73F5">
        <w:rPr>
          <w:rFonts w:asciiTheme="majorBidi" w:hAnsiTheme="majorBidi" w:cstheme="majorBidi"/>
          <w:b/>
          <w:bCs/>
          <w:sz w:val="28"/>
          <w:szCs w:val="28"/>
        </w:rPr>
        <w:lastRenderedPageBreak/>
        <w:t>Executive Summary</w:t>
      </w:r>
    </w:p>
    <w:p w14:paraId="673EADD4" w14:textId="77777777" w:rsidR="00D64494" w:rsidRPr="00FC73F5" w:rsidRDefault="00D64494" w:rsidP="00D64494">
      <w:pPr>
        <w:spacing w:after="0"/>
        <w:rPr>
          <w:rFonts w:asciiTheme="majorBidi" w:hAnsiTheme="majorBidi" w:cstheme="majorBidi"/>
          <w:b/>
          <w:bCs/>
        </w:rPr>
      </w:pPr>
    </w:p>
    <w:p w14:paraId="0A7E47D4" w14:textId="77777777" w:rsidR="0092763B" w:rsidRPr="00FC73F5" w:rsidRDefault="0092763B" w:rsidP="0092763B">
      <w:pPr>
        <w:spacing w:after="0"/>
        <w:rPr>
          <w:rFonts w:asciiTheme="majorBidi" w:hAnsiTheme="majorBidi" w:cstheme="majorBidi"/>
          <w:b/>
          <w:bCs/>
          <w:sz w:val="24"/>
          <w:szCs w:val="24"/>
        </w:rPr>
      </w:pPr>
      <w:r w:rsidRPr="00FC73F5">
        <w:rPr>
          <w:rFonts w:asciiTheme="majorBidi" w:hAnsiTheme="majorBidi" w:cstheme="majorBidi"/>
          <w:b/>
          <w:bCs/>
          <w:sz w:val="24"/>
          <w:szCs w:val="24"/>
        </w:rPr>
        <w:t>Introduction</w:t>
      </w:r>
    </w:p>
    <w:p w14:paraId="29965134" w14:textId="77777777" w:rsidR="0092763B" w:rsidRPr="00FC73F5" w:rsidRDefault="0092763B" w:rsidP="0092763B">
      <w:pPr>
        <w:spacing w:after="0"/>
        <w:rPr>
          <w:rFonts w:asciiTheme="majorBidi" w:hAnsiTheme="majorBidi" w:cstheme="majorBidi"/>
          <w:sz w:val="24"/>
          <w:szCs w:val="24"/>
        </w:rPr>
      </w:pPr>
    </w:p>
    <w:p w14:paraId="06B612C8" w14:textId="77777777" w:rsidR="0092763B" w:rsidRPr="00FC73F5" w:rsidRDefault="0092763B" w:rsidP="0092763B">
      <w:pPr>
        <w:spacing w:after="0"/>
        <w:rPr>
          <w:rFonts w:asciiTheme="majorBidi" w:hAnsiTheme="majorBidi" w:cstheme="majorBidi"/>
          <w:sz w:val="24"/>
          <w:szCs w:val="24"/>
        </w:rPr>
      </w:pPr>
      <w:r w:rsidRPr="00FC73F5">
        <w:rPr>
          <w:rFonts w:asciiTheme="majorBidi" w:hAnsiTheme="majorBidi" w:cstheme="majorBidi"/>
          <w:sz w:val="24"/>
          <w:szCs w:val="24"/>
        </w:rPr>
        <w:t xml:space="preserve">This report proposes a framework for the effectiveness evaluation and monitoring arrangements under the Minamata Convention on Mercury. The report was developed by the </w:t>
      </w:r>
      <w:r>
        <w:rPr>
          <w:rFonts w:asciiTheme="majorBidi" w:hAnsiTheme="majorBidi" w:cstheme="majorBidi"/>
          <w:sz w:val="24"/>
          <w:szCs w:val="24"/>
        </w:rPr>
        <w:t>ad h</w:t>
      </w:r>
      <w:r w:rsidRPr="00FC73F5">
        <w:rPr>
          <w:rFonts w:asciiTheme="majorBidi" w:hAnsiTheme="majorBidi" w:cstheme="majorBidi"/>
          <w:sz w:val="24"/>
          <w:szCs w:val="24"/>
        </w:rPr>
        <w:t xml:space="preserve">oc technical expert group based on mandates provided in decisions MC-1/9 and MC-2/10, and information contained in submissions by Parties, stakeholders and other information. The report represents the outcome of consultations and review performed by experts, including two meetings of the </w:t>
      </w:r>
      <w:r>
        <w:rPr>
          <w:rFonts w:asciiTheme="majorBidi" w:hAnsiTheme="majorBidi" w:cstheme="majorBidi"/>
          <w:sz w:val="24"/>
          <w:szCs w:val="24"/>
        </w:rPr>
        <w:t>ad h</w:t>
      </w:r>
      <w:r w:rsidRPr="00FC73F5">
        <w:rPr>
          <w:rFonts w:asciiTheme="majorBidi" w:hAnsiTheme="majorBidi" w:cstheme="majorBidi"/>
          <w:sz w:val="24"/>
          <w:szCs w:val="24"/>
        </w:rPr>
        <w:t xml:space="preserve">oc group in 2018 and 2019 respectively, with follow-up drafting and reviewing by experts and commentators. </w:t>
      </w:r>
    </w:p>
    <w:p w14:paraId="11FB42CC" w14:textId="77777777" w:rsidR="0092763B" w:rsidRPr="00FC73F5" w:rsidRDefault="0092763B" w:rsidP="0092763B">
      <w:pPr>
        <w:spacing w:after="0"/>
        <w:rPr>
          <w:rFonts w:asciiTheme="majorBidi" w:hAnsiTheme="majorBidi" w:cstheme="majorBidi"/>
          <w:sz w:val="24"/>
          <w:szCs w:val="24"/>
        </w:rPr>
      </w:pPr>
    </w:p>
    <w:p w14:paraId="6F3E522A" w14:textId="77777777" w:rsidR="0092763B" w:rsidRPr="00FC73F5" w:rsidRDefault="0092763B" w:rsidP="0092763B">
      <w:pPr>
        <w:spacing w:after="0"/>
        <w:rPr>
          <w:rFonts w:asciiTheme="majorBidi" w:hAnsiTheme="majorBidi" w:cstheme="majorBidi"/>
          <w:sz w:val="24"/>
          <w:szCs w:val="24"/>
        </w:rPr>
      </w:pPr>
      <w:r w:rsidRPr="00FC73F5">
        <w:rPr>
          <w:rFonts w:asciiTheme="majorBidi" w:hAnsiTheme="majorBidi" w:cstheme="majorBidi"/>
          <w:sz w:val="24"/>
          <w:szCs w:val="24"/>
        </w:rPr>
        <w:t xml:space="preserve">Building on the identification of elements for the effectiveness evaluation framework and review of monitoring activities included in the first report from the </w:t>
      </w:r>
      <w:r>
        <w:rPr>
          <w:rFonts w:asciiTheme="majorBidi" w:hAnsiTheme="majorBidi" w:cstheme="majorBidi"/>
          <w:sz w:val="24"/>
          <w:szCs w:val="24"/>
        </w:rPr>
        <w:t>ad h</w:t>
      </w:r>
      <w:r w:rsidRPr="00FC73F5">
        <w:rPr>
          <w:rFonts w:asciiTheme="majorBidi" w:hAnsiTheme="majorBidi" w:cstheme="majorBidi"/>
          <w:sz w:val="24"/>
          <w:szCs w:val="24"/>
        </w:rPr>
        <w:t>oc group to COP-2, this report propose</w:t>
      </w:r>
      <w:r>
        <w:rPr>
          <w:rFonts w:asciiTheme="majorBidi" w:hAnsiTheme="majorBidi" w:cstheme="majorBidi"/>
          <w:sz w:val="24"/>
          <w:szCs w:val="24"/>
        </w:rPr>
        <w:t>s a</w:t>
      </w:r>
      <w:r w:rsidRPr="00FC73F5">
        <w:rPr>
          <w:rFonts w:asciiTheme="majorBidi" w:hAnsiTheme="majorBidi" w:cstheme="majorBidi"/>
          <w:sz w:val="24"/>
          <w:szCs w:val="24"/>
        </w:rPr>
        <w:t xml:space="preserve"> framework </w:t>
      </w:r>
      <w:r>
        <w:rPr>
          <w:rFonts w:asciiTheme="majorBidi" w:hAnsiTheme="majorBidi" w:cstheme="majorBidi"/>
          <w:sz w:val="24"/>
          <w:szCs w:val="24"/>
        </w:rPr>
        <w:t>setting out</w:t>
      </w:r>
      <w:r w:rsidRPr="00FC73F5">
        <w:rPr>
          <w:rFonts w:asciiTheme="majorBidi" w:hAnsiTheme="majorBidi" w:cstheme="majorBidi"/>
          <w:sz w:val="24"/>
          <w:szCs w:val="24"/>
        </w:rPr>
        <w:t xml:space="preserve"> arrangements, information flows, and the required reports on which the Effectiveness Evaluation Committee will base its consideration of the effectiveness of the Convention</w:t>
      </w:r>
      <w:r>
        <w:rPr>
          <w:rFonts w:asciiTheme="majorBidi" w:hAnsiTheme="majorBidi" w:cstheme="majorBidi"/>
          <w:sz w:val="24"/>
          <w:szCs w:val="24"/>
        </w:rPr>
        <w:t xml:space="preserve"> for presentation to the Conference of the Parties</w:t>
      </w:r>
      <w:r w:rsidRPr="00FC73F5">
        <w:rPr>
          <w:rFonts w:asciiTheme="majorBidi" w:hAnsiTheme="majorBidi" w:cstheme="majorBidi"/>
          <w:sz w:val="24"/>
          <w:szCs w:val="24"/>
        </w:rPr>
        <w:t xml:space="preserve">. </w:t>
      </w:r>
    </w:p>
    <w:p w14:paraId="2E5B51B6" w14:textId="77777777" w:rsidR="007D738D" w:rsidRPr="00FC73F5" w:rsidRDefault="007D738D" w:rsidP="007D738D">
      <w:pPr>
        <w:spacing w:after="0"/>
        <w:rPr>
          <w:rFonts w:asciiTheme="majorBidi" w:hAnsiTheme="majorBidi" w:cstheme="majorBidi"/>
          <w:sz w:val="24"/>
          <w:szCs w:val="24"/>
        </w:rPr>
      </w:pPr>
    </w:p>
    <w:p w14:paraId="005A70B6" w14:textId="77777777" w:rsidR="007D738D" w:rsidRPr="00FC73F5" w:rsidRDefault="007D738D" w:rsidP="007D738D">
      <w:pPr>
        <w:spacing w:after="0"/>
        <w:rPr>
          <w:rFonts w:asciiTheme="majorBidi" w:hAnsiTheme="majorBidi" w:cstheme="majorBidi"/>
          <w:b/>
          <w:bCs/>
          <w:sz w:val="24"/>
          <w:szCs w:val="24"/>
        </w:rPr>
      </w:pPr>
      <w:r w:rsidRPr="00FC73F5">
        <w:rPr>
          <w:rFonts w:asciiTheme="majorBidi" w:hAnsiTheme="majorBidi" w:cstheme="majorBidi"/>
          <w:b/>
          <w:bCs/>
          <w:sz w:val="24"/>
          <w:szCs w:val="24"/>
        </w:rPr>
        <w:t>Effectiveness evaluation framework</w:t>
      </w:r>
    </w:p>
    <w:p w14:paraId="28A2B56F" w14:textId="77777777" w:rsidR="007D738D" w:rsidRPr="00FC73F5" w:rsidRDefault="007D738D" w:rsidP="007D738D">
      <w:pPr>
        <w:spacing w:after="0"/>
        <w:rPr>
          <w:rFonts w:asciiTheme="majorBidi" w:hAnsiTheme="majorBidi" w:cstheme="majorBidi"/>
          <w:sz w:val="24"/>
          <w:szCs w:val="24"/>
        </w:rPr>
      </w:pPr>
    </w:p>
    <w:p w14:paraId="05172976" w14:textId="6C935FE2"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 xml:space="preserve">In </w:t>
      </w:r>
      <w:r w:rsidR="00E11E0B">
        <w:rPr>
          <w:rFonts w:asciiTheme="majorBidi" w:hAnsiTheme="majorBidi" w:cstheme="majorBidi"/>
          <w:sz w:val="24"/>
          <w:szCs w:val="24"/>
        </w:rPr>
        <w:t>section</w:t>
      </w:r>
      <w:r w:rsidRPr="00FC73F5">
        <w:rPr>
          <w:rFonts w:asciiTheme="majorBidi" w:hAnsiTheme="majorBidi" w:cstheme="majorBidi"/>
          <w:sz w:val="24"/>
          <w:szCs w:val="24"/>
        </w:rPr>
        <w:t>s II and III, the report elaborates on the proposed organization of the effectiveness evaluation framework.</w:t>
      </w:r>
    </w:p>
    <w:p w14:paraId="649E5654" w14:textId="77777777" w:rsidR="007D738D" w:rsidRPr="00FC73F5" w:rsidRDefault="007D738D" w:rsidP="007D738D">
      <w:pPr>
        <w:spacing w:after="0"/>
        <w:rPr>
          <w:rFonts w:asciiTheme="majorBidi" w:hAnsiTheme="majorBidi" w:cstheme="majorBidi"/>
          <w:sz w:val="24"/>
          <w:szCs w:val="24"/>
        </w:rPr>
      </w:pPr>
    </w:p>
    <w:p w14:paraId="2962B2C7" w14:textId="77777777"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The effectiveness evaluation is based on four policy questions that will allow the Conference of the Parties to consider whether the Convention will achieve its objective of protecting human health and the environment from the anthropogenic emissions and releases of mercury and mercury compounds. The policy questions are:</w:t>
      </w:r>
    </w:p>
    <w:p w14:paraId="4A71431A" w14:textId="77777777" w:rsidR="007D738D" w:rsidRPr="00FC73F5" w:rsidRDefault="007D738D" w:rsidP="0025348A">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FC73F5">
        <w:rPr>
          <w:rFonts w:asciiTheme="majorBidi" w:hAnsiTheme="majorBidi" w:cstheme="majorBidi"/>
          <w:sz w:val="24"/>
          <w:szCs w:val="24"/>
          <w:lang w:val="en-GB"/>
        </w:rPr>
        <w:t>Have the Parties taken actions to implement the Minamata Convention?</w:t>
      </w:r>
    </w:p>
    <w:p w14:paraId="762808DF" w14:textId="77777777" w:rsidR="007D738D" w:rsidRPr="00FC73F5" w:rsidRDefault="007D738D" w:rsidP="0025348A">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FC73F5">
        <w:rPr>
          <w:rFonts w:asciiTheme="majorBidi" w:hAnsiTheme="majorBidi" w:cstheme="majorBidi"/>
          <w:sz w:val="24"/>
          <w:szCs w:val="24"/>
          <w:lang w:val="en-GB"/>
        </w:rPr>
        <w:t xml:space="preserve">Have the actions resulted in changes in emission and releases of mercury to the environment? </w:t>
      </w:r>
    </w:p>
    <w:p w14:paraId="78E93756" w14:textId="77777777" w:rsidR="007D738D" w:rsidRPr="00FC73F5" w:rsidRDefault="007D738D" w:rsidP="0025348A">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FC73F5">
        <w:rPr>
          <w:rFonts w:asciiTheme="majorBidi" w:hAnsiTheme="majorBidi" w:cstheme="majorBidi"/>
          <w:sz w:val="24"/>
          <w:szCs w:val="24"/>
          <w:lang w:val="en-GB"/>
        </w:rPr>
        <w:t xml:space="preserve">Have these changes in emission and releases resulted in changes in levels of mercury in the environment, biota and humans attributable to the Convention? </w:t>
      </w:r>
    </w:p>
    <w:p w14:paraId="25FCE6D7" w14:textId="77777777" w:rsidR="007D738D" w:rsidRPr="00FC73F5" w:rsidRDefault="007D738D" w:rsidP="0025348A">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FC73F5">
        <w:rPr>
          <w:rFonts w:asciiTheme="majorBidi" w:hAnsiTheme="majorBidi" w:cstheme="majorBidi"/>
          <w:sz w:val="24"/>
          <w:szCs w:val="24"/>
          <w:lang w:val="en-GB"/>
        </w:rPr>
        <w:t>Will existing measures under the Minamata Convention be sufficient to meet its objectives of promoting human health and environment from mercury?</w:t>
      </w:r>
    </w:p>
    <w:p w14:paraId="72307EAC" w14:textId="77777777" w:rsidR="007D738D" w:rsidRPr="00FC73F5" w:rsidRDefault="007D738D" w:rsidP="007D738D">
      <w:pPr>
        <w:spacing w:after="0"/>
        <w:rPr>
          <w:rFonts w:asciiTheme="majorBidi" w:hAnsiTheme="majorBidi" w:cstheme="majorBidi"/>
          <w:sz w:val="24"/>
          <w:szCs w:val="24"/>
        </w:rPr>
      </w:pPr>
    </w:p>
    <w:p w14:paraId="002AA1BC" w14:textId="77777777" w:rsidR="0092763B" w:rsidRDefault="007D738D" w:rsidP="007D738D">
      <w:pPr>
        <w:spacing w:after="0"/>
        <w:rPr>
          <w:rFonts w:asciiTheme="majorBidi" w:hAnsiTheme="majorBidi" w:cstheme="majorBidi"/>
          <w:sz w:val="24"/>
          <w:szCs w:val="24"/>
        </w:rPr>
      </w:pPr>
      <w:r>
        <w:rPr>
          <w:rFonts w:asciiTheme="majorBidi" w:hAnsiTheme="majorBidi" w:cstheme="majorBidi"/>
          <w:sz w:val="24"/>
          <w:szCs w:val="24"/>
        </w:rPr>
        <w:t>T</w:t>
      </w:r>
      <w:r w:rsidRPr="00FC73F5">
        <w:rPr>
          <w:rFonts w:asciiTheme="majorBidi" w:hAnsiTheme="majorBidi" w:cstheme="majorBidi"/>
          <w:sz w:val="24"/>
          <w:szCs w:val="24"/>
        </w:rPr>
        <w:t xml:space="preserve">he framework relies on evaluating evidence along the causal pathway linking actions to implement the Convention, associated changes in emissions and releases, and resulting changes in levels and trends in the global environment, biota, and humans. The </w:t>
      </w:r>
      <w:r>
        <w:rPr>
          <w:rFonts w:asciiTheme="majorBidi" w:hAnsiTheme="majorBidi" w:cstheme="majorBidi"/>
          <w:sz w:val="24"/>
          <w:szCs w:val="24"/>
        </w:rPr>
        <w:t>ad h</w:t>
      </w:r>
      <w:r w:rsidRPr="00FC73F5">
        <w:rPr>
          <w:rFonts w:asciiTheme="majorBidi" w:hAnsiTheme="majorBidi" w:cstheme="majorBidi"/>
          <w:sz w:val="24"/>
          <w:szCs w:val="24"/>
        </w:rPr>
        <w:t xml:space="preserve">oc group proposes sets of indicators on process, outcome and monitoring to inform these policy questions. The proposed indicators draw on previous work on elements of the effectiveness evaluation framework and the review of monitoring capacities and abilities. </w:t>
      </w:r>
    </w:p>
    <w:p w14:paraId="7AF87C1F" w14:textId="77777777" w:rsidR="0092763B" w:rsidRDefault="0092763B" w:rsidP="007D738D">
      <w:pPr>
        <w:spacing w:after="0"/>
        <w:rPr>
          <w:rFonts w:asciiTheme="majorBidi" w:hAnsiTheme="majorBidi" w:cstheme="majorBidi"/>
          <w:sz w:val="24"/>
          <w:szCs w:val="24"/>
        </w:rPr>
      </w:pPr>
    </w:p>
    <w:p w14:paraId="49789202" w14:textId="0E876348"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 xml:space="preserve">Numerous indicators, developed following an article-by-article review, are clustered to enable synthesized analysis </w:t>
      </w:r>
      <w:r>
        <w:rPr>
          <w:rFonts w:asciiTheme="majorBidi" w:hAnsiTheme="majorBidi" w:cstheme="majorBidi"/>
          <w:sz w:val="24"/>
          <w:szCs w:val="24"/>
        </w:rPr>
        <w:t>for an integrated picture.</w:t>
      </w:r>
      <w:r w:rsidRPr="00FC73F5">
        <w:rPr>
          <w:rFonts w:asciiTheme="majorBidi" w:hAnsiTheme="majorBidi" w:cstheme="majorBidi"/>
          <w:sz w:val="24"/>
          <w:szCs w:val="24"/>
        </w:rPr>
        <w:t xml:space="preserve"> Specific articles of central or crosscutting importance to the overall provisions are not clustered</w:t>
      </w:r>
      <w:r>
        <w:rPr>
          <w:rFonts w:asciiTheme="majorBidi" w:hAnsiTheme="majorBidi" w:cstheme="majorBidi"/>
          <w:sz w:val="24"/>
          <w:szCs w:val="24"/>
        </w:rPr>
        <w:t xml:space="preserve"> (such as Art 1 and 16)</w:t>
      </w:r>
      <w:r w:rsidRPr="00FC73F5">
        <w:rPr>
          <w:rFonts w:asciiTheme="majorBidi" w:hAnsiTheme="majorBidi" w:cstheme="majorBidi"/>
          <w:sz w:val="24"/>
          <w:szCs w:val="24"/>
        </w:rPr>
        <w:t>. The following article</w:t>
      </w:r>
      <w:r>
        <w:rPr>
          <w:rFonts w:asciiTheme="majorBidi" w:hAnsiTheme="majorBidi" w:cstheme="majorBidi"/>
          <w:sz w:val="24"/>
          <w:szCs w:val="24"/>
        </w:rPr>
        <w:t>s</w:t>
      </w:r>
      <w:r w:rsidRPr="00FC73F5">
        <w:rPr>
          <w:rFonts w:asciiTheme="majorBidi" w:hAnsiTheme="majorBidi" w:cstheme="majorBidi"/>
          <w:sz w:val="24"/>
          <w:szCs w:val="24"/>
        </w:rPr>
        <w:t xml:space="preserve"> and indicators are clustered:</w:t>
      </w:r>
    </w:p>
    <w:p w14:paraId="31862494" w14:textId="77777777" w:rsidR="007D738D" w:rsidRPr="00FC73F5" w:rsidRDefault="007D738D" w:rsidP="0025348A">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92763B">
        <w:rPr>
          <w:rFonts w:asciiTheme="majorBidi" w:hAnsiTheme="majorBidi" w:cstheme="majorBidi"/>
          <w:b/>
          <w:bCs/>
          <w:sz w:val="24"/>
          <w:szCs w:val="24"/>
          <w:lang w:val="en-GB"/>
        </w:rPr>
        <w:lastRenderedPageBreak/>
        <w:t>Supply cluster:</w:t>
      </w:r>
      <w:r w:rsidRPr="00FC73F5">
        <w:rPr>
          <w:rFonts w:asciiTheme="majorBidi" w:hAnsiTheme="majorBidi" w:cstheme="majorBidi"/>
          <w:sz w:val="24"/>
          <w:szCs w:val="24"/>
          <w:lang w:val="en-GB"/>
        </w:rPr>
        <w:t xml:space="preserve"> supply, storage and waste (Art 3, 10, 11);</w:t>
      </w:r>
    </w:p>
    <w:p w14:paraId="0236110B" w14:textId="77777777" w:rsidR="007D738D" w:rsidRPr="00FC73F5" w:rsidRDefault="007D738D" w:rsidP="0025348A">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92763B">
        <w:rPr>
          <w:rFonts w:asciiTheme="majorBidi" w:hAnsiTheme="majorBidi" w:cstheme="majorBidi"/>
          <w:b/>
          <w:bCs/>
          <w:sz w:val="24"/>
          <w:szCs w:val="24"/>
          <w:lang w:val="en-GB"/>
        </w:rPr>
        <w:t>Demand cluster:</w:t>
      </w:r>
      <w:r w:rsidRPr="00FC73F5">
        <w:rPr>
          <w:rFonts w:asciiTheme="majorBidi" w:hAnsiTheme="majorBidi" w:cstheme="majorBidi"/>
          <w:sz w:val="24"/>
          <w:szCs w:val="24"/>
          <w:lang w:val="en-GB"/>
        </w:rPr>
        <w:t xml:space="preserve"> products, processes and ASGM (Art 4,5,7);</w:t>
      </w:r>
    </w:p>
    <w:p w14:paraId="6F388D36" w14:textId="77777777" w:rsidR="007D738D" w:rsidRPr="00FC73F5" w:rsidRDefault="007D738D" w:rsidP="0025348A">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92763B">
        <w:rPr>
          <w:rFonts w:asciiTheme="majorBidi" w:hAnsiTheme="majorBidi" w:cstheme="majorBidi"/>
          <w:b/>
          <w:bCs/>
          <w:sz w:val="24"/>
          <w:szCs w:val="24"/>
          <w:lang w:val="en-GB"/>
        </w:rPr>
        <w:t>Pressures cluster:</w:t>
      </w:r>
      <w:r w:rsidRPr="00FC73F5">
        <w:rPr>
          <w:rFonts w:asciiTheme="majorBidi" w:hAnsiTheme="majorBidi" w:cstheme="majorBidi"/>
          <w:sz w:val="24"/>
          <w:szCs w:val="24"/>
          <w:lang w:val="en-GB"/>
        </w:rPr>
        <w:t xml:space="preserve"> emissions, releases and contaminated sites (Art 8, 9, and 12),</w:t>
      </w:r>
    </w:p>
    <w:p w14:paraId="678E55FD" w14:textId="77777777" w:rsidR="007D738D" w:rsidRPr="00FC73F5" w:rsidRDefault="007D738D" w:rsidP="0025348A">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92763B">
        <w:rPr>
          <w:rFonts w:asciiTheme="majorBidi" w:hAnsiTheme="majorBidi" w:cstheme="majorBidi"/>
          <w:b/>
          <w:bCs/>
          <w:sz w:val="24"/>
          <w:szCs w:val="24"/>
          <w:lang w:val="en-GB"/>
        </w:rPr>
        <w:t>Support cluster:</w:t>
      </w:r>
      <w:r w:rsidRPr="00FC73F5">
        <w:rPr>
          <w:rFonts w:asciiTheme="majorBidi" w:hAnsiTheme="majorBidi" w:cstheme="majorBidi"/>
          <w:sz w:val="24"/>
          <w:szCs w:val="24"/>
          <w:lang w:val="en-GB"/>
        </w:rPr>
        <w:t xml:space="preserve"> financial and technical assistance (Art 13 and 14), and</w:t>
      </w:r>
    </w:p>
    <w:p w14:paraId="5A85C81D" w14:textId="77777777" w:rsidR="007D738D" w:rsidRPr="00FC73F5" w:rsidRDefault="007D738D" w:rsidP="0025348A">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92763B">
        <w:rPr>
          <w:rFonts w:asciiTheme="majorBidi" w:hAnsiTheme="majorBidi" w:cstheme="majorBidi"/>
          <w:b/>
          <w:bCs/>
          <w:sz w:val="24"/>
          <w:szCs w:val="24"/>
          <w:lang w:val="en-GB"/>
        </w:rPr>
        <w:t>Information and research cluster:</w:t>
      </w:r>
      <w:r w:rsidRPr="00FC73F5">
        <w:rPr>
          <w:rFonts w:asciiTheme="majorBidi" w:hAnsiTheme="majorBidi" w:cstheme="majorBidi"/>
          <w:sz w:val="24"/>
          <w:szCs w:val="24"/>
          <w:lang w:val="en-GB"/>
        </w:rPr>
        <w:t xml:space="preserve"> information exchange, public information, research (Art 17, 18 and 19).</w:t>
      </w:r>
    </w:p>
    <w:p w14:paraId="595AEE61" w14:textId="77777777" w:rsidR="007D738D" w:rsidRPr="00FC73F5" w:rsidRDefault="007D738D" w:rsidP="007D738D">
      <w:pPr>
        <w:spacing w:after="0"/>
        <w:rPr>
          <w:rFonts w:asciiTheme="majorBidi" w:hAnsiTheme="majorBidi" w:cstheme="majorBidi"/>
          <w:sz w:val="24"/>
          <w:szCs w:val="24"/>
        </w:rPr>
      </w:pPr>
    </w:p>
    <w:p w14:paraId="1077E405" w14:textId="77777777"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 xml:space="preserve">Article 22, paragraph 3 indicates that the evaluation shall be conducted </w:t>
      </w:r>
      <w:r>
        <w:rPr>
          <w:rFonts w:asciiTheme="majorBidi" w:hAnsiTheme="majorBidi" w:cstheme="majorBidi"/>
          <w:sz w:val="24"/>
          <w:szCs w:val="24"/>
        </w:rPr>
        <w:t>using</w:t>
      </w:r>
      <w:r w:rsidRPr="00FC73F5">
        <w:rPr>
          <w:rFonts w:asciiTheme="majorBidi" w:hAnsiTheme="majorBidi" w:cstheme="majorBidi"/>
          <w:sz w:val="24"/>
          <w:szCs w:val="24"/>
        </w:rPr>
        <w:t xml:space="preserve"> available scientific, environmental, technical, financial and economic information.</w:t>
      </w:r>
      <w:r>
        <w:rPr>
          <w:rFonts w:asciiTheme="majorBidi" w:hAnsiTheme="majorBidi" w:cstheme="majorBidi"/>
          <w:sz w:val="24"/>
          <w:szCs w:val="24"/>
        </w:rPr>
        <w:t xml:space="preserve"> </w:t>
      </w:r>
      <w:r w:rsidRPr="00B11354">
        <w:rPr>
          <w:rFonts w:asciiTheme="majorBidi" w:hAnsiTheme="majorBidi" w:cstheme="majorBidi"/>
          <w:sz w:val="24"/>
          <w:szCs w:val="24"/>
        </w:rPr>
        <w:t>Two streams of information are referred to in this regard: (i) information provided by Parties based on Article 21 reporting, and (ii) information and knowledge that is scientific, peer-reviewed and publicly available.</w:t>
      </w:r>
    </w:p>
    <w:p w14:paraId="6273530E" w14:textId="77777777" w:rsidR="007D738D" w:rsidRPr="00FC73F5" w:rsidRDefault="007D738D" w:rsidP="007D738D">
      <w:pPr>
        <w:spacing w:after="0"/>
        <w:rPr>
          <w:rFonts w:asciiTheme="majorBidi" w:hAnsiTheme="majorBidi" w:cstheme="majorBidi"/>
          <w:sz w:val="24"/>
          <w:szCs w:val="24"/>
        </w:rPr>
      </w:pPr>
    </w:p>
    <w:p w14:paraId="7D46259C" w14:textId="15ACE166"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 xml:space="preserve">Based on such information the framework foresees </w:t>
      </w:r>
      <w:r>
        <w:rPr>
          <w:rFonts w:asciiTheme="majorBidi" w:hAnsiTheme="majorBidi" w:cstheme="majorBidi"/>
          <w:sz w:val="24"/>
          <w:szCs w:val="24"/>
        </w:rPr>
        <w:t xml:space="preserve">five reports to be produced (see description in </w:t>
      </w:r>
      <w:r w:rsidR="00B279C1">
        <w:rPr>
          <w:rFonts w:asciiTheme="majorBidi" w:hAnsiTheme="majorBidi" w:cstheme="majorBidi"/>
          <w:sz w:val="24"/>
          <w:szCs w:val="24"/>
        </w:rPr>
        <w:t xml:space="preserve">Section III and </w:t>
      </w:r>
      <w:r>
        <w:rPr>
          <w:rFonts w:asciiTheme="majorBidi" w:hAnsiTheme="majorBidi" w:cstheme="majorBidi"/>
          <w:sz w:val="24"/>
          <w:szCs w:val="24"/>
        </w:rPr>
        <w:t>Annex 4). The following four synthesis</w:t>
      </w:r>
      <w:r w:rsidRPr="00FC73F5">
        <w:rPr>
          <w:rFonts w:asciiTheme="majorBidi" w:hAnsiTheme="majorBidi" w:cstheme="majorBidi"/>
          <w:sz w:val="24"/>
          <w:szCs w:val="24"/>
        </w:rPr>
        <w:t xml:space="preserve"> reports </w:t>
      </w:r>
      <w:r>
        <w:rPr>
          <w:rFonts w:asciiTheme="majorBidi" w:hAnsiTheme="majorBidi" w:cstheme="majorBidi"/>
          <w:sz w:val="24"/>
          <w:szCs w:val="24"/>
        </w:rPr>
        <w:t xml:space="preserve">are </w:t>
      </w:r>
      <w:r w:rsidRPr="00FC73F5">
        <w:rPr>
          <w:rFonts w:asciiTheme="majorBidi" w:hAnsiTheme="majorBidi" w:cstheme="majorBidi"/>
          <w:sz w:val="24"/>
          <w:szCs w:val="24"/>
        </w:rPr>
        <w:t>to be prepared:</w:t>
      </w:r>
    </w:p>
    <w:p w14:paraId="071DD699" w14:textId="77777777" w:rsidR="007D738D" w:rsidRPr="00FC73F5" w:rsidRDefault="007D738D" w:rsidP="0025348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ind w:left="1080"/>
        <w:contextualSpacing/>
        <w:rPr>
          <w:rFonts w:asciiTheme="majorBidi" w:hAnsiTheme="majorBidi" w:cstheme="majorBidi"/>
          <w:sz w:val="24"/>
          <w:szCs w:val="24"/>
          <w:lang w:val="en-GB"/>
        </w:rPr>
      </w:pPr>
      <w:r>
        <w:rPr>
          <w:rFonts w:asciiTheme="majorBidi" w:hAnsiTheme="majorBidi" w:cstheme="majorBidi"/>
          <w:sz w:val="24"/>
          <w:szCs w:val="24"/>
          <w:lang w:val="en-GB"/>
        </w:rPr>
        <w:t>T</w:t>
      </w:r>
      <w:r w:rsidRPr="00FC73F5">
        <w:rPr>
          <w:rFonts w:asciiTheme="majorBidi" w:hAnsiTheme="majorBidi" w:cstheme="majorBidi"/>
          <w:sz w:val="24"/>
          <w:szCs w:val="24"/>
          <w:lang w:val="en-GB"/>
        </w:rPr>
        <w:t xml:space="preserve">he state of </w:t>
      </w:r>
      <w:r>
        <w:rPr>
          <w:rFonts w:asciiTheme="majorBidi" w:hAnsiTheme="majorBidi" w:cstheme="majorBidi"/>
          <w:sz w:val="24"/>
          <w:szCs w:val="24"/>
          <w:lang w:val="en-GB"/>
        </w:rPr>
        <w:t xml:space="preserve">global </w:t>
      </w:r>
      <w:r w:rsidRPr="00FC73F5">
        <w:rPr>
          <w:rFonts w:asciiTheme="majorBidi" w:hAnsiTheme="majorBidi" w:cstheme="majorBidi"/>
          <w:sz w:val="24"/>
          <w:szCs w:val="24"/>
          <w:lang w:val="en-GB"/>
        </w:rPr>
        <w:t xml:space="preserve">mercury </w:t>
      </w:r>
      <w:r>
        <w:rPr>
          <w:rFonts w:asciiTheme="majorBidi" w:hAnsiTheme="majorBidi" w:cstheme="majorBidi"/>
          <w:sz w:val="24"/>
          <w:szCs w:val="24"/>
          <w:lang w:val="en-GB"/>
        </w:rPr>
        <w:t xml:space="preserve">levels </w:t>
      </w:r>
      <w:r w:rsidRPr="00FC73F5">
        <w:rPr>
          <w:rFonts w:asciiTheme="majorBidi" w:hAnsiTheme="majorBidi" w:cstheme="majorBidi"/>
          <w:sz w:val="24"/>
          <w:szCs w:val="24"/>
          <w:lang w:val="en-GB"/>
        </w:rPr>
        <w:t>in the environment, biota and humans, as well as trends over time</w:t>
      </w:r>
      <w:r>
        <w:rPr>
          <w:rFonts w:asciiTheme="majorBidi" w:hAnsiTheme="majorBidi" w:cstheme="majorBidi"/>
          <w:sz w:val="24"/>
          <w:szCs w:val="24"/>
          <w:lang w:val="en-GB"/>
        </w:rPr>
        <w:t>, that is a</w:t>
      </w:r>
      <w:r w:rsidRPr="00FC73F5">
        <w:rPr>
          <w:rFonts w:asciiTheme="majorBidi" w:hAnsiTheme="majorBidi" w:cstheme="majorBidi"/>
          <w:sz w:val="24"/>
          <w:szCs w:val="24"/>
          <w:lang w:val="en-GB"/>
        </w:rPr>
        <w:t xml:space="preserve"> </w:t>
      </w:r>
      <w:r w:rsidRPr="00987E63">
        <w:rPr>
          <w:rFonts w:asciiTheme="majorBidi" w:hAnsiTheme="majorBidi" w:cstheme="majorBidi"/>
          <w:b/>
          <w:bCs/>
          <w:sz w:val="24"/>
          <w:szCs w:val="24"/>
          <w:lang w:val="en-GB"/>
        </w:rPr>
        <w:t>Global Monitoring Report;</w:t>
      </w:r>
    </w:p>
    <w:p w14:paraId="1EBE680D" w14:textId="77777777" w:rsidR="007D738D" w:rsidRPr="00FC73F5" w:rsidRDefault="007D738D" w:rsidP="0025348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ind w:left="1080"/>
        <w:contextualSpacing/>
        <w:rPr>
          <w:rFonts w:asciiTheme="majorBidi" w:hAnsiTheme="majorBidi" w:cstheme="majorBidi"/>
          <w:sz w:val="24"/>
          <w:szCs w:val="24"/>
          <w:lang w:val="en-GB"/>
        </w:rPr>
      </w:pPr>
      <w:r w:rsidRPr="00987E63">
        <w:rPr>
          <w:rFonts w:asciiTheme="majorBidi" w:hAnsiTheme="majorBidi" w:cstheme="majorBidi"/>
          <w:b/>
          <w:bCs/>
          <w:sz w:val="24"/>
          <w:szCs w:val="24"/>
          <w:lang w:val="en-GB"/>
        </w:rPr>
        <w:t>Emissions and Releases</w:t>
      </w:r>
      <w:r w:rsidRPr="00FC73F5">
        <w:rPr>
          <w:rFonts w:asciiTheme="majorBidi" w:hAnsiTheme="majorBidi" w:cstheme="majorBidi"/>
          <w:sz w:val="24"/>
          <w:szCs w:val="24"/>
          <w:lang w:val="en-GB"/>
        </w:rPr>
        <w:t xml:space="preserve"> – modelled after the </w:t>
      </w:r>
      <w:r w:rsidRPr="00987E63">
        <w:rPr>
          <w:rFonts w:asciiTheme="majorBidi" w:hAnsiTheme="majorBidi" w:cstheme="majorBidi"/>
          <w:i/>
          <w:iCs/>
          <w:sz w:val="24"/>
          <w:szCs w:val="24"/>
          <w:lang w:val="en-GB"/>
        </w:rPr>
        <w:t>Global Mercury Assessment</w:t>
      </w:r>
      <w:r w:rsidRPr="00FC73F5">
        <w:rPr>
          <w:rFonts w:asciiTheme="majorBidi" w:hAnsiTheme="majorBidi" w:cstheme="majorBidi"/>
          <w:sz w:val="24"/>
          <w:szCs w:val="24"/>
          <w:lang w:val="en-GB"/>
        </w:rPr>
        <w:t xml:space="preserve"> (2018)</w:t>
      </w:r>
    </w:p>
    <w:p w14:paraId="09AA849B" w14:textId="77777777" w:rsidR="007D738D" w:rsidRPr="00FC73F5" w:rsidRDefault="007D738D" w:rsidP="0025348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ind w:left="1080"/>
        <w:contextualSpacing/>
        <w:rPr>
          <w:rFonts w:asciiTheme="majorBidi" w:hAnsiTheme="majorBidi" w:cstheme="majorBidi"/>
          <w:sz w:val="24"/>
          <w:szCs w:val="24"/>
          <w:lang w:val="en-GB"/>
        </w:rPr>
      </w:pPr>
      <w:r w:rsidRPr="00987E63">
        <w:rPr>
          <w:rFonts w:asciiTheme="majorBidi" w:hAnsiTheme="majorBidi" w:cstheme="majorBidi"/>
          <w:b/>
          <w:bCs/>
          <w:sz w:val="24"/>
          <w:szCs w:val="24"/>
          <w:lang w:val="en-GB"/>
        </w:rPr>
        <w:t>Trade, Supply and Demand</w:t>
      </w:r>
      <w:r w:rsidRPr="00FC73F5">
        <w:rPr>
          <w:rFonts w:asciiTheme="majorBidi" w:hAnsiTheme="majorBidi" w:cstheme="majorBidi"/>
          <w:sz w:val="24"/>
          <w:szCs w:val="24"/>
          <w:lang w:val="en-GB"/>
        </w:rPr>
        <w:t xml:space="preserve"> – modelled after the report on </w:t>
      </w:r>
      <w:r w:rsidRPr="00987E63">
        <w:rPr>
          <w:rFonts w:asciiTheme="majorBidi" w:hAnsiTheme="majorBidi" w:cstheme="majorBidi"/>
          <w:i/>
          <w:iCs/>
          <w:sz w:val="24"/>
          <w:szCs w:val="24"/>
          <w:lang w:val="en-GB"/>
        </w:rPr>
        <w:t xml:space="preserve">Global Mercury: Supply, Trade and Demand </w:t>
      </w:r>
      <w:r w:rsidRPr="00FC73F5">
        <w:rPr>
          <w:rFonts w:asciiTheme="majorBidi" w:hAnsiTheme="majorBidi" w:cstheme="majorBidi"/>
          <w:sz w:val="24"/>
          <w:szCs w:val="24"/>
          <w:lang w:val="en-GB"/>
        </w:rPr>
        <w:t>(2017);</w:t>
      </w:r>
    </w:p>
    <w:p w14:paraId="6DADE587" w14:textId="77777777" w:rsidR="007D738D" w:rsidRPr="00FC73F5" w:rsidRDefault="007D738D" w:rsidP="0025348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ind w:left="1080"/>
        <w:contextualSpacing/>
        <w:rPr>
          <w:rFonts w:asciiTheme="majorBidi" w:hAnsiTheme="majorBidi" w:cstheme="majorBidi"/>
          <w:sz w:val="24"/>
          <w:szCs w:val="24"/>
          <w:lang w:val="en-GB"/>
        </w:rPr>
      </w:pPr>
      <w:r w:rsidRPr="00987E63">
        <w:rPr>
          <w:rFonts w:asciiTheme="majorBidi" w:hAnsiTheme="majorBidi" w:cstheme="majorBidi"/>
          <w:b/>
          <w:bCs/>
          <w:sz w:val="24"/>
          <w:szCs w:val="24"/>
          <w:lang w:val="en-GB"/>
        </w:rPr>
        <w:t>Waste Management</w:t>
      </w:r>
      <w:r w:rsidRPr="00FC73F5">
        <w:rPr>
          <w:rFonts w:asciiTheme="majorBidi" w:hAnsiTheme="majorBidi" w:cstheme="majorBidi"/>
          <w:sz w:val="24"/>
          <w:szCs w:val="24"/>
          <w:lang w:val="en-GB"/>
        </w:rPr>
        <w:t xml:space="preserve"> – building on the </w:t>
      </w:r>
      <w:r w:rsidRPr="00987E63">
        <w:rPr>
          <w:rFonts w:asciiTheme="majorBidi" w:hAnsiTheme="majorBidi" w:cstheme="majorBidi"/>
          <w:i/>
          <w:iCs/>
          <w:sz w:val="24"/>
          <w:szCs w:val="24"/>
          <w:lang w:val="en-GB"/>
        </w:rPr>
        <w:t>Global Mercury Waste Assessment</w:t>
      </w:r>
      <w:r w:rsidRPr="00FC73F5">
        <w:rPr>
          <w:rFonts w:asciiTheme="majorBidi" w:hAnsiTheme="majorBidi" w:cstheme="majorBidi"/>
          <w:sz w:val="24"/>
          <w:szCs w:val="24"/>
          <w:lang w:val="en-GB"/>
        </w:rPr>
        <w:t xml:space="preserve"> (2018).</w:t>
      </w:r>
    </w:p>
    <w:p w14:paraId="434B673A" w14:textId="77777777" w:rsidR="007D738D" w:rsidRPr="00FC73F5" w:rsidRDefault="007D738D" w:rsidP="007D738D">
      <w:pPr>
        <w:spacing w:after="0"/>
        <w:rPr>
          <w:rFonts w:asciiTheme="majorBidi" w:hAnsiTheme="majorBidi" w:cstheme="majorBidi"/>
          <w:sz w:val="24"/>
          <w:szCs w:val="24"/>
        </w:rPr>
      </w:pPr>
    </w:p>
    <w:p w14:paraId="3EC3E739" w14:textId="77777777"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 xml:space="preserve">The framework presents </w:t>
      </w:r>
      <w:r>
        <w:rPr>
          <w:rFonts w:asciiTheme="majorBidi" w:hAnsiTheme="majorBidi" w:cstheme="majorBidi"/>
          <w:sz w:val="24"/>
          <w:szCs w:val="24"/>
        </w:rPr>
        <w:t>a</w:t>
      </w:r>
      <w:r w:rsidRPr="00FC73F5">
        <w:rPr>
          <w:rFonts w:asciiTheme="majorBidi" w:hAnsiTheme="majorBidi" w:cstheme="majorBidi"/>
          <w:sz w:val="24"/>
          <w:szCs w:val="24"/>
        </w:rPr>
        <w:t xml:space="preserve"> flow of information from </w:t>
      </w:r>
      <w:r>
        <w:rPr>
          <w:rFonts w:asciiTheme="majorBidi" w:hAnsiTheme="majorBidi" w:cstheme="majorBidi"/>
          <w:sz w:val="24"/>
          <w:szCs w:val="24"/>
        </w:rPr>
        <w:t xml:space="preserve">level 1 to level 6, </w:t>
      </w:r>
      <w:r w:rsidRPr="00FC73F5">
        <w:rPr>
          <w:rFonts w:asciiTheme="majorBidi" w:hAnsiTheme="majorBidi" w:cstheme="majorBidi"/>
          <w:sz w:val="24"/>
          <w:szCs w:val="24"/>
        </w:rPr>
        <w:t>namely</w:t>
      </w:r>
      <w:r>
        <w:rPr>
          <w:rFonts w:asciiTheme="majorBidi" w:hAnsiTheme="majorBidi" w:cstheme="majorBidi"/>
          <w:sz w:val="24"/>
          <w:szCs w:val="24"/>
        </w:rPr>
        <w:t xml:space="preserve"> starting</w:t>
      </w:r>
      <w:r w:rsidRPr="00FC73F5">
        <w:rPr>
          <w:rFonts w:asciiTheme="majorBidi" w:hAnsiTheme="majorBidi" w:cstheme="majorBidi"/>
          <w:sz w:val="24"/>
          <w:szCs w:val="24"/>
        </w:rPr>
        <w:t xml:space="preserve"> from collecting information, to compiling information, to </w:t>
      </w:r>
      <w:r>
        <w:rPr>
          <w:rFonts w:asciiTheme="majorBidi" w:hAnsiTheme="majorBidi" w:cstheme="majorBidi"/>
          <w:sz w:val="24"/>
          <w:szCs w:val="24"/>
        </w:rPr>
        <w:t xml:space="preserve">analysing and </w:t>
      </w:r>
      <w:r w:rsidRPr="00FC73F5">
        <w:rPr>
          <w:rFonts w:asciiTheme="majorBidi" w:hAnsiTheme="majorBidi" w:cstheme="majorBidi"/>
          <w:sz w:val="24"/>
          <w:szCs w:val="24"/>
        </w:rPr>
        <w:t>synthesizing information (levels 1 to 3). The framework then foresees an integrating function (level 4) before reaching the Effectiveness Evaluation Committee (level 5) and the Conference of the Parties (level 6).</w:t>
      </w:r>
    </w:p>
    <w:p w14:paraId="7C8A56A9" w14:textId="77777777" w:rsidR="007D738D" w:rsidRPr="00FC73F5" w:rsidRDefault="007D738D" w:rsidP="007D738D">
      <w:pPr>
        <w:spacing w:after="0"/>
        <w:rPr>
          <w:rFonts w:asciiTheme="majorBidi" w:hAnsiTheme="majorBidi" w:cstheme="majorBidi"/>
          <w:sz w:val="24"/>
          <w:szCs w:val="24"/>
        </w:rPr>
      </w:pPr>
    </w:p>
    <w:p w14:paraId="622B933E" w14:textId="77777777"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 xml:space="preserve">The framework identifies different entities that have different roles in the process. While some entities already exist (i.e. those for administrative </w:t>
      </w:r>
      <w:r>
        <w:rPr>
          <w:rFonts w:asciiTheme="majorBidi" w:hAnsiTheme="majorBidi" w:cstheme="majorBidi"/>
          <w:sz w:val="24"/>
          <w:szCs w:val="24"/>
        </w:rPr>
        <w:t xml:space="preserve">and programme </w:t>
      </w:r>
      <w:r w:rsidRPr="00FC73F5">
        <w:rPr>
          <w:rFonts w:asciiTheme="majorBidi" w:hAnsiTheme="majorBidi" w:cstheme="majorBidi"/>
          <w:sz w:val="24"/>
          <w:szCs w:val="24"/>
        </w:rPr>
        <w:t xml:space="preserve">support, compilation of data for synthesis reports, etc.) there are others who are to perform vital scientific and technical analyses to implement the framework, but they are not in place yet. </w:t>
      </w:r>
    </w:p>
    <w:p w14:paraId="3CBCA97C" w14:textId="77777777" w:rsidR="007D738D" w:rsidRPr="00FC73F5" w:rsidRDefault="007D738D" w:rsidP="007D738D">
      <w:pPr>
        <w:spacing w:after="0"/>
        <w:rPr>
          <w:rFonts w:asciiTheme="majorBidi" w:hAnsiTheme="majorBidi" w:cstheme="majorBidi"/>
          <w:sz w:val="24"/>
          <w:szCs w:val="24"/>
        </w:rPr>
      </w:pPr>
    </w:p>
    <w:p w14:paraId="2CBECC78" w14:textId="77777777" w:rsidR="007D738D"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 xml:space="preserve">The framework foresees two </w:t>
      </w:r>
      <w:r>
        <w:rPr>
          <w:rFonts w:asciiTheme="majorBidi" w:hAnsiTheme="majorBidi" w:cstheme="majorBidi"/>
          <w:sz w:val="24"/>
          <w:szCs w:val="24"/>
        </w:rPr>
        <w:t>scientific and technical</w:t>
      </w:r>
      <w:r w:rsidRPr="00FC73F5">
        <w:rPr>
          <w:rFonts w:asciiTheme="majorBidi" w:hAnsiTheme="majorBidi" w:cstheme="majorBidi"/>
          <w:sz w:val="24"/>
          <w:szCs w:val="24"/>
        </w:rPr>
        <w:t xml:space="preserve"> functions to perform </w:t>
      </w:r>
      <w:r>
        <w:rPr>
          <w:rFonts w:asciiTheme="majorBidi" w:hAnsiTheme="majorBidi" w:cstheme="majorBidi"/>
          <w:sz w:val="24"/>
          <w:szCs w:val="24"/>
        </w:rPr>
        <w:t>analysis, synthesis and interpretation</w:t>
      </w:r>
      <w:r w:rsidRPr="00FC73F5">
        <w:rPr>
          <w:rFonts w:asciiTheme="majorBidi" w:hAnsiTheme="majorBidi" w:cstheme="majorBidi"/>
          <w:sz w:val="24"/>
          <w:szCs w:val="24"/>
        </w:rPr>
        <w:t xml:space="preserve"> at levels</w:t>
      </w:r>
      <w:r>
        <w:rPr>
          <w:rFonts w:asciiTheme="majorBidi" w:hAnsiTheme="majorBidi" w:cstheme="majorBidi"/>
          <w:sz w:val="24"/>
          <w:szCs w:val="24"/>
        </w:rPr>
        <w:t xml:space="preserve"> 3 and 4:</w:t>
      </w:r>
      <w:r w:rsidRPr="00FC73F5">
        <w:rPr>
          <w:rFonts w:asciiTheme="majorBidi" w:hAnsiTheme="majorBidi" w:cstheme="majorBidi"/>
          <w:sz w:val="24"/>
          <w:szCs w:val="24"/>
        </w:rPr>
        <w:t xml:space="preserve"> </w:t>
      </w:r>
      <w:r w:rsidRPr="00D8405F">
        <w:rPr>
          <w:rFonts w:asciiTheme="majorBidi" w:hAnsiTheme="majorBidi" w:cstheme="majorBidi"/>
          <w:sz w:val="24"/>
          <w:szCs w:val="24"/>
        </w:rPr>
        <w:t>The</w:t>
      </w:r>
      <w:r w:rsidRPr="00B11354">
        <w:rPr>
          <w:rFonts w:asciiTheme="majorBidi" w:hAnsiTheme="majorBidi" w:cstheme="majorBidi"/>
          <w:sz w:val="24"/>
          <w:szCs w:val="24"/>
        </w:rPr>
        <w:t xml:space="preserve"> first function </w:t>
      </w:r>
      <w:r>
        <w:rPr>
          <w:rFonts w:asciiTheme="majorBidi" w:hAnsiTheme="majorBidi" w:cstheme="majorBidi"/>
          <w:sz w:val="24"/>
          <w:szCs w:val="24"/>
        </w:rPr>
        <w:t xml:space="preserve">(level 3) </w:t>
      </w:r>
      <w:r w:rsidRPr="00B11354">
        <w:rPr>
          <w:rFonts w:asciiTheme="majorBidi" w:hAnsiTheme="majorBidi" w:cstheme="majorBidi"/>
          <w:sz w:val="24"/>
          <w:szCs w:val="24"/>
        </w:rPr>
        <w:t>is to synthesise mercury information collected and compiled. This function foresees a role for the secretariat, for scientists and experts, and for organisations.</w:t>
      </w:r>
      <w:r>
        <w:rPr>
          <w:rFonts w:asciiTheme="majorBidi" w:hAnsiTheme="majorBidi" w:cstheme="majorBidi"/>
          <w:sz w:val="24"/>
          <w:szCs w:val="24"/>
        </w:rPr>
        <w:t xml:space="preserve"> </w:t>
      </w:r>
      <w:r w:rsidRPr="00627F29">
        <w:rPr>
          <w:rFonts w:asciiTheme="majorBidi" w:hAnsiTheme="majorBidi" w:cstheme="majorBidi"/>
          <w:sz w:val="24"/>
          <w:szCs w:val="24"/>
        </w:rPr>
        <w:t>The second function</w:t>
      </w:r>
      <w:r>
        <w:rPr>
          <w:rFonts w:asciiTheme="majorBidi" w:hAnsiTheme="majorBidi" w:cstheme="majorBidi"/>
          <w:sz w:val="24"/>
          <w:szCs w:val="24"/>
        </w:rPr>
        <w:t xml:space="preserve"> (level 4) </w:t>
      </w:r>
      <w:r w:rsidRPr="00627F29">
        <w:rPr>
          <w:rFonts w:asciiTheme="majorBidi" w:hAnsiTheme="majorBidi" w:cstheme="majorBidi"/>
          <w:sz w:val="24"/>
          <w:szCs w:val="24"/>
        </w:rPr>
        <w:t>is to interpret the information and knowledge collected and synthesised</w:t>
      </w:r>
      <w:r>
        <w:rPr>
          <w:rFonts w:asciiTheme="majorBidi" w:hAnsiTheme="majorBidi" w:cstheme="majorBidi"/>
          <w:sz w:val="24"/>
          <w:szCs w:val="24"/>
        </w:rPr>
        <w:t>,</w:t>
      </w:r>
      <w:r w:rsidRPr="00627F29">
        <w:rPr>
          <w:rFonts w:asciiTheme="majorBidi" w:hAnsiTheme="majorBidi" w:cstheme="majorBidi"/>
          <w:sz w:val="24"/>
          <w:szCs w:val="24"/>
        </w:rPr>
        <w:t xml:space="preserve"> to interpret the linkages between policy actions, emission reductions and resulting mercury levels, using available data sources, modelling techniques and analytical tools drawn from natural and social sciences. </w:t>
      </w:r>
      <w:r w:rsidRPr="001A10AA">
        <w:rPr>
          <w:rFonts w:asciiTheme="majorBidi" w:hAnsiTheme="majorBidi" w:cstheme="majorBidi"/>
          <w:sz w:val="24"/>
          <w:szCs w:val="24"/>
        </w:rPr>
        <w:t xml:space="preserve">The function foresees the production of the </w:t>
      </w:r>
      <w:r w:rsidRPr="001A10AA">
        <w:rPr>
          <w:rFonts w:asciiTheme="majorBidi" w:hAnsiTheme="majorBidi" w:cstheme="majorBidi"/>
          <w:b/>
          <w:bCs/>
          <w:sz w:val="24"/>
          <w:szCs w:val="24"/>
        </w:rPr>
        <w:t>Integrated Assessment Report</w:t>
      </w:r>
      <w:r>
        <w:rPr>
          <w:rFonts w:asciiTheme="majorBidi" w:hAnsiTheme="majorBidi" w:cstheme="majorBidi"/>
          <w:b/>
          <w:bCs/>
          <w:sz w:val="24"/>
          <w:szCs w:val="24"/>
        </w:rPr>
        <w:t xml:space="preserve"> </w:t>
      </w:r>
      <w:r w:rsidRPr="001A10AA">
        <w:rPr>
          <w:rFonts w:asciiTheme="majorBidi" w:hAnsiTheme="majorBidi" w:cstheme="majorBidi"/>
          <w:sz w:val="24"/>
          <w:szCs w:val="24"/>
        </w:rPr>
        <w:t>for the</w:t>
      </w:r>
      <w:r>
        <w:rPr>
          <w:rFonts w:asciiTheme="majorBidi" w:hAnsiTheme="majorBidi" w:cstheme="majorBidi"/>
          <w:sz w:val="24"/>
          <w:szCs w:val="24"/>
        </w:rPr>
        <w:t xml:space="preserve"> </w:t>
      </w:r>
      <w:r w:rsidRPr="00FC73F5">
        <w:rPr>
          <w:rFonts w:asciiTheme="majorBidi" w:hAnsiTheme="majorBidi" w:cstheme="majorBidi"/>
          <w:sz w:val="24"/>
          <w:szCs w:val="24"/>
        </w:rPr>
        <w:t>Effectiveness Evaluation Committee. This report is to be science-based but should be accessible to non-technical readers.</w:t>
      </w:r>
      <w:r w:rsidRPr="006260E1">
        <w:rPr>
          <w:rFonts w:asciiTheme="majorBidi" w:hAnsiTheme="majorBidi" w:cstheme="majorBidi"/>
          <w:sz w:val="24"/>
          <w:szCs w:val="24"/>
        </w:rPr>
        <w:t xml:space="preserve"> </w:t>
      </w:r>
    </w:p>
    <w:p w14:paraId="2EB6E9F1" w14:textId="77777777" w:rsidR="007D738D" w:rsidRPr="00FC73F5" w:rsidRDefault="007D738D" w:rsidP="007D738D">
      <w:pPr>
        <w:spacing w:after="0"/>
        <w:rPr>
          <w:rFonts w:asciiTheme="majorBidi" w:hAnsiTheme="majorBidi" w:cstheme="majorBidi"/>
          <w:sz w:val="24"/>
          <w:szCs w:val="24"/>
        </w:rPr>
      </w:pPr>
    </w:p>
    <w:p w14:paraId="3A398DEE" w14:textId="77777777"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 xml:space="preserve">The Effectiveness Evaluation Committee (see its Terms of Reference in Annex II of the report) will consider all the reports produced to consider the policy questions outlined above </w:t>
      </w:r>
      <w:r w:rsidRPr="00FC73F5">
        <w:rPr>
          <w:rFonts w:asciiTheme="majorBidi" w:hAnsiTheme="majorBidi" w:cstheme="majorBidi"/>
          <w:sz w:val="24"/>
          <w:szCs w:val="24"/>
        </w:rPr>
        <w:lastRenderedPageBreak/>
        <w:t xml:space="preserve">and derive conclusions about the effectiveness of the Convention for its report to the Conference of the Parties. </w:t>
      </w:r>
    </w:p>
    <w:p w14:paraId="4D06B2F6" w14:textId="77777777" w:rsidR="007D738D" w:rsidRDefault="007D738D" w:rsidP="007D738D">
      <w:pPr>
        <w:spacing w:after="0"/>
        <w:rPr>
          <w:rFonts w:asciiTheme="majorBidi" w:hAnsiTheme="majorBidi" w:cstheme="majorBidi"/>
          <w:sz w:val="24"/>
          <w:szCs w:val="24"/>
        </w:rPr>
      </w:pPr>
    </w:p>
    <w:p w14:paraId="150C567F" w14:textId="77777777"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Thereafter, the Conference of the Parties receives and reviews the report of the Effectiveness Evaluation Committee</w:t>
      </w:r>
      <w:r>
        <w:rPr>
          <w:rFonts w:asciiTheme="majorBidi" w:hAnsiTheme="majorBidi" w:cstheme="majorBidi"/>
          <w:sz w:val="24"/>
          <w:szCs w:val="24"/>
        </w:rPr>
        <w:t>,</w:t>
      </w:r>
      <w:r w:rsidRPr="00FC73F5">
        <w:rPr>
          <w:rFonts w:asciiTheme="majorBidi" w:hAnsiTheme="majorBidi" w:cstheme="majorBidi"/>
          <w:sz w:val="24"/>
          <w:szCs w:val="24"/>
        </w:rPr>
        <w:t xml:space="preserve"> and considers the conclusions and recommendations for the Convention. </w:t>
      </w:r>
    </w:p>
    <w:p w14:paraId="155EF26C" w14:textId="77777777" w:rsidR="007D738D" w:rsidRPr="00FC73F5" w:rsidRDefault="007D738D" w:rsidP="007D738D">
      <w:pPr>
        <w:spacing w:after="0"/>
        <w:rPr>
          <w:rFonts w:asciiTheme="majorBidi" w:hAnsiTheme="majorBidi" w:cstheme="majorBidi"/>
          <w:sz w:val="24"/>
          <w:szCs w:val="24"/>
        </w:rPr>
      </w:pPr>
    </w:p>
    <w:p w14:paraId="7686DA1F" w14:textId="77777777"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The framework</w:t>
      </w:r>
      <w:r>
        <w:rPr>
          <w:rFonts w:asciiTheme="majorBidi" w:hAnsiTheme="majorBidi" w:cstheme="majorBidi"/>
          <w:sz w:val="24"/>
          <w:szCs w:val="24"/>
        </w:rPr>
        <w:t xml:space="preserve"> is submitted to the third meeting of the Conference of the Parties for adoption,</w:t>
      </w:r>
      <w:r w:rsidRPr="00FC73F5">
        <w:rPr>
          <w:rFonts w:asciiTheme="majorBidi" w:hAnsiTheme="majorBidi" w:cstheme="majorBidi"/>
          <w:sz w:val="24"/>
          <w:szCs w:val="24"/>
        </w:rPr>
        <w:t xml:space="preserve"> </w:t>
      </w:r>
      <w:r>
        <w:rPr>
          <w:rFonts w:asciiTheme="majorBidi" w:hAnsiTheme="majorBidi" w:cstheme="majorBidi"/>
          <w:sz w:val="24"/>
          <w:szCs w:val="24"/>
        </w:rPr>
        <w:t xml:space="preserve">and </w:t>
      </w:r>
      <w:r w:rsidRPr="00FC73F5">
        <w:rPr>
          <w:rFonts w:asciiTheme="majorBidi" w:hAnsiTheme="majorBidi" w:cstheme="majorBidi"/>
          <w:sz w:val="24"/>
          <w:szCs w:val="24"/>
        </w:rPr>
        <w:t xml:space="preserve">foresees </w:t>
      </w:r>
      <w:r>
        <w:rPr>
          <w:rFonts w:asciiTheme="majorBidi" w:hAnsiTheme="majorBidi" w:cstheme="majorBidi"/>
          <w:sz w:val="24"/>
          <w:szCs w:val="24"/>
        </w:rPr>
        <w:t xml:space="preserve">a </w:t>
      </w:r>
      <w:r w:rsidRPr="00FC73F5">
        <w:rPr>
          <w:rFonts w:asciiTheme="majorBidi" w:hAnsiTheme="majorBidi" w:cstheme="majorBidi"/>
          <w:sz w:val="24"/>
          <w:szCs w:val="24"/>
        </w:rPr>
        <w:t xml:space="preserve">timeline for the first cycle of the effectiveness evaluation where </w:t>
      </w:r>
      <w:r>
        <w:rPr>
          <w:rFonts w:asciiTheme="majorBidi" w:hAnsiTheme="majorBidi" w:cstheme="majorBidi"/>
          <w:sz w:val="24"/>
          <w:szCs w:val="24"/>
        </w:rPr>
        <w:t xml:space="preserve">the fourth meeting of the Conference of the Parties </w:t>
      </w:r>
      <w:r w:rsidRPr="00FC73F5">
        <w:rPr>
          <w:rFonts w:asciiTheme="majorBidi" w:hAnsiTheme="majorBidi" w:cstheme="majorBidi"/>
          <w:sz w:val="24"/>
          <w:szCs w:val="24"/>
        </w:rPr>
        <w:t xml:space="preserve">establishes the Effectiveness Evaluation Committee, and the fifth meeting of the Conference of the Parties considers the findings of that Committee. </w:t>
      </w:r>
    </w:p>
    <w:p w14:paraId="2E6ABCA4" w14:textId="77777777" w:rsidR="007D738D" w:rsidRPr="00FC73F5" w:rsidRDefault="007D738D" w:rsidP="007D738D">
      <w:pPr>
        <w:spacing w:after="0"/>
        <w:rPr>
          <w:rFonts w:asciiTheme="majorBidi" w:hAnsiTheme="majorBidi" w:cstheme="majorBidi"/>
          <w:sz w:val="24"/>
          <w:szCs w:val="24"/>
        </w:rPr>
      </w:pPr>
    </w:p>
    <w:p w14:paraId="4FD3B046" w14:textId="5F14DB7F"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The report also outlines in Section IV</w:t>
      </w:r>
      <w:r>
        <w:rPr>
          <w:rFonts w:asciiTheme="majorBidi" w:hAnsiTheme="majorBidi" w:cstheme="majorBidi"/>
          <w:sz w:val="24"/>
          <w:szCs w:val="24"/>
        </w:rPr>
        <w:t xml:space="preserve"> further issues for the Conference of the Parties to consider at its third meetin</w:t>
      </w:r>
      <w:r w:rsidR="002D2A43">
        <w:rPr>
          <w:rFonts w:asciiTheme="majorBidi" w:hAnsiTheme="majorBidi" w:cstheme="majorBidi"/>
          <w:sz w:val="24"/>
          <w:szCs w:val="24"/>
        </w:rPr>
        <w:t>g, including a proposed draft decision.</w:t>
      </w:r>
    </w:p>
    <w:p w14:paraId="071E5F53" w14:textId="77777777" w:rsidR="007D738D" w:rsidRPr="00FC73F5" w:rsidRDefault="007D738D" w:rsidP="007D738D">
      <w:pPr>
        <w:spacing w:after="0"/>
        <w:rPr>
          <w:rFonts w:asciiTheme="majorBidi" w:hAnsiTheme="majorBidi" w:cstheme="majorBidi"/>
          <w:sz w:val="24"/>
          <w:szCs w:val="24"/>
        </w:rPr>
      </w:pPr>
    </w:p>
    <w:p w14:paraId="333BAA3A" w14:textId="77777777" w:rsidR="007D738D" w:rsidRPr="00FC73F5" w:rsidRDefault="007D738D" w:rsidP="007D738D">
      <w:pPr>
        <w:spacing w:after="0"/>
        <w:rPr>
          <w:rFonts w:asciiTheme="majorBidi" w:hAnsiTheme="majorBidi" w:cstheme="majorBidi"/>
          <w:b/>
          <w:bCs/>
          <w:sz w:val="24"/>
          <w:szCs w:val="24"/>
        </w:rPr>
      </w:pPr>
      <w:r w:rsidRPr="00FC73F5">
        <w:rPr>
          <w:rFonts w:asciiTheme="majorBidi" w:hAnsiTheme="majorBidi" w:cstheme="majorBidi"/>
          <w:b/>
          <w:bCs/>
          <w:sz w:val="24"/>
          <w:szCs w:val="24"/>
        </w:rPr>
        <w:t>Monitoring arrangements</w:t>
      </w:r>
    </w:p>
    <w:p w14:paraId="12FE39F5" w14:textId="77777777" w:rsidR="007D738D" w:rsidRPr="00FC73F5" w:rsidRDefault="007D738D" w:rsidP="007D738D">
      <w:pPr>
        <w:spacing w:after="0"/>
        <w:rPr>
          <w:rFonts w:asciiTheme="majorBidi" w:hAnsiTheme="majorBidi" w:cstheme="majorBidi"/>
          <w:sz w:val="24"/>
          <w:szCs w:val="24"/>
        </w:rPr>
      </w:pPr>
    </w:p>
    <w:p w14:paraId="3E021909" w14:textId="77777777"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 xml:space="preserve">The report addresses the task outlined in </w:t>
      </w:r>
      <w:r>
        <w:rPr>
          <w:rFonts w:asciiTheme="majorBidi" w:hAnsiTheme="majorBidi" w:cstheme="majorBidi"/>
          <w:sz w:val="24"/>
          <w:szCs w:val="24"/>
        </w:rPr>
        <w:t xml:space="preserve">decisions </w:t>
      </w:r>
      <w:r w:rsidRPr="00FC73F5">
        <w:rPr>
          <w:rFonts w:asciiTheme="majorBidi" w:hAnsiTheme="majorBidi" w:cstheme="majorBidi"/>
          <w:sz w:val="24"/>
          <w:szCs w:val="24"/>
        </w:rPr>
        <w:t>MC</w:t>
      </w:r>
      <w:r>
        <w:rPr>
          <w:rFonts w:asciiTheme="majorBidi" w:hAnsiTheme="majorBidi" w:cstheme="majorBidi"/>
          <w:sz w:val="24"/>
          <w:szCs w:val="24"/>
        </w:rPr>
        <w:t>-</w:t>
      </w:r>
      <w:r w:rsidRPr="00FC73F5">
        <w:rPr>
          <w:rFonts w:asciiTheme="majorBidi" w:hAnsiTheme="majorBidi" w:cstheme="majorBidi"/>
          <w:sz w:val="24"/>
          <w:szCs w:val="24"/>
        </w:rPr>
        <w:t xml:space="preserve">1/9 and </w:t>
      </w:r>
      <w:r>
        <w:rPr>
          <w:rFonts w:asciiTheme="majorBidi" w:hAnsiTheme="majorBidi" w:cstheme="majorBidi"/>
          <w:sz w:val="24"/>
          <w:szCs w:val="24"/>
        </w:rPr>
        <w:t>MC-</w:t>
      </w:r>
      <w:r w:rsidRPr="00FC73F5">
        <w:rPr>
          <w:rFonts w:asciiTheme="majorBidi" w:hAnsiTheme="majorBidi" w:cstheme="majorBidi"/>
          <w:sz w:val="24"/>
          <w:szCs w:val="24"/>
        </w:rPr>
        <w:t>2/10 in relation to monitoring, by reviewing available monitoring data, identifying gaps, examining modelling capabilities, and outlining global monitoring arrangements.</w:t>
      </w:r>
    </w:p>
    <w:p w14:paraId="71874E7A" w14:textId="77777777" w:rsidR="007D738D" w:rsidRPr="00FC73F5" w:rsidRDefault="007D738D" w:rsidP="007D738D">
      <w:pPr>
        <w:spacing w:after="0"/>
        <w:rPr>
          <w:rFonts w:asciiTheme="majorBidi" w:hAnsiTheme="majorBidi" w:cstheme="majorBidi"/>
          <w:sz w:val="24"/>
          <w:szCs w:val="24"/>
        </w:rPr>
      </w:pPr>
    </w:p>
    <w:p w14:paraId="6EDA80D9" w14:textId="77777777"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 xml:space="preserve">In considering monitoring information data, the </w:t>
      </w:r>
      <w:r>
        <w:rPr>
          <w:rFonts w:asciiTheme="majorBidi" w:hAnsiTheme="majorBidi" w:cstheme="majorBidi"/>
          <w:sz w:val="24"/>
          <w:szCs w:val="24"/>
        </w:rPr>
        <w:t>ad h</w:t>
      </w:r>
      <w:r w:rsidRPr="00FC73F5">
        <w:rPr>
          <w:rFonts w:asciiTheme="majorBidi" w:hAnsiTheme="majorBidi" w:cstheme="majorBidi"/>
          <w:sz w:val="24"/>
          <w:szCs w:val="24"/>
        </w:rPr>
        <w:t>oc group considered matrices mentioned in MC-2/10: air, humans</w:t>
      </w:r>
      <w:r>
        <w:rPr>
          <w:rFonts w:asciiTheme="majorBidi" w:hAnsiTheme="majorBidi" w:cstheme="majorBidi"/>
          <w:sz w:val="24"/>
          <w:szCs w:val="24"/>
        </w:rPr>
        <w:t>, biota</w:t>
      </w:r>
      <w:r w:rsidRPr="00FC73F5">
        <w:rPr>
          <w:rFonts w:asciiTheme="majorBidi" w:hAnsiTheme="majorBidi" w:cstheme="majorBidi"/>
          <w:sz w:val="24"/>
          <w:szCs w:val="24"/>
        </w:rPr>
        <w:t xml:space="preserve"> and water. The </w:t>
      </w:r>
      <w:r>
        <w:rPr>
          <w:rFonts w:asciiTheme="majorBidi" w:hAnsiTheme="majorBidi" w:cstheme="majorBidi"/>
          <w:sz w:val="24"/>
          <w:szCs w:val="24"/>
        </w:rPr>
        <w:t>ad h</w:t>
      </w:r>
      <w:r w:rsidRPr="00FC73F5">
        <w:rPr>
          <w:rFonts w:asciiTheme="majorBidi" w:hAnsiTheme="majorBidi" w:cstheme="majorBidi"/>
          <w:sz w:val="24"/>
          <w:szCs w:val="24"/>
        </w:rPr>
        <w:t xml:space="preserve">oc group </w:t>
      </w:r>
      <w:r>
        <w:rPr>
          <w:rFonts w:asciiTheme="majorBidi" w:hAnsiTheme="majorBidi" w:cstheme="majorBidi"/>
          <w:sz w:val="24"/>
          <w:szCs w:val="24"/>
        </w:rPr>
        <w:t>concluded</w:t>
      </w:r>
      <w:r w:rsidRPr="00FC73F5">
        <w:rPr>
          <w:rFonts w:asciiTheme="majorBidi" w:hAnsiTheme="majorBidi" w:cstheme="majorBidi"/>
          <w:sz w:val="24"/>
          <w:szCs w:val="24"/>
        </w:rPr>
        <w:t xml:space="preserve"> that data on levels of mercury in air, biota and humans either are available or would be able to be obtained and comparable on a global basis. </w:t>
      </w:r>
    </w:p>
    <w:p w14:paraId="4F8DFFA4" w14:textId="77777777" w:rsidR="007D738D" w:rsidRPr="00FC73F5" w:rsidRDefault="007D738D" w:rsidP="007D738D">
      <w:pPr>
        <w:spacing w:after="0"/>
        <w:rPr>
          <w:rFonts w:asciiTheme="majorBidi" w:hAnsiTheme="majorBidi" w:cstheme="majorBidi"/>
          <w:sz w:val="24"/>
          <w:szCs w:val="24"/>
        </w:rPr>
      </w:pPr>
    </w:p>
    <w:p w14:paraId="15950555" w14:textId="77777777" w:rsidR="007D738D" w:rsidRDefault="007D738D" w:rsidP="007D738D">
      <w:pPr>
        <w:spacing w:after="0"/>
        <w:rPr>
          <w:rFonts w:asciiTheme="majorBidi" w:hAnsiTheme="majorBidi" w:cstheme="majorBidi"/>
          <w:sz w:val="24"/>
          <w:szCs w:val="24"/>
        </w:rPr>
      </w:pPr>
      <w:r w:rsidRPr="00694323">
        <w:rPr>
          <w:rFonts w:asciiTheme="majorBidi" w:hAnsiTheme="majorBidi" w:cstheme="majorBidi"/>
          <w:sz w:val="24"/>
          <w:szCs w:val="24"/>
        </w:rPr>
        <w:t xml:space="preserve">Levels of mercury and mercury compounds in water are collected in relation to water quality issues in a number of countries. These data may be useful in tracking mercury resulting from local activities which release mercury; however, </w:t>
      </w:r>
      <w:r>
        <w:rPr>
          <w:rFonts w:asciiTheme="majorBidi" w:hAnsiTheme="majorBidi" w:cstheme="majorBidi"/>
          <w:sz w:val="24"/>
          <w:szCs w:val="24"/>
        </w:rPr>
        <w:t xml:space="preserve">it </w:t>
      </w:r>
      <w:r w:rsidRPr="00694323">
        <w:rPr>
          <w:rFonts w:asciiTheme="majorBidi" w:hAnsiTheme="majorBidi" w:cstheme="majorBidi"/>
          <w:sz w:val="24"/>
          <w:szCs w:val="24"/>
        </w:rPr>
        <w:t>will not provide overall trends on a global basis. Levels of mercury in ocean water could be comparable on a global basis and collected by existing networks and ad hoc research programmes, but currently such work is done through research-based activities and not dedicated long</w:t>
      </w:r>
      <w:r>
        <w:rPr>
          <w:rFonts w:asciiTheme="majorBidi" w:hAnsiTheme="majorBidi" w:cstheme="majorBidi"/>
          <w:sz w:val="24"/>
          <w:szCs w:val="24"/>
        </w:rPr>
        <w:t>-</w:t>
      </w:r>
      <w:r w:rsidRPr="00694323">
        <w:rPr>
          <w:rFonts w:asciiTheme="majorBidi" w:hAnsiTheme="majorBidi" w:cstheme="majorBidi"/>
          <w:sz w:val="24"/>
          <w:szCs w:val="24"/>
        </w:rPr>
        <w:t>term monitoring programmes</w:t>
      </w:r>
    </w:p>
    <w:p w14:paraId="10FA3DB0" w14:textId="77777777" w:rsidR="007D738D" w:rsidRPr="00FC73F5" w:rsidRDefault="007D738D" w:rsidP="007D738D">
      <w:pPr>
        <w:spacing w:after="0"/>
        <w:rPr>
          <w:rFonts w:asciiTheme="majorBidi" w:hAnsiTheme="majorBidi" w:cstheme="majorBidi"/>
          <w:sz w:val="24"/>
          <w:szCs w:val="24"/>
        </w:rPr>
      </w:pPr>
    </w:p>
    <w:p w14:paraId="6B1D3811" w14:textId="77777777"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The global modelling capabilities have been reviewed in order to understand availability of tools for the use in the effectiveness evaluation. The models complement monitoring data with estimation based on scientific understanding of mechanisms affecting mercury behaviour. Models for different media (air, water, land, biota) vary in their ability and state of development. Atmospheric models have been extensively evaluated and can be applied to assess spatial gradients in atmospheric mercury concentrations and deposition, as well as temporal changes. By contrast, models for other media such as land are still mainly used in research applications. Integrated models that work across media drawing on expertise that bridges natural science, social science, and engineering, are undergoing rapid development in the scientific and academic community and are expected to be available by 2023 for policy-relevant analyses.</w:t>
      </w:r>
    </w:p>
    <w:p w14:paraId="5AFCC7AE" w14:textId="77777777" w:rsidR="007D738D" w:rsidRPr="00FC73F5" w:rsidRDefault="007D738D" w:rsidP="007D738D">
      <w:pPr>
        <w:spacing w:after="0"/>
        <w:rPr>
          <w:rFonts w:asciiTheme="majorBidi" w:hAnsiTheme="majorBidi" w:cstheme="majorBidi"/>
          <w:sz w:val="24"/>
          <w:szCs w:val="24"/>
        </w:rPr>
      </w:pPr>
    </w:p>
    <w:p w14:paraId="2E854071" w14:textId="77777777"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lastRenderedPageBreak/>
        <w:t xml:space="preserve">In the consideration of the monitoring arrangements, the following key elements were identified: </w:t>
      </w:r>
    </w:p>
    <w:p w14:paraId="49060DE9" w14:textId="77777777" w:rsidR="007D738D" w:rsidRPr="00FC73F5" w:rsidRDefault="007D738D" w:rsidP="0025348A">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FC73F5">
        <w:rPr>
          <w:rFonts w:asciiTheme="majorBidi" w:hAnsiTheme="majorBidi" w:cstheme="majorBidi"/>
          <w:sz w:val="24"/>
          <w:szCs w:val="24"/>
          <w:lang w:val="en-GB"/>
        </w:rPr>
        <w:t xml:space="preserve">Mercury data and their availability from human health and environmental monitoring programmes that achieve global coverage and contain at least core representative data from all regions, </w:t>
      </w:r>
    </w:p>
    <w:p w14:paraId="08507BD7" w14:textId="77777777" w:rsidR="007D738D" w:rsidRPr="00FC73F5" w:rsidRDefault="007D738D" w:rsidP="0025348A">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FC73F5">
        <w:rPr>
          <w:rFonts w:asciiTheme="majorBidi" w:hAnsiTheme="majorBidi" w:cstheme="majorBidi"/>
          <w:sz w:val="24"/>
          <w:szCs w:val="24"/>
          <w:lang w:val="en-GB"/>
        </w:rPr>
        <w:t xml:space="preserve">Tools supporting data harmonization such as standard operating procedures and monitoring guidance document, </w:t>
      </w:r>
    </w:p>
    <w:p w14:paraId="12AB9291" w14:textId="77777777" w:rsidR="007D738D" w:rsidRPr="00FC73F5" w:rsidRDefault="007D738D" w:rsidP="0025348A">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FC73F5">
        <w:rPr>
          <w:rFonts w:asciiTheme="majorBidi" w:hAnsiTheme="majorBidi" w:cstheme="majorBidi"/>
          <w:sz w:val="24"/>
          <w:szCs w:val="24"/>
          <w:lang w:val="en-GB"/>
        </w:rPr>
        <w:t xml:space="preserve">Expertise necessary for gathering and consolidating harmonized information that ensures comparability and consistency in monitoring data over the long-term, </w:t>
      </w:r>
    </w:p>
    <w:p w14:paraId="5B2285A3" w14:textId="77777777" w:rsidR="007D738D" w:rsidRPr="00FC73F5" w:rsidRDefault="007D738D" w:rsidP="0025348A">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FC73F5">
        <w:rPr>
          <w:rFonts w:asciiTheme="majorBidi" w:hAnsiTheme="majorBidi" w:cstheme="majorBidi"/>
          <w:sz w:val="24"/>
          <w:szCs w:val="24"/>
          <w:lang w:val="en-GB"/>
        </w:rPr>
        <w:t xml:space="preserve">Modelling capabilities, and </w:t>
      </w:r>
    </w:p>
    <w:p w14:paraId="566DAA8F" w14:textId="77777777" w:rsidR="007D738D" w:rsidRPr="00FC73F5" w:rsidRDefault="007D738D" w:rsidP="0025348A">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line="259" w:lineRule="auto"/>
        <w:contextualSpacing/>
        <w:rPr>
          <w:rFonts w:asciiTheme="majorBidi" w:hAnsiTheme="majorBidi" w:cstheme="majorBidi"/>
          <w:sz w:val="24"/>
          <w:szCs w:val="24"/>
          <w:lang w:val="en-GB"/>
        </w:rPr>
      </w:pPr>
      <w:r w:rsidRPr="00FC73F5">
        <w:rPr>
          <w:rFonts w:asciiTheme="majorBidi" w:hAnsiTheme="majorBidi" w:cstheme="majorBidi"/>
          <w:sz w:val="24"/>
          <w:szCs w:val="24"/>
          <w:lang w:val="en-GB"/>
        </w:rPr>
        <w:t>Development of a global periodic report to support the effectiveness evaluation.</w:t>
      </w:r>
    </w:p>
    <w:p w14:paraId="483522D0" w14:textId="77777777" w:rsidR="007D738D" w:rsidRPr="00FC73F5" w:rsidRDefault="007D738D" w:rsidP="007D738D">
      <w:pPr>
        <w:spacing w:after="0"/>
        <w:rPr>
          <w:rFonts w:asciiTheme="majorBidi" w:hAnsiTheme="majorBidi" w:cstheme="majorBidi"/>
          <w:sz w:val="24"/>
          <w:szCs w:val="24"/>
        </w:rPr>
      </w:pPr>
    </w:p>
    <w:p w14:paraId="398570DC" w14:textId="77777777" w:rsidR="007D738D" w:rsidRPr="00FC73F5" w:rsidRDefault="007D738D" w:rsidP="007D738D">
      <w:pPr>
        <w:spacing w:after="0"/>
        <w:rPr>
          <w:rFonts w:asciiTheme="majorBidi" w:hAnsiTheme="majorBidi" w:cstheme="majorBidi"/>
          <w:sz w:val="24"/>
          <w:szCs w:val="24"/>
        </w:rPr>
      </w:pPr>
      <w:r w:rsidRPr="00FC73F5">
        <w:rPr>
          <w:rFonts w:asciiTheme="majorBidi" w:hAnsiTheme="majorBidi" w:cstheme="majorBidi"/>
          <w:sz w:val="24"/>
          <w:szCs w:val="24"/>
        </w:rPr>
        <w:t>In line with the proposal to perform scientific functions and to carry out tasks related to work with monitoring indicators identified in the effectiveness evaluation framework, scientific expertise and qualifications are required to oversee the gathering and consolidation of monitoring data. It is proposed that this task should be overseen by an expert body whose terms of reference are proposed in Annex 3.</w:t>
      </w:r>
    </w:p>
    <w:p w14:paraId="4F4785F5" w14:textId="77777777" w:rsidR="007D738D" w:rsidRPr="00FC73F5" w:rsidRDefault="007D738D" w:rsidP="007D738D">
      <w:pPr>
        <w:spacing w:after="0"/>
        <w:rPr>
          <w:rFonts w:asciiTheme="majorBidi" w:hAnsiTheme="majorBidi" w:cstheme="majorBidi"/>
          <w:sz w:val="24"/>
          <w:szCs w:val="24"/>
        </w:rPr>
      </w:pPr>
    </w:p>
    <w:p w14:paraId="55092FDD" w14:textId="05EAE046" w:rsidR="00310A89" w:rsidRPr="00FC73F5" w:rsidRDefault="007D738D" w:rsidP="007D738D">
      <w:pPr>
        <w:spacing w:after="0"/>
        <w:rPr>
          <w:rFonts w:asciiTheme="majorBidi" w:hAnsiTheme="majorBidi" w:cstheme="majorBidi"/>
          <w:sz w:val="24"/>
          <w:szCs w:val="24"/>
        </w:rPr>
      </w:pPr>
      <w:r w:rsidRPr="007D738D">
        <w:rPr>
          <w:rFonts w:asciiTheme="majorBidi" w:hAnsiTheme="majorBidi" w:cstheme="majorBidi"/>
          <w:b/>
          <w:bCs/>
          <w:sz w:val="24"/>
          <w:szCs w:val="24"/>
        </w:rPr>
        <w:t>NOTE</w:t>
      </w:r>
      <w:r w:rsidRPr="00FC73F5">
        <w:rPr>
          <w:rFonts w:asciiTheme="majorBidi" w:hAnsiTheme="majorBidi" w:cstheme="majorBidi"/>
          <w:sz w:val="24"/>
          <w:szCs w:val="24"/>
        </w:rPr>
        <w:t xml:space="preserve">: In addition to this report, the </w:t>
      </w:r>
      <w:r>
        <w:rPr>
          <w:rFonts w:asciiTheme="majorBidi" w:hAnsiTheme="majorBidi" w:cstheme="majorBidi"/>
          <w:sz w:val="24"/>
          <w:szCs w:val="24"/>
        </w:rPr>
        <w:t>ad h</w:t>
      </w:r>
      <w:r w:rsidRPr="00FC73F5">
        <w:rPr>
          <w:rFonts w:asciiTheme="majorBidi" w:hAnsiTheme="majorBidi" w:cstheme="majorBidi"/>
          <w:sz w:val="24"/>
          <w:szCs w:val="24"/>
        </w:rPr>
        <w:t>oc group developed a complementing information document. Part 1 of that document provides a more detailed review of available monitoring data and background on the proposal for monitoring activities with further scientific and technical details. Part 2 of the information document contains a proposal for elements of the guidance document for mercury monitoring that will be developed under the monitoring arrangements to be established by the Conference of the Parties.</w:t>
      </w:r>
    </w:p>
    <w:p w14:paraId="081E20AD" w14:textId="77777777" w:rsidR="00D64494" w:rsidRPr="00FC73F5" w:rsidRDefault="00D64494" w:rsidP="00D64494">
      <w:pPr>
        <w:spacing w:after="0"/>
        <w:rPr>
          <w:rFonts w:asciiTheme="majorBidi" w:hAnsiTheme="majorBidi" w:cstheme="majorBidi"/>
        </w:rPr>
      </w:pPr>
    </w:p>
    <w:p w14:paraId="06D83AC8" w14:textId="77777777" w:rsidR="00E062F7" w:rsidRPr="00FC73F5" w:rsidRDefault="00E062F7" w:rsidP="00D64494">
      <w:pPr>
        <w:spacing w:after="0"/>
        <w:rPr>
          <w:rFonts w:asciiTheme="majorBidi" w:hAnsiTheme="majorBidi" w:cstheme="majorBidi"/>
        </w:rPr>
      </w:pPr>
      <w:r w:rsidRPr="00FC73F5">
        <w:rPr>
          <w:rFonts w:asciiTheme="majorBidi" w:hAnsiTheme="majorBidi" w:cstheme="majorBidi"/>
        </w:rPr>
        <w:br w:type="page"/>
      </w:r>
    </w:p>
    <w:p w14:paraId="3053CB65" w14:textId="40596498" w:rsidR="00E062F7" w:rsidRPr="00FC73F5" w:rsidRDefault="00E062F7" w:rsidP="00D64494">
      <w:pPr>
        <w:spacing w:after="0"/>
        <w:rPr>
          <w:rFonts w:asciiTheme="majorBidi" w:hAnsiTheme="majorBidi" w:cstheme="majorBidi"/>
          <w:b/>
          <w:bCs/>
          <w:sz w:val="28"/>
          <w:szCs w:val="28"/>
        </w:rPr>
      </w:pPr>
      <w:r w:rsidRPr="00FC73F5">
        <w:rPr>
          <w:rFonts w:asciiTheme="majorBidi" w:hAnsiTheme="majorBidi" w:cstheme="majorBidi"/>
          <w:b/>
          <w:bCs/>
          <w:sz w:val="28"/>
          <w:szCs w:val="28"/>
        </w:rPr>
        <w:lastRenderedPageBreak/>
        <w:t>I</w:t>
      </w:r>
      <w:r w:rsidR="00FC6E61" w:rsidRPr="00FC73F5">
        <w:rPr>
          <w:rFonts w:asciiTheme="majorBidi" w:hAnsiTheme="majorBidi" w:cstheme="majorBidi"/>
          <w:b/>
          <w:bCs/>
          <w:sz w:val="28"/>
          <w:szCs w:val="28"/>
        </w:rPr>
        <w:t>.</w:t>
      </w:r>
      <w:r w:rsidRPr="00FC73F5">
        <w:rPr>
          <w:rFonts w:asciiTheme="majorBidi" w:hAnsiTheme="majorBidi" w:cstheme="majorBidi"/>
          <w:b/>
          <w:bCs/>
          <w:sz w:val="28"/>
          <w:szCs w:val="28"/>
        </w:rPr>
        <w:t xml:space="preserve"> Introduction</w:t>
      </w:r>
    </w:p>
    <w:p w14:paraId="19AEB923" w14:textId="77777777" w:rsidR="00D64494" w:rsidRPr="00FC73F5" w:rsidRDefault="00D64494" w:rsidP="00D64494">
      <w:pPr>
        <w:spacing w:after="0"/>
        <w:rPr>
          <w:rFonts w:asciiTheme="majorBidi" w:hAnsiTheme="majorBidi" w:cstheme="majorBidi"/>
          <w:sz w:val="24"/>
          <w:szCs w:val="24"/>
        </w:rPr>
      </w:pPr>
    </w:p>
    <w:p w14:paraId="4A23F627" w14:textId="2AB52981" w:rsidR="003108DA" w:rsidRPr="00FC73F5" w:rsidRDefault="00C5729F" w:rsidP="00A03499">
      <w:pPr>
        <w:pStyle w:val="ListParagraph"/>
        <w:numPr>
          <w:ilvl w:val="0"/>
          <w:numId w:val="1"/>
        </w:numPr>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t>At the first and second meetings, the Conference of the Parties tasked an ad</w:t>
      </w:r>
      <w:r w:rsidR="00B430B1" w:rsidRPr="00FC73F5">
        <w:rPr>
          <w:rFonts w:asciiTheme="majorBidi" w:hAnsiTheme="majorBidi" w:cstheme="majorBidi"/>
          <w:sz w:val="24"/>
          <w:szCs w:val="24"/>
          <w:lang w:val="en-GB"/>
        </w:rPr>
        <w:t xml:space="preserve"> </w:t>
      </w:r>
      <w:r w:rsidRPr="00FC73F5">
        <w:rPr>
          <w:rFonts w:asciiTheme="majorBidi" w:hAnsiTheme="majorBidi" w:cstheme="majorBidi"/>
          <w:sz w:val="24"/>
          <w:szCs w:val="24"/>
          <w:lang w:val="en-GB"/>
        </w:rPr>
        <w:t xml:space="preserve">hoc expert group to consider the arrangements to be put in place to provide the Conference of the Parties with the </w:t>
      </w:r>
      <w:r w:rsidR="003108DA" w:rsidRPr="00FC73F5">
        <w:rPr>
          <w:rFonts w:asciiTheme="majorBidi" w:hAnsiTheme="majorBidi" w:cstheme="majorBidi"/>
          <w:sz w:val="24"/>
          <w:szCs w:val="24"/>
          <w:lang w:val="en-GB"/>
        </w:rPr>
        <w:t>required information to conduct an effectiveness evaluation of the Minamata Convention on Mercury</w:t>
      </w:r>
      <w:r w:rsidRPr="00FC73F5">
        <w:rPr>
          <w:rFonts w:asciiTheme="majorBidi" w:hAnsiTheme="majorBidi" w:cstheme="majorBidi"/>
          <w:sz w:val="24"/>
          <w:szCs w:val="24"/>
          <w:lang w:val="en-GB"/>
        </w:rPr>
        <w:t>.</w:t>
      </w:r>
      <w:r w:rsidR="00B430B1" w:rsidRPr="00FC73F5">
        <w:rPr>
          <w:rStyle w:val="FootnoteReference"/>
          <w:rFonts w:asciiTheme="majorBidi" w:hAnsiTheme="majorBidi" w:cstheme="majorBidi"/>
          <w:sz w:val="24"/>
          <w:szCs w:val="24"/>
          <w:lang w:val="en-GB"/>
        </w:rPr>
        <w:t xml:space="preserve"> </w:t>
      </w:r>
      <w:r w:rsidR="00B430B1" w:rsidRPr="00FC73F5">
        <w:rPr>
          <w:rStyle w:val="FootnoteReference"/>
          <w:rFonts w:asciiTheme="majorBidi" w:hAnsiTheme="majorBidi" w:cstheme="majorBidi"/>
          <w:sz w:val="24"/>
          <w:szCs w:val="24"/>
          <w:lang w:val="en-GB"/>
        </w:rPr>
        <w:footnoteReference w:id="1"/>
      </w:r>
      <w:r w:rsidRPr="00FC73F5">
        <w:rPr>
          <w:rFonts w:asciiTheme="majorBidi" w:hAnsiTheme="majorBidi" w:cstheme="majorBidi"/>
          <w:sz w:val="24"/>
          <w:szCs w:val="24"/>
          <w:lang w:val="en-GB"/>
        </w:rPr>
        <w:t xml:space="preserve"> The effectiveness evaluation is to be conducted at</w:t>
      </w:r>
      <w:r w:rsidR="003108DA" w:rsidRPr="00FC73F5">
        <w:rPr>
          <w:rFonts w:asciiTheme="majorBidi" w:hAnsiTheme="majorBidi" w:cstheme="majorBidi"/>
          <w:sz w:val="24"/>
          <w:szCs w:val="24"/>
          <w:lang w:val="en-GB"/>
        </w:rPr>
        <w:t xml:space="preserve"> regular interval</w:t>
      </w:r>
      <w:r w:rsidRPr="00FC73F5">
        <w:rPr>
          <w:rFonts w:asciiTheme="majorBidi" w:hAnsiTheme="majorBidi" w:cstheme="majorBidi"/>
          <w:sz w:val="24"/>
          <w:szCs w:val="24"/>
          <w:lang w:val="en-GB"/>
        </w:rPr>
        <w:t>s</w:t>
      </w:r>
      <w:r w:rsidR="003108DA" w:rsidRPr="00FC73F5">
        <w:rPr>
          <w:rFonts w:asciiTheme="majorBidi" w:hAnsiTheme="majorBidi" w:cstheme="majorBidi"/>
          <w:sz w:val="24"/>
          <w:szCs w:val="24"/>
          <w:lang w:val="en-GB"/>
        </w:rPr>
        <w:t xml:space="preserve">, with the first </w:t>
      </w:r>
      <w:r w:rsidR="00B75951" w:rsidRPr="00FC73F5">
        <w:rPr>
          <w:rFonts w:asciiTheme="majorBidi" w:hAnsiTheme="majorBidi" w:cstheme="majorBidi"/>
          <w:sz w:val="24"/>
          <w:szCs w:val="24"/>
          <w:lang w:val="en-GB"/>
        </w:rPr>
        <w:t>taking place within</w:t>
      </w:r>
      <w:r w:rsidR="003108DA" w:rsidRPr="00FC73F5">
        <w:rPr>
          <w:rFonts w:asciiTheme="majorBidi" w:hAnsiTheme="majorBidi" w:cstheme="majorBidi"/>
          <w:sz w:val="24"/>
          <w:szCs w:val="24"/>
          <w:lang w:val="en-GB"/>
        </w:rPr>
        <w:t xml:space="preserve"> six years after the entry into force of the Convention</w:t>
      </w:r>
      <w:r w:rsidRPr="00FC73F5">
        <w:rPr>
          <w:rFonts w:asciiTheme="majorBidi" w:hAnsiTheme="majorBidi" w:cstheme="majorBidi"/>
          <w:sz w:val="24"/>
          <w:szCs w:val="24"/>
          <w:lang w:val="en-GB"/>
        </w:rPr>
        <w:t>.</w:t>
      </w:r>
      <w:r w:rsidR="00C862A0" w:rsidRPr="00FC73F5">
        <w:rPr>
          <w:rStyle w:val="FootnoteReference"/>
          <w:rFonts w:asciiTheme="majorBidi" w:hAnsiTheme="majorBidi" w:cstheme="majorBidi"/>
          <w:sz w:val="24"/>
          <w:szCs w:val="24"/>
          <w:lang w:val="en-GB"/>
        </w:rPr>
        <w:footnoteReference w:id="2"/>
      </w:r>
      <w:r w:rsidR="00C862A0" w:rsidRPr="00FC73F5">
        <w:rPr>
          <w:rFonts w:asciiTheme="majorBidi" w:hAnsiTheme="majorBidi" w:cstheme="majorBidi"/>
          <w:sz w:val="24"/>
          <w:szCs w:val="24"/>
          <w:lang w:val="en-GB"/>
        </w:rPr>
        <w:t xml:space="preserve"> </w:t>
      </w:r>
      <w:r w:rsidRPr="00FC73F5">
        <w:rPr>
          <w:rFonts w:asciiTheme="majorBidi" w:hAnsiTheme="majorBidi" w:cstheme="majorBidi"/>
          <w:sz w:val="24"/>
          <w:szCs w:val="24"/>
          <w:lang w:val="en-GB"/>
        </w:rPr>
        <w:t>This report is the outcome of the consultation and deliberations of the ad</w:t>
      </w:r>
      <w:r w:rsidR="00B430B1" w:rsidRPr="00FC73F5">
        <w:rPr>
          <w:rFonts w:asciiTheme="majorBidi" w:hAnsiTheme="majorBidi" w:cstheme="majorBidi"/>
          <w:sz w:val="24"/>
          <w:szCs w:val="24"/>
          <w:lang w:val="en-GB"/>
        </w:rPr>
        <w:t xml:space="preserve"> </w:t>
      </w:r>
      <w:r w:rsidRPr="00FC73F5">
        <w:rPr>
          <w:rFonts w:asciiTheme="majorBidi" w:hAnsiTheme="majorBidi" w:cstheme="majorBidi"/>
          <w:sz w:val="24"/>
          <w:szCs w:val="24"/>
          <w:lang w:val="en-GB"/>
        </w:rPr>
        <w:t>hoc expert group</w:t>
      </w:r>
      <w:r w:rsidR="00B430B1" w:rsidRPr="00FC73F5">
        <w:rPr>
          <w:rFonts w:asciiTheme="majorBidi" w:hAnsiTheme="majorBidi" w:cstheme="majorBidi"/>
          <w:sz w:val="24"/>
          <w:szCs w:val="24"/>
          <w:lang w:val="en-GB"/>
        </w:rPr>
        <w:t xml:space="preserve"> to put in place arrangements to conduct an effectiveness evaluation.</w:t>
      </w:r>
    </w:p>
    <w:p w14:paraId="0B9A02CE" w14:textId="4095F0C6" w:rsidR="00635F7F" w:rsidRPr="00FC73F5" w:rsidRDefault="003108DA" w:rsidP="00A03499">
      <w:pPr>
        <w:pStyle w:val="ListParagraph"/>
        <w:numPr>
          <w:ilvl w:val="0"/>
          <w:numId w:val="1"/>
        </w:numPr>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Article 22 of the Minamata Convention in paragraph 2 stipulates that the </w:t>
      </w:r>
      <w:r w:rsidR="00635F7F" w:rsidRPr="00FC73F5">
        <w:rPr>
          <w:rFonts w:asciiTheme="majorBidi" w:hAnsiTheme="majorBidi" w:cstheme="majorBidi"/>
          <w:sz w:val="24"/>
          <w:szCs w:val="24"/>
          <w:lang w:val="en-GB"/>
        </w:rPr>
        <w:t xml:space="preserve">Conference of the Parties, shall initiate the establishment of arrangements for providing itself with comparable monitoring data on the </w:t>
      </w:r>
      <w:r w:rsidRPr="00FC73F5">
        <w:rPr>
          <w:rFonts w:asciiTheme="majorBidi" w:hAnsiTheme="majorBidi" w:cstheme="majorBidi"/>
          <w:sz w:val="24"/>
          <w:szCs w:val="24"/>
          <w:lang w:val="en-GB"/>
        </w:rPr>
        <w:t>presence and movement of mercury and mercury compounds in the environment, as well as the trends in the levels of mercury and mercury compounds as observe</w:t>
      </w:r>
      <w:r w:rsidR="00635F7F" w:rsidRPr="00FC73F5">
        <w:rPr>
          <w:rFonts w:asciiTheme="majorBidi" w:hAnsiTheme="majorBidi" w:cstheme="majorBidi"/>
          <w:sz w:val="24"/>
          <w:szCs w:val="24"/>
          <w:lang w:val="en-GB"/>
        </w:rPr>
        <w:t>d</w:t>
      </w:r>
      <w:r w:rsidRPr="00FC73F5">
        <w:rPr>
          <w:rFonts w:asciiTheme="majorBidi" w:hAnsiTheme="majorBidi" w:cstheme="majorBidi"/>
          <w:sz w:val="24"/>
          <w:szCs w:val="24"/>
          <w:lang w:val="en-GB"/>
        </w:rPr>
        <w:t xml:space="preserve"> in </w:t>
      </w:r>
      <w:r w:rsidR="00C862A0" w:rsidRPr="00FC73F5">
        <w:rPr>
          <w:rFonts w:asciiTheme="majorBidi" w:hAnsiTheme="majorBidi" w:cstheme="majorBidi"/>
          <w:sz w:val="24"/>
          <w:szCs w:val="24"/>
          <w:lang w:val="en-GB"/>
        </w:rPr>
        <w:t>biotic media and vulnerable populations. Paragraph 3 of that article further stipulates that the evaluation shall be conducted based on available scientific, environmental, technical, financial and economic information</w:t>
      </w:r>
      <w:r w:rsidR="00635F7F" w:rsidRPr="00FC73F5">
        <w:rPr>
          <w:rFonts w:asciiTheme="majorBidi" w:hAnsiTheme="majorBidi" w:cstheme="majorBidi"/>
          <w:sz w:val="24"/>
          <w:szCs w:val="24"/>
          <w:lang w:val="en-GB"/>
        </w:rPr>
        <w:t xml:space="preserve">, including: </w:t>
      </w:r>
    </w:p>
    <w:p w14:paraId="5A95926C" w14:textId="77777777" w:rsidR="00635F7F" w:rsidRPr="00FC73F5" w:rsidRDefault="00635F7F" w:rsidP="00635F7F">
      <w:pPr>
        <w:ind w:left="1418"/>
        <w:rPr>
          <w:rFonts w:asciiTheme="majorBidi" w:hAnsiTheme="majorBidi" w:cstheme="majorBidi"/>
          <w:sz w:val="24"/>
          <w:szCs w:val="24"/>
        </w:rPr>
      </w:pPr>
      <w:r w:rsidRPr="00FC73F5">
        <w:rPr>
          <w:rFonts w:asciiTheme="majorBidi" w:hAnsiTheme="majorBidi" w:cstheme="majorBidi"/>
          <w:sz w:val="24"/>
          <w:szCs w:val="24"/>
        </w:rPr>
        <w:t xml:space="preserve">(a) Reports and other monitoring information provided to the Conference of the Parties pursuant to paragraph 2; </w:t>
      </w:r>
    </w:p>
    <w:p w14:paraId="3E84AD91" w14:textId="77777777" w:rsidR="00635F7F" w:rsidRPr="00FC73F5" w:rsidRDefault="00635F7F" w:rsidP="00635F7F">
      <w:pPr>
        <w:ind w:left="1418"/>
        <w:rPr>
          <w:rFonts w:asciiTheme="majorBidi" w:hAnsiTheme="majorBidi" w:cstheme="majorBidi"/>
          <w:sz w:val="24"/>
          <w:szCs w:val="24"/>
        </w:rPr>
      </w:pPr>
      <w:r w:rsidRPr="00FC73F5">
        <w:rPr>
          <w:rFonts w:asciiTheme="majorBidi" w:hAnsiTheme="majorBidi" w:cstheme="majorBidi"/>
          <w:sz w:val="24"/>
          <w:szCs w:val="24"/>
        </w:rPr>
        <w:t xml:space="preserve">(b) Reports submitted pursuant to Article 21; </w:t>
      </w:r>
    </w:p>
    <w:p w14:paraId="33962942" w14:textId="77777777" w:rsidR="00635F7F" w:rsidRPr="00FC73F5" w:rsidRDefault="00635F7F" w:rsidP="00635F7F">
      <w:pPr>
        <w:ind w:left="1418"/>
        <w:rPr>
          <w:rFonts w:asciiTheme="majorBidi" w:hAnsiTheme="majorBidi" w:cstheme="majorBidi"/>
          <w:sz w:val="24"/>
          <w:szCs w:val="24"/>
        </w:rPr>
      </w:pPr>
      <w:r w:rsidRPr="00FC73F5">
        <w:rPr>
          <w:rFonts w:asciiTheme="majorBidi" w:hAnsiTheme="majorBidi" w:cstheme="majorBidi"/>
          <w:sz w:val="24"/>
          <w:szCs w:val="24"/>
        </w:rPr>
        <w:t xml:space="preserve">(c) Information and recommendations provided pursuant to Article 15; and </w:t>
      </w:r>
    </w:p>
    <w:p w14:paraId="065434ED" w14:textId="5342B8FD" w:rsidR="008E2CDB" w:rsidRPr="00FC73F5" w:rsidRDefault="00635F7F" w:rsidP="00A03499">
      <w:pPr>
        <w:ind w:left="1418"/>
        <w:rPr>
          <w:rFonts w:asciiTheme="majorBidi" w:hAnsiTheme="majorBidi" w:cstheme="majorBidi"/>
          <w:sz w:val="24"/>
          <w:szCs w:val="24"/>
        </w:rPr>
      </w:pPr>
      <w:r w:rsidRPr="00FC73F5">
        <w:rPr>
          <w:rFonts w:asciiTheme="majorBidi" w:hAnsiTheme="majorBidi" w:cstheme="majorBidi"/>
          <w:sz w:val="24"/>
          <w:szCs w:val="24"/>
        </w:rPr>
        <w:t>(d) Reports and other relevant information on the operation of the financial assistance, technology transfer and capacity building arrangements put in place under this Convention.</w:t>
      </w:r>
    </w:p>
    <w:p w14:paraId="1151D396" w14:textId="07228905" w:rsidR="00B75951" w:rsidRPr="00FC73F5" w:rsidRDefault="008E2CDB" w:rsidP="00A03499">
      <w:pPr>
        <w:pStyle w:val="ListParagraph"/>
        <w:numPr>
          <w:ilvl w:val="0"/>
          <w:numId w:val="1"/>
        </w:numPr>
        <w:spacing w:after="160"/>
        <w:rPr>
          <w:sz w:val="24"/>
          <w:szCs w:val="24"/>
          <w:lang w:val="en-GB"/>
        </w:rPr>
      </w:pPr>
      <w:r w:rsidRPr="00FC73F5">
        <w:rPr>
          <w:rFonts w:asciiTheme="majorBidi" w:hAnsiTheme="majorBidi" w:cstheme="majorBidi"/>
          <w:sz w:val="24"/>
          <w:szCs w:val="24"/>
          <w:lang w:val="en-GB"/>
        </w:rPr>
        <w:t xml:space="preserve">The first meeting of the Conference of the Parties </w:t>
      </w:r>
      <w:r w:rsidR="00FD5C7E" w:rsidRPr="00FC73F5">
        <w:rPr>
          <w:rFonts w:asciiTheme="majorBidi" w:hAnsiTheme="majorBidi" w:cstheme="majorBidi"/>
          <w:sz w:val="24"/>
          <w:szCs w:val="24"/>
          <w:lang w:val="en-GB"/>
        </w:rPr>
        <w:t>recognised</w:t>
      </w:r>
      <w:r w:rsidRPr="00FC73F5">
        <w:rPr>
          <w:rFonts w:asciiTheme="majorBidi" w:hAnsiTheme="majorBidi" w:cstheme="majorBidi"/>
          <w:sz w:val="24"/>
          <w:szCs w:val="24"/>
          <w:lang w:val="en-GB"/>
        </w:rPr>
        <w:t xml:space="preserve"> the urgent need for a framework for the effectiveness evaluation that includes a strategic, cost-effective approach that provides appropriate and sufficient data, and </w:t>
      </w:r>
      <w:r w:rsidR="00FD5C7E" w:rsidRPr="00FC73F5">
        <w:rPr>
          <w:rFonts w:asciiTheme="majorBidi" w:hAnsiTheme="majorBidi" w:cstheme="majorBidi"/>
          <w:sz w:val="24"/>
          <w:szCs w:val="24"/>
          <w:lang w:val="en-GB"/>
        </w:rPr>
        <w:t xml:space="preserve">further </w:t>
      </w:r>
      <w:r w:rsidRPr="00FC73F5">
        <w:rPr>
          <w:rFonts w:asciiTheme="majorBidi" w:hAnsiTheme="majorBidi" w:cstheme="majorBidi"/>
          <w:sz w:val="24"/>
          <w:szCs w:val="24"/>
          <w:lang w:val="en-GB"/>
        </w:rPr>
        <w:t>acknowledg</w:t>
      </w:r>
      <w:r w:rsidR="00FD5C7E" w:rsidRPr="00FC73F5">
        <w:rPr>
          <w:rFonts w:asciiTheme="majorBidi" w:hAnsiTheme="majorBidi" w:cstheme="majorBidi"/>
          <w:sz w:val="24"/>
          <w:szCs w:val="24"/>
          <w:lang w:val="en-GB"/>
        </w:rPr>
        <w:t>ed</w:t>
      </w:r>
      <w:r w:rsidRPr="00FC73F5">
        <w:rPr>
          <w:rFonts w:asciiTheme="majorBidi" w:hAnsiTheme="majorBidi" w:cstheme="majorBidi"/>
          <w:sz w:val="24"/>
          <w:szCs w:val="24"/>
          <w:lang w:val="en-GB"/>
        </w:rPr>
        <w:t xml:space="preserve"> publications such as UNEP’s global mercury assessments, as well as the GEF-funded Minamata Initial Assessments, as important sources of information</w:t>
      </w:r>
      <w:r w:rsidR="00FD5C7E" w:rsidRPr="00FC73F5">
        <w:rPr>
          <w:rFonts w:asciiTheme="majorBidi" w:hAnsiTheme="majorBidi" w:cstheme="majorBidi"/>
          <w:sz w:val="24"/>
          <w:szCs w:val="24"/>
          <w:lang w:val="en-GB"/>
        </w:rPr>
        <w:t xml:space="preserve">. The Conference </w:t>
      </w:r>
      <w:r w:rsidR="00635F7F" w:rsidRPr="00FC73F5">
        <w:rPr>
          <w:rFonts w:asciiTheme="majorBidi" w:hAnsiTheme="majorBidi" w:cstheme="majorBidi"/>
          <w:sz w:val="24"/>
          <w:szCs w:val="24"/>
          <w:lang w:val="en-GB"/>
        </w:rPr>
        <w:t xml:space="preserve">of the Parties set out </w:t>
      </w:r>
      <w:r w:rsidRPr="00FC73F5">
        <w:rPr>
          <w:rFonts w:asciiTheme="majorBidi" w:hAnsiTheme="majorBidi" w:cstheme="majorBidi"/>
          <w:sz w:val="24"/>
          <w:szCs w:val="24"/>
          <w:lang w:val="en-GB"/>
        </w:rPr>
        <w:t xml:space="preserve">a roadmap </w:t>
      </w:r>
      <w:r w:rsidR="00FD5C7E" w:rsidRPr="00FC73F5">
        <w:rPr>
          <w:rFonts w:asciiTheme="majorBidi" w:hAnsiTheme="majorBidi" w:cstheme="majorBidi"/>
          <w:sz w:val="24"/>
          <w:szCs w:val="24"/>
          <w:lang w:val="en-GB"/>
        </w:rPr>
        <w:t xml:space="preserve">which included </w:t>
      </w:r>
      <w:r w:rsidR="00CB6BA8" w:rsidRPr="00FC73F5">
        <w:rPr>
          <w:rFonts w:asciiTheme="majorBidi" w:hAnsiTheme="majorBidi" w:cstheme="majorBidi"/>
          <w:sz w:val="24"/>
          <w:szCs w:val="24"/>
          <w:lang w:val="en-GB"/>
        </w:rPr>
        <w:t xml:space="preserve">the establishment of the ad hoc group </w:t>
      </w:r>
      <w:r w:rsidR="00CB6BA8" w:rsidRPr="00FC73F5">
        <w:rPr>
          <w:rFonts w:asciiTheme="majorBidi" w:hAnsiTheme="majorBidi" w:cstheme="majorBidi"/>
          <w:sz w:val="24"/>
          <w:szCs w:val="24"/>
          <w:lang w:val="en-GB"/>
        </w:rPr>
        <w:lastRenderedPageBreak/>
        <w:t>of experts on the arrangement for providing the Conference of the Parties with comparable monitoring data, and the elements of an effectiveness evaluation framework (see MC-1/9 Establishment of arrangement in regard to effectiveness evaluation).</w:t>
      </w:r>
    </w:p>
    <w:p w14:paraId="2FF86A60" w14:textId="519E6E6A" w:rsidR="008425E7" w:rsidRPr="00FC73F5" w:rsidRDefault="00B75951" w:rsidP="00A03499">
      <w:pPr>
        <w:pStyle w:val="ListParagraph"/>
        <w:numPr>
          <w:ilvl w:val="0"/>
          <w:numId w:val="1"/>
        </w:numPr>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For deliberation of </w:t>
      </w:r>
      <w:r w:rsidR="00635F7F" w:rsidRPr="00FC73F5">
        <w:rPr>
          <w:rFonts w:asciiTheme="majorBidi" w:hAnsiTheme="majorBidi" w:cstheme="majorBidi"/>
          <w:sz w:val="24"/>
          <w:szCs w:val="24"/>
          <w:lang w:val="en-GB"/>
        </w:rPr>
        <w:t>these</w:t>
      </w:r>
      <w:r w:rsidRPr="00FC73F5">
        <w:rPr>
          <w:rFonts w:asciiTheme="majorBidi" w:hAnsiTheme="majorBidi" w:cstheme="majorBidi"/>
          <w:sz w:val="24"/>
          <w:szCs w:val="24"/>
          <w:lang w:val="en-GB"/>
        </w:rPr>
        <w:t xml:space="preserve"> </w:t>
      </w:r>
      <w:r w:rsidR="00F5170F" w:rsidRPr="00FC73F5">
        <w:rPr>
          <w:rFonts w:asciiTheme="majorBidi" w:hAnsiTheme="majorBidi" w:cstheme="majorBidi"/>
          <w:sz w:val="24"/>
          <w:szCs w:val="24"/>
          <w:lang w:val="en-GB"/>
        </w:rPr>
        <w:t>matter</w:t>
      </w:r>
      <w:r w:rsidR="00635F7F" w:rsidRPr="00FC73F5">
        <w:rPr>
          <w:rFonts w:asciiTheme="majorBidi" w:hAnsiTheme="majorBidi" w:cstheme="majorBidi"/>
          <w:sz w:val="24"/>
          <w:szCs w:val="24"/>
          <w:lang w:val="en-GB"/>
        </w:rPr>
        <w:t>s</w:t>
      </w:r>
      <w:r w:rsidR="00F5170F" w:rsidRPr="00FC73F5">
        <w:rPr>
          <w:rFonts w:asciiTheme="majorBidi" w:hAnsiTheme="majorBidi" w:cstheme="majorBidi"/>
          <w:sz w:val="24"/>
          <w:szCs w:val="24"/>
          <w:lang w:val="en-GB"/>
        </w:rPr>
        <w:t xml:space="preserve"> and</w:t>
      </w:r>
      <w:r w:rsidR="00CB6BA8" w:rsidRPr="00FC73F5">
        <w:rPr>
          <w:rFonts w:asciiTheme="majorBidi" w:hAnsiTheme="majorBidi" w:cstheme="majorBidi"/>
          <w:sz w:val="24"/>
          <w:szCs w:val="24"/>
          <w:lang w:val="en-GB"/>
        </w:rPr>
        <w:t xml:space="preserve"> </w:t>
      </w:r>
      <w:r w:rsidR="00D24B38" w:rsidRPr="00FC73F5">
        <w:rPr>
          <w:rFonts w:asciiTheme="majorBidi" w:hAnsiTheme="majorBidi" w:cstheme="majorBidi"/>
          <w:sz w:val="24"/>
          <w:szCs w:val="24"/>
          <w:lang w:val="en-GB"/>
        </w:rPr>
        <w:t xml:space="preserve">based on </w:t>
      </w:r>
      <w:r w:rsidR="00CB6BA8" w:rsidRPr="00FC73F5">
        <w:rPr>
          <w:rFonts w:asciiTheme="majorBidi" w:hAnsiTheme="majorBidi" w:cstheme="majorBidi"/>
          <w:sz w:val="24"/>
          <w:szCs w:val="24"/>
          <w:lang w:val="en-GB"/>
        </w:rPr>
        <w:t>the roadmap and terms of reference outline</w:t>
      </w:r>
      <w:r w:rsidR="005E6EC5" w:rsidRPr="00FC73F5">
        <w:rPr>
          <w:rFonts w:asciiTheme="majorBidi" w:hAnsiTheme="majorBidi" w:cstheme="majorBidi"/>
          <w:sz w:val="24"/>
          <w:szCs w:val="24"/>
          <w:lang w:val="en-GB"/>
        </w:rPr>
        <w:t>d</w:t>
      </w:r>
      <w:r w:rsidR="00CB6BA8" w:rsidRPr="00FC73F5">
        <w:rPr>
          <w:rFonts w:asciiTheme="majorBidi" w:hAnsiTheme="majorBidi" w:cstheme="majorBidi"/>
          <w:sz w:val="24"/>
          <w:szCs w:val="24"/>
          <w:lang w:val="en-GB"/>
        </w:rPr>
        <w:t xml:space="preserve"> in </w:t>
      </w:r>
      <w:r w:rsidR="00D24B38" w:rsidRPr="00FC73F5">
        <w:rPr>
          <w:rFonts w:asciiTheme="majorBidi" w:hAnsiTheme="majorBidi" w:cstheme="majorBidi"/>
          <w:sz w:val="24"/>
          <w:szCs w:val="24"/>
          <w:lang w:val="en-GB"/>
        </w:rPr>
        <w:t>MC</w:t>
      </w:r>
      <w:r w:rsidR="00CB6BA8" w:rsidRPr="00FC73F5">
        <w:rPr>
          <w:rFonts w:asciiTheme="majorBidi" w:hAnsiTheme="majorBidi" w:cstheme="majorBidi"/>
          <w:sz w:val="24"/>
          <w:szCs w:val="24"/>
          <w:lang w:val="en-GB"/>
        </w:rPr>
        <w:t>-1/9</w:t>
      </w:r>
      <w:r w:rsidR="00635F7F" w:rsidRPr="00FC73F5">
        <w:rPr>
          <w:rFonts w:asciiTheme="majorBidi" w:hAnsiTheme="majorBidi" w:cstheme="majorBidi"/>
          <w:sz w:val="24"/>
          <w:szCs w:val="24"/>
          <w:lang w:val="en-GB"/>
        </w:rPr>
        <w:t>,</w:t>
      </w:r>
      <w:r w:rsidR="00D24B38" w:rsidRPr="00FC73F5">
        <w:rPr>
          <w:rFonts w:asciiTheme="majorBidi" w:hAnsiTheme="majorBidi" w:cstheme="majorBidi"/>
          <w:sz w:val="24"/>
          <w:szCs w:val="24"/>
          <w:lang w:val="en-GB"/>
        </w:rPr>
        <w:t xml:space="preserve"> </w:t>
      </w:r>
      <w:r w:rsidRPr="00FC73F5">
        <w:rPr>
          <w:rFonts w:asciiTheme="majorBidi" w:hAnsiTheme="majorBidi" w:cstheme="majorBidi"/>
          <w:sz w:val="24"/>
          <w:szCs w:val="24"/>
          <w:lang w:val="en-GB"/>
        </w:rPr>
        <w:t xml:space="preserve">the ad hoc group </w:t>
      </w:r>
      <w:r w:rsidR="00CB6BA8" w:rsidRPr="00FC73F5">
        <w:rPr>
          <w:rFonts w:asciiTheme="majorBidi" w:hAnsiTheme="majorBidi" w:cstheme="majorBidi"/>
          <w:sz w:val="24"/>
          <w:szCs w:val="24"/>
          <w:lang w:val="en-GB"/>
        </w:rPr>
        <w:t xml:space="preserve">of experts </w:t>
      </w:r>
      <w:r w:rsidRPr="00FC73F5">
        <w:rPr>
          <w:rFonts w:asciiTheme="majorBidi" w:hAnsiTheme="majorBidi" w:cstheme="majorBidi"/>
          <w:sz w:val="24"/>
          <w:szCs w:val="24"/>
          <w:lang w:val="en-GB"/>
        </w:rPr>
        <w:t xml:space="preserve">began its work </w:t>
      </w:r>
      <w:r w:rsidR="003E7865" w:rsidRPr="00FC73F5">
        <w:rPr>
          <w:rFonts w:asciiTheme="majorBidi" w:hAnsiTheme="majorBidi" w:cstheme="majorBidi"/>
          <w:sz w:val="24"/>
          <w:szCs w:val="24"/>
          <w:lang w:val="en-GB"/>
        </w:rPr>
        <w:t>at</w:t>
      </w:r>
      <w:r w:rsidRPr="00FC73F5">
        <w:rPr>
          <w:rFonts w:asciiTheme="majorBidi" w:hAnsiTheme="majorBidi" w:cstheme="majorBidi"/>
          <w:sz w:val="24"/>
          <w:szCs w:val="24"/>
          <w:lang w:val="en-GB"/>
        </w:rPr>
        <w:t xml:space="preserve"> its first meeting in Ottawa</w:t>
      </w:r>
      <w:r w:rsidR="00635F7F" w:rsidRPr="00FC73F5">
        <w:rPr>
          <w:rFonts w:asciiTheme="majorBidi" w:hAnsiTheme="majorBidi" w:cstheme="majorBidi"/>
          <w:sz w:val="24"/>
          <w:szCs w:val="24"/>
          <w:lang w:val="en-GB"/>
        </w:rPr>
        <w:t>, Canada</w:t>
      </w:r>
      <w:r w:rsidRPr="00FC73F5">
        <w:rPr>
          <w:rFonts w:asciiTheme="majorBidi" w:hAnsiTheme="majorBidi" w:cstheme="majorBidi"/>
          <w:sz w:val="24"/>
          <w:szCs w:val="24"/>
          <w:lang w:val="en-GB"/>
        </w:rPr>
        <w:t xml:space="preserve"> </w:t>
      </w:r>
      <w:r w:rsidR="003E7865" w:rsidRPr="00FC73F5">
        <w:rPr>
          <w:rFonts w:asciiTheme="majorBidi" w:hAnsiTheme="majorBidi" w:cstheme="majorBidi"/>
          <w:sz w:val="24"/>
          <w:szCs w:val="24"/>
          <w:lang w:val="en-GB"/>
        </w:rPr>
        <w:t>(5-9</w:t>
      </w:r>
      <w:r w:rsidRPr="00FC73F5">
        <w:rPr>
          <w:rFonts w:asciiTheme="majorBidi" w:hAnsiTheme="majorBidi" w:cstheme="majorBidi"/>
          <w:sz w:val="24"/>
          <w:szCs w:val="24"/>
          <w:lang w:val="en-GB"/>
        </w:rPr>
        <w:t xml:space="preserve"> March 2018</w:t>
      </w:r>
      <w:r w:rsidR="003E7865" w:rsidRPr="00FC73F5">
        <w:rPr>
          <w:rFonts w:asciiTheme="majorBidi" w:hAnsiTheme="majorBidi" w:cstheme="majorBidi"/>
          <w:sz w:val="24"/>
          <w:szCs w:val="24"/>
          <w:lang w:val="en-GB"/>
        </w:rPr>
        <w:t>)</w:t>
      </w:r>
      <w:r w:rsidRPr="00FC73F5">
        <w:rPr>
          <w:rFonts w:asciiTheme="majorBidi" w:hAnsiTheme="majorBidi" w:cstheme="majorBidi"/>
          <w:sz w:val="24"/>
          <w:szCs w:val="24"/>
          <w:lang w:val="en-GB"/>
        </w:rPr>
        <w:t xml:space="preserve">. </w:t>
      </w:r>
      <w:r w:rsidR="00D24B38" w:rsidRPr="00FC73F5">
        <w:rPr>
          <w:rFonts w:asciiTheme="majorBidi" w:hAnsiTheme="majorBidi" w:cstheme="majorBidi"/>
          <w:sz w:val="24"/>
          <w:szCs w:val="24"/>
          <w:lang w:val="en-GB"/>
        </w:rPr>
        <w:t xml:space="preserve">The outcome of the work of this first </w:t>
      </w:r>
      <w:r w:rsidR="00635F7F" w:rsidRPr="00FC73F5">
        <w:rPr>
          <w:rFonts w:asciiTheme="majorBidi" w:hAnsiTheme="majorBidi" w:cstheme="majorBidi"/>
          <w:sz w:val="24"/>
          <w:szCs w:val="24"/>
          <w:lang w:val="en-GB"/>
        </w:rPr>
        <w:t>round</w:t>
      </w:r>
      <w:r w:rsidR="00D24B38" w:rsidRPr="00FC73F5">
        <w:rPr>
          <w:rFonts w:asciiTheme="majorBidi" w:hAnsiTheme="majorBidi" w:cstheme="majorBidi"/>
          <w:sz w:val="24"/>
          <w:szCs w:val="24"/>
          <w:lang w:val="en-GB"/>
        </w:rPr>
        <w:t xml:space="preserve"> of deliberation</w:t>
      </w:r>
      <w:r w:rsidR="00635F7F" w:rsidRPr="00FC73F5">
        <w:rPr>
          <w:rFonts w:asciiTheme="majorBidi" w:hAnsiTheme="majorBidi" w:cstheme="majorBidi"/>
          <w:sz w:val="24"/>
          <w:szCs w:val="24"/>
          <w:lang w:val="en-GB"/>
        </w:rPr>
        <w:t xml:space="preserve">s, reflecting </w:t>
      </w:r>
      <w:r w:rsidR="00DA2CF2" w:rsidRPr="00FC73F5">
        <w:rPr>
          <w:rFonts w:asciiTheme="majorBidi" w:hAnsiTheme="majorBidi" w:cstheme="majorBidi"/>
          <w:sz w:val="24"/>
          <w:szCs w:val="24"/>
          <w:lang w:val="en-GB"/>
        </w:rPr>
        <w:t>comment</w:t>
      </w:r>
      <w:r w:rsidR="00635F7F" w:rsidRPr="00FC73F5">
        <w:rPr>
          <w:rFonts w:asciiTheme="majorBidi" w:hAnsiTheme="majorBidi" w:cstheme="majorBidi"/>
          <w:sz w:val="24"/>
          <w:szCs w:val="24"/>
          <w:lang w:val="en-GB"/>
        </w:rPr>
        <w:t>s</w:t>
      </w:r>
      <w:r w:rsidR="00DA2CF2" w:rsidRPr="00FC73F5">
        <w:rPr>
          <w:rFonts w:asciiTheme="majorBidi" w:hAnsiTheme="majorBidi" w:cstheme="majorBidi"/>
          <w:sz w:val="24"/>
          <w:szCs w:val="24"/>
          <w:lang w:val="en-GB"/>
        </w:rPr>
        <w:t xml:space="preserve"> </w:t>
      </w:r>
      <w:r w:rsidR="008425E7" w:rsidRPr="00FC73F5">
        <w:rPr>
          <w:rFonts w:asciiTheme="majorBidi" w:hAnsiTheme="majorBidi" w:cstheme="majorBidi"/>
          <w:sz w:val="24"/>
          <w:szCs w:val="24"/>
          <w:lang w:val="en-GB"/>
        </w:rPr>
        <w:t xml:space="preserve">received during the subsequent open comment period, was </w:t>
      </w:r>
      <w:r w:rsidR="00D24B38" w:rsidRPr="00FC73F5">
        <w:rPr>
          <w:rFonts w:asciiTheme="majorBidi" w:hAnsiTheme="majorBidi" w:cstheme="majorBidi"/>
          <w:sz w:val="24"/>
          <w:szCs w:val="24"/>
          <w:lang w:val="en-GB"/>
        </w:rPr>
        <w:t xml:space="preserve">presented to the second meeting of the Conference of the Parties in Geneva in November 2018 (see </w:t>
      </w:r>
      <w:r w:rsidR="00DA2CF2" w:rsidRPr="00FC73F5">
        <w:rPr>
          <w:rFonts w:asciiTheme="majorBidi" w:hAnsiTheme="majorBidi" w:cstheme="majorBidi"/>
          <w:sz w:val="24"/>
          <w:szCs w:val="24"/>
          <w:lang w:val="en-GB"/>
        </w:rPr>
        <w:t>UNEP/MC/COP.2/13 and UNEP/MC/COP.</w:t>
      </w:r>
      <w:r w:rsidR="00D150D4">
        <w:rPr>
          <w:rFonts w:asciiTheme="majorBidi" w:hAnsiTheme="majorBidi" w:cstheme="majorBidi"/>
          <w:sz w:val="24"/>
          <w:szCs w:val="24"/>
          <w:lang w:val="en-GB"/>
        </w:rPr>
        <w:t>2/</w:t>
      </w:r>
      <w:r w:rsidR="00DA2CF2" w:rsidRPr="00FC73F5">
        <w:rPr>
          <w:rFonts w:asciiTheme="majorBidi" w:hAnsiTheme="majorBidi" w:cstheme="majorBidi"/>
          <w:sz w:val="24"/>
          <w:szCs w:val="24"/>
          <w:lang w:val="en-GB"/>
        </w:rPr>
        <w:t>INF/8</w:t>
      </w:r>
      <w:r w:rsidR="00D24B38" w:rsidRPr="00FC73F5">
        <w:rPr>
          <w:rFonts w:asciiTheme="majorBidi" w:hAnsiTheme="majorBidi" w:cstheme="majorBidi"/>
          <w:sz w:val="24"/>
          <w:szCs w:val="24"/>
          <w:lang w:val="en-GB"/>
        </w:rPr>
        <w:t xml:space="preserve">). </w:t>
      </w:r>
    </w:p>
    <w:p w14:paraId="4070540B" w14:textId="2356675A" w:rsidR="00A65E20" w:rsidRPr="00FC73F5" w:rsidRDefault="00D24B38" w:rsidP="00A03499">
      <w:pPr>
        <w:pStyle w:val="ListParagraph"/>
        <w:numPr>
          <w:ilvl w:val="0"/>
          <w:numId w:val="1"/>
        </w:numPr>
        <w:spacing w:after="160"/>
        <w:rPr>
          <w:sz w:val="24"/>
          <w:szCs w:val="24"/>
          <w:lang w:val="en-GB"/>
        </w:rPr>
      </w:pPr>
      <w:r w:rsidRPr="00FC73F5">
        <w:rPr>
          <w:rFonts w:asciiTheme="majorBidi" w:hAnsiTheme="majorBidi" w:cstheme="majorBidi"/>
          <w:sz w:val="24"/>
          <w:szCs w:val="24"/>
          <w:lang w:val="en-GB"/>
        </w:rPr>
        <w:t xml:space="preserve">The second meeting of the Conference of Parties deliberated on the outcome of the </w:t>
      </w:r>
      <w:r w:rsidR="00DA2CF2" w:rsidRPr="00FC73F5">
        <w:rPr>
          <w:rFonts w:asciiTheme="majorBidi" w:hAnsiTheme="majorBidi" w:cstheme="majorBidi"/>
          <w:sz w:val="24"/>
          <w:szCs w:val="24"/>
          <w:lang w:val="en-GB"/>
        </w:rPr>
        <w:t xml:space="preserve">ad hoc group of experts </w:t>
      </w:r>
      <w:r w:rsidRPr="00FC73F5">
        <w:rPr>
          <w:rFonts w:asciiTheme="majorBidi" w:hAnsiTheme="majorBidi" w:cstheme="majorBidi"/>
          <w:sz w:val="24"/>
          <w:szCs w:val="24"/>
          <w:lang w:val="en-GB"/>
        </w:rPr>
        <w:t xml:space="preserve">and decided to </w:t>
      </w:r>
      <w:r w:rsidR="009A1D36" w:rsidRPr="00FC73F5">
        <w:rPr>
          <w:rFonts w:asciiTheme="majorBidi" w:hAnsiTheme="majorBidi" w:cstheme="majorBidi"/>
          <w:sz w:val="24"/>
          <w:szCs w:val="24"/>
          <w:lang w:val="en-GB"/>
        </w:rPr>
        <w:t>revise</w:t>
      </w:r>
      <w:r w:rsidRPr="00FC73F5">
        <w:rPr>
          <w:rFonts w:asciiTheme="majorBidi" w:hAnsiTheme="majorBidi" w:cstheme="majorBidi"/>
          <w:sz w:val="24"/>
          <w:szCs w:val="24"/>
          <w:lang w:val="en-GB"/>
        </w:rPr>
        <w:t xml:space="preserve"> </w:t>
      </w:r>
      <w:r w:rsidR="00DA2CF2" w:rsidRPr="00FC73F5">
        <w:rPr>
          <w:rFonts w:asciiTheme="majorBidi" w:hAnsiTheme="majorBidi" w:cstheme="majorBidi"/>
          <w:sz w:val="24"/>
          <w:szCs w:val="24"/>
          <w:lang w:val="en-GB"/>
        </w:rPr>
        <w:t>the Group’s</w:t>
      </w:r>
      <w:r w:rsidRPr="00FC73F5">
        <w:rPr>
          <w:rFonts w:asciiTheme="majorBidi" w:hAnsiTheme="majorBidi" w:cstheme="majorBidi"/>
          <w:sz w:val="24"/>
          <w:szCs w:val="24"/>
          <w:lang w:val="en-GB"/>
        </w:rPr>
        <w:t xml:space="preserve"> mandate and </w:t>
      </w:r>
      <w:r w:rsidR="00DA2CF2" w:rsidRPr="00FC73F5">
        <w:rPr>
          <w:rFonts w:asciiTheme="majorBidi" w:hAnsiTheme="majorBidi" w:cstheme="majorBidi"/>
          <w:sz w:val="24"/>
          <w:szCs w:val="24"/>
          <w:lang w:val="en-GB"/>
        </w:rPr>
        <w:t>identify additional</w:t>
      </w:r>
      <w:r w:rsidRPr="00FC73F5">
        <w:rPr>
          <w:rFonts w:asciiTheme="majorBidi" w:hAnsiTheme="majorBidi" w:cstheme="majorBidi"/>
          <w:sz w:val="24"/>
          <w:szCs w:val="24"/>
          <w:lang w:val="en-GB"/>
        </w:rPr>
        <w:t xml:space="preserve"> expertise </w:t>
      </w:r>
      <w:r w:rsidR="00DA2CF2" w:rsidRPr="00FC73F5">
        <w:rPr>
          <w:rFonts w:asciiTheme="majorBidi" w:hAnsiTheme="majorBidi" w:cstheme="majorBidi"/>
          <w:sz w:val="24"/>
          <w:szCs w:val="24"/>
          <w:lang w:val="en-GB"/>
        </w:rPr>
        <w:t xml:space="preserve">needed </w:t>
      </w:r>
      <w:r w:rsidRPr="00FC73F5">
        <w:rPr>
          <w:rFonts w:asciiTheme="majorBidi" w:hAnsiTheme="majorBidi" w:cstheme="majorBidi"/>
          <w:sz w:val="24"/>
          <w:szCs w:val="24"/>
          <w:lang w:val="en-GB"/>
        </w:rPr>
        <w:t>to enable it to complete its work for presentation to the third meeting of the Conference of the Parties in November 2019</w:t>
      </w:r>
      <w:r w:rsidR="00A65E20" w:rsidRPr="00FC73F5">
        <w:rPr>
          <w:rFonts w:asciiTheme="majorBidi" w:hAnsiTheme="majorBidi" w:cstheme="majorBidi"/>
          <w:sz w:val="24"/>
          <w:szCs w:val="24"/>
          <w:lang w:val="en-GB"/>
        </w:rPr>
        <w:t xml:space="preserve">. </w:t>
      </w:r>
      <w:r w:rsidR="00A65E20" w:rsidRPr="00FC73F5">
        <w:rPr>
          <w:sz w:val="24"/>
          <w:szCs w:val="24"/>
          <w:lang w:val="en-GB"/>
        </w:rPr>
        <w:t xml:space="preserve">The Conference of the Parties in its decision 2/10 also requested the ad hoc expert group to undertake the following tasks: </w:t>
      </w:r>
    </w:p>
    <w:p w14:paraId="2E8EFF1D" w14:textId="7CAFB3FC" w:rsidR="00A65E20" w:rsidRPr="00FC73F5" w:rsidRDefault="00A65E20" w:rsidP="0025348A">
      <w:pPr>
        <w:pStyle w:val="ListParagraph"/>
        <w:numPr>
          <w:ilvl w:val="0"/>
          <w:numId w:val="24"/>
        </w:numPr>
        <w:spacing w:after="160"/>
        <w:rPr>
          <w:sz w:val="24"/>
          <w:szCs w:val="24"/>
          <w:lang w:val="en-GB"/>
        </w:rPr>
      </w:pPr>
      <w:r w:rsidRPr="00FC73F5">
        <w:rPr>
          <w:sz w:val="24"/>
          <w:szCs w:val="24"/>
          <w:lang w:val="en-GB"/>
        </w:rPr>
        <w:t xml:space="preserve">Using the objective of the Minamata Convention, review and assess the detailed article-by-article process and outcome indicators </w:t>
      </w:r>
      <w:r w:rsidR="00F7054E" w:rsidRPr="00FC73F5">
        <w:rPr>
          <w:sz w:val="24"/>
          <w:szCs w:val="24"/>
          <w:lang w:val="en-GB"/>
        </w:rPr>
        <w:t>presented in</w:t>
      </w:r>
      <w:r w:rsidRPr="00FC73F5">
        <w:rPr>
          <w:sz w:val="24"/>
          <w:szCs w:val="24"/>
          <w:lang w:val="en-GB"/>
        </w:rPr>
        <w:t xml:space="preserve"> UNEP/MC/COP.2/INF/8</w:t>
      </w:r>
      <w:r w:rsidR="00F7054E" w:rsidRPr="00FC73F5">
        <w:rPr>
          <w:sz w:val="24"/>
          <w:szCs w:val="24"/>
          <w:lang w:val="en-GB"/>
        </w:rPr>
        <w:t>, and</w:t>
      </w:r>
      <w:r w:rsidRPr="00FC73F5">
        <w:rPr>
          <w:sz w:val="24"/>
          <w:szCs w:val="24"/>
          <w:lang w:val="en-GB"/>
        </w:rPr>
        <w:t xml:space="preserve"> elaborate on the sources of information and baselines for those indicators, considering cost-effectiveness, practicality, feasibility and sustainability, and, on that basis, provide detailed rationales for the recommended indicators; </w:t>
      </w:r>
    </w:p>
    <w:p w14:paraId="3EDDBED2" w14:textId="44EE6C65" w:rsidR="00A65E20" w:rsidRPr="00FC73F5" w:rsidRDefault="00A65E20" w:rsidP="0025348A">
      <w:pPr>
        <w:pStyle w:val="ListParagraph"/>
        <w:numPr>
          <w:ilvl w:val="0"/>
          <w:numId w:val="24"/>
        </w:numPr>
        <w:spacing w:after="160"/>
        <w:rPr>
          <w:sz w:val="24"/>
          <w:szCs w:val="24"/>
          <w:lang w:val="en-GB"/>
        </w:rPr>
      </w:pPr>
      <w:r w:rsidRPr="00FC73F5">
        <w:rPr>
          <w:sz w:val="24"/>
          <w:szCs w:val="24"/>
          <w:lang w:val="en-GB"/>
        </w:rPr>
        <w:t>Identify which recommended indicators require monitoring data, in particular in relation to the control measures and objectives set out in the articles of the Convention;</w:t>
      </w:r>
    </w:p>
    <w:p w14:paraId="5BEE5C79" w14:textId="7F634BC5" w:rsidR="00A65E20" w:rsidRPr="00FC73F5" w:rsidRDefault="00A65E20" w:rsidP="0025348A">
      <w:pPr>
        <w:pStyle w:val="ListParagraph"/>
        <w:numPr>
          <w:ilvl w:val="0"/>
          <w:numId w:val="24"/>
        </w:numPr>
        <w:spacing w:after="160"/>
        <w:rPr>
          <w:sz w:val="24"/>
          <w:szCs w:val="24"/>
          <w:lang w:val="en-GB"/>
        </w:rPr>
      </w:pPr>
      <w:r w:rsidRPr="00FC73F5">
        <w:rPr>
          <w:sz w:val="24"/>
          <w:szCs w:val="24"/>
          <w:lang w:val="en-GB"/>
        </w:rPr>
        <w:t xml:space="preserve">Develop a methodology for integrating the recommended indicators with a view to providing an integrative picture of the general effectiveness of the Convention, (e.g., by use of cross-cutting indicators); and </w:t>
      </w:r>
    </w:p>
    <w:p w14:paraId="4CEF8F41" w14:textId="7838D908" w:rsidR="00CB0747" w:rsidRPr="00FC73F5" w:rsidRDefault="00A65E20" w:rsidP="0025348A">
      <w:pPr>
        <w:pStyle w:val="ListParagraph"/>
        <w:numPr>
          <w:ilvl w:val="0"/>
          <w:numId w:val="24"/>
        </w:numPr>
        <w:spacing w:after="160"/>
        <w:rPr>
          <w:sz w:val="24"/>
          <w:szCs w:val="24"/>
          <w:lang w:val="en-GB"/>
        </w:rPr>
      </w:pPr>
      <w:r w:rsidRPr="00FC73F5">
        <w:rPr>
          <w:sz w:val="24"/>
          <w:szCs w:val="24"/>
          <w:lang w:val="en-GB"/>
        </w:rPr>
        <w:t>Amend the recommended draft terms of reference of the effectiveness evaluation committee and the schedule for the first effectiveness evaluation, if needed, on the basis of the outcome of the above.</w:t>
      </w:r>
    </w:p>
    <w:p w14:paraId="4247B73C" w14:textId="6EC96BE1" w:rsidR="00CB0747" w:rsidRPr="00FC73F5" w:rsidRDefault="00D24B38" w:rsidP="00A03499">
      <w:pPr>
        <w:pStyle w:val="ListParagraph"/>
        <w:numPr>
          <w:ilvl w:val="0"/>
          <w:numId w:val="1"/>
        </w:numPr>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Following </w:t>
      </w:r>
      <w:r w:rsidR="00D91AB5" w:rsidRPr="00FC73F5">
        <w:rPr>
          <w:rFonts w:asciiTheme="majorBidi" w:hAnsiTheme="majorBidi" w:cstheme="majorBidi"/>
          <w:sz w:val="24"/>
          <w:szCs w:val="24"/>
          <w:lang w:val="en-GB"/>
        </w:rPr>
        <w:t>its revised</w:t>
      </w:r>
      <w:r w:rsidRPr="00FC73F5">
        <w:rPr>
          <w:rFonts w:asciiTheme="majorBidi" w:hAnsiTheme="majorBidi" w:cstheme="majorBidi"/>
          <w:sz w:val="24"/>
          <w:szCs w:val="24"/>
          <w:lang w:val="en-GB"/>
        </w:rPr>
        <w:t xml:space="preserve"> mandate</w:t>
      </w:r>
      <w:r w:rsidR="00D91AB5" w:rsidRPr="00FC73F5">
        <w:rPr>
          <w:rFonts w:asciiTheme="majorBidi" w:hAnsiTheme="majorBidi" w:cstheme="majorBidi"/>
          <w:sz w:val="24"/>
          <w:szCs w:val="24"/>
          <w:lang w:val="en-GB"/>
        </w:rPr>
        <w:t>,</w:t>
      </w:r>
      <w:r w:rsidRPr="00FC73F5">
        <w:rPr>
          <w:rFonts w:asciiTheme="majorBidi" w:hAnsiTheme="majorBidi" w:cstheme="majorBidi"/>
          <w:sz w:val="24"/>
          <w:szCs w:val="24"/>
          <w:lang w:val="en-GB"/>
        </w:rPr>
        <w:t xml:space="preserve"> the </w:t>
      </w:r>
      <w:r w:rsidR="00DA2CF2" w:rsidRPr="00FC73F5">
        <w:rPr>
          <w:rFonts w:asciiTheme="majorBidi" w:hAnsiTheme="majorBidi" w:cstheme="majorBidi"/>
          <w:sz w:val="24"/>
          <w:szCs w:val="24"/>
          <w:lang w:val="en-GB"/>
        </w:rPr>
        <w:t xml:space="preserve">re-named </w:t>
      </w:r>
      <w:r w:rsidRPr="00FC73F5">
        <w:rPr>
          <w:rFonts w:asciiTheme="majorBidi" w:hAnsiTheme="majorBidi" w:cstheme="majorBidi"/>
          <w:sz w:val="24"/>
          <w:szCs w:val="24"/>
          <w:lang w:val="en-GB"/>
        </w:rPr>
        <w:t>ad hoc technical working group</w:t>
      </w:r>
      <w:r w:rsidR="00DA2CF2" w:rsidRPr="00FC73F5">
        <w:rPr>
          <w:rFonts w:asciiTheme="majorBidi" w:hAnsiTheme="majorBidi" w:cstheme="majorBidi"/>
          <w:sz w:val="24"/>
          <w:szCs w:val="24"/>
          <w:lang w:val="en-GB"/>
        </w:rPr>
        <w:t xml:space="preserve"> </w:t>
      </w:r>
      <w:r w:rsidRPr="00FC73F5">
        <w:rPr>
          <w:rFonts w:asciiTheme="majorBidi" w:hAnsiTheme="majorBidi" w:cstheme="majorBidi"/>
          <w:sz w:val="24"/>
          <w:szCs w:val="24"/>
          <w:lang w:val="en-GB"/>
        </w:rPr>
        <w:t xml:space="preserve">met in Geneva in April 2019 to deliberate specifically on </w:t>
      </w:r>
      <w:r w:rsidR="009D21E0" w:rsidRPr="00FC73F5">
        <w:rPr>
          <w:rFonts w:asciiTheme="majorBidi" w:hAnsiTheme="majorBidi" w:cstheme="majorBidi"/>
          <w:sz w:val="24"/>
          <w:szCs w:val="24"/>
          <w:lang w:val="en-GB"/>
        </w:rPr>
        <w:t xml:space="preserve">the </w:t>
      </w:r>
      <w:r w:rsidR="00DA2CF2" w:rsidRPr="00FC73F5">
        <w:rPr>
          <w:rFonts w:asciiTheme="majorBidi" w:hAnsiTheme="majorBidi" w:cstheme="majorBidi"/>
          <w:sz w:val="24"/>
          <w:szCs w:val="24"/>
          <w:lang w:val="en-GB"/>
        </w:rPr>
        <w:t>requested</w:t>
      </w:r>
      <w:r w:rsidRPr="00FC73F5">
        <w:rPr>
          <w:rFonts w:asciiTheme="majorBidi" w:hAnsiTheme="majorBidi" w:cstheme="majorBidi"/>
          <w:sz w:val="24"/>
          <w:szCs w:val="24"/>
          <w:lang w:val="en-GB"/>
        </w:rPr>
        <w:t xml:space="preserve"> report to be presented to the third meeting</w:t>
      </w:r>
      <w:r w:rsidR="00DA2CF2" w:rsidRPr="00FC73F5">
        <w:rPr>
          <w:rFonts w:asciiTheme="majorBidi" w:hAnsiTheme="majorBidi" w:cstheme="majorBidi"/>
          <w:sz w:val="24"/>
          <w:szCs w:val="24"/>
          <w:lang w:val="en-GB"/>
        </w:rPr>
        <w:t xml:space="preserve"> of the Conference of the Parties</w:t>
      </w:r>
      <w:r w:rsidRPr="00FC73F5">
        <w:rPr>
          <w:rFonts w:asciiTheme="majorBidi" w:hAnsiTheme="majorBidi" w:cstheme="majorBidi"/>
          <w:sz w:val="24"/>
          <w:szCs w:val="24"/>
          <w:lang w:val="en-GB"/>
        </w:rPr>
        <w:t>. Th</w:t>
      </w:r>
      <w:r w:rsidR="00DA2CF2" w:rsidRPr="00FC73F5">
        <w:rPr>
          <w:rFonts w:asciiTheme="majorBidi" w:hAnsiTheme="majorBidi" w:cstheme="majorBidi"/>
          <w:sz w:val="24"/>
          <w:szCs w:val="24"/>
          <w:lang w:val="en-GB"/>
        </w:rPr>
        <w:t>e present</w:t>
      </w:r>
      <w:r w:rsidRPr="00FC73F5">
        <w:rPr>
          <w:rFonts w:asciiTheme="majorBidi" w:hAnsiTheme="majorBidi" w:cstheme="majorBidi"/>
          <w:sz w:val="24"/>
          <w:szCs w:val="24"/>
          <w:lang w:val="en-GB"/>
        </w:rPr>
        <w:t xml:space="preserve"> report is the outcome of the work </w:t>
      </w:r>
      <w:r w:rsidR="00DA2CF2" w:rsidRPr="00FC73F5">
        <w:rPr>
          <w:rFonts w:asciiTheme="majorBidi" w:hAnsiTheme="majorBidi" w:cstheme="majorBidi"/>
          <w:sz w:val="24"/>
          <w:szCs w:val="24"/>
          <w:lang w:val="en-GB"/>
        </w:rPr>
        <w:t>begun at</w:t>
      </w:r>
      <w:r w:rsidRPr="00FC73F5">
        <w:rPr>
          <w:rFonts w:asciiTheme="majorBidi" w:hAnsiTheme="majorBidi" w:cstheme="majorBidi"/>
          <w:sz w:val="24"/>
          <w:szCs w:val="24"/>
          <w:lang w:val="en-GB"/>
        </w:rPr>
        <w:t xml:space="preserve"> that </w:t>
      </w:r>
      <w:r w:rsidR="00DA2CF2" w:rsidRPr="00FC73F5">
        <w:rPr>
          <w:rFonts w:asciiTheme="majorBidi" w:hAnsiTheme="majorBidi" w:cstheme="majorBidi"/>
          <w:sz w:val="24"/>
          <w:szCs w:val="24"/>
          <w:lang w:val="en-GB"/>
        </w:rPr>
        <w:t>meeting</w:t>
      </w:r>
      <w:r w:rsidR="009D21E0" w:rsidRPr="00FC73F5">
        <w:rPr>
          <w:rStyle w:val="FootnoteReference"/>
          <w:rFonts w:asciiTheme="majorBidi" w:hAnsiTheme="majorBidi" w:cstheme="majorBidi"/>
          <w:sz w:val="24"/>
          <w:szCs w:val="24"/>
          <w:lang w:val="en-GB"/>
        </w:rPr>
        <w:footnoteReference w:id="3"/>
      </w:r>
      <w:r w:rsidR="00DA2CF2" w:rsidRPr="00FC73F5">
        <w:rPr>
          <w:rFonts w:asciiTheme="majorBidi" w:hAnsiTheme="majorBidi" w:cstheme="majorBidi"/>
          <w:sz w:val="24"/>
          <w:szCs w:val="24"/>
          <w:lang w:val="en-GB"/>
        </w:rPr>
        <w:t xml:space="preserve"> and</w:t>
      </w:r>
      <w:r w:rsidRPr="00FC73F5">
        <w:rPr>
          <w:rFonts w:asciiTheme="majorBidi" w:hAnsiTheme="majorBidi" w:cstheme="majorBidi"/>
          <w:sz w:val="24"/>
          <w:szCs w:val="24"/>
          <w:lang w:val="en-GB"/>
        </w:rPr>
        <w:t xml:space="preserve"> </w:t>
      </w:r>
      <w:r w:rsidR="00DA2CF2" w:rsidRPr="00FC73F5">
        <w:rPr>
          <w:rFonts w:asciiTheme="majorBidi" w:hAnsiTheme="majorBidi" w:cstheme="majorBidi"/>
          <w:sz w:val="24"/>
          <w:szCs w:val="24"/>
          <w:lang w:val="en-GB"/>
        </w:rPr>
        <w:t>completed in the subsequent</w:t>
      </w:r>
      <w:r w:rsidRPr="00FC73F5">
        <w:rPr>
          <w:rFonts w:asciiTheme="majorBidi" w:hAnsiTheme="majorBidi" w:cstheme="majorBidi"/>
          <w:sz w:val="24"/>
          <w:szCs w:val="24"/>
          <w:lang w:val="en-GB"/>
        </w:rPr>
        <w:t xml:space="preserve"> months </w:t>
      </w:r>
      <w:r w:rsidR="00DA2CF2" w:rsidRPr="00FC73F5">
        <w:rPr>
          <w:rFonts w:asciiTheme="majorBidi" w:hAnsiTheme="majorBidi" w:cstheme="majorBidi"/>
          <w:sz w:val="24"/>
          <w:szCs w:val="24"/>
          <w:lang w:val="en-GB"/>
        </w:rPr>
        <w:t>that included an open comment period from 1</w:t>
      </w:r>
      <w:r w:rsidR="009D21E0" w:rsidRPr="00FC73F5">
        <w:rPr>
          <w:rFonts w:asciiTheme="majorBidi" w:hAnsiTheme="majorBidi" w:cstheme="majorBidi"/>
          <w:sz w:val="24"/>
          <w:szCs w:val="24"/>
          <w:lang w:val="en-GB"/>
        </w:rPr>
        <w:t>August</w:t>
      </w:r>
      <w:r w:rsidR="00DA2CF2" w:rsidRPr="00FC73F5">
        <w:rPr>
          <w:rFonts w:asciiTheme="majorBidi" w:hAnsiTheme="majorBidi" w:cstheme="majorBidi"/>
          <w:sz w:val="24"/>
          <w:szCs w:val="24"/>
          <w:lang w:val="en-GB"/>
        </w:rPr>
        <w:t xml:space="preserve"> to 5 September 2019</w:t>
      </w:r>
      <w:r w:rsidRPr="00FC73F5">
        <w:rPr>
          <w:rFonts w:asciiTheme="majorBidi" w:hAnsiTheme="majorBidi" w:cstheme="majorBidi"/>
          <w:sz w:val="24"/>
          <w:szCs w:val="24"/>
          <w:lang w:val="en-GB"/>
        </w:rPr>
        <w:t xml:space="preserve">. </w:t>
      </w:r>
    </w:p>
    <w:p w14:paraId="36621DA3" w14:textId="6A7A87C2" w:rsidR="00CB0747" w:rsidRPr="00FC73F5" w:rsidRDefault="000A4E5C" w:rsidP="00A03499">
      <w:pPr>
        <w:pStyle w:val="ListParagraph"/>
        <w:numPr>
          <w:ilvl w:val="0"/>
          <w:numId w:val="1"/>
        </w:numPr>
        <w:spacing w:after="160"/>
        <w:rPr>
          <w:rFonts w:asciiTheme="majorBidi" w:hAnsiTheme="majorBidi" w:cstheme="majorBidi"/>
          <w:sz w:val="24"/>
          <w:szCs w:val="24"/>
          <w:lang w:val="en-GB"/>
        </w:rPr>
      </w:pPr>
      <w:r w:rsidRPr="00B92C8F">
        <w:rPr>
          <w:rFonts w:asciiTheme="majorBidi" w:hAnsiTheme="majorBidi" w:cstheme="majorBidi"/>
          <w:sz w:val="24"/>
          <w:szCs w:val="24"/>
          <w:lang w:val="en-GB"/>
        </w:rPr>
        <w:t>Following the guidance of MC</w:t>
      </w:r>
      <w:r w:rsidR="004E6CA2" w:rsidRPr="00B92C8F">
        <w:rPr>
          <w:rFonts w:asciiTheme="majorBidi" w:hAnsiTheme="majorBidi" w:cstheme="majorBidi"/>
          <w:sz w:val="24"/>
          <w:szCs w:val="24"/>
          <w:lang w:val="en-GB"/>
        </w:rPr>
        <w:t>-</w:t>
      </w:r>
      <w:r w:rsidRPr="00B92C8F">
        <w:rPr>
          <w:rFonts w:asciiTheme="majorBidi" w:hAnsiTheme="majorBidi" w:cstheme="majorBidi"/>
          <w:sz w:val="24"/>
          <w:szCs w:val="24"/>
          <w:lang w:val="en-GB"/>
        </w:rPr>
        <w:t>2/</w:t>
      </w:r>
      <w:r w:rsidR="004E6CA2" w:rsidRPr="00B92C8F">
        <w:rPr>
          <w:rFonts w:asciiTheme="majorBidi" w:hAnsiTheme="majorBidi" w:cstheme="majorBidi"/>
          <w:sz w:val="24"/>
          <w:szCs w:val="24"/>
          <w:lang w:val="en-GB"/>
        </w:rPr>
        <w:t>1</w:t>
      </w:r>
      <w:r w:rsidR="00B13668" w:rsidRPr="00B92C8F">
        <w:rPr>
          <w:rFonts w:asciiTheme="majorBidi" w:hAnsiTheme="majorBidi" w:cstheme="majorBidi"/>
          <w:sz w:val="24"/>
          <w:szCs w:val="24"/>
          <w:lang w:val="en-GB"/>
        </w:rPr>
        <w:t>0</w:t>
      </w:r>
      <w:r w:rsidRPr="00B92C8F">
        <w:rPr>
          <w:rFonts w:asciiTheme="majorBidi" w:hAnsiTheme="majorBidi" w:cstheme="majorBidi"/>
          <w:sz w:val="24"/>
          <w:szCs w:val="24"/>
          <w:lang w:val="en-GB"/>
        </w:rPr>
        <w:t xml:space="preserve">, this report is </w:t>
      </w:r>
      <w:r w:rsidR="00B92C8F" w:rsidRPr="00B92C8F">
        <w:rPr>
          <w:rFonts w:asciiTheme="majorBidi" w:hAnsiTheme="majorBidi" w:cstheme="majorBidi"/>
          <w:sz w:val="24"/>
          <w:szCs w:val="24"/>
          <w:lang w:val="en-GB"/>
        </w:rPr>
        <w:t>presented</w:t>
      </w:r>
      <w:r w:rsidRPr="00B92C8F">
        <w:rPr>
          <w:rFonts w:asciiTheme="majorBidi" w:hAnsiTheme="majorBidi" w:cstheme="majorBidi"/>
          <w:sz w:val="24"/>
          <w:szCs w:val="24"/>
          <w:lang w:val="en-GB"/>
        </w:rPr>
        <w:t xml:space="preserve"> in four </w:t>
      </w:r>
      <w:r w:rsidR="00E11E0B">
        <w:rPr>
          <w:rFonts w:asciiTheme="majorBidi" w:hAnsiTheme="majorBidi" w:cstheme="majorBidi"/>
          <w:sz w:val="24"/>
          <w:szCs w:val="24"/>
          <w:lang w:val="en-GB"/>
        </w:rPr>
        <w:t>sections</w:t>
      </w:r>
      <w:r w:rsidRPr="00B92C8F">
        <w:rPr>
          <w:rFonts w:asciiTheme="majorBidi" w:hAnsiTheme="majorBidi" w:cstheme="majorBidi"/>
          <w:sz w:val="24"/>
          <w:szCs w:val="24"/>
          <w:lang w:val="en-GB"/>
        </w:rPr>
        <w:t xml:space="preserve">: </w:t>
      </w:r>
      <w:r w:rsidR="00E11E0B">
        <w:rPr>
          <w:rFonts w:asciiTheme="majorBidi" w:hAnsiTheme="majorBidi" w:cstheme="majorBidi"/>
          <w:sz w:val="24"/>
          <w:szCs w:val="24"/>
          <w:lang w:val="en-GB"/>
        </w:rPr>
        <w:t>Section I</w:t>
      </w:r>
      <w:r w:rsidRPr="00B92C8F">
        <w:rPr>
          <w:rFonts w:asciiTheme="majorBidi" w:hAnsiTheme="majorBidi" w:cstheme="majorBidi"/>
          <w:sz w:val="24"/>
          <w:szCs w:val="24"/>
          <w:lang w:val="en-GB"/>
        </w:rPr>
        <w:t xml:space="preserve"> gives an introduction </w:t>
      </w:r>
      <w:r w:rsidR="001049D1" w:rsidRPr="00B92C8F">
        <w:rPr>
          <w:rFonts w:asciiTheme="majorBidi" w:hAnsiTheme="majorBidi" w:cstheme="majorBidi"/>
          <w:sz w:val="24"/>
          <w:szCs w:val="24"/>
          <w:lang w:val="en-GB"/>
        </w:rPr>
        <w:t xml:space="preserve">on the mandate of the work of the ad hoc </w:t>
      </w:r>
      <w:r w:rsidR="00B92C8F" w:rsidRPr="00B92C8F">
        <w:rPr>
          <w:rFonts w:asciiTheme="majorBidi" w:hAnsiTheme="majorBidi" w:cstheme="majorBidi"/>
          <w:sz w:val="24"/>
          <w:szCs w:val="24"/>
          <w:lang w:val="en-GB"/>
        </w:rPr>
        <w:t>technical expert group, and the report on its work on the</w:t>
      </w:r>
      <w:r w:rsidR="00B92C8F" w:rsidRPr="00FC73F5">
        <w:rPr>
          <w:rFonts w:asciiTheme="majorBidi" w:hAnsiTheme="majorBidi" w:cstheme="majorBidi"/>
          <w:sz w:val="24"/>
          <w:szCs w:val="24"/>
          <w:lang w:val="en-GB"/>
        </w:rPr>
        <w:t xml:space="preserve"> arrangements</w:t>
      </w:r>
      <w:r w:rsidR="00B92C8F">
        <w:rPr>
          <w:rFonts w:asciiTheme="majorBidi" w:hAnsiTheme="majorBidi" w:cstheme="majorBidi"/>
          <w:sz w:val="24"/>
          <w:szCs w:val="24"/>
          <w:lang w:val="en-GB"/>
        </w:rPr>
        <w:t xml:space="preserve"> the group proposes be</w:t>
      </w:r>
      <w:r w:rsidR="00B92C8F" w:rsidRPr="00FC73F5">
        <w:rPr>
          <w:rFonts w:asciiTheme="majorBidi" w:hAnsiTheme="majorBidi" w:cstheme="majorBidi"/>
          <w:sz w:val="24"/>
          <w:szCs w:val="24"/>
          <w:lang w:val="en-GB"/>
        </w:rPr>
        <w:t xml:space="preserve"> put in place to provide the Conference of the Parties with the required information to conduct an </w:t>
      </w:r>
      <w:r w:rsidR="00B92C8F" w:rsidRPr="00FC73F5">
        <w:rPr>
          <w:rFonts w:asciiTheme="majorBidi" w:hAnsiTheme="majorBidi" w:cstheme="majorBidi"/>
          <w:sz w:val="24"/>
          <w:szCs w:val="24"/>
          <w:lang w:val="en-GB"/>
        </w:rPr>
        <w:lastRenderedPageBreak/>
        <w:t xml:space="preserve">effectiveness evaluation of the Minamata Convention on </w:t>
      </w:r>
      <w:r w:rsidR="00B92C8F" w:rsidRPr="00B92C8F">
        <w:rPr>
          <w:rFonts w:asciiTheme="majorBidi" w:hAnsiTheme="majorBidi" w:cstheme="majorBidi"/>
          <w:sz w:val="24"/>
          <w:szCs w:val="24"/>
          <w:lang w:val="en-GB"/>
        </w:rPr>
        <w:t xml:space="preserve">Mercury. </w:t>
      </w:r>
      <w:r w:rsidR="00E11E0B">
        <w:rPr>
          <w:rFonts w:asciiTheme="majorBidi" w:hAnsiTheme="majorBidi" w:cstheme="majorBidi"/>
          <w:sz w:val="24"/>
          <w:szCs w:val="24"/>
          <w:lang w:val="en-GB"/>
        </w:rPr>
        <w:t>Section</w:t>
      </w:r>
      <w:r w:rsidR="00B92C8F" w:rsidRPr="00B92C8F">
        <w:rPr>
          <w:rFonts w:asciiTheme="majorBidi" w:hAnsiTheme="majorBidi" w:cstheme="majorBidi"/>
          <w:sz w:val="24"/>
          <w:szCs w:val="24"/>
          <w:lang w:val="en-GB"/>
        </w:rPr>
        <w:t xml:space="preserve"> </w:t>
      </w:r>
      <w:r w:rsidR="00E11E0B">
        <w:rPr>
          <w:rFonts w:asciiTheme="majorBidi" w:hAnsiTheme="majorBidi" w:cstheme="majorBidi"/>
          <w:sz w:val="24"/>
          <w:szCs w:val="24"/>
          <w:lang w:val="en-GB"/>
        </w:rPr>
        <w:t xml:space="preserve">II </w:t>
      </w:r>
      <w:r w:rsidR="00B92C8F" w:rsidRPr="00B92C8F">
        <w:rPr>
          <w:rFonts w:asciiTheme="majorBidi" w:hAnsiTheme="majorBidi" w:cstheme="majorBidi"/>
          <w:sz w:val="24"/>
          <w:szCs w:val="24"/>
          <w:lang w:val="en-GB"/>
        </w:rPr>
        <w:t>provides</w:t>
      </w:r>
      <w:r w:rsidRPr="00B92C8F">
        <w:rPr>
          <w:rFonts w:asciiTheme="majorBidi" w:hAnsiTheme="majorBidi" w:cstheme="majorBidi"/>
          <w:sz w:val="24"/>
          <w:szCs w:val="24"/>
          <w:lang w:val="en-GB"/>
        </w:rPr>
        <w:t xml:space="preserve"> a</w:t>
      </w:r>
      <w:r w:rsidR="00B92C8F" w:rsidRPr="00B92C8F">
        <w:rPr>
          <w:rFonts w:asciiTheme="majorBidi" w:hAnsiTheme="majorBidi" w:cstheme="majorBidi"/>
          <w:sz w:val="24"/>
          <w:szCs w:val="24"/>
          <w:lang w:val="en-GB"/>
        </w:rPr>
        <w:t>n overview</w:t>
      </w:r>
      <w:r w:rsidRPr="00B92C8F">
        <w:rPr>
          <w:rFonts w:asciiTheme="majorBidi" w:hAnsiTheme="majorBidi" w:cstheme="majorBidi"/>
          <w:sz w:val="24"/>
          <w:szCs w:val="24"/>
          <w:lang w:val="en-GB"/>
        </w:rPr>
        <w:t xml:space="preserve"> description of the proposed effectiveness evaluation framework including</w:t>
      </w:r>
      <w:r w:rsidR="00B92C8F" w:rsidRPr="00B92C8F">
        <w:rPr>
          <w:rFonts w:asciiTheme="majorBidi" w:hAnsiTheme="majorBidi" w:cstheme="majorBidi"/>
          <w:sz w:val="24"/>
          <w:szCs w:val="24"/>
          <w:lang w:val="en-GB"/>
        </w:rPr>
        <w:t xml:space="preserve"> laying out four key policy question identified to be used to evaluate the effectives of the Convention. </w:t>
      </w:r>
      <w:r w:rsidR="00E11E0B">
        <w:rPr>
          <w:rFonts w:asciiTheme="majorBidi" w:hAnsiTheme="majorBidi" w:cstheme="majorBidi"/>
          <w:sz w:val="24"/>
          <w:szCs w:val="24"/>
          <w:lang w:val="en-GB"/>
        </w:rPr>
        <w:t>Section</w:t>
      </w:r>
      <w:r w:rsidRPr="00B92C8F">
        <w:rPr>
          <w:rFonts w:asciiTheme="majorBidi" w:hAnsiTheme="majorBidi" w:cstheme="majorBidi"/>
          <w:sz w:val="24"/>
          <w:szCs w:val="24"/>
          <w:lang w:val="en-GB"/>
        </w:rPr>
        <w:t xml:space="preserve"> </w:t>
      </w:r>
      <w:r w:rsidR="00E11E0B">
        <w:rPr>
          <w:rFonts w:asciiTheme="majorBidi" w:hAnsiTheme="majorBidi" w:cstheme="majorBidi"/>
          <w:sz w:val="24"/>
          <w:szCs w:val="24"/>
          <w:lang w:val="en-GB"/>
        </w:rPr>
        <w:t xml:space="preserve">III </w:t>
      </w:r>
      <w:r w:rsidRPr="00B92C8F">
        <w:rPr>
          <w:rFonts w:asciiTheme="majorBidi" w:hAnsiTheme="majorBidi" w:cstheme="majorBidi"/>
          <w:sz w:val="24"/>
          <w:szCs w:val="24"/>
          <w:lang w:val="en-GB"/>
        </w:rPr>
        <w:t>lays out</w:t>
      </w:r>
      <w:r w:rsidR="00B92C8F" w:rsidRPr="00B92C8F">
        <w:rPr>
          <w:rFonts w:asciiTheme="majorBidi" w:hAnsiTheme="majorBidi" w:cstheme="majorBidi"/>
          <w:sz w:val="24"/>
          <w:szCs w:val="24"/>
          <w:lang w:val="en-GB"/>
        </w:rPr>
        <w:t xml:space="preserve"> the constituent elements of the framework in detail by describing the</w:t>
      </w:r>
      <w:r w:rsidRPr="00B92C8F">
        <w:rPr>
          <w:rFonts w:asciiTheme="majorBidi" w:hAnsiTheme="majorBidi" w:cstheme="majorBidi"/>
          <w:sz w:val="24"/>
          <w:szCs w:val="24"/>
          <w:lang w:val="en-GB"/>
        </w:rPr>
        <w:t xml:space="preserve"> proposed methodology to conduct the effectiveness </w:t>
      </w:r>
      <w:r w:rsidR="00F30EC6" w:rsidRPr="00B92C8F">
        <w:rPr>
          <w:rFonts w:asciiTheme="majorBidi" w:hAnsiTheme="majorBidi" w:cstheme="majorBidi"/>
          <w:sz w:val="24"/>
          <w:szCs w:val="24"/>
          <w:lang w:val="en-GB"/>
        </w:rPr>
        <w:t>evaluation</w:t>
      </w:r>
      <w:r w:rsidR="00B92C8F" w:rsidRPr="00B92C8F">
        <w:rPr>
          <w:rFonts w:asciiTheme="majorBidi" w:hAnsiTheme="majorBidi" w:cstheme="majorBidi"/>
          <w:sz w:val="24"/>
          <w:szCs w:val="24"/>
          <w:lang w:val="en-GB"/>
        </w:rPr>
        <w:t xml:space="preserve">. This </w:t>
      </w:r>
      <w:r w:rsidR="00E11E0B">
        <w:rPr>
          <w:rFonts w:asciiTheme="majorBidi" w:hAnsiTheme="majorBidi" w:cstheme="majorBidi"/>
          <w:sz w:val="24"/>
          <w:szCs w:val="24"/>
          <w:lang w:val="en-GB"/>
        </w:rPr>
        <w:t>section</w:t>
      </w:r>
      <w:r w:rsidR="00B92C8F" w:rsidRPr="00B92C8F">
        <w:rPr>
          <w:rFonts w:asciiTheme="majorBidi" w:hAnsiTheme="majorBidi" w:cstheme="majorBidi"/>
          <w:sz w:val="24"/>
          <w:szCs w:val="24"/>
          <w:lang w:val="en-GB"/>
        </w:rPr>
        <w:t xml:space="preserve"> also puts forward the </w:t>
      </w:r>
      <w:r w:rsidRPr="00B92C8F">
        <w:rPr>
          <w:rFonts w:asciiTheme="majorBidi" w:hAnsiTheme="majorBidi" w:cstheme="majorBidi"/>
          <w:sz w:val="24"/>
          <w:szCs w:val="24"/>
          <w:lang w:val="en-GB"/>
        </w:rPr>
        <w:t xml:space="preserve">proposed </w:t>
      </w:r>
      <w:r w:rsidRPr="00F14244">
        <w:rPr>
          <w:rFonts w:asciiTheme="majorBidi" w:hAnsiTheme="majorBidi" w:cstheme="majorBidi"/>
          <w:sz w:val="24"/>
          <w:szCs w:val="24"/>
          <w:lang w:val="en-GB"/>
        </w:rPr>
        <w:t xml:space="preserve">schedule. </w:t>
      </w:r>
      <w:r w:rsidR="00E11E0B">
        <w:rPr>
          <w:rFonts w:asciiTheme="majorBidi" w:hAnsiTheme="majorBidi" w:cstheme="majorBidi"/>
          <w:sz w:val="24"/>
          <w:szCs w:val="24"/>
          <w:lang w:val="en-GB"/>
        </w:rPr>
        <w:t>Section</w:t>
      </w:r>
      <w:r w:rsidRPr="00F14244">
        <w:rPr>
          <w:rFonts w:asciiTheme="majorBidi" w:hAnsiTheme="majorBidi" w:cstheme="majorBidi"/>
          <w:sz w:val="24"/>
          <w:szCs w:val="24"/>
          <w:lang w:val="en-GB"/>
        </w:rPr>
        <w:t xml:space="preserve"> </w:t>
      </w:r>
      <w:r w:rsidR="00E11E0B">
        <w:rPr>
          <w:rFonts w:asciiTheme="majorBidi" w:hAnsiTheme="majorBidi" w:cstheme="majorBidi"/>
          <w:sz w:val="24"/>
          <w:szCs w:val="24"/>
          <w:lang w:val="en-GB"/>
        </w:rPr>
        <w:t xml:space="preserve">IV </w:t>
      </w:r>
      <w:r w:rsidR="00F14244" w:rsidRPr="00F14244">
        <w:rPr>
          <w:rFonts w:asciiTheme="majorBidi" w:hAnsiTheme="majorBidi" w:cstheme="majorBidi"/>
          <w:sz w:val="24"/>
          <w:szCs w:val="24"/>
          <w:lang w:val="en-GB"/>
        </w:rPr>
        <w:t>outlines further issues for the consideration by the Conference of the Parties, including as suggested action a draft decision to operationalise the proposed framework.</w:t>
      </w:r>
    </w:p>
    <w:p w14:paraId="0E0A7A09" w14:textId="29F91F56" w:rsidR="007E3BAC" w:rsidRPr="00F14244" w:rsidRDefault="007E3BAC" w:rsidP="00A03499">
      <w:pPr>
        <w:pStyle w:val="ListParagraph"/>
        <w:numPr>
          <w:ilvl w:val="0"/>
          <w:numId w:val="1"/>
        </w:numPr>
        <w:spacing w:after="160"/>
        <w:rPr>
          <w:rFonts w:asciiTheme="majorBidi" w:hAnsiTheme="majorBidi" w:cstheme="majorBidi"/>
          <w:sz w:val="24"/>
          <w:szCs w:val="24"/>
          <w:lang w:val="en-GB"/>
        </w:rPr>
      </w:pPr>
      <w:r w:rsidRPr="00F14244">
        <w:rPr>
          <w:rFonts w:asciiTheme="majorBidi" w:hAnsiTheme="majorBidi" w:cstheme="majorBidi"/>
          <w:sz w:val="24"/>
          <w:szCs w:val="24"/>
          <w:lang w:val="en-GB"/>
        </w:rPr>
        <w:t>The</w:t>
      </w:r>
      <w:r w:rsidR="004E6CA2" w:rsidRPr="00F14244">
        <w:rPr>
          <w:rFonts w:asciiTheme="majorBidi" w:hAnsiTheme="majorBidi" w:cstheme="majorBidi"/>
          <w:sz w:val="24"/>
          <w:szCs w:val="24"/>
          <w:lang w:val="en-GB"/>
        </w:rPr>
        <w:t xml:space="preserve"> report </w:t>
      </w:r>
      <w:r w:rsidRPr="00F14244">
        <w:rPr>
          <w:rFonts w:asciiTheme="majorBidi" w:hAnsiTheme="majorBidi" w:cstheme="majorBidi"/>
          <w:sz w:val="24"/>
          <w:szCs w:val="24"/>
          <w:lang w:val="en-GB"/>
        </w:rPr>
        <w:t xml:space="preserve">further contains </w:t>
      </w:r>
      <w:r w:rsidR="00F14244" w:rsidRPr="00F14244">
        <w:rPr>
          <w:rFonts w:asciiTheme="majorBidi" w:hAnsiTheme="majorBidi" w:cstheme="majorBidi"/>
          <w:sz w:val="24"/>
          <w:szCs w:val="24"/>
          <w:lang w:val="en-GB"/>
        </w:rPr>
        <w:t xml:space="preserve">four annexes. The first annex outlines technical information related to monitoring. The second annex presents the terms of reference of the Effectiveness Evaluation Committee. The third annex outlines the terms of reference of the global monitoring arrangements. And the fourth annex gives a description of the reports that are to be prepared for the Effectiveness Evaluation Committee. </w:t>
      </w:r>
    </w:p>
    <w:p w14:paraId="3E3D8BF3" w14:textId="0D9E5173" w:rsidR="00C862A0" w:rsidRPr="002C1B1B" w:rsidRDefault="007E3BAC" w:rsidP="00A03499">
      <w:pPr>
        <w:pStyle w:val="ListParagraph"/>
        <w:numPr>
          <w:ilvl w:val="0"/>
          <w:numId w:val="1"/>
        </w:numPr>
        <w:spacing w:after="160"/>
        <w:rPr>
          <w:rFonts w:asciiTheme="majorBidi" w:hAnsiTheme="majorBidi" w:cstheme="majorBidi"/>
          <w:sz w:val="24"/>
          <w:szCs w:val="24"/>
          <w:lang w:val="en-GB"/>
        </w:rPr>
      </w:pPr>
      <w:r w:rsidRPr="002C1B1B">
        <w:rPr>
          <w:rFonts w:asciiTheme="majorBidi" w:hAnsiTheme="majorBidi" w:cstheme="majorBidi"/>
          <w:sz w:val="24"/>
          <w:szCs w:val="24"/>
          <w:lang w:val="en-GB"/>
        </w:rPr>
        <w:t xml:space="preserve">The ad hoc technical expert group proposes that the </w:t>
      </w:r>
      <w:r w:rsidR="004E6CA2" w:rsidRPr="002C1B1B">
        <w:rPr>
          <w:rFonts w:asciiTheme="majorBidi" w:hAnsiTheme="majorBidi" w:cstheme="majorBidi"/>
          <w:sz w:val="24"/>
          <w:szCs w:val="24"/>
          <w:lang w:val="en-GB"/>
        </w:rPr>
        <w:t xml:space="preserve">Conference </w:t>
      </w:r>
      <w:r w:rsidRPr="002C1B1B">
        <w:rPr>
          <w:rFonts w:asciiTheme="majorBidi" w:hAnsiTheme="majorBidi" w:cstheme="majorBidi"/>
          <w:sz w:val="24"/>
          <w:szCs w:val="24"/>
          <w:lang w:val="en-GB"/>
        </w:rPr>
        <w:t xml:space="preserve">of the Parties at its </w:t>
      </w:r>
      <w:r w:rsidR="005C2FA4" w:rsidRPr="002C1B1B">
        <w:rPr>
          <w:rFonts w:asciiTheme="majorBidi" w:hAnsiTheme="majorBidi" w:cstheme="majorBidi"/>
          <w:sz w:val="24"/>
          <w:szCs w:val="24"/>
          <w:lang w:val="en-GB"/>
        </w:rPr>
        <w:t>third meeting</w:t>
      </w:r>
      <w:r w:rsidRPr="002C1B1B">
        <w:rPr>
          <w:rFonts w:asciiTheme="majorBidi" w:hAnsiTheme="majorBidi" w:cstheme="majorBidi"/>
          <w:sz w:val="24"/>
          <w:szCs w:val="24"/>
          <w:lang w:val="en-GB"/>
        </w:rPr>
        <w:t xml:space="preserve"> adopts the framework, adopts the proposed timeline for the first cycle of the effectiveness evaluation, and at its fourth meeting establishes the Effectiveness Evaluation Committee. This will enable the fifth meeting of the </w:t>
      </w:r>
      <w:r w:rsidR="00DE46AF" w:rsidRPr="002C1B1B">
        <w:rPr>
          <w:rFonts w:asciiTheme="majorBidi" w:hAnsiTheme="majorBidi" w:cstheme="majorBidi"/>
          <w:sz w:val="24"/>
          <w:szCs w:val="24"/>
          <w:lang w:val="en-GB"/>
        </w:rPr>
        <w:t xml:space="preserve">Conference of the Parties </w:t>
      </w:r>
      <w:r w:rsidRPr="002C1B1B">
        <w:rPr>
          <w:rFonts w:asciiTheme="majorBidi" w:hAnsiTheme="majorBidi" w:cstheme="majorBidi"/>
          <w:sz w:val="24"/>
          <w:szCs w:val="24"/>
          <w:lang w:val="en-GB"/>
        </w:rPr>
        <w:t xml:space="preserve">to consider the findings and conclusions of the Effectiveness Evaluation Committee. A draft decision has been prepared for consideration in this regard. </w:t>
      </w:r>
    </w:p>
    <w:p w14:paraId="5A2EC6A3" w14:textId="77777777" w:rsidR="003E7865" w:rsidRPr="00FC73F5" w:rsidRDefault="003E7865">
      <w:pPr>
        <w:rPr>
          <w:rFonts w:asciiTheme="majorBidi" w:eastAsia="MyriadPro-Regular" w:hAnsiTheme="majorBidi" w:cstheme="majorBidi"/>
        </w:rPr>
      </w:pPr>
      <w:r w:rsidRPr="00FC73F5">
        <w:rPr>
          <w:rFonts w:asciiTheme="majorBidi" w:eastAsia="MyriadPro-Regular" w:hAnsiTheme="majorBidi" w:cstheme="majorBidi"/>
        </w:rPr>
        <w:br w:type="page"/>
      </w:r>
    </w:p>
    <w:p w14:paraId="4F87417E" w14:textId="271B8504" w:rsidR="003E7865" w:rsidRPr="00FC73F5" w:rsidRDefault="003E7865" w:rsidP="003E7865">
      <w:pPr>
        <w:spacing w:after="0"/>
        <w:rPr>
          <w:rFonts w:asciiTheme="majorBidi" w:hAnsiTheme="majorBidi" w:cstheme="majorBidi"/>
          <w:b/>
          <w:bCs/>
          <w:sz w:val="28"/>
          <w:szCs w:val="28"/>
        </w:rPr>
      </w:pPr>
      <w:r w:rsidRPr="00FC73F5">
        <w:rPr>
          <w:rFonts w:asciiTheme="majorBidi" w:hAnsiTheme="majorBidi" w:cstheme="majorBidi"/>
          <w:b/>
          <w:bCs/>
          <w:sz w:val="28"/>
          <w:szCs w:val="28"/>
        </w:rPr>
        <w:lastRenderedPageBreak/>
        <w:t>II</w:t>
      </w:r>
      <w:r w:rsidR="002D24F7" w:rsidRPr="00FC73F5">
        <w:rPr>
          <w:rFonts w:asciiTheme="majorBidi" w:hAnsiTheme="majorBidi" w:cstheme="majorBidi"/>
          <w:b/>
          <w:bCs/>
          <w:sz w:val="28"/>
          <w:szCs w:val="28"/>
        </w:rPr>
        <w:t>.</w:t>
      </w:r>
      <w:r w:rsidRPr="00FC73F5">
        <w:rPr>
          <w:rFonts w:asciiTheme="majorBidi" w:hAnsiTheme="majorBidi" w:cstheme="majorBidi"/>
          <w:b/>
          <w:bCs/>
          <w:sz w:val="28"/>
          <w:szCs w:val="28"/>
        </w:rPr>
        <w:t xml:space="preserve"> </w:t>
      </w:r>
      <w:r w:rsidR="00A075B3" w:rsidRPr="00FC73F5">
        <w:rPr>
          <w:rFonts w:asciiTheme="majorBidi" w:hAnsiTheme="majorBidi" w:cstheme="majorBidi"/>
          <w:b/>
          <w:bCs/>
          <w:sz w:val="28"/>
          <w:szCs w:val="28"/>
        </w:rPr>
        <w:t>Overview d</w:t>
      </w:r>
      <w:r w:rsidRPr="00FC73F5">
        <w:rPr>
          <w:rFonts w:asciiTheme="majorBidi" w:hAnsiTheme="majorBidi" w:cstheme="majorBidi"/>
          <w:b/>
          <w:bCs/>
          <w:sz w:val="28"/>
          <w:szCs w:val="28"/>
        </w:rPr>
        <w:t>escription of the effectiveness evaluation framework</w:t>
      </w:r>
    </w:p>
    <w:p w14:paraId="12E8564B" w14:textId="77777777" w:rsidR="003E7865" w:rsidRPr="00FC73F5" w:rsidRDefault="003E7865" w:rsidP="00CB0747">
      <w:pPr>
        <w:spacing w:after="0"/>
        <w:rPr>
          <w:rFonts w:asciiTheme="majorBidi" w:hAnsiTheme="majorBidi" w:cstheme="majorBidi"/>
          <w:sz w:val="24"/>
          <w:szCs w:val="24"/>
        </w:rPr>
      </w:pPr>
    </w:p>
    <w:p w14:paraId="58577D2D" w14:textId="5FF17470" w:rsidR="00CB0747" w:rsidRPr="00FC73F5" w:rsidRDefault="000E16AF" w:rsidP="00A075B3">
      <w:pPr>
        <w:pStyle w:val="ListParagraph"/>
        <w:numPr>
          <w:ilvl w:val="0"/>
          <w:numId w:val="1"/>
        </w:numPr>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t>The objective of the Minamata Convention, per Article 1, is “</w:t>
      </w:r>
      <w:r w:rsidRPr="00FC73F5">
        <w:rPr>
          <w:rFonts w:asciiTheme="majorBidi" w:hAnsiTheme="majorBidi" w:cstheme="majorBidi"/>
          <w:i/>
          <w:color w:val="211D1E"/>
          <w:sz w:val="24"/>
          <w:szCs w:val="24"/>
          <w:lang w:val="en-GB"/>
        </w:rPr>
        <w:t>to protect the human health and the environment from anthropogenic emissions and releases of mercury and mercury compounds</w:t>
      </w:r>
      <w:r w:rsidRPr="00FC73F5">
        <w:rPr>
          <w:rFonts w:asciiTheme="majorBidi" w:hAnsiTheme="majorBidi" w:cstheme="majorBidi"/>
          <w:color w:val="211D1E"/>
          <w:sz w:val="24"/>
          <w:szCs w:val="24"/>
          <w:lang w:val="en-GB"/>
        </w:rPr>
        <w:t>.”</w:t>
      </w:r>
    </w:p>
    <w:p w14:paraId="11299B33" w14:textId="34FF3F88" w:rsidR="00CB0747" w:rsidRPr="00FC73F5" w:rsidRDefault="000E16AF" w:rsidP="00A075B3">
      <w:pPr>
        <w:pStyle w:val="ListParagraph"/>
        <w:numPr>
          <w:ilvl w:val="0"/>
          <w:numId w:val="1"/>
        </w:numPr>
        <w:spacing w:after="160"/>
        <w:rPr>
          <w:rFonts w:asciiTheme="majorBidi" w:hAnsiTheme="majorBidi" w:cstheme="majorBidi"/>
          <w:sz w:val="24"/>
          <w:szCs w:val="24"/>
          <w:lang w:val="en-GB"/>
        </w:rPr>
      </w:pPr>
      <w:r w:rsidRPr="00FC73F5">
        <w:rPr>
          <w:rFonts w:asciiTheme="majorBidi" w:hAnsiTheme="majorBidi" w:cstheme="majorBidi"/>
          <w:color w:val="211D1E"/>
          <w:sz w:val="24"/>
          <w:szCs w:val="24"/>
          <w:lang w:val="en-GB"/>
        </w:rPr>
        <w:t xml:space="preserve">The goal of </w:t>
      </w:r>
      <w:r w:rsidR="00CB0747" w:rsidRPr="00FC73F5">
        <w:rPr>
          <w:rFonts w:asciiTheme="majorBidi" w:hAnsiTheme="majorBidi" w:cstheme="majorBidi"/>
          <w:color w:val="211D1E"/>
          <w:sz w:val="24"/>
          <w:szCs w:val="24"/>
          <w:lang w:val="en-GB"/>
        </w:rPr>
        <w:t>an</w:t>
      </w:r>
      <w:r w:rsidRPr="00FC73F5">
        <w:rPr>
          <w:rFonts w:asciiTheme="majorBidi" w:hAnsiTheme="majorBidi" w:cstheme="majorBidi"/>
          <w:color w:val="211D1E"/>
          <w:sz w:val="24"/>
          <w:szCs w:val="24"/>
          <w:lang w:val="en-GB"/>
        </w:rPr>
        <w:t xml:space="preserve"> effectiveness evaluation is to consider the extent to which the Convention is achieving this objective. </w:t>
      </w:r>
      <w:r w:rsidR="00FC73F5" w:rsidRPr="00FC73F5">
        <w:rPr>
          <w:rFonts w:asciiTheme="majorBidi" w:hAnsiTheme="majorBidi" w:cstheme="majorBidi"/>
          <w:sz w:val="24"/>
          <w:szCs w:val="24"/>
          <w:lang w:val="en-GB"/>
        </w:rPr>
        <w:t>T</w:t>
      </w:r>
      <w:r w:rsidRPr="00FC73F5">
        <w:rPr>
          <w:rFonts w:asciiTheme="majorBidi" w:hAnsiTheme="majorBidi" w:cstheme="majorBidi"/>
          <w:sz w:val="24"/>
          <w:szCs w:val="24"/>
          <w:lang w:val="en-GB"/>
        </w:rPr>
        <w:t xml:space="preserve">o </w:t>
      </w:r>
      <w:r w:rsidR="00FC73F5" w:rsidRPr="00FC73F5">
        <w:rPr>
          <w:rFonts w:asciiTheme="majorBidi" w:hAnsiTheme="majorBidi" w:cstheme="majorBidi"/>
          <w:sz w:val="24"/>
          <w:szCs w:val="24"/>
          <w:lang w:val="en-GB"/>
        </w:rPr>
        <w:t>analyse</w:t>
      </w:r>
      <w:r w:rsidRPr="00FC73F5">
        <w:rPr>
          <w:rFonts w:asciiTheme="majorBidi" w:hAnsiTheme="majorBidi" w:cstheme="majorBidi"/>
          <w:sz w:val="24"/>
          <w:szCs w:val="24"/>
          <w:lang w:val="en-GB"/>
        </w:rPr>
        <w:t xml:space="preserve"> </w:t>
      </w:r>
      <w:r w:rsidR="00FC73F5" w:rsidRPr="00FC73F5">
        <w:rPr>
          <w:rFonts w:asciiTheme="majorBidi" w:hAnsiTheme="majorBidi" w:cstheme="majorBidi"/>
          <w:sz w:val="24"/>
          <w:szCs w:val="24"/>
          <w:lang w:val="en-GB"/>
        </w:rPr>
        <w:t xml:space="preserve">its </w:t>
      </w:r>
      <w:r w:rsidRPr="00FC73F5">
        <w:rPr>
          <w:rFonts w:asciiTheme="majorBidi" w:hAnsiTheme="majorBidi" w:cstheme="majorBidi"/>
          <w:sz w:val="24"/>
          <w:szCs w:val="24"/>
          <w:lang w:val="en-GB"/>
        </w:rPr>
        <w:t xml:space="preserve">effectiveness is to consider whether measures taken by Parties in response to the Convention have resulted in reductions in emissions and releases that have, in turn, led to lower risks to human health and the environment (compared with what would have occurred if the Convention would not have been implemented). </w:t>
      </w:r>
    </w:p>
    <w:p w14:paraId="592C3CE3" w14:textId="3D3602E6" w:rsidR="0046498C" w:rsidRDefault="000E16AF" w:rsidP="00DE53DB">
      <w:pPr>
        <w:pStyle w:val="ListParagraph"/>
        <w:numPr>
          <w:ilvl w:val="0"/>
          <w:numId w:val="1"/>
        </w:numPr>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The framework for the effectiveness evaluation </w:t>
      </w:r>
      <w:r w:rsidR="00FC73F5" w:rsidRPr="00FC73F5">
        <w:rPr>
          <w:rFonts w:asciiTheme="majorBidi" w:hAnsiTheme="majorBidi" w:cstheme="majorBidi"/>
          <w:sz w:val="24"/>
          <w:szCs w:val="24"/>
          <w:lang w:val="en-GB"/>
        </w:rPr>
        <w:t>of</w:t>
      </w:r>
      <w:r w:rsidR="00CB0747" w:rsidRPr="00FC73F5">
        <w:rPr>
          <w:rFonts w:asciiTheme="majorBidi" w:hAnsiTheme="majorBidi" w:cstheme="majorBidi"/>
          <w:sz w:val="24"/>
          <w:szCs w:val="24"/>
          <w:lang w:val="en-GB"/>
        </w:rPr>
        <w:t xml:space="preserve"> the Minamata Convention</w:t>
      </w:r>
      <w:r w:rsidR="00FC73F5" w:rsidRPr="00FC73F5">
        <w:rPr>
          <w:rFonts w:asciiTheme="majorBidi" w:hAnsiTheme="majorBidi" w:cstheme="majorBidi"/>
          <w:sz w:val="24"/>
          <w:szCs w:val="24"/>
          <w:lang w:val="en-GB"/>
        </w:rPr>
        <w:t>, as proposed by the ad hoc technical expert group</w:t>
      </w:r>
      <w:r w:rsidR="00D10148">
        <w:rPr>
          <w:rFonts w:asciiTheme="majorBidi" w:hAnsiTheme="majorBidi" w:cstheme="majorBidi"/>
          <w:sz w:val="24"/>
          <w:szCs w:val="24"/>
          <w:lang w:val="en-GB"/>
        </w:rPr>
        <w:t>,</w:t>
      </w:r>
      <w:r w:rsidR="00CB0747" w:rsidRPr="00FC73F5">
        <w:rPr>
          <w:rFonts w:asciiTheme="majorBidi" w:hAnsiTheme="majorBidi" w:cstheme="majorBidi"/>
          <w:sz w:val="24"/>
          <w:szCs w:val="24"/>
          <w:lang w:val="en-GB"/>
        </w:rPr>
        <w:t xml:space="preserve"> </w:t>
      </w:r>
      <w:r w:rsidRPr="00FC73F5">
        <w:rPr>
          <w:rFonts w:asciiTheme="majorBidi" w:hAnsiTheme="majorBidi" w:cstheme="majorBidi"/>
          <w:sz w:val="24"/>
          <w:szCs w:val="24"/>
          <w:lang w:val="en-GB"/>
        </w:rPr>
        <w:t>relies on evaluating evidence along the causal pathway</w:t>
      </w:r>
      <w:r w:rsidR="00FC73F5" w:rsidRPr="00FC73F5">
        <w:rPr>
          <w:rFonts w:asciiTheme="majorBidi" w:hAnsiTheme="majorBidi" w:cstheme="majorBidi"/>
          <w:sz w:val="24"/>
          <w:szCs w:val="24"/>
          <w:lang w:val="en-GB"/>
        </w:rPr>
        <w:t>s</w:t>
      </w:r>
      <w:r w:rsidRPr="00FC73F5">
        <w:rPr>
          <w:rFonts w:asciiTheme="majorBidi" w:hAnsiTheme="majorBidi" w:cstheme="majorBidi"/>
          <w:sz w:val="24"/>
          <w:szCs w:val="24"/>
          <w:lang w:val="en-GB"/>
        </w:rPr>
        <w:t xml:space="preserve"> linking</w:t>
      </w:r>
      <w:r w:rsidR="00CB0747" w:rsidRPr="00FC73F5">
        <w:rPr>
          <w:rFonts w:asciiTheme="majorBidi" w:hAnsiTheme="majorBidi" w:cstheme="majorBidi"/>
          <w:sz w:val="24"/>
          <w:szCs w:val="24"/>
          <w:lang w:val="en-GB"/>
        </w:rPr>
        <w:t xml:space="preserve"> </w:t>
      </w:r>
      <w:r w:rsidRPr="00FC73F5">
        <w:rPr>
          <w:rFonts w:asciiTheme="majorBidi" w:hAnsiTheme="majorBidi" w:cstheme="majorBidi"/>
          <w:sz w:val="24"/>
          <w:szCs w:val="24"/>
          <w:u w:val="single"/>
          <w:lang w:val="en-GB"/>
        </w:rPr>
        <w:t>actions</w:t>
      </w:r>
      <w:r w:rsidRPr="00FC73F5">
        <w:rPr>
          <w:rFonts w:asciiTheme="majorBidi" w:hAnsiTheme="majorBidi" w:cstheme="majorBidi"/>
          <w:sz w:val="24"/>
          <w:szCs w:val="24"/>
          <w:lang w:val="en-GB"/>
        </w:rPr>
        <w:t xml:space="preserve"> to implement the Convention,</w:t>
      </w:r>
      <w:r w:rsidR="00CB0747" w:rsidRPr="00FC73F5">
        <w:rPr>
          <w:rFonts w:asciiTheme="majorBidi" w:hAnsiTheme="majorBidi" w:cstheme="majorBidi"/>
          <w:sz w:val="24"/>
          <w:szCs w:val="24"/>
          <w:lang w:val="en-GB"/>
        </w:rPr>
        <w:t xml:space="preserve"> </w:t>
      </w:r>
      <w:r w:rsidRPr="00FC73F5">
        <w:rPr>
          <w:rFonts w:asciiTheme="majorBidi" w:hAnsiTheme="majorBidi" w:cstheme="majorBidi"/>
          <w:sz w:val="24"/>
          <w:szCs w:val="24"/>
          <w:lang w:val="en-GB"/>
        </w:rPr>
        <w:t xml:space="preserve">associated </w:t>
      </w:r>
      <w:r w:rsidRPr="00FC73F5">
        <w:rPr>
          <w:rFonts w:asciiTheme="majorBidi" w:hAnsiTheme="majorBidi" w:cstheme="majorBidi"/>
          <w:sz w:val="24"/>
          <w:szCs w:val="24"/>
          <w:u w:val="single"/>
          <w:lang w:val="en-GB"/>
        </w:rPr>
        <w:t>changes</w:t>
      </w:r>
      <w:r w:rsidRPr="00FC73F5">
        <w:rPr>
          <w:rFonts w:asciiTheme="majorBidi" w:hAnsiTheme="majorBidi" w:cstheme="majorBidi"/>
          <w:sz w:val="24"/>
          <w:szCs w:val="24"/>
          <w:lang w:val="en-GB"/>
        </w:rPr>
        <w:t xml:space="preserve"> in emissions and releases, and resulting </w:t>
      </w:r>
      <w:r w:rsidRPr="00FC73F5">
        <w:rPr>
          <w:rFonts w:asciiTheme="majorBidi" w:hAnsiTheme="majorBidi" w:cstheme="majorBidi"/>
          <w:sz w:val="24"/>
          <w:szCs w:val="24"/>
          <w:u w:val="single"/>
          <w:lang w:val="en-GB"/>
        </w:rPr>
        <w:t>changes</w:t>
      </w:r>
      <w:r w:rsidRPr="00FC73F5">
        <w:rPr>
          <w:rFonts w:asciiTheme="majorBidi" w:hAnsiTheme="majorBidi" w:cstheme="majorBidi"/>
          <w:sz w:val="24"/>
          <w:szCs w:val="24"/>
          <w:lang w:val="en-GB"/>
        </w:rPr>
        <w:t xml:space="preserve"> in levels and trends in the global environment, biota, and humans.</w:t>
      </w:r>
      <w:r w:rsidR="00D16EF3" w:rsidRPr="00FC73F5">
        <w:rPr>
          <w:rFonts w:asciiTheme="majorBidi" w:hAnsiTheme="majorBidi" w:cstheme="majorBidi"/>
          <w:sz w:val="24"/>
          <w:szCs w:val="24"/>
          <w:lang w:val="en-GB"/>
        </w:rPr>
        <w:t xml:space="preserve"> </w:t>
      </w:r>
      <w:r w:rsidR="005C7095">
        <w:rPr>
          <w:rStyle w:val="FootnoteReference"/>
          <w:rFonts w:asciiTheme="majorBidi" w:hAnsiTheme="majorBidi" w:cstheme="majorBidi"/>
          <w:sz w:val="24"/>
          <w:szCs w:val="24"/>
          <w:lang w:val="en-GB"/>
        </w:rPr>
        <w:footnoteReference w:id="4"/>
      </w:r>
      <w:r w:rsidR="005C7095">
        <w:rPr>
          <w:rFonts w:asciiTheme="majorBidi" w:hAnsiTheme="majorBidi" w:cstheme="majorBidi"/>
          <w:sz w:val="24"/>
          <w:szCs w:val="24"/>
          <w:lang w:val="en-GB"/>
        </w:rPr>
        <w:t xml:space="preserve"> </w:t>
      </w:r>
    </w:p>
    <w:p w14:paraId="57096F56" w14:textId="2546B34D" w:rsidR="00C87536" w:rsidRPr="00C87536" w:rsidRDefault="00D10148" w:rsidP="00C87536">
      <w:pPr>
        <w:pStyle w:val="ListParagraph"/>
        <w:numPr>
          <w:ilvl w:val="0"/>
          <w:numId w:val="1"/>
        </w:numPr>
        <w:spacing w:after="160"/>
        <w:rPr>
          <w:rFonts w:asciiTheme="majorBidi" w:hAnsiTheme="majorBidi" w:cstheme="majorBidi"/>
          <w:sz w:val="24"/>
          <w:szCs w:val="24"/>
          <w:lang w:val="en-GB"/>
        </w:rPr>
      </w:pPr>
      <w:r>
        <w:rPr>
          <w:rFonts w:asciiTheme="majorBidi" w:hAnsiTheme="majorBidi" w:cstheme="majorBidi"/>
          <w:sz w:val="24"/>
          <w:szCs w:val="24"/>
          <w:lang w:val="en-GB"/>
        </w:rPr>
        <w:t>Based on the information collated, and through proposed indicators</w:t>
      </w:r>
      <w:r w:rsidR="004B4590">
        <w:rPr>
          <w:rFonts w:asciiTheme="majorBidi" w:hAnsiTheme="majorBidi" w:cstheme="majorBidi"/>
          <w:sz w:val="24"/>
          <w:szCs w:val="24"/>
          <w:lang w:val="en-GB"/>
        </w:rPr>
        <w:t xml:space="preserve"> on process, outcome and monitoring</w:t>
      </w:r>
      <w:r>
        <w:rPr>
          <w:rFonts w:asciiTheme="majorBidi" w:hAnsiTheme="majorBidi" w:cstheme="majorBidi"/>
          <w:sz w:val="24"/>
          <w:szCs w:val="24"/>
          <w:lang w:val="en-GB"/>
        </w:rPr>
        <w:t xml:space="preserve">, an assessment will be made of whether changes in mercury levels attributable to the Convention are significant and sufficient in relations to four policy questions. </w:t>
      </w:r>
    </w:p>
    <w:p w14:paraId="2951B01F" w14:textId="77777777" w:rsidR="00C87536" w:rsidRDefault="00C87536" w:rsidP="00D10148">
      <w:pPr>
        <w:ind w:firstLine="360"/>
        <w:rPr>
          <w:rFonts w:asciiTheme="majorBidi" w:hAnsiTheme="majorBidi" w:cstheme="majorBidi"/>
          <w:b/>
          <w:bCs/>
          <w:sz w:val="24"/>
          <w:szCs w:val="24"/>
        </w:rPr>
      </w:pPr>
    </w:p>
    <w:p w14:paraId="54142158" w14:textId="28D5B371" w:rsidR="00967F54" w:rsidRPr="00D10148" w:rsidRDefault="0046498C" w:rsidP="00D10148">
      <w:pPr>
        <w:ind w:firstLine="360"/>
        <w:rPr>
          <w:rFonts w:asciiTheme="majorBidi" w:hAnsiTheme="majorBidi" w:cstheme="majorBidi"/>
          <w:b/>
          <w:bCs/>
          <w:sz w:val="24"/>
          <w:szCs w:val="24"/>
        </w:rPr>
      </w:pPr>
      <w:r w:rsidRPr="00FC73F5">
        <w:rPr>
          <w:rFonts w:asciiTheme="majorBidi" w:hAnsiTheme="majorBidi" w:cstheme="majorBidi"/>
          <w:b/>
          <w:bCs/>
          <w:sz w:val="24"/>
          <w:szCs w:val="24"/>
        </w:rPr>
        <w:t xml:space="preserve">Policy </w:t>
      </w:r>
      <w:r w:rsidR="00FB4391" w:rsidRPr="00FC73F5">
        <w:rPr>
          <w:rFonts w:asciiTheme="majorBidi" w:hAnsiTheme="majorBidi" w:cstheme="majorBidi"/>
          <w:b/>
          <w:bCs/>
          <w:sz w:val="24"/>
          <w:szCs w:val="24"/>
        </w:rPr>
        <w:t>Questions</w:t>
      </w:r>
    </w:p>
    <w:p w14:paraId="23500CF4" w14:textId="77777777" w:rsidR="000E16AF" w:rsidRPr="00FC73F5" w:rsidRDefault="0046498C" w:rsidP="003B0096">
      <w:pPr>
        <w:pStyle w:val="ListParagraph"/>
        <w:numPr>
          <w:ilvl w:val="0"/>
          <w:numId w:val="1"/>
        </w:numPr>
        <w:rPr>
          <w:rFonts w:asciiTheme="majorBidi" w:hAnsiTheme="majorBidi" w:cstheme="majorBidi"/>
          <w:sz w:val="24"/>
          <w:szCs w:val="24"/>
          <w:lang w:val="en-GB"/>
        </w:rPr>
      </w:pPr>
      <w:r w:rsidRPr="00FC73F5">
        <w:rPr>
          <w:rFonts w:asciiTheme="majorBidi" w:hAnsiTheme="majorBidi" w:cstheme="majorBidi"/>
          <w:b/>
          <w:sz w:val="24"/>
          <w:szCs w:val="24"/>
          <w:lang w:val="en-GB"/>
        </w:rPr>
        <w:t xml:space="preserve">First Policy Question: Have the Parties taken actions to implement the Minamata Convention? </w:t>
      </w:r>
      <w:r w:rsidR="000E16AF" w:rsidRPr="00FC73F5">
        <w:rPr>
          <w:rFonts w:asciiTheme="majorBidi" w:hAnsiTheme="majorBidi" w:cstheme="majorBidi"/>
          <w:sz w:val="24"/>
          <w:szCs w:val="24"/>
          <w:lang w:val="en-GB"/>
        </w:rPr>
        <w:t xml:space="preserve">The framework contains a succinct set of “process” indicators intended to reflect the level of implementation of the Convention by Parties. These indicators can be used to evaluate whether implementation of Convention measures can be credibly linked to changes in emissions and releases. They can also be used to identify common challenges in implementation that may undermine </w:t>
      </w:r>
      <w:r w:rsidR="00967F54" w:rsidRPr="00FC73F5">
        <w:rPr>
          <w:rFonts w:asciiTheme="majorBidi" w:hAnsiTheme="majorBidi" w:cstheme="majorBidi"/>
          <w:sz w:val="24"/>
          <w:szCs w:val="24"/>
          <w:lang w:val="en-GB"/>
        </w:rPr>
        <w:t xml:space="preserve">the </w:t>
      </w:r>
      <w:r w:rsidR="000E16AF" w:rsidRPr="00FC73F5">
        <w:rPr>
          <w:rFonts w:asciiTheme="majorBidi" w:hAnsiTheme="majorBidi" w:cstheme="majorBidi"/>
          <w:sz w:val="24"/>
          <w:szCs w:val="24"/>
          <w:lang w:val="en-GB"/>
        </w:rPr>
        <w:t xml:space="preserve">Convention effectiveness. </w:t>
      </w:r>
      <w:bookmarkStart w:id="0" w:name="_Hlk7429757"/>
      <w:r w:rsidR="000E16AF" w:rsidRPr="00FC73F5">
        <w:rPr>
          <w:rFonts w:asciiTheme="majorBidi" w:hAnsiTheme="majorBidi" w:cstheme="majorBidi"/>
          <w:sz w:val="24"/>
          <w:szCs w:val="24"/>
          <w:lang w:val="en-GB"/>
        </w:rPr>
        <w:t>The process indicators are based primarily on reporting mandated by the Convention, supplemented by other available scientific, environmental, technical, financial and economic information</w:t>
      </w:r>
      <w:r w:rsidR="00967F54" w:rsidRPr="00FC73F5">
        <w:rPr>
          <w:rFonts w:asciiTheme="majorBidi" w:hAnsiTheme="majorBidi" w:cstheme="majorBidi"/>
          <w:sz w:val="24"/>
          <w:szCs w:val="24"/>
          <w:lang w:val="en-GB"/>
        </w:rPr>
        <w:t xml:space="preserve"> as</w:t>
      </w:r>
      <w:r w:rsidR="000E16AF" w:rsidRPr="00FC73F5">
        <w:rPr>
          <w:rFonts w:asciiTheme="majorBidi" w:hAnsiTheme="majorBidi" w:cstheme="majorBidi"/>
          <w:sz w:val="24"/>
          <w:szCs w:val="24"/>
          <w:lang w:val="en-GB"/>
        </w:rPr>
        <w:t xml:space="preserve"> per Article 22</w:t>
      </w:r>
      <w:r w:rsidR="00967F54" w:rsidRPr="00FC73F5">
        <w:rPr>
          <w:rFonts w:asciiTheme="majorBidi" w:hAnsiTheme="majorBidi" w:cstheme="majorBidi"/>
          <w:sz w:val="24"/>
          <w:szCs w:val="24"/>
          <w:lang w:val="en-GB"/>
        </w:rPr>
        <w:t>,</w:t>
      </w:r>
      <w:r w:rsidR="000E16AF" w:rsidRPr="00FC73F5">
        <w:rPr>
          <w:rFonts w:asciiTheme="majorBidi" w:hAnsiTheme="majorBidi" w:cstheme="majorBidi"/>
          <w:sz w:val="24"/>
          <w:szCs w:val="24"/>
          <w:lang w:val="en-GB"/>
        </w:rPr>
        <w:t xml:space="preserve"> para</w:t>
      </w:r>
      <w:r w:rsidR="00967F54" w:rsidRPr="00FC73F5">
        <w:rPr>
          <w:rFonts w:asciiTheme="majorBidi" w:hAnsiTheme="majorBidi" w:cstheme="majorBidi"/>
          <w:sz w:val="24"/>
          <w:szCs w:val="24"/>
          <w:lang w:val="en-GB"/>
        </w:rPr>
        <w:t>graph</w:t>
      </w:r>
      <w:r w:rsidR="000E16AF" w:rsidRPr="00FC73F5">
        <w:rPr>
          <w:rFonts w:asciiTheme="majorBidi" w:hAnsiTheme="majorBidi" w:cstheme="majorBidi"/>
          <w:sz w:val="24"/>
          <w:szCs w:val="24"/>
          <w:lang w:val="en-GB"/>
        </w:rPr>
        <w:t xml:space="preserve"> 3. </w:t>
      </w:r>
    </w:p>
    <w:bookmarkEnd w:id="0"/>
    <w:p w14:paraId="510DBA44" w14:textId="77777777" w:rsidR="00967F54" w:rsidRPr="00FC73F5" w:rsidRDefault="00967F54" w:rsidP="00967F54">
      <w:pPr>
        <w:spacing w:after="0"/>
        <w:rPr>
          <w:rFonts w:asciiTheme="majorBidi" w:hAnsiTheme="majorBidi" w:cstheme="majorBidi"/>
          <w:b/>
          <w:sz w:val="24"/>
          <w:szCs w:val="24"/>
        </w:rPr>
      </w:pPr>
    </w:p>
    <w:p w14:paraId="16AFA370" w14:textId="11579E13" w:rsidR="000E16AF" w:rsidRPr="00FC73F5" w:rsidRDefault="0046498C" w:rsidP="003B0096">
      <w:pPr>
        <w:pStyle w:val="Normal-pool"/>
        <w:numPr>
          <w:ilvl w:val="0"/>
          <w:numId w:val="1"/>
        </w:numPr>
        <w:tabs>
          <w:tab w:val="clear" w:pos="1247"/>
          <w:tab w:val="clear" w:pos="1814"/>
          <w:tab w:val="clear" w:pos="2381"/>
          <w:tab w:val="clear" w:pos="2948"/>
          <w:tab w:val="clear" w:pos="3515"/>
        </w:tabs>
        <w:rPr>
          <w:rFonts w:asciiTheme="majorBidi" w:hAnsiTheme="majorBidi" w:cstheme="majorBidi"/>
          <w:sz w:val="24"/>
          <w:szCs w:val="24"/>
          <w:lang w:val="en-GB"/>
        </w:rPr>
      </w:pPr>
      <w:r w:rsidRPr="00FC73F5">
        <w:rPr>
          <w:rFonts w:asciiTheme="majorBidi" w:hAnsiTheme="majorBidi" w:cstheme="majorBidi"/>
          <w:b/>
          <w:sz w:val="24"/>
          <w:szCs w:val="24"/>
          <w:lang w:val="en-GB"/>
        </w:rPr>
        <w:t>Second</w:t>
      </w:r>
      <w:r w:rsidR="00FB4391" w:rsidRPr="00FC73F5">
        <w:rPr>
          <w:rFonts w:asciiTheme="majorBidi" w:hAnsiTheme="majorBidi" w:cstheme="majorBidi"/>
          <w:b/>
          <w:sz w:val="24"/>
          <w:szCs w:val="24"/>
          <w:lang w:val="en-GB"/>
        </w:rPr>
        <w:t xml:space="preserve"> Policy Question: H</w:t>
      </w:r>
      <w:r w:rsidRPr="00FC73F5">
        <w:rPr>
          <w:rFonts w:asciiTheme="majorBidi" w:hAnsiTheme="majorBidi" w:cstheme="majorBidi"/>
          <w:b/>
          <w:sz w:val="24"/>
          <w:szCs w:val="24"/>
          <w:lang w:val="en-GB"/>
        </w:rPr>
        <w:t xml:space="preserve">ave these actions resulted in changes in emissions and releases of mercury to the environment? </w:t>
      </w:r>
      <w:r w:rsidR="000E16AF" w:rsidRPr="00FC73F5">
        <w:rPr>
          <w:rFonts w:asciiTheme="majorBidi" w:hAnsiTheme="majorBidi" w:cstheme="majorBidi"/>
          <w:sz w:val="24"/>
          <w:szCs w:val="24"/>
          <w:lang w:val="en-GB"/>
        </w:rPr>
        <w:t>The framework also contains a set of “outcome” indicators that reflect estimated changes in supply, demand and emissions and releases of Hg</w:t>
      </w:r>
      <w:bookmarkStart w:id="1" w:name="_Hlk7431114"/>
      <w:r w:rsidR="000E16AF" w:rsidRPr="00FC73F5">
        <w:rPr>
          <w:rFonts w:asciiTheme="majorBidi" w:hAnsiTheme="majorBidi" w:cstheme="majorBidi"/>
          <w:sz w:val="24"/>
          <w:szCs w:val="24"/>
          <w:lang w:val="en-GB"/>
        </w:rPr>
        <w:t xml:space="preserve"> due to Convention measures, as reported by Parties under the Convention. The framework suggests supplementing these data with context </w:t>
      </w:r>
      <w:r w:rsidR="00627384">
        <w:rPr>
          <w:rFonts w:asciiTheme="majorBidi" w:hAnsiTheme="majorBidi" w:cstheme="majorBidi"/>
          <w:sz w:val="24"/>
          <w:szCs w:val="24"/>
          <w:lang w:val="en-GB"/>
        </w:rPr>
        <w:t xml:space="preserve">provided by </w:t>
      </w:r>
      <w:r w:rsidR="000E16AF" w:rsidRPr="00FC73F5">
        <w:rPr>
          <w:rFonts w:asciiTheme="majorBidi" w:hAnsiTheme="majorBidi" w:cstheme="majorBidi"/>
          <w:sz w:val="24"/>
          <w:szCs w:val="24"/>
          <w:lang w:val="en-GB"/>
        </w:rPr>
        <w:t xml:space="preserve">comprehensive estimates of global mercury supply, demand, emissions and releases.  </w:t>
      </w:r>
    </w:p>
    <w:p w14:paraId="6B1DC645" w14:textId="77777777" w:rsidR="00967F54" w:rsidRPr="00FC73F5" w:rsidRDefault="00967F54" w:rsidP="0046498C">
      <w:pPr>
        <w:pStyle w:val="Normal-pool"/>
        <w:tabs>
          <w:tab w:val="clear" w:pos="1247"/>
          <w:tab w:val="clear" w:pos="1814"/>
          <w:tab w:val="clear" w:pos="2381"/>
          <w:tab w:val="clear" w:pos="2948"/>
          <w:tab w:val="clear" w:pos="3515"/>
        </w:tabs>
        <w:rPr>
          <w:rFonts w:asciiTheme="majorBidi" w:hAnsiTheme="majorBidi" w:cstheme="majorBidi"/>
          <w:sz w:val="24"/>
          <w:szCs w:val="24"/>
          <w:lang w:val="en-GB"/>
        </w:rPr>
      </w:pPr>
    </w:p>
    <w:p w14:paraId="704C22F3" w14:textId="6BE08F29" w:rsidR="00840576" w:rsidRPr="00FC73F5" w:rsidRDefault="0046498C" w:rsidP="003B0096">
      <w:pPr>
        <w:pStyle w:val="Normal-pool"/>
        <w:numPr>
          <w:ilvl w:val="0"/>
          <w:numId w:val="1"/>
        </w:numPr>
        <w:tabs>
          <w:tab w:val="clear" w:pos="1247"/>
          <w:tab w:val="clear" w:pos="1814"/>
          <w:tab w:val="clear" w:pos="2381"/>
          <w:tab w:val="clear" w:pos="2948"/>
          <w:tab w:val="clear" w:pos="3515"/>
        </w:tabs>
        <w:rPr>
          <w:rFonts w:asciiTheme="majorBidi" w:hAnsiTheme="majorBidi" w:cstheme="majorBidi"/>
          <w:sz w:val="24"/>
          <w:szCs w:val="24"/>
          <w:lang w:val="en-GB"/>
        </w:rPr>
      </w:pPr>
      <w:r w:rsidRPr="00FC73F5">
        <w:rPr>
          <w:rFonts w:asciiTheme="majorBidi" w:hAnsiTheme="majorBidi" w:cstheme="majorBidi"/>
          <w:b/>
          <w:bCs/>
          <w:sz w:val="24"/>
          <w:szCs w:val="24"/>
          <w:lang w:val="en-GB"/>
        </w:rPr>
        <w:t>Third</w:t>
      </w:r>
      <w:r w:rsidR="00FB4391" w:rsidRPr="00FC73F5">
        <w:rPr>
          <w:rFonts w:asciiTheme="majorBidi" w:hAnsiTheme="majorBidi" w:cstheme="majorBidi"/>
          <w:b/>
          <w:bCs/>
          <w:sz w:val="24"/>
          <w:szCs w:val="24"/>
          <w:lang w:val="en-GB"/>
        </w:rPr>
        <w:t xml:space="preserve"> Policy Question: H</w:t>
      </w:r>
      <w:r w:rsidRPr="00FC73F5">
        <w:rPr>
          <w:rFonts w:asciiTheme="majorBidi" w:hAnsiTheme="majorBidi" w:cstheme="majorBidi"/>
          <w:b/>
          <w:bCs/>
          <w:sz w:val="24"/>
          <w:szCs w:val="24"/>
          <w:lang w:val="en-GB"/>
        </w:rPr>
        <w:t>ave these changes in emissions and releases resulted in changes in levels of mercury in the environment, biota and humans attributable to the Convention?</w:t>
      </w:r>
      <w:r w:rsidRPr="00FC73F5">
        <w:rPr>
          <w:rFonts w:asciiTheme="majorBidi" w:hAnsiTheme="majorBidi" w:cstheme="majorBidi"/>
          <w:sz w:val="24"/>
          <w:szCs w:val="24"/>
          <w:lang w:val="en-GB"/>
        </w:rPr>
        <w:t xml:space="preserve"> </w:t>
      </w:r>
      <w:r w:rsidR="000E16AF" w:rsidRPr="00FC73F5">
        <w:rPr>
          <w:rFonts w:asciiTheme="majorBidi" w:hAnsiTheme="majorBidi" w:cstheme="majorBidi"/>
          <w:sz w:val="24"/>
          <w:szCs w:val="24"/>
          <w:lang w:val="en-GB"/>
        </w:rPr>
        <w:t xml:space="preserve">Article 22 of the Convention specifies that monitoring data on </w:t>
      </w:r>
      <w:r w:rsidR="000E16AF" w:rsidRPr="00FC73F5">
        <w:rPr>
          <w:rFonts w:asciiTheme="majorBidi" w:hAnsiTheme="majorBidi" w:cstheme="majorBidi"/>
          <w:sz w:val="24"/>
          <w:szCs w:val="24"/>
          <w:lang w:val="en-GB"/>
        </w:rPr>
        <w:lastRenderedPageBreak/>
        <w:t>“the presence and movement of mercury and mercury compounds in the environment as well as trends in levels of mercury and mercury compounds observed in biotic media and vulnerable populations,” should be used in the effectiveness evaluation. Attributing changes in human and environmental levels of mercury to Convention measures is challenging</w:t>
      </w:r>
      <w:r w:rsidR="00627384">
        <w:rPr>
          <w:rFonts w:asciiTheme="majorBidi" w:hAnsiTheme="majorBidi" w:cstheme="majorBidi"/>
          <w:sz w:val="24"/>
          <w:szCs w:val="24"/>
          <w:lang w:val="en-GB"/>
        </w:rPr>
        <w:t>, but possible</w:t>
      </w:r>
      <w:r w:rsidR="000E16AF" w:rsidRPr="00FC73F5">
        <w:rPr>
          <w:rFonts w:asciiTheme="majorBidi" w:hAnsiTheme="majorBidi" w:cstheme="majorBidi"/>
          <w:sz w:val="24"/>
          <w:szCs w:val="24"/>
          <w:lang w:val="en-GB"/>
        </w:rPr>
        <w:t xml:space="preserve">. Past and present emissions from human activities combine with natural sources and other factors affecting </w:t>
      </w:r>
      <w:r w:rsidR="00840576" w:rsidRPr="00FC73F5">
        <w:rPr>
          <w:rFonts w:asciiTheme="majorBidi" w:hAnsiTheme="majorBidi" w:cstheme="majorBidi"/>
          <w:sz w:val="24"/>
          <w:szCs w:val="24"/>
          <w:lang w:val="en-GB"/>
        </w:rPr>
        <w:t>mercury</w:t>
      </w:r>
      <w:r w:rsidR="000E16AF" w:rsidRPr="00FC73F5">
        <w:rPr>
          <w:rFonts w:asciiTheme="majorBidi" w:hAnsiTheme="majorBidi" w:cstheme="majorBidi"/>
          <w:sz w:val="24"/>
          <w:szCs w:val="24"/>
          <w:lang w:val="en-GB"/>
        </w:rPr>
        <w:t xml:space="preserve"> cycling, such as atmospheric and ecosystem characteristics, which may evolve</w:t>
      </w:r>
      <w:r w:rsidR="00840576" w:rsidRPr="00FC73F5">
        <w:rPr>
          <w:rFonts w:asciiTheme="majorBidi" w:hAnsiTheme="majorBidi" w:cstheme="majorBidi"/>
          <w:sz w:val="24"/>
          <w:szCs w:val="24"/>
          <w:lang w:val="en-GB"/>
        </w:rPr>
        <w:t>,</w:t>
      </w:r>
      <w:r w:rsidR="000E16AF" w:rsidRPr="00FC73F5">
        <w:rPr>
          <w:rFonts w:asciiTheme="majorBidi" w:hAnsiTheme="majorBidi" w:cstheme="majorBidi"/>
          <w:sz w:val="24"/>
          <w:szCs w:val="24"/>
          <w:lang w:val="en-GB"/>
        </w:rPr>
        <w:t xml:space="preserve"> inter alia</w:t>
      </w:r>
      <w:r w:rsidR="00840576" w:rsidRPr="00FC73F5">
        <w:rPr>
          <w:rFonts w:asciiTheme="majorBidi" w:hAnsiTheme="majorBidi" w:cstheme="majorBidi"/>
          <w:sz w:val="24"/>
          <w:szCs w:val="24"/>
          <w:lang w:val="en-GB"/>
        </w:rPr>
        <w:t>,</w:t>
      </w:r>
      <w:r w:rsidR="000E16AF" w:rsidRPr="00FC73F5">
        <w:rPr>
          <w:rFonts w:asciiTheme="majorBidi" w:hAnsiTheme="majorBidi" w:cstheme="majorBidi"/>
          <w:sz w:val="24"/>
          <w:szCs w:val="24"/>
          <w:lang w:val="en-GB"/>
        </w:rPr>
        <w:t xml:space="preserve"> due to climate change. </w:t>
      </w:r>
      <w:r w:rsidR="00627384">
        <w:rPr>
          <w:rFonts w:asciiTheme="majorBidi" w:hAnsiTheme="majorBidi" w:cstheme="majorBidi"/>
          <w:sz w:val="24"/>
          <w:szCs w:val="24"/>
          <w:lang w:val="en-GB"/>
        </w:rPr>
        <w:t>The framework outlines how global mercury measurements can be used to assist in the assessment of how successful the implementation measures of the Convention have been.</w:t>
      </w:r>
    </w:p>
    <w:p w14:paraId="33E5B50C" w14:textId="77777777" w:rsidR="00840576" w:rsidRPr="00FC73F5" w:rsidRDefault="00840576" w:rsidP="00840576">
      <w:pPr>
        <w:pStyle w:val="Normal-pool"/>
        <w:tabs>
          <w:tab w:val="clear" w:pos="1247"/>
          <w:tab w:val="clear" w:pos="1814"/>
          <w:tab w:val="clear" w:pos="2381"/>
          <w:tab w:val="clear" w:pos="2948"/>
          <w:tab w:val="clear" w:pos="3515"/>
        </w:tabs>
        <w:rPr>
          <w:rFonts w:asciiTheme="majorBidi" w:hAnsiTheme="majorBidi" w:cstheme="majorBidi"/>
          <w:sz w:val="24"/>
          <w:szCs w:val="24"/>
          <w:lang w:val="en-GB"/>
        </w:rPr>
      </w:pPr>
    </w:p>
    <w:p w14:paraId="0E5F4F13" w14:textId="7F8C4967" w:rsidR="000E16AF" w:rsidRPr="00FC73F5" w:rsidRDefault="000E16AF" w:rsidP="003B0096">
      <w:pPr>
        <w:pStyle w:val="Normal-pool"/>
        <w:numPr>
          <w:ilvl w:val="0"/>
          <w:numId w:val="1"/>
        </w:numPr>
        <w:tabs>
          <w:tab w:val="clear" w:pos="1247"/>
          <w:tab w:val="clear" w:pos="1814"/>
          <w:tab w:val="clear" w:pos="2381"/>
          <w:tab w:val="clear" w:pos="2948"/>
          <w:tab w:val="clear" w:pos="3515"/>
        </w:tabs>
        <w:rPr>
          <w:rFonts w:asciiTheme="majorBidi" w:hAnsiTheme="majorBidi" w:cstheme="majorBidi"/>
          <w:sz w:val="24"/>
          <w:szCs w:val="24"/>
          <w:lang w:val="en-GB"/>
        </w:rPr>
      </w:pPr>
      <w:r w:rsidRPr="00FC73F5">
        <w:rPr>
          <w:rFonts w:asciiTheme="majorBidi" w:hAnsiTheme="majorBidi" w:cstheme="majorBidi"/>
          <w:sz w:val="24"/>
          <w:szCs w:val="24"/>
          <w:lang w:val="en-GB"/>
        </w:rPr>
        <w:t xml:space="preserve">This complex system results in the </w:t>
      </w:r>
      <w:r w:rsidR="00627384">
        <w:rPr>
          <w:rFonts w:asciiTheme="majorBidi" w:hAnsiTheme="majorBidi" w:cstheme="majorBidi"/>
          <w:sz w:val="24"/>
          <w:szCs w:val="24"/>
          <w:lang w:val="en-GB"/>
        </w:rPr>
        <w:t xml:space="preserve">observed </w:t>
      </w:r>
      <w:r w:rsidRPr="00FC73F5">
        <w:rPr>
          <w:rFonts w:asciiTheme="majorBidi" w:hAnsiTheme="majorBidi" w:cstheme="majorBidi"/>
          <w:sz w:val="24"/>
          <w:szCs w:val="24"/>
          <w:lang w:val="en-GB"/>
        </w:rPr>
        <w:t xml:space="preserve">levels of mercury in the environment, biota and humans. As scientific knowledge is </w:t>
      </w:r>
      <w:r w:rsidR="00627384">
        <w:rPr>
          <w:rFonts w:asciiTheme="majorBidi" w:hAnsiTheme="majorBidi" w:cstheme="majorBidi"/>
          <w:sz w:val="24"/>
          <w:szCs w:val="24"/>
          <w:lang w:val="en-GB"/>
        </w:rPr>
        <w:t xml:space="preserve">still </w:t>
      </w:r>
      <w:r w:rsidRPr="00FC73F5">
        <w:rPr>
          <w:rFonts w:asciiTheme="majorBidi" w:hAnsiTheme="majorBidi" w:cstheme="majorBidi"/>
          <w:sz w:val="24"/>
          <w:szCs w:val="24"/>
          <w:lang w:val="en-GB"/>
        </w:rPr>
        <w:t xml:space="preserve">developing to better directly link sources to </w:t>
      </w:r>
      <w:r w:rsidR="00627384">
        <w:rPr>
          <w:rFonts w:asciiTheme="majorBidi" w:hAnsiTheme="majorBidi" w:cstheme="majorBidi"/>
          <w:sz w:val="24"/>
          <w:szCs w:val="24"/>
          <w:lang w:val="en-GB"/>
        </w:rPr>
        <w:t xml:space="preserve">these </w:t>
      </w:r>
      <w:r w:rsidRPr="00FC73F5">
        <w:rPr>
          <w:rFonts w:asciiTheme="majorBidi" w:hAnsiTheme="majorBidi" w:cstheme="majorBidi"/>
          <w:sz w:val="24"/>
          <w:szCs w:val="24"/>
          <w:lang w:val="en-GB"/>
        </w:rPr>
        <w:t xml:space="preserve">receptors, integrated modelling approaches are needed to estimate how changes of emissions and releases from sources covered by the Convention contribute to changes in levels in the environment, biota and humans. The ongoing development and validation of such integrated models relies on monitoring data as well as scientific knowledge of environmental </w:t>
      </w:r>
      <w:r w:rsidR="00FD03DF" w:rsidRPr="00FC73F5">
        <w:rPr>
          <w:rFonts w:asciiTheme="majorBidi" w:hAnsiTheme="majorBidi" w:cstheme="majorBidi"/>
          <w:sz w:val="24"/>
          <w:szCs w:val="24"/>
          <w:lang w:val="en-GB"/>
        </w:rPr>
        <w:t>processes</w:t>
      </w:r>
      <w:r w:rsidR="00FD03DF">
        <w:rPr>
          <w:rFonts w:asciiTheme="majorBidi" w:hAnsiTheme="majorBidi" w:cstheme="majorBidi"/>
          <w:sz w:val="24"/>
          <w:szCs w:val="24"/>
          <w:lang w:val="en-GB"/>
        </w:rPr>
        <w:t xml:space="preserve"> and</w:t>
      </w:r>
      <w:r w:rsidR="00627384">
        <w:rPr>
          <w:rFonts w:asciiTheme="majorBidi" w:hAnsiTheme="majorBidi" w:cstheme="majorBidi"/>
          <w:sz w:val="24"/>
          <w:szCs w:val="24"/>
          <w:lang w:val="en-GB"/>
        </w:rPr>
        <w:t xml:space="preserve"> will assist in attributing mercury changes in the environment</w:t>
      </w:r>
      <w:r w:rsidR="00886F11">
        <w:rPr>
          <w:rFonts w:asciiTheme="majorBidi" w:hAnsiTheme="majorBidi" w:cstheme="majorBidi"/>
          <w:sz w:val="24"/>
          <w:szCs w:val="24"/>
          <w:lang w:val="en-GB"/>
        </w:rPr>
        <w:t>,</w:t>
      </w:r>
      <w:r w:rsidR="00627384">
        <w:rPr>
          <w:rFonts w:asciiTheme="majorBidi" w:hAnsiTheme="majorBidi" w:cstheme="majorBidi"/>
          <w:sz w:val="24"/>
          <w:szCs w:val="24"/>
          <w:lang w:val="en-GB"/>
        </w:rPr>
        <w:t xml:space="preserve"> to change in mercury emissions and releases</w:t>
      </w:r>
      <w:r w:rsidR="00840576" w:rsidRPr="00FC73F5">
        <w:rPr>
          <w:rFonts w:asciiTheme="majorBidi" w:hAnsiTheme="majorBidi" w:cstheme="majorBidi"/>
          <w:sz w:val="24"/>
          <w:szCs w:val="24"/>
          <w:lang w:val="en-GB"/>
        </w:rPr>
        <w:t>.</w:t>
      </w:r>
    </w:p>
    <w:bookmarkEnd w:id="1"/>
    <w:p w14:paraId="79694AD7" w14:textId="77777777" w:rsidR="00840576" w:rsidRPr="00FC73F5" w:rsidRDefault="00840576" w:rsidP="00840576">
      <w:pPr>
        <w:pStyle w:val="Normal-pool"/>
        <w:tabs>
          <w:tab w:val="clear" w:pos="1247"/>
          <w:tab w:val="clear" w:pos="1814"/>
          <w:tab w:val="clear" w:pos="2381"/>
          <w:tab w:val="clear" w:pos="2948"/>
          <w:tab w:val="clear" w:pos="3515"/>
        </w:tabs>
        <w:rPr>
          <w:rFonts w:asciiTheme="majorBidi" w:hAnsiTheme="majorBidi" w:cstheme="majorBidi"/>
          <w:sz w:val="24"/>
          <w:szCs w:val="24"/>
          <w:lang w:val="en-GB"/>
        </w:rPr>
      </w:pPr>
    </w:p>
    <w:p w14:paraId="6A843F92" w14:textId="06BDE423" w:rsidR="00C87536" w:rsidRPr="00C87536" w:rsidRDefault="0046498C" w:rsidP="00C87536">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sz w:val="24"/>
          <w:szCs w:val="24"/>
          <w:lang w:val="en-GB"/>
        </w:rPr>
      </w:pPr>
      <w:r w:rsidRPr="00FC73F5">
        <w:rPr>
          <w:rFonts w:asciiTheme="majorBidi" w:hAnsiTheme="majorBidi" w:cstheme="majorBidi"/>
          <w:b/>
          <w:bCs/>
          <w:sz w:val="24"/>
          <w:szCs w:val="24"/>
          <w:lang w:val="en-GB"/>
        </w:rPr>
        <w:t>Fourth</w:t>
      </w:r>
      <w:r w:rsidR="00FB4391" w:rsidRPr="00FC73F5">
        <w:rPr>
          <w:rFonts w:asciiTheme="majorBidi" w:hAnsiTheme="majorBidi" w:cstheme="majorBidi"/>
          <w:b/>
          <w:bCs/>
          <w:sz w:val="24"/>
          <w:szCs w:val="24"/>
          <w:lang w:val="en-GB"/>
        </w:rPr>
        <w:t xml:space="preserve"> Policy Question: W</w:t>
      </w:r>
      <w:r w:rsidRPr="00FC73F5">
        <w:rPr>
          <w:rFonts w:asciiTheme="majorBidi" w:hAnsiTheme="majorBidi" w:cstheme="majorBidi"/>
          <w:b/>
          <w:bCs/>
          <w:sz w:val="24"/>
          <w:szCs w:val="24"/>
          <w:lang w:val="en-GB"/>
        </w:rPr>
        <w:t>ill existing measures under the Minamata Convention be sufficient to meet its objectives of protecting human health and the environment from mercury?</w:t>
      </w:r>
      <w:r w:rsidRPr="00FC73F5">
        <w:rPr>
          <w:rFonts w:asciiTheme="majorBidi" w:hAnsiTheme="majorBidi" w:cstheme="majorBidi"/>
          <w:sz w:val="24"/>
          <w:szCs w:val="24"/>
          <w:lang w:val="en-GB"/>
        </w:rPr>
        <w:t xml:space="preserve"> </w:t>
      </w:r>
      <w:r w:rsidR="000E16AF" w:rsidRPr="00FC73F5">
        <w:rPr>
          <w:rFonts w:asciiTheme="majorBidi" w:hAnsiTheme="majorBidi" w:cstheme="majorBidi"/>
          <w:sz w:val="24"/>
          <w:szCs w:val="24"/>
          <w:lang w:val="en-GB"/>
        </w:rPr>
        <w:t xml:space="preserve">The response to </w:t>
      </w:r>
      <w:r w:rsidR="00FB4391" w:rsidRPr="00FC73F5">
        <w:rPr>
          <w:rFonts w:asciiTheme="majorBidi" w:hAnsiTheme="majorBidi" w:cstheme="majorBidi"/>
          <w:sz w:val="24"/>
          <w:szCs w:val="24"/>
          <w:lang w:val="en-GB"/>
        </w:rPr>
        <w:t xml:space="preserve">the third </w:t>
      </w:r>
      <w:r w:rsidR="000E16AF" w:rsidRPr="00FC73F5">
        <w:rPr>
          <w:rFonts w:asciiTheme="majorBidi" w:hAnsiTheme="majorBidi" w:cstheme="majorBidi"/>
          <w:sz w:val="24"/>
          <w:szCs w:val="24"/>
          <w:lang w:val="en-GB"/>
        </w:rPr>
        <w:t xml:space="preserve">policy question will tell us to what extent the Convention is affecting levels and trends of mercury in the environment, biota and humans. </w:t>
      </w:r>
      <w:r w:rsidR="00FB4391" w:rsidRPr="00FC73F5">
        <w:rPr>
          <w:rFonts w:asciiTheme="majorBidi" w:hAnsiTheme="majorBidi" w:cstheme="majorBidi"/>
          <w:sz w:val="24"/>
          <w:szCs w:val="24"/>
          <w:lang w:val="en-GB"/>
        </w:rPr>
        <w:t>The fourth p</w:t>
      </w:r>
      <w:r w:rsidR="000E16AF" w:rsidRPr="00FC73F5">
        <w:rPr>
          <w:rFonts w:asciiTheme="majorBidi" w:hAnsiTheme="majorBidi" w:cstheme="majorBidi"/>
          <w:sz w:val="24"/>
          <w:szCs w:val="24"/>
          <w:lang w:val="en-GB"/>
        </w:rPr>
        <w:t>olicy question</w:t>
      </w:r>
      <w:r w:rsidR="00FB4391" w:rsidRPr="00FC73F5">
        <w:rPr>
          <w:rFonts w:asciiTheme="majorBidi" w:hAnsiTheme="majorBidi" w:cstheme="majorBidi"/>
          <w:sz w:val="24"/>
          <w:szCs w:val="24"/>
          <w:lang w:val="en-GB"/>
        </w:rPr>
        <w:t xml:space="preserve"> </w:t>
      </w:r>
      <w:r w:rsidR="000E16AF" w:rsidRPr="00FC73F5">
        <w:rPr>
          <w:rFonts w:asciiTheme="majorBidi" w:hAnsiTheme="majorBidi" w:cstheme="majorBidi"/>
          <w:sz w:val="24"/>
          <w:szCs w:val="24"/>
          <w:lang w:val="en-GB"/>
        </w:rPr>
        <w:t xml:space="preserve">will look at whether the </w:t>
      </w:r>
      <w:r w:rsidR="00694A48">
        <w:rPr>
          <w:rFonts w:asciiTheme="majorBidi" w:hAnsiTheme="majorBidi" w:cstheme="majorBidi"/>
          <w:sz w:val="24"/>
          <w:szCs w:val="24"/>
          <w:lang w:val="en-GB"/>
        </w:rPr>
        <w:t>measures</w:t>
      </w:r>
      <w:r w:rsidR="000E16AF" w:rsidRPr="00FC73F5">
        <w:rPr>
          <w:rFonts w:asciiTheme="majorBidi" w:hAnsiTheme="majorBidi" w:cstheme="majorBidi"/>
          <w:sz w:val="24"/>
          <w:szCs w:val="24"/>
          <w:lang w:val="en-GB"/>
        </w:rPr>
        <w:t xml:space="preserve"> </w:t>
      </w:r>
      <w:r w:rsidR="00694A48">
        <w:rPr>
          <w:rFonts w:asciiTheme="majorBidi" w:hAnsiTheme="majorBidi" w:cstheme="majorBidi"/>
          <w:sz w:val="24"/>
          <w:szCs w:val="24"/>
          <w:lang w:val="en-GB"/>
        </w:rPr>
        <w:t>under</w:t>
      </w:r>
      <w:r w:rsidR="000E16AF" w:rsidRPr="00FC73F5">
        <w:rPr>
          <w:rFonts w:asciiTheme="majorBidi" w:hAnsiTheme="majorBidi" w:cstheme="majorBidi"/>
          <w:sz w:val="24"/>
          <w:szCs w:val="24"/>
          <w:lang w:val="en-GB"/>
        </w:rPr>
        <w:t xml:space="preserve"> the Convention </w:t>
      </w:r>
      <w:r w:rsidR="000E16AF" w:rsidRPr="0090735A">
        <w:rPr>
          <w:rFonts w:asciiTheme="majorBidi" w:hAnsiTheme="majorBidi" w:cstheme="majorBidi"/>
          <w:sz w:val="24"/>
          <w:szCs w:val="24"/>
          <w:lang w:val="en-GB"/>
        </w:rPr>
        <w:t>is significant and sufficient. Is the Convention delivering reduced emissions and releases to its full potential? If not, why? Would delivering at full potential prevent the majority or only a small part of anthropogenic emissions and releases of mercury? Furthermore, are management measures to address residual risk adequate and sufficient in addressing the exposure of people to mercury?</w:t>
      </w:r>
    </w:p>
    <w:p w14:paraId="6353B7C9" w14:textId="77777777" w:rsidR="00C87536" w:rsidRDefault="00C87536" w:rsidP="00DE4A80">
      <w:pPr>
        <w:ind w:left="426"/>
        <w:rPr>
          <w:rFonts w:asciiTheme="majorBidi" w:hAnsiTheme="majorBidi" w:cstheme="majorBidi"/>
          <w:b/>
          <w:bCs/>
          <w:sz w:val="24"/>
          <w:szCs w:val="24"/>
        </w:rPr>
      </w:pPr>
    </w:p>
    <w:p w14:paraId="390AE97F" w14:textId="014C332B" w:rsidR="00DE4A80" w:rsidRPr="00694A48" w:rsidRDefault="00DE4A80" w:rsidP="00DE4A80">
      <w:pPr>
        <w:ind w:left="426"/>
        <w:rPr>
          <w:rFonts w:asciiTheme="majorBidi" w:hAnsiTheme="majorBidi" w:cstheme="majorBidi"/>
          <w:b/>
          <w:bCs/>
          <w:sz w:val="24"/>
          <w:szCs w:val="24"/>
        </w:rPr>
      </w:pPr>
      <w:r w:rsidRPr="00FC73F5">
        <w:rPr>
          <w:rFonts w:asciiTheme="majorBidi" w:hAnsiTheme="majorBidi" w:cstheme="majorBidi"/>
          <w:b/>
          <w:bCs/>
          <w:sz w:val="24"/>
          <w:szCs w:val="24"/>
        </w:rPr>
        <w:t xml:space="preserve">Expert-led integrated assessment for consideration by the </w:t>
      </w:r>
      <w:r>
        <w:rPr>
          <w:rFonts w:asciiTheme="majorBidi" w:hAnsiTheme="majorBidi" w:cstheme="majorBidi"/>
          <w:b/>
          <w:bCs/>
          <w:sz w:val="24"/>
          <w:szCs w:val="24"/>
        </w:rPr>
        <w:t>Effectiveness</w:t>
      </w:r>
      <w:r w:rsidRPr="00FC73F5">
        <w:rPr>
          <w:rFonts w:asciiTheme="majorBidi" w:hAnsiTheme="majorBidi" w:cstheme="majorBidi"/>
          <w:b/>
          <w:bCs/>
          <w:sz w:val="24"/>
          <w:szCs w:val="24"/>
        </w:rPr>
        <w:t xml:space="preserve"> Evaluation Committee</w:t>
      </w:r>
    </w:p>
    <w:p w14:paraId="72AC8939" w14:textId="174391FB" w:rsidR="00DE4A80" w:rsidRPr="00694A48" w:rsidRDefault="00DE4A80" w:rsidP="00DE4A80">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bCs/>
          <w:sz w:val="24"/>
          <w:szCs w:val="24"/>
          <w:lang w:val="en-GB"/>
        </w:rPr>
      </w:pPr>
      <w:r w:rsidRPr="00FC73F5">
        <w:rPr>
          <w:rFonts w:asciiTheme="majorBidi" w:hAnsiTheme="majorBidi" w:cstheme="majorBidi"/>
          <w:bCs/>
          <w:sz w:val="24"/>
          <w:szCs w:val="24"/>
          <w:lang w:val="en-GB"/>
        </w:rPr>
        <w:t xml:space="preserve">The proposed framework envisions the </w:t>
      </w:r>
      <w:r>
        <w:rPr>
          <w:rFonts w:asciiTheme="majorBidi" w:hAnsiTheme="majorBidi" w:cstheme="majorBidi"/>
          <w:bCs/>
          <w:sz w:val="24"/>
          <w:szCs w:val="24"/>
          <w:lang w:val="en-GB"/>
        </w:rPr>
        <w:t xml:space="preserve">synthesis of information and knowledge in </w:t>
      </w:r>
      <w:r w:rsidR="00195AC3">
        <w:rPr>
          <w:rFonts w:asciiTheme="majorBidi" w:hAnsiTheme="majorBidi" w:cstheme="majorBidi"/>
          <w:b/>
          <w:sz w:val="24"/>
          <w:szCs w:val="24"/>
          <w:lang w:val="en-GB"/>
        </w:rPr>
        <w:t>synthesis</w:t>
      </w:r>
      <w:r w:rsidRPr="00464EB2">
        <w:rPr>
          <w:rFonts w:asciiTheme="majorBidi" w:hAnsiTheme="majorBidi" w:cstheme="majorBidi"/>
          <w:b/>
          <w:sz w:val="24"/>
          <w:szCs w:val="24"/>
          <w:lang w:val="en-GB"/>
        </w:rPr>
        <w:t xml:space="preserve"> reports</w:t>
      </w:r>
      <w:r>
        <w:rPr>
          <w:rFonts w:asciiTheme="majorBidi" w:hAnsiTheme="majorBidi" w:cstheme="majorBidi"/>
          <w:bCs/>
          <w:sz w:val="24"/>
          <w:szCs w:val="24"/>
          <w:lang w:val="en-GB"/>
        </w:rPr>
        <w:t xml:space="preserve">, and based on </w:t>
      </w:r>
      <w:r w:rsidR="00EE1C88">
        <w:rPr>
          <w:rFonts w:asciiTheme="majorBidi" w:hAnsiTheme="majorBidi" w:cstheme="majorBidi"/>
          <w:bCs/>
          <w:sz w:val="24"/>
          <w:szCs w:val="24"/>
          <w:lang w:val="en-GB"/>
        </w:rPr>
        <w:t>these reports</w:t>
      </w:r>
      <w:r>
        <w:rPr>
          <w:rFonts w:asciiTheme="majorBidi" w:hAnsiTheme="majorBidi" w:cstheme="majorBidi"/>
          <w:bCs/>
          <w:sz w:val="24"/>
          <w:szCs w:val="24"/>
          <w:lang w:val="en-GB"/>
        </w:rPr>
        <w:t xml:space="preserve"> and additional information, the preparation of an </w:t>
      </w:r>
      <w:r>
        <w:rPr>
          <w:rFonts w:asciiTheme="majorBidi" w:hAnsiTheme="majorBidi" w:cstheme="majorBidi"/>
          <w:b/>
          <w:bCs/>
          <w:sz w:val="24"/>
          <w:szCs w:val="24"/>
          <w:lang w:val="en-GB"/>
        </w:rPr>
        <w:t xml:space="preserve">integrated </w:t>
      </w:r>
      <w:r w:rsidRPr="00FC73F5">
        <w:rPr>
          <w:rFonts w:asciiTheme="majorBidi" w:hAnsiTheme="majorBidi" w:cstheme="majorBidi"/>
          <w:b/>
          <w:bCs/>
          <w:sz w:val="24"/>
          <w:szCs w:val="24"/>
          <w:lang w:val="en-GB"/>
        </w:rPr>
        <w:t>assessment report</w:t>
      </w:r>
      <w:r w:rsidRPr="00FC73F5">
        <w:rPr>
          <w:rFonts w:asciiTheme="majorBidi" w:hAnsiTheme="majorBidi" w:cstheme="majorBidi"/>
          <w:bCs/>
          <w:sz w:val="24"/>
          <w:szCs w:val="24"/>
          <w:lang w:val="en-GB"/>
        </w:rPr>
        <w:t xml:space="preserve"> that provides </w:t>
      </w:r>
      <w:r>
        <w:rPr>
          <w:rFonts w:asciiTheme="majorBidi" w:hAnsiTheme="majorBidi" w:cstheme="majorBidi"/>
          <w:bCs/>
          <w:sz w:val="24"/>
          <w:szCs w:val="24"/>
          <w:lang w:val="en-GB"/>
        </w:rPr>
        <w:t xml:space="preserve">a </w:t>
      </w:r>
      <w:r w:rsidRPr="00FC73F5">
        <w:rPr>
          <w:rFonts w:asciiTheme="majorBidi" w:hAnsiTheme="majorBidi" w:cstheme="majorBidi"/>
          <w:bCs/>
          <w:sz w:val="24"/>
          <w:szCs w:val="24"/>
          <w:lang w:val="en-GB"/>
        </w:rPr>
        <w:t xml:space="preserve">scientific and technical perspective on the four policy questions articulated above. </w:t>
      </w:r>
      <w:r>
        <w:rPr>
          <w:rFonts w:asciiTheme="majorBidi" w:hAnsiTheme="majorBidi" w:cstheme="majorBidi"/>
          <w:bCs/>
          <w:sz w:val="24"/>
          <w:szCs w:val="24"/>
          <w:lang w:val="en-GB"/>
        </w:rPr>
        <w:t xml:space="preserve">The integrated </w:t>
      </w:r>
      <w:r w:rsidRPr="00FC73F5">
        <w:rPr>
          <w:rFonts w:asciiTheme="majorBidi" w:hAnsiTheme="majorBidi" w:cstheme="majorBidi"/>
          <w:bCs/>
          <w:sz w:val="24"/>
          <w:szCs w:val="24"/>
          <w:lang w:val="en-GB"/>
        </w:rPr>
        <w:t xml:space="preserve">assessment </w:t>
      </w:r>
      <w:r>
        <w:rPr>
          <w:rFonts w:asciiTheme="majorBidi" w:hAnsiTheme="majorBidi" w:cstheme="majorBidi"/>
          <w:bCs/>
          <w:sz w:val="24"/>
          <w:szCs w:val="24"/>
          <w:lang w:val="en-GB"/>
        </w:rPr>
        <w:t xml:space="preserve">report </w:t>
      </w:r>
      <w:r w:rsidRPr="00FC73F5">
        <w:rPr>
          <w:rFonts w:asciiTheme="majorBidi" w:hAnsiTheme="majorBidi" w:cstheme="majorBidi"/>
          <w:bCs/>
          <w:sz w:val="24"/>
          <w:szCs w:val="24"/>
          <w:lang w:val="en-GB"/>
        </w:rPr>
        <w:t>will interpret the linkages between policy actions, emissions reductions and resulting mercury levels, using available data sources, modelling techniques, and analytical tools drawn from natural and social sciences</w:t>
      </w:r>
      <w:r>
        <w:rPr>
          <w:rFonts w:asciiTheme="majorBidi" w:hAnsiTheme="majorBidi" w:cstheme="majorBidi"/>
          <w:bCs/>
          <w:sz w:val="24"/>
          <w:szCs w:val="24"/>
          <w:lang w:val="en-GB"/>
        </w:rPr>
        <w:t xml:space="preserve">, and other relevant knowledge. </w:t>
      </w:r>
    </w:p>
    <w:p w14:paraId="6019329C" w14:textId="61521858" w:rsidR="00DE4A80" w:rsidRPr="00542359" w:rsidRDefault="00DE4A80" w:rsidP="00DE4A80">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sz w:val="24"/>
          <w:szCs w:val="24"/>
          <w:lang w:val="en-GB"/>
        </w:rPr>
      </w:pPr>
      <w:r>
        <w:rPr>
          <w:rFonts w:asciiTheme="majorBidi" w:hAnsiTheme="majorBidi" w:cstheme="majorBidi"/>
          <w:sz w:val="24"/>
          <w:szCs w:val="24"/>
          <w:lang w:val="en-GB"/>
        </w:rPr>
        <w:t>P</w:t>
      </w:r>
      <w:r w:rsidRPr="00FC73F5">
        <w:rPr>
          <w:rFonts w:asciiTheme="majorBidi" w:hAnsiTheme="majorBidi" w:cstheme="majorBidi"/>
          <w:sz w:val="24"/>
          <w:szCs w:val="24"/>
          <w:lang w:val="en-GB"/>
        </w:rPr>
        <w:t>resent science has not yet developed reliable models for forecasting long-term changes in mercury levels resulting from emissions reductions that take into account the full complexities of mercury in the environment</w:t>
      </w:r>
      <w:r w:rsidRPr="00AB5B19">
        <w:rPr>
          <w:rFonts w:asciiTheme="majorBidi" w:hAnsiTheme="majorBidi" w:cstheme="majorBidi"/>
          <w:sz w:val="24"/>
          <w:szCs w:val="24"/>
          <w:lang w:val="en-GB"/>
        </w:rPr>
        <w:t xml:space="preserve">. Pending the availability of suitable </w:t>
      </w:r>
      <w:r w:rsidRPr="002B0557">
        <w:rPr>
          <w:rFonts w:asciiTheme="majorBidi" w:hAnsiTheme="majorBidi" w:cstheme="majorBidi"/>
          <w:sz w:val="24"/>
          <w:szCs w:val="24"/>
          <w:lang w:val="en-GB"/>
        </w:rPr>
        <w:t>confirmed</w:t>
      </w:r>
      <w:r w:rsidR="00AB5B19" w:rsidRPr="002B0557">
        <w:rPr>
          <w:rFonts w:asciiTheme="majorBidi" w:hAnsiTheme="majorBidi" w:cstheme="majorBidi"/>
          <w:sz w:val="24"/>
          <w:szCs w:val="24"/>
          <w:lang w:val="en-GB"/>
        </w:rPr>
        <w:t xml:space="preserve"> multi-media</w:t>
      </w:r>
      <w:r w:rsidRPr="002B0557">
        <w:rPr>
          <w:rFonts w:asciiTheme="majorBidi" w:hAnsiTheme="majorBidi" w:cstheme="majorBidi"/>
          <w:sz w:val="24"/>
          <w:szCs w:val="24"/>
          <w:lang w:val="en-GB"/>
        </w:rPr>
        <w:t xml:space="preserve"> models, the</w:t>
      </w:r>
      <w:r w:rsidRPr="00AB5B19">
        <w:rPr>
          <w:rFonts w:asciiTheme="majorBidi" w:hAnsiTheme="majorBidi" w:cstheme="majorBidi"/>
          <w:sz w:val="24"/>
          <w:szCs w:val="24"/>
          <w:lang w:val="en-GB"/>
        </w:rPr>
        <w:t xml:space="preserve"> integrated assessment report for the first evaluation may or may not include the use of forecasting models. Therefore</w:t>
      </w:r>
      <w:r w:rsidRPr="00FC73F5">
        <w:rPr>
          <w:rFonts w:asciiTheme="majorBidi" w:hAnsiTheme="majorBidi" w:cstheme="majorBidi"/>
          <w:sz w:val="24"/>
          <w:szCs w:val="24"/>
          <w:lang w:val="en-GB"/>
        </w:rPr>
        <w:t xml:space="preserve">, earlier evaluations on the effectiveness of the Minamata Convention </w:t>
      </w:r>
      <w:r>
        <w:rPr>
          <w:rFonts w:asciiTheme="majorBidi" w:hAnsiTheme="majorBidi" w:cstheme="majorBidi"/>
          <w:sz w:val="24"/>
          <w:szCs w:val="24"/>
          <w:lang w:val="en-GB"/>
        </w:rPr>
        <w:t>may</w:t>
      </w:r>
      <w:r w:rsidRPr="00FC73F5">
        <w:rPr>
          <w:rFonts w:asciiTheme="majorBidi" w:hAnsiTheme="majorBidi" w:cstheme="majorBidi"/>
          <w:sz w:val="24"/>
          <w:szCs w:val="24"/>
          <w:lang w:val="en-GB"/>
        </w:rPr>
        <w:t xml:space="preserve"> have greater </w:t>
      </w:r>
      <w:r w:rsidRPr="00FC73F5">
        <w:rPr>
          <w:rFonts w:asciiTheme="majorBidi" w:hAnsiTheme="majorBidi" w:cstheme="majorBidi"/>
          <w:sz w:val="24"/>
          <w:szCs w:val="24"/>
          <w:lang w:val="en-GB"/>
        </w:rPr>
        <w:lastRenderedPageBreak/>
        <w:t xml:space="preserve">uncertainty than later evaluations when </w:t>
      </w:r>
      <w:r>
        <w:rPr>
          <w:rFonts w:asciiTheme="majorBidi" w:hAnsiTheme="majorBidi" w:cstheme="majorBidi"/>
          <w:sz w:val="24"/>
          <w:szCs w:val="24"/>
          <w:lang w:val="en-GB"/>
        </w:rPr>
        <w:t xml:space="preserve">improvements to </w:t>
      </w:r>
      <w:r w:rsidRPr="00FC73F5">
        <w:rPr>
          <w:rFonts w:asciiTheme="majorBidi" w:hAnsiTheme="majorBidi" w:cstheme="majorBidi"/>
          <w:sz w:val="24"/>
          <w:szCs w:val="24"/>
          <w:lang w:val="en-GB"/>
        </w:rPr>
        <w:t>such forecasting models become available.</w:t>
      </w:r>
    </w:p>
    <w:p w14:paraId="20F52F9E" w14:textId="295B3D8A" w:rsidR="00F033B1" w:rsidRPr="00464EB2" w:rsidRDefault="00EE1C88" w:rsidP="00464EB2">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sz w:val="24"/>
          <w:szCs w:val="24"/>
          <w:lang w:val="en-GB"/>
        </w:rPr>
      </w:pPr>
      <w:r>
        <w:rPr>
          <w:rFonts w:asciiTheme="majorBidi" w:hAnsiTheme="majorBidi" w:cstheme="majorBidi"/>
          <w:bCs/>
          <w:sz w:val="24"/>
          <w:szCs w:val="24"/>
          <w:lang w:val="en-GB"/>
        </w:rPr>
        <w:t xml:space="preserve">The </w:t>
      </w:r>
      <w:r w:rsidR="00DE4A80" w:rsidRPr="00FC73F5">
        <w:rPr>
          <w:rFonts w:asciiTheme="majorBidi" w:hAnsiTheme="majorBidi" w:cstheme="majorBidi"/>
          <w:bCs/>
          <w:sz w:val="24"/>
          <w:szCs w:val="24"/>
          <w:lang w:val="en-GB"/>
        </w:rPr>
        <w:t>Effectiveness Evaluation Committee</w:t>
      </w:r>
      <w:r>
        <w:rPr>
          <w:rFonts w:asciiTheme="majorBidi" w:hAnsiTheme="majorBidi" w:cstheme="majorBidi"/>
          <w:bCs/>
          <w:sz w:val="24"/>
          <w:szCs w:val="24"/>
          <w:lang w:val="en-GB"/>
        </w:rPr>
        <w:t xml:space="preserve"> will use the </w:t>
      </w:r>
      <w:r w:rsidRPr="00FC73F5">
        <w:rPr>
          <w:rFonts w:asciiTheme="majorBidi" w:hAnsiTheme="majorBidi" w:cstheme="majorBidi"/>
          <w:bCs/>
          <w:sz w:val="24"/>
          <w:szCs w:val="24"/>
          <w:lang w:val="en-GB"/>
        </w:rPr>
        <w:t xml:space="preserve">expert-led scientific and technical </w:t>
      </w:r>
      <w:r>
        <w:rPr>
          <w:rFonts w:asciiTheme="majorBidi" w:hAnsiTheme="majorBidi" w:cstheme="majorBidi"/>
          <w:bCs/>
          <w:sz w:val="24"/>
          <w:szCs w:val="24"/>
          <w:lang w:val="en-GB"/>
        </w:rPr>
        <w:t xml:space="preserve">integrated assessment report, and </w:t>
      </w:r>
      <w:r w:rsidR="00AC75E5">
        <w:rPr>
          <w:rFonts w:asciiTheme="majorBidi" w:hAnsiTheme="majorBidi" w:cstheme="majorBidi"/>
          <w:bCs/>
          <w:sz w:val="24"/>
          <w:szCs w:val="24"/>
          <w:lang w:val="en-GB"/>
        </w:rPr>
        <w:t>supplemented</w:t>
      </w:r>
      <w:r>
        <w:rPr>
          <w:rFonts w:asciiTheme="majorBidi" w:hAnsiTheme="majorBidi" w:cstheme="majorBidi"/>
          <w:bCs/>
          <w:sz w:val="24"/>
          <w:szCs w:val="24"/>
          <w:lang w:val="en-GB"/>
        </w:rPr>
        <w:t xml:space="preserve"> as necessary by the other synthesis reports, </w:t>
      </w:r>
      <w:r w:rsidR="00DE4A80" w:rsidRPr="00FC73F5">
        <w:rPr>
          <w:rFonts w:asciiTheme="majorBidi" w:hAnsiTheme="majorBidi" w:cstheme="majorBidi"/>
          <w:bCs/>
          <w:sz w:val="24"/>
          <w:szCs w:val="24"/>
          <w:lang w:val="en-GB"/>
        </w:rPr>
        <w:t xml:space="preserve">to </w:t>
      </w:r>
      <w:r w:rsidR="00AC75E5">
        <w:rPr>
          <w:rFonts w:asciiTheme="majorBidi" w:hAnsiTheme="majorBidi" w:cstheme="majorBidi"/>
          <w:bCs/>
          <w:sz w:val="24"/>
          <w:szCs w:val="24"/>
          <w:lang w:val="en-GB"/>
        </w:rPr>
        <w:t xml:space="preserve">consider the policy questions and to </w:t>
      </w:r>
      <w:r w:rsidR="00DE4A80" w:rsidRPr="00FC73F5">
        <w:rPr>
          <w:rFonts w:asciiTheme="majorBidi" w:hAnsiTheme="majorBidi" w:cstheme="majorBidi"/>
          <w:bCs/>
          <w:sz w:val="24"/>
          <w:szCs w:val="24"/>
          <w:lang w:val="en-GB"/>
        </w:rPr>
        <w:t>draw conclusions about the effectiveness of the Convention</w:t>
      </w:r>
      <w:r w:rsidR="00AC75E5">
        <w:rPr>
          <w:rFonts w:asciiTheme="majorBidi" w:hAnsiTheme="majorBidi" w:cstheme="majorBidi"/>
          <w:bCs/>
          <w:sz w:val="24"/>
          <w:szCs w:val="24"/>
          <w:lang w:val="en-GB"/>
        </w:rPr>
        <w:t xml:space="preserve">. Based on this evaluation, the Effectiveness Evaluation </w:t>
      </w:r>
      <w:r w:rsidR="00AC75E5" w:rsidRPr="00AC75E5">
        <w:rPr>
          <w:rFonts w:asciiTheme="majorBidi" w:hAnsiTheme="majorBidi" w:cstheme="majorBidi"/>
          <w:bCs/>
          <w:sz w:val="24"/>
          <w:szCs w:val="24"/>
          <w:lang w:val="en-GB"/>
        </w:rPr>
        <w:t xml:space="preserve">Committee is to make </w:t>
      </w:r>
      <w:r w:rsidR="00DE4A80" w:rsidRPr="00AC75E5">
        <w:rPr>
          <w:rFonts w:asciiTheme="majorBidi" w:hAnsiTheme="majorBidi" w:cstheme="majorBidi"/>
          <w:bCs/>
          <w:sz w:val="24"/>
          <w:szCs w:val="24"/>
          <w:lang w:val="en-GB"/>
        </w:rPr>
        <w:t>recommendations to the Conference of the Parties as required.</w:t>
      </w:r>
    </w:p>
    <w:p w14:paraId="5352BBB7" w14:textId="4783D64E" w:rsidR="00F033B1" w:rsidRDefault="00DE4A80" w:rsidP="00694A48">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sz w:val="24"/>
          <w:szCs w:val="24"/>
          <w:lang w:val="en-GB"/>
        </w:rPr>
      </w:pPr>
      <w:r>
        <w:rPr>
          <w:rFonts w:asciiTheme="majorBidi" w:hAnsiTheme="majorBidi" w:cstheme="majorBidi"/>
          <w:sz w:val="24"/>
          <w:szCs w:val="24"/>
          <w:lang w:val="en-GB"/>
        </w:rPr>
        <w:t xml:space="preserve">Table 1 below gives an overview of the construction of the </w:t>
      </w:r>
      <w:r w:rsidR="00464EB2">
        <w:rPr>
          <w:rFonts w:asciiTheme="majorBidi" w:hAnsiTheme="majorBidi" w:cstheme="majorBidi"/>
          <w:sz w:val="24"/>
          <w:szCs w:val="24"/>
          <w:lang w:val="en-GB"/>
        </w:rPr>
        <w:t xml:space="preserve">overall </w:t>
      </w:r>
      <w:r>
        <w:rPr>
          <w:rFonts w:asciiTheme="majorBidi" w:hAnsiTheme="majorBidi" w:cstheme="majorBidi"/>
          <w:sz w:val="24"/>
          <w:szCs w:val="24"/>
          <w:lang w:val="en-GB"/>
        </w:rPr>
        <w:t>effectiveness evaluation framework from the above-mentioned four policy questions, to indicators</w:t>
      </w:r>
      <w:r w:rsidR="00464EB2">
        <w:rPr>
          <w:rFonts w:asciiTheme="majorBidi" w:hAnsiTheme="majorBidi" w:cstheme="majorBidi"/>
          <w:sz w:val="24"/>
          <w:szCs w:val="24"/>
          <w:lang w:val="en-GB"/>
        </w:rPr>
        <w:t xml:space="preserve"> proposed for evaluation, to the required </w:t>
      </w:r>
      <w:r w:rsidR="00195AC3">
        <w:rPr>
          <w:rFonts w:asciiTheme="majorBidi" w:hAnsiTheme="majorBidi" w:cstheme="majorBidi"/>
          <w:sz w:val="24"/>
          <w:szCs w:val="24"/>
          <w:lang w:val="en-GB"/>
        </w:rPr>
        <w:t>synthesis</w:t>
      </w:r>
      <w:r>
        <w:rPr>
          <w:rFonts w:asciiTheme="majorBidi" w:hAnsiTheme="majorBidi" w:cstheme="majorBidi"/>
          <w:sz w:val="24"/>
          <w:szCs w:val="24"/>
          <w:lang w:val="en-GB"/>
        </w:rPr>
        <w:t xml:space="preserve"> </w:t>
      </w:r>
      <w:r w:rsidR="00464EB2">
        <w:rPr>
          <w:rFonts w:asciiTheme="majorBidi" w:hAnsiTheme="majorBidi" w:cstheme="majorBidi"/>
          <w:sz w:val="24"/>
          <w:szCs w:val="24"/>
          <w:lang w:val="en-GB"/>
        </w:rPr>
        <w:t xml:space="preserve">reports and the integrated assessment report that will be prepared for the Effectiveness Evaluation Committee, for its consideration and report to the Conference of the Parties. The constituent elements of the framework are explained in detail in Section II. </w:t>
      </w:r>
      <w:r>
        <w:rPr>
          <w:rFonts w:asciiTheme="majorBidi" w:hAnsiTheme="majorBidi" w:cstheme="majorBidi"/>
          <w:sz w:val="24"/>
          <w:szCs w:val="24"/>
          <w:lang w:val="en-GB"/>
        </w:rPr>
        <w:t xml:space="preserve"> </w:t>
      </w:r>
    </w:p>
    <w:p w14:paraId="66903E90" w14:textId="77777777" w:rsidR="00F033B1" w:rsidRDefault="00F033B1" w:rsidP="00F033B1">
      <w:pPr>
        <w:pStyle w:val="ListParagraph"/>
        <w:rPr>
          <w:rFonts w:asciiTheme="majorBidi" w:hAnsiTheme="majorBidi" w:cstheme="majorBidi"/>
          <w:sz w:val="24"/>
          <w:szCs w:val="24"/>
          <w:lang w:val="en-GB"/>
        </w:rPr>
      </w:pPr>
    </w:p>
    <w:p w14:paraId="3666C8F2" w14:textId="618F8440" w:rsidR="00DE4A80" w:rsidRDefault="00F033B1" w:rsidP="00DE4A80">
      <w:pPr>
        <w:rPr>
          <w:rFonts w:asciiTheme="majorBidi" w:eastAsia="Arial Unicode MS" w:hAnsiTheme="majorBidi" w:cstheme="majorBidi"/>
          <w:color w:val="000000"/>
          <w:sz w:val="24"/>
          <w:szCs w:val="24"/>
          <w:u w:color="000000"/>
          <w:bdr w:val="nil"/>
        </w:rPr>
      </w:pPr>
      <w:r>
        <w:rPr>
          <w:rFonts w:asciiTheme="majorBidi" w:hAnsiTheme="majorBidi" w:cstheme="majorBidi"/>
          <w:sz w:val="24"/>
          <w:szCs w:val="24"/>
        </w:rPr>
        <w:br w:type="page"/>
      </w:r>
    </w:p>
    <w:p w14:paraId="30FE9118" w14:textId="77777777" w:rsidR="00DE4A80" w:rsidRDefault="00DE4A80" w:rsidP="00B92C8F">
      <w:pPr>
        <w:rPr>
          <w:rFonts w:asciiTheme="majorBidi" w:hAnsiTheme="majorBidi" w:cstheme="majorBidi"/>
          <w:b/>
        </w:rPr>
        <w:sectPr w:rsidR="00DE4A80" w:rsidSect="0039636B">
          <w:footerReference w:type="default" r:id="rId11"/>
          <w:type w:val="continuous"/>
          <w:pgSz w:w="11907" w:h="16840" w:code="9"/>
          <w:pgMar w:top="1440" w:right="1440" w:bottom="1440" w:left="1440" w:header="709" w:footer="709" w:gutter="0"/>
          <w:lnNumType w:countBy="1" w:restart="continuous"/>
          <w:pgNumType w:start="0"/>
          <w:cols w:space="708"/>
          <w:docGrid w:linePitch="360"/>
        </w:sectPr>
      </w:pPr>
    </w:p>
    <w:tbl>
      <w:tblPr>
        <w:tblStyle w:val="TableGrid"/>
        <w:tblW w:w="0" w:type="auto"/>
        <w:tblLook w:val="04A0" w:firstRow="1" w:lastRow="0" w:firstColumn="1" w:lastColumn="0" w:noHBand="0" w:noVBand="1"/>
      </w:tblPr>
      <w:tblGrid>
        <w:gridCol w:w="1683"/>
        <w:gridCol w:w="2856"/>
        <w:gridCol w:w="2753"/>
        <w:gridCol w:w="2858"/>
        <w:gridCol w:w="2800"/>
      </w:tblGrid>
      <w:tr w:rsidR="00DE4A80" w:rsidRPr="00820D8E" w14:paraId="133AB65D" w14:textId="77777777" w:rsidTr="00535127">
        <w:trPr>
          <w:trHeight w:val="557"/>
        </w:trPr>
        <w:tc>
          <w:tcPr>
            <w:tcW w:w="14156" w:type="dxa"/>
            <w:gridSpan w:val="5"/>
          </w:tcPr>
          <w:p w14:paraId="2037AED4" w14:textId="4F17590B" w:rsidR="00DE4A80" w:rsidRPr="00F838B5" w:rsidRDefault="00DE4A80" w:rsidP="00B92C8F">
            <w:pPr>
              <w:rPr>
                <w:rFonts w:asciiTheme="majorBidi" w:hAnsiTheme="majorBidi" w:cstheme="majorBidi"/>
                <w:b/>
                <w:u w:val="single"/>
              </w:rPr>
            </w:pPr>
            <w:r w:rsidRPr="00F838B5">
              <w:rPr>
                <w:rFonts w:asciiTheme="majorBidi" w:hAnsiTheme="majorBidi" w:cstheme="majorBidi"/>
                <w:b/>
              </w:rPr>
              <w:lastRenderedPageBreak/>
              <w:t xml:space="preserve">Table 1: Construction of the effectiveness evaluation framework from policy questions, to indicators </w:t>
            </w:r>
            <w:r>
              <w:rPr>
                <w:rFonts w:asciiTheme="majorBidi" w:hAnsiTheme="majorBidi" w:cstheme="majorBidi"/>
                <w:b/>
              </w:rPr>
              <w:t xml:space="preserve">and </w:t>
            </w:r>
            <w:r w:rsidRPr="00F838B5">
              <w:rPr>
                <w:rFonts w:asciiTheme="majorBidi" w:hAnsiTheme="majorBidi" w:cstheme="majorBidi"/>
                <w:b/>
              </w:rPr>
              <w:t>to required reports</w:t>
            </w:r>
            <w:r>
              <w:rPr>
                <w:rFonts w:asciiTheme="majorBidi" w:hAnsiTheme="majorBidi" w:cstheme="majorBidi"/>
                <w:b/>
              </w:rPr>
              <w:t xml:space="preserve"> for consideration by the Effectiveness </w:t>
            </w:r>
            <w:r w:rsidR="00C16E43">
              <w:rPr>
                <w:rFonts w:asciiTheme="majorBidi" w:hAnsiTheme="majorBidi" w:cstheme="majorBidi"/>
                <w:b/>
              </w:rPr>
              <w:t xml:space="preserve">Evaluation </w:t>
            </w:r>
            <w:r>
              <w:rPr>
                <w:rFonts w:asciiTheme="majorBidi" w:hAnsiTheme="majorBidi" w:cstheme="majorBidi"/>
                <w:b/>
              </w:rPr>
              <w:t>Committee</w:t>
            </w:r>
          </w:p>
        </w:tc>
      </w:tr>
      <w:tr w:rsidR="00C16E43" w:rsidRPr="00820D8E" w14:paraId="454D42C5" w14:textId="77777777" w:rsidTr="00535127">
        <w:trPr>
          <w:trHeight w:val="1687"/>
        </w:trPr>
        <w:tc>
          <w:tcPr>
            <w:tcW w:w="1756" w:type="dxa"/>
          </w:tcPr>
          <w:p w14:paraId="4E72BBDE" w14:textId="77777777" w:rsidR="00DE4A80" w:rsidRPr="00F838B5" w:rsidRDefault="00DE4A80" w:rsidP="00B92C8F">
            <w:pPr>
              <w:rPr>
                <w:rFonts w:asciiTheme="majorBidi" w:hAnsiTheme="majorBidi" w:cstheme="majorBidi"/>
                <w:b/>
              </w:rPr>
            </w:pPr>
            <w:r w:rsidRPr="00F838B5">
              <w:rPr>
                <w:rFonts w:asciiTheme="majorBidi" w:hAnsiTheme="majorBidi" w:cstheme="majorBidi"/>
                <w:b/>
              </w:rPr>
              <w:t xml:space="preserve">Policy Questions </w:t>
            </w:r>
          </w:p>
        </w:tc>
        <w:tc>
          <w:tcPr>
            <w:tcW w:w="3172" w:type="dxa"/>
            <w:shd w:val="clear" w:color="auto" w:fill="D9D9D9" w:themeFill="background1" w:themeFillShade="D9"/>
          </w:tcPr>
          <w:p w14:paraId="229E0253" w14:textId="77777777" w:rsidR="00DE4A80" w:rsidRPr="00820D8E" w:rsidRDefault="00DE4A80" w:rsidP="00B92C8F">
            <w:pPr>
              <w:rPr>
                <w:rFonts w:asciiTheme="majorBidi" w:hAnsiTheme="majorBidi" w:cstheme="majorBidi"/>
              </w:rPr>
            </w:pPr>
            <w:r w:rsidRPr="00820D8E">
              <w:rPr>
                <w:rFonts w:asciiTheme="majorBidi" w:hAnsiTheme="majorBidi" w:cstheme="majorBidi"/>
                <w:b/>
                <w:u w:val="single"/>
              </w:rPr>
              <w:t>First Policy Question:</w:t>
            </w:r>
            <w:r w:rsidRPr="00820D8E">
              <w:rPr>
                <w:rFonts w:asciiTheme="majorBidi" w:hAnsiTheme="majorBidi" w:cstheme="majorBidi"/>
                <w:b/>
              </w:rPr>
              <w:t xml:space="preserve"> Have the Parties taken actions to implement the Minamata Convention?</w:t>
            </w:r>
          </w:p>
        </w:tc>
        <w:tc>
          <w:tcPr>
            <w:tcW w:w="3028" w:type="dxa"/>
            <w:shd w:val="clear" w:color="auto" w:fill="D9D9D9" w:themeFill="background1" w:themeFillShade="D9"/>
          </w:tcPr>
          <w:p w14:paraId="22CBF95B" w14:textId="77777777" w:rsidR="00DE4A80" w:rsidRPr="00820D8E" w:rsidRDefault="00DE4A80" w:rsidP="00B92C8F">
            <w:pPr>
              <w:rPr>
                <w:rFonts w:asciiTheme="majorBidi" w:hAnsiTheme="majorBidi" w:cstheme="majorBidi"/>
              </w:rPr>
            </w:pPr>
            <w:r w:rsidRPr="00820D8E">
              <w:rPr>
                <w:rFonts w:asciiTheme="majorBidi" w:hAnsiTheme="majorBidi" w:cstheme="majorBidi"/>
                <w:b/>
                <w:u w:val="single"/>
              </w:rPr>
              <w:t>Second Policy Question:</w:t>
            </w:r>
            <w:r w:rsidRPr="00820D8E">
              <w:rPr>
                <w:rFonts w:asciiTheme="majorBidi" w:hAnsiTheme="majorBidi" w:cstheme="majorBidi"/>
                <w:b/>
              </w:rPr>
              <w:t xml:space="preserve"> Have these actions resulted in changes in emissions and releases of mercury to the environment?</w:t>
            </w:r>
          </w:p>
        </w:tc>
        <w:tc>
          <w:tcPr>
            <w:tcW w:w="3100" w:type="dxa"/>
            <w:shd w:val="clear" w:color="auto" w:fill="B4C6E7" w:themeFill="accent1" w:themeFillTint="66"/>
          </w:tcPr>
          <w:p w14:paraId="0629CB50" w14:textId="77777777" w:rsidR="00DE4A80" w:rsidRPr="00820D8E" w:rsidRDefault="00DE4A80" w:rsidP="00B92C8F">
            <w:pPr>
              <w:rPr>
                <w:rFonts w:asciiTheme="majorBidi" w:hAnsiTheme="majorBidi" w:cstheme="majorBidi"/>
              </w:rPr>
            </w:pPr>
            <w:r w:rsidRPr="00820D8E">
              <w:rPr>
                <w:rFonts w:asciiTheme="majorBidi" w:hAnsiTheme="majorBidi" w:cstheme="majorBidi"/>
                <w:b/>
                <w:bCs/>
                <w:u w:val="single"/>
              </w:rPr>
              <w:t>Third Policy Question:</w:t>
            </w:r>
            <w:r w:rsidRPr="00820D8E">
              <w:rPr>
                <w:rFonts w:asciiTheme="majorBidi" w:hAnsiTheme="majorBidi" w:cstheme="majorBidi"/>
                <w:b/>
                <w:bCs/>
              </w:rPr>
              <w:t xml:space="preserve"> Have these changes in emissions and releases resulted in changes in levels of mercury in the environment, biota and humans attributable to the Convention?</w:t>
            </w:r>
            <w:r w:rsidRPr="00820D8E">
              <w:rPr>
                <w:rFonts w:asciiTheme="majorBidi" w:hAnsiTheme="majorBidi" w:cstheme="majorBidi"/>
              </w:rPr>
              <w:t xml:space="preserve"> </w:t>
            </w:r>
          </w:p>
        </w:tc>
        <w:tc>
          <w:tcPr>
            <w:tcW w:w="3100" w:type="dxa"/>
          </w:tcPr>
          <w:p w14:paraId="0C6978D5" w14:textId="77777777" w:rsidR="00DE4A80" w:rsidRPr="00820D8E" w:rsidRDefault="00DE4A80" w:rsidP="00B92C8F">
            <w:pPr>
              <w:rPr>
                <w:rFonts w:asciiTheme="majorBidi" w:hAnsiTheme="majorBidi" w:cstheme="majorBidi"/>
              </w:rPr>
            </w:pPr>
            <w:r w:rsidRPr="00820D8E">
              <w:rPr>
                <w:rFonts w:asciiTheme="majorBidi" w:hAnsiTheme="majorBidi" w:cstheme="majorBidi"/>
                <w:b/>
                <w:bCs/>
                <w:u w:val="single"/>
              </w:rPr>
              <w:t>Fourth Policy Question:</w:t>
            </w:r>
            <w:r w:rsidRPr="00820D8E">
              <w:rPr>
                <w:rFonts w:asciiTheme="majorBidi" w:hAnsiTheme="majorBidi" w:cstheme="majorBidi"/>
                <w:b/>
                <w:bCs/>
              </w:rPr>
              <w:t xml:space="preserve"> Will existing measures under the Minamata Convention be sufficient to meet its objectives of protecting human health and the environment from mercury?</w:t>
            </w:r>
          </w:p>
        </w:tc>
      </w:tr>
      <w:tr w:rsidR="00C16E43" w:rsidRPr="00820D8E" w14:paraId="25EECF63" w14:textId="77777777" w:rsidTr="00B92C8F">
        <w:tc>
          <w:tcPr>
            <w:tcW w:w="1756" w:type="dxa"/>
          </w:tcPr>
          <w:p w14:paraId="40074CAB" w14:textId="77777777" w:rsidR="00DE4A80" w:rsidRPr="00820D8E" w:rsidRDefault="00DE4A80" w:rsidP="00B92C8F">
            <w:pPr>
              <w:rPr>
                <w:rFonts w:asciiTheme="majorBidi" w:hAnsiTheme="majorBidi" w:cstheme="majorBidi"/>
                <w:b/>
                <w:bCs/>
              </w:rPr>
            </w:pPr>
            <w:r w:rsidRPr="00820D8E">
              <w:rPr>
                <w:rFonts w:asciiTheme="majorBidi" w:hAnsiTheme="majorBidi" w:cstheme="majorBidi"/>
                <w:b/>
                <w:bCs/>
              </w:rPr>
              <w:t>Indicators</w:t>
            </w:r>
          </w:p>
        </w:tc>
        <w:tc>
          <w:tcPr>
            <w:tcW w:w="3172" w:type="dxa"/>
            <w:shd w:val="clear" w:color="auto" w:fill="D9D9D9" w:themeFill="background1" w:themeFillShade="D9"/>
          </w:tcPr>
          <w:p w14:paraId="73151270" w14:textId="2142AF30" w:rsidR="00DE4A80" w:rsidRPr="00D80D7C" w:rsidRDefault="00DE4A80" w:rsidP="00B92C8F">
            <w:pPr>
              <w:rPr>
                <w:rFonts w:asciiTheme="majorBidi" w:hAnsiTheme="majorBidi" w:cstheme="majorBidi"/>
              </w:rPr>
            </w:pPr>
            <w:r w:rsidRPr="00D80D7C">
              <w:rPr>
                <w:rFonts w:asciiTheme="majorBidi" w:hAnsiTheme="majorBidi" w:cstheme="majorBidi"/>
              </w:rPr>
              <w:t xml:space="preserve">Process indicators </w:t>
            </w:r>
            <w:r w:rsidRPr="00D80D7C">
              <w:rPr>
                <w:rFonts w:asciiTheme="majorBidi" w:hAnsiTheme="majorBidi" w:cstheme="majorBidi"/>
                <w:i/>
                <w:iCs/>
              </w:rPr>
              <w:t>(para</w:t>
            </w:r>
            <w:r w:rsidR="009A53D2">
              <w:rPr>
                <w:rFonts w:asciiTheme="majorBidi" w:hAnsiTheme="majorBidi" w:cstheme="majorBidi"/>
                <w:i/>
                <w:iCs/>
              </w:rPr>
              <w:t xml:space="preserve"> </w:t>
            </w:r>
            <w:r w:rsidR="002B0557" w:rsidRPr="00D80D7C">
              <w:rPr>
                <w:rFonts w:asciiTheme="majorBidi" w:hAnsiTheme="majorBidi" w:cstheme="majorBidi"/>
                <w:i/>
                <w:iCs/>
              </w:rPr>
              <w:t>46</w:t>
            </w:r>
            <w:r w:rsidRPr="00D80D7C">
              <w:rPr>
                <w:rFonts w:asciiTheme="majorBidi" w:hAnsiTheme="majorBidi" w:cstheme="majorBidi"/>
                <w:i/>
                <w:iCs/>
              </w:rPr>
              <w:t>)</w:t>
            </w:r>
          </w:p>
        </w:tc>
        <w:tc>
          <w:tcPr>
            <w:tcW w:w="3028" w:type="dxa"/>
            <w:shd w:val="clear" w:color="auto" w:fill="D9D9D9" w:themeFill="background1" w:themeFillShade="D9"/>
          </w:tcPr>
          <w:p w14:paraId="0A71361F" w14:textId="26289042" w:rsidR="00DE4A80" w:rsidRPr="00D80D7C" w:rsidRDefault="00DE4A80" w:rsidP="00B92C8F">
            <w:pPr>
              <w:rPr>
                <w:rFonts w:asciiTheme="majorBidi" w:hAnsiTheme="majorBidi" w:cstheme="majorBidi"/>
              </w:rPr>
            </w:pPr>
            <w:r w:rsidRPr="00D80D7C">
              <w:rPr>
                <w:rFonts w:asciiTheme="majorBidi" w:hAnsiTheme="majorBidi" w:cstheme="majorBidi"/>
              </w:rPr>
              <w:t xml:space="preserve">Outcome indicators </w:t>
            </w:r>
            <w:r w:rsidR="009A53D2" w:rsidRPr="00D80D7C">
              <w:rPr>
                <w:rFonts w:asciiTheme="majorBidi" w:hAnsiTheme="majorBidi" w:cstheme="majorBidi"/>
                <w:i/>
                <w:iCs/>
              </w:rPr>
              <w:t>(para</w:t>
            </w:r>
            <w:r w:rsidR="009A53D2">
              <w:rPr>
                <w:rFonts w:asciiTheme="majorBidi" w:hAnsiTheme="majorBidi" w:cstheme="majorBidi"/>
                <w:i/>
                <w:iCs/>
              </w:rPr>
              <w:t xml:space="preserve"> </w:t>
            </w:r>
            <w:r w:rsidR="009A53D2" w:rsidRPr="00D80D7C">
              <w:rPr>
                <w:rFonts w:asciiTheme="majorBidi" w:hAnsiTheme="majorBidi" w:cstheme="majorBidi"/>
                <w:i/>
                <w:iCs/>
              </w:rPr>
              <w:t>46)</w:t>
            </w:r>
          </w:p>
          <w:p w14:paraId="3435F83D" w14:textId="45900903" w:rsidR="00DE4A80" w:rsidRPr="00D80D7C" w:rsidRDefault="00DE4A80" w:rsidP="00B92C8F">
            <w:pPr>
              <w:rPr>
                <w:rFonts w:asciiTheme="majorBidi" w:hAnsiTheme="majorBidi" w:cstheme="majorBidi"/>
              </w:rPr>
            </w:pPr>
            <w:r w:rsidRPr="00D80D7C">
              <w:rPr>
                <w:rFonts w:asciiTheme="majorBidi" w:hAnsiTheme="majorBidi" w:cstheme="majorBidi"/>
              </w:rPr>
              <w:t xml:space="preserve">Monitoring indicators </w:t>
            </w:r>
            <w:r w:rsidR="009A53D2" w:rsidRPr="00D80D7C">
              <w:rPr>
                <w:rFonts w:asciiTheme="majorBidi" w:hAnsiTheme="majorBidi" w:cstheme="majorBidi"/>
                <w:i/>
                <w:iCs/>
              </w:rPr>
              <w:t>(para</w:t>
            </w:r>
            <w:r w:rsidR="009A53D2">
              <w:rPr>
                <w:rFonts w:asciiTheme="majorBidi" w:hAnsiTheme="majorBidi" w:cstheme="majorBidi"/>
                <w:i/>
                <w:iCs/>
              </w:rPr>
              <w:t xml:space="preserve"> </w:t>
            </w:r>
            <w:r w:rsidR="009A53D2" w:rsidRPr="00D80D7C">
              <w:rPr>
                <w:rFonts w:asciiTheme="majorBidi" w:hAnsiTheme="majorBidi" w:cstheme="majorBidi"/>
                <w:i/>
                <w:iCs/>
              </w:rPr>
              <w:t>46)</w:t>
            </w:r>
          </w:p>
        </w:tc>
        <w:tc>
          <w:tcPr>
            <w:tcW w:w="3100" w:type="dxa"/>
            <w:shd w:val="clear" w:color="auto" w:fill="B4C6E7" w:themeFill="accent1" w:themeFillTint="66"/>
          </w:tcPr>
          <w:p w14:paraId="1580FFC0" w14:textId="75B02C37" w:rsidR="00DE4A80" w:rsidRPr="00820D8E" w:rsidRDefault="00DE4A80" w:rsidP="00B92C8F">
            <w:pPr>
              <w:rPr>
                <w:rFonts w:asciiTheme="majorBidi" w:hAnsiTheme="majorBidi" w:cstheme="majorBidi"/>
              </w:rPr>
            </w:pPr>
            <w:r w:rsidRPr="00820D8E">
              <w:rPr>
                <w:rFonts w:asciiTheme="majorBidi" w:hAnsiTheme="majorBidi" w:cstheme="majorBidi"/>
              </w:rPr>
              <w:t xml:space="preserve">Monitoring indicators </w:t>
            </w:r>
            <w:r w:rsidRPr="00820D8E">
              <w:rPr>
                <w:rFonts w:asciiTheme="majorBidi" w:hAnsiTheme="majorBidi" w:cstheme="majorBidi"/>
                <w:i/>
                <w:iCs/>
              </w:rPr>
              <w:t xml:space="preserve">(para </w:t>
            </w:r>
            <w:r w:rsidR="00F14AAF">
              <w:rPr>
                <w:rFonts w:asciiTheme="majorBidi" w:hAnsiTheme="majorBidi" w:cstheme="majorBidi"/>
                <w:i/>
                <w:iCs/>
              </w:rPr>
              <w:t>52)</w:t>
            </w:r>
          </w:p>
        </w:tc>
        <w:tc>
          <w:tcPr>
            <w:tcW w:w="3100" w:type="dxa"/>
            <w:vMerge w:val="restart"/>
          </w:tcPr>
          <w:p w14:paraId="10E01616" w14:textId="77777777" w:rsidR="00DE4A80" w:rsidRPr="00C314AE" w:rsidRDefault="00DE4A80" w:rsidP="00B92C8F">
            <w:pPr>
              <w:jc w:val="right"/>
              <w:rPr>
                <w:rFonts w:asciiTheme="majorBidi" w:hAnsiTheme="majorBidi" w:cstheme="majorBidi"/>
                <w:b/>
                <w:bCs/>
              </w:rPr>
            </w:pPr>
            <w:r w:rsidRPr="00C314AE">
              <w:rPr>
                <w:rFonts w:asciiTheme="majorBidi" w:hAnsiTheme="majorBidi" w:cstheme="majorBidi"/>
                <w:b/>
                <w:bCs/>
              </w:rPr>
              <w:t>Level 5</w:t>
            </w:r>
          </w:p>
          <w:p w14:paraId="2DF7682F" w14:textId="77777777" w:rsidR="00DE4A80" w:rsidRPr="00820D8E" w:rsidRDefault="00DE4A80" w:rsidP="00B92C8F">
            <w:pPr>
              <w:rPr>
                <w:rFonts w:asciiTheme="majorBidi" w:hAnsiTheme="majorBidi" w:cstheme="majorBidi"/>
                <w:i/>
                <w:iCs/>
                <w:u w:color="4F81BD"/>
              </w:rPr>
            </w:pPr>
          </w:p>
          <w:p w14:paraId="076493AB" w14:textId="450CF6CB" w:rsidR="00DE4A80" w:rsidRPr="00C16E43" w:rsidRDefault="00DE4A80" w:rsidP="00B92C8F">
            <w:pPr>
              <w:rPr>
                <w:rFonts w:asciiTheme="majorBidi" w:hAnsiTheme="majorBidi" w:cstheme="majorBidi"/>
              </w:rPr>
            </w:pPr>
            <w:r w:rsidRPr="00C16E43">
              <w:rPr>
                <w:rFonts w:asciiTheme="majorBidi" w:hAnsiTheme="majorBidi" w:cstheme="majorBidi"/>
                <w:u w:color="4F81BD"/>
              </w:rPr>
              <w:t>The Effectiveness Evaluation Committee</w:t>
            </w:r>
            <w:r w:rsidRPr="00C16E43">
              <w:rPr>
                <w:rFonts w:asciiTheme="majorBidi" w:hAnsiTheme="majorBidi" w:cstheme="majorBidi"/>
              </w:rPr>
              <w:t xml:space="preserve"> will use the </w:t>
            </w:r>
            <w:r w:rsidR="00C16E43">
              <w:rPr>
                <w:rFonts w:asciiTheme="majorBidi" w:hAnsiTheme="majorBidi" w:cstheme="majorBidi"/>
                <w:b/>
                <w:bCs/>
                <w:color w:val="4472C4" w:themeColor="accent1"/>
                <w:u w:val="single"/>
              </w:rPr>
              <w:t>Integrated A</w:t>
            </w:r>
            <w:r w:rsidRPr="00C16E43">
              <w:rPr>
                <w:rFonts w:asciiTheme="majorBidi" w:hAnsiTheme="majorBidi" w:cstheme="majorBidi"/>
                <w:b/>
                <w:bCs/>
                <w:color w:val="4472C4" w:themeColor="accent1"/>
                <w:u w:val="single"/>
              </w:rPr>
              <w:t xml:space="preserve">ssessment </w:t>
            </w:r>
            <w:r w:rsidR="00C16E43">
              <w:rPr>
                <w:rFonts w:asciiTheme="majorBidi" w:hAnsiTheme="majorBidi" w:cstheme="majorBidi"/>
                <w:b/>
                <w:bCs/>
                <w:color w:val="4472C4" w:themeColor="accent1"/>
                <w:u w:val="single"/>
              </w:rPr>
              <w:t>R</w:t>
            </w:r>
            <w:r w:rsidRPr="00C16E43">
              <w:rPr>
                <w:rFonts w:asciiTheme="majorBidi" w:hAnsiTheme="majorBidi" w:cstheme="majorBidi"/>
                <w:b/>
                <w:bCs/>
                <w:color w:val="4472C4" w:themeColor="accent1"/>
                <w:u w:val="single"/>
              </w:rPr>
              <w:t>eport</w:t>
            </w:r>
            <w:r w:rsidRPr="00C16E43">
              <w:rPr>
                <w:rFonts w:asciiTheme="majorBidi" w:hAnsiTheme="majorBidi" w:cstheme="majorBidi"/>
                <w:color w:val="4472C4" w:themeColor="accent1"/>
              </w:rPr>
              <w:t xml:space="preserve"> </w:t>
            </w:r>
            <w:r w:rsidRPr="00C16E43">
              <w:rPr>
                <w:rFonts w:asciiTheme="majorBidi" w:hAnsiTheme="majorBidi" w:cstheme="majorBidi"/>
              </w:rPr>
              <w:t xml:space="preserve">supplemented by the </w:t>
            </w:r>
            <w:r w:rsidR="00195AC3">
              <w:rPr>
                <w:rFonts w:asciiTheme="majorBidi" w:hAnsiTheme="majorBidi" w:cstheme="majorBidi"/>
                <w:b/>
                <w:bCs/>
                <w:color w:val="808080" w:themeColor="background1" w:themeShade="80"/>
                <w:u w:val="single"/>
              </w:rPr>
              <w:t>synthesis</w:t>
            </w:r>
            <w:r w:rsidRPr="00C16E43">
              <w:rPr>
                <w:rFonts w:asciiTheme="majorBidi" w:hAnsiTheme="majorBidi" w:cstheme="majorBidi"/>
                <w:b/>
                <w:bCs/>
                <w:color w:val="808080" w:themeColor="background1" w:themeShade="80"/>
                <w:u w:val="single"/>
              </w:rPr>
              <w:t xml:space="preserve"> reports*</w:t>
            </w:r>
            <w:r w:rsidRPr="00C16E43">
              <w:rPr>
                <w:rFonts w:asciiTheme="majorBidi" w:hAnsiTheme="majorBidi" w:cstheme="majorBidi"/>
                <w:color w:val="808080" w:themeColor="background1" w:themeShade="80"/>
              </w:rPr>
              <w:t xml:space="preserve"> </w:t>
            </w:r>
            <w:r w:rsidRPr="00C16E43">
              <w:rPr>
                <w:rFonts w:asciiTheme="majorBidi" w:hAnsiTheme="majorBidi" w:cstheme="majorBidi"/>
              </w:rPr>
              <w:t>to consider the policy questions posed in the framework, and from that derive conclusions about the effectiveness of the Convention.</w:t>
            </w:r>
          </w:p>
          <w:p w14:paraId="3881AA43" w14:textId="543580D1" w:rsidR="00DE4A80" w:rsidRDefault="00DE4A80" w:rsidP="00B92C8F">
            <w:pPr>
              <w:rPr>
                <w:rFonts w:asciiTheme="majorBidi" w:hAnsiTheme="majorBidi" w:cstheme="majorBidi"/>
              </w:rPr>
            </w:pPr>
          </w:p>
          <w:p w14:paraId="239BB043" w14:textId="395D3DBC" w:rsidR="00C16E43" w:rsidRPr="00C16E43" w:rsidRDefault="00C16E43" w:rsidP="00B92C8F">
            <w:pPr>
              <w:rPr>
                <w:rFonts w:asciiTheme="majorBidi" w:hAnsiTheme="majorBidi" w:cstheme="majorBidi"/>
                <w:b/>
                <w:bCs/>
              </w:rPr>
            </w:pPr>
            <w:r w:rsidRPr="00820D8E">
              <w:rPr>
                <w:rFonts w:asciiTheme="majorBidi" w:hAnsiTheme="majorBidi" w:cstheme="majorBidi"/>
              </w:rPr>
              <w:t>*</w:t>
            </w:r>
            <w:r w:rsidR="00195AC3">
              <w:rPr>
                <w:rFonts w:asciiTheme="majorBidi" w:hAnsiTheme="majorBidi" w:cstheme="majorBidi"/>
                <w:b/>
                <w:bCs/>
              </w:rPr>
              <w:t>Synthesis</w:t>
            </w:r>
            <w:r w:rsidRPr="00C16E43">
              <w:rPr>
                <w:rFonts w:asciiTheme="majorBidi" w:hAnsiTheme="majorBidi" w:cstheme="majorBidi"/>
                <w:b/>
                <w:bCs/>
              </w:rPr>
              <w:t xml:space="preserve"> reports:</w:t>
            </w:r>
          </w:p>
          <w:p w14:paraId="616DAD72" w14:textId="58E32986" w:rsidR="00DE4A80" w:rsidRDefault="00DE4A80" w:rsidP="00B92C8F">
            <w:pPr>
              <w:rPr>
                <w:rFonts w:asciiTheme="majorBidi" w:hAnsiTheme="majorBidi" w:cstheme="majorBidi"/>
              </w:rPr>
            </w:pPr>
            <w:r w:rsidRPr="00820D8E">
              <w:rPr>
                <w:rFonts w:asciiTheme="majorBidi" w:hAnsiTheme="majorBidi" w:cstheme="majorBidi"/>
              </w:rPr>
              <w:t xml:space="preserve">1. Emissions and Releases </w:t>
            </w:r>
          </w:p>
          <w:p w14:paraId="47A3D7D7" w14:textId="1DBCE069" w:rsidR="00DE4A80" w:rsidRPr="00820D8E" w:rsidRDefault="00DE4A80" w:rsidP="00B92C8F">
            <w:pPr>
              <w:rPr>
                <w:rFonts w:asciiTheme="majorBidi" w:hAnsiTheme="majorBidi" w:cstheme="majorBidi"/>
              </w:rPr>
            </w:pPr>
            <w:r>
              <w:rPr>
                <w:rFonts w:asciiTheme="majorBidi" w:hAnsiTheme="majorBidi" w:cstheme="majorBidi"/>
              </w:rPr>
              <w:t xml:space="preserve">2. </w:t>
            </w:r>
            <w:r w:rsidRPr="00820D8E">
              <w:rPr>
                <w:rFonts w:asciiTheme="majorBidi" w:hAnsiTheme="majorBidi" w:cstheme="majorBidi"/>
              </w:rPr>
              <w:t xml:space="preserve">Trade, Supply and Demand </w:t>
            </w:r>
          </w:p>
          <w:p w14:paraId="739C1C62" w14:textId="71F9D0BE" w:rsidR="00DE4A80" w:rsidRPr="00820D8E" w:rsidRDefault="00DE4A80" w:rsidP="00B92C8F">
            <w:pPr>
              <w:rPr>
                <w:rFonts w:asciiTheme="majorBidi" w:hAnsiTheme="majorBidi" w:cstheme="majorBidi"/>
              </w:rPr>
            </w:pPr>
            <w:r w:rsidRPr="00820D8E">
              <w:rPr>
                <w:rFonts w:asciiTheme="majorBidi" w:hAnsiTheme="majorBidi" w:cstheme="majorBidi"/>
              </w:rPr>
              <w:t xml:space="preserve">3. Waste </w:t>
            </w:r>
            <w:r w:rsidR="00995DA5">
              <w:rPr>
                <w:rFonts w:asciiTheme="majorBidi" w:hAnsiTheme="majorBidi" w:cstheme="majorBidi"/>
              </w:rPr>
              <w:t xml:space="preserve">Management </w:t>
            </w:r>
          </w:p>
          <w:p w14:paraId="46F9CE2B" w14:textId="77777777" w:rsidR="00DE4A80" w:rsidRPr="00820D8E" w:rsidRDefault="00DE4A80" w:rsidP="00B92C8F">
            <w:pPr>
              <w:rPr>
                <w:rFonts w:asciiTheme="majorBidi" w:hAnsiTheme="majorBidi" w:cstheme="majorBidi"/>
              </w:rPr>
            </w:pPr>
            <w:r w:rsidRPr="00820D8E">
              <w:rPr>
                <w:rFonts w:asciiTheme="majorBidi" w:hAnsiTheme="majorBidi" w:cstheme="majorBidi"/>
              </w:rPr>
              <w:t>4. Global Monitoring Report</w:t>
            </w:r>
          </w:p>
          <w:p w14:paraId="7867171E" w14:textId="77777777" w:rsidR="00DE4A80" w:rsidRPr="00820D8E" w:rsidRDefault="00DE4A80" w:rsidP="00B92C8F">
            <w:pPr>
              <w:rPr>
                <w:rFonts w:asciiTheme="majorBidi" w:hAnsiTheme="majorBidi" w:cstheme="majorBidi"/>
              </w:rPr>
            </w:pPr>
          </w:p>
        </w:tc>
      </w:tr>
      <w:tr w:rsidR="00C16E43" w:rsidRPr="00820D8E" w14:paraId="2A196217" w14:textId="77777777" w:rsidTr="00B92C8F">
        <w:tc>
          <w:tcPr>
            <w:tcW w:w="1756" w:type="dxa"/>
          </w:tcPr>
          <w:p w14:paraId="5596DB9C" w14:textId="77777777" w:rsidR="00DE4A80" w:rsidRPr="00820D8E" w:rsidRDefault="00DE4A80" w:rsidP="00B92C8F">
            <w:pPr>
              <w:rPr>
                <w:rFonts w:asciiTheme="majorBidi" w:hAnsiTheme="majorBidi" w:cstheme="majorBidi"/>
                <w:b/>
                <w:bCs/>
              </w:rPr>
            </w:pPr>
            <w:r w:rsidRPr="00820D8E">
              <w:rPr>
                <w:rFonts w:asciiTheme="majorBidi" w:hAnsiTheme="majorBidi" w:cstheme="majorBidi"/>
                <w:b/>
                <w:bCs/>
              </w:rPr>
              <w:t>Indicator Clusters</w:t>
            </w:r>
          </w:p>
        </w:tc>
        <w:tc>
          <w:tcPr>
            <w:tcW w:w="3172" w:type="dxa"/>
            <w:shd w:val="clear" w:color="auto" w:fill="D9D9D9" w:themeFill="background1" w:themeFillShade="D9"/>
          </w:tcPr>
          <w:p w14:paraId="1773D6ED" w14:textId="77777777" w:rsidR="00DE4A80" w:rsidRPr="00820D8E" w:rsidRDefault="00DE4A80" w:rsidP="00B92C8F">
            <w:pPr>
              <w:rPr>
                <w:rFonts w:asciiTheme="majorBidi" w:hAnsiTheme="majorBidi" w:cstheme="majorBidi"/>
              </w:rPr>
            </w:pPr>
            <w:r w:rsidRPr="00820D8E">
              <w:rPr>
                <w:rFonts w:asciiTheme="majorBidi" w:hAnsiTheme="majorBidi" w:cstheme="majorBidi"/>
              </w:rPr>
              <w:t>1. Supply Cluster</w:t>
            </w:r>
          </w:p>
          <w:p w14:paraId="5209011D" w14:textId="77777777" w:rsidR="00DE4A80" w:rsidRPr="00820D8E" w:rsidRDefault="00DE4A80" w:rsidP="00B92C8F">
            <w:pPr>
              <w:rPr>
                <w:rFonts w:asciiTheme="majorBidi" w:hAnsiTheme="majorBidi" w:cstheme="majorBidi"/>
              </w:rPr>
            </w:pPr>
            <w:r w:rsidRPr="00820D8E">
              <w:rPr>
                <w:rFonts w:asciiTheme="majorBidi" w:hAnsiTheme="majorBidi" w:cstheme="majorBidi"/>
              </w:rPr>
              <w:t>2. Demand Cluster</w:t>
            </w:r>
          </w:p>
          <w:p w14:paraId="3E7C8629" w14:textId="77777777" w:rsidR="00DE4A80" w:rsidRPr="00820D8E" w:rsidRDefault="00DE4A80" w:rsidP="00B92C8F">
            <w:pPr>
              <w:rPr>
                <w:rFonts w:asciiTheme="majorBidi" w:hAnsiTheme="majorBidi" w:cstheme="majorBidi"/>
              </w:rPr>
            </w:pPr>
            <w:r w:rsidRPr="00820D8E">
              <w:rPr>
                <w:rFonts w:asciiTheme="majorBidi" w:hAnsiTheme="majorBidi" w:cstheme="majorBidi"/>
              </w:rPr>
              <w:t>3. Pressure Cluster</w:t>
            </w:r>
          </w:p>
          <w:p w14:paraId="4A339774" w14:textId="77777777" w:rsidR="00DE4A80" w:rsidRPr="00820D8E" w:rsidRDefault="00DE4A80" w:rsidP="00B92C8F">
            <w:pPr>
              <w:rPr>
                <w:rFonts w:asciiTheme="majorBidi" w:hAnsiTheme="majorBidi" w:cstheme="majorBidi"/>
              </w:rPr>
            </w:pPr>
            <w:r w:rsidRPr="00820D8E">
              <w:rPr>
                <w:rFonts w:asciiTheme="majorBidi" w:hAnsiTheme="majorBidi" w:cstheme="majorBidi"/>
              </w:rPr>
              <w:t>----</w:t>
            </w:r>
          </w:p>
          <w:p w14:paraId="38461EB3" w14:textId="77777777" w:rsidR="00DE4A80" w:rsidRPr="00820D8E" w:rsidRDefault="00DE4A80" w:rsidP="00B92C8F">
            <w:pPr>
              <w:rPr>
                <w:rFonts w:asciiTheme="majorBidi" w:hAnsiTheme="majorBidi" w:cstheme="majorBidi"/>
              </w:rPr>
            </w:pPr>
            <w:r w:rsidRPr="00820D8E">
              <w:rPr>
                <w:rFonts w:asciiTheme="majorBidi" w:hAnsiTheme="majorBidi" w:cstheme="majorBidi"/>
              </w:rPr>
              <w:t>4. Support Cluster</w:t>
            </w:r>
          </w:p>
          <w:p w14:paraId="75147F88" w14:textId="77777777" w:rsidR="00DE4A80" w:rsidRPr="00820D8E" w:rsidRDefault="00DE4A80" w:rsidP="00B92C8F">
            <w:pPr>
              <w:rPr>
                <w:rFonts w:asciiTheme="majorBidi" w:hAnsiTheme="majorBidi" w:cstheme="majorBidi"/>
              </w:rPr>
            </w:pPr>
            <w:r w:rsidRPr="00820D8E">
              <w:rPr>
                <w:rFonts w:asciiTheme="majorBidi" w:hAnsiTheme="majorBidi" w:cstheme="majorBidi"/>
              </w:rPr>
              <w:t>5. Info and Research Cluster</w:t>
            </w:r>
          </w:p>
        </w:tc>
        <w:tc>
          <w:tcPr>
            <w:tcW w:w="3028" w:type="dxa"/>
            <w:shd w:val="clear" w:color="auto" w:fill="D9D9D9" w:themeFill="background1" w:themeFillShade="D9"/>
          </w:tcPr>
          <w:p w14:paraId="2E6D81B0" w14:textId="77777777" w:rsidR="00DE4A80" w:rsidRPr="00820D8E" w:rsidRDefault="00DE4A80" w:rsidP="00B92C8F">
            <w:pPr>
              <w:rPr>
                <w:rFonts w:asciiTheme="majorBidi" w:hAnsiTheme="majorBidi" w:cstheme="majorBidi"/>
              </w:rPr>
            </w:pPr>
            <w:r w:rsidRPr="00820D8E">
              <w:rPr>
                <w:rFonts w:asciiTheme="majorBidi" w:hAnsiTheme="majorBidi" w:cstheme="majorBidi"/>
              </w:rPr>
              <w:t>1. Supply Cluster</w:t>
            </w:r>
          </w:p>
          <w:p w14:paraId="3A150B63" w14:textId="77777777" w:rsidR="00DE4A80" w:rsidRPr="00820D8E" w:rsidRDefault="00DE4A80" w:rsidP="00B92C8F">
            <w:pPr>
              <w:rPr>
                <w:rFonts w:asciiTheme="majorBidi" w:hAnsiTheme="majorBidi" w:cstheme="majorBidi"/>
              </w:rPr>
            </w:pPr>
            <w:r w:rsidRPr="00820D8E">
              <w:rPr>
                <w:rFonts w:asciiTheme="majorBidi" w:hAnsiTheme="majorBidi" w:cstheme="majorBidi"/>
              </w:rPr>
              <w:t>2. Demand Cluster</w:t>
            </w:r>
          </w:p>
          <w:p w14:paraId="5462B59F" w14:textId="77777777" w:rsidR="00DE4A80" w:rsidRPr="00820D8E" w:rsidRDefault="00DE4A80" w:rsidP="00B92C8F">
            <w:pPr>
              <w:rPr>
                <w:rFonts w:asciiTheme="majorBidi" w:hAnsiTheme="majorBidi" w:cstheme="majorBidi"/>
              </w:rPr>
            </w:pPr>
            <w:r w:rsidRPr="00820D8E">
              <w:rPr>
                <w:rFonts w:asciiTheme="majorBidi" w:hAnsiTheme="majorBidi" w:cstheme="majorBidi"/>
              </w:rPr>
              <w:t>3. Pressure Cluster</w:t>
            </w:r>
          </w:p>
          <w:p w14:paraId="69DE7ABD" w14:textId="77777777" w:rsidR="00DE4A80" w:rsidRPr="00820D8E" w:rsidRDefault="00DE4A80" w:rsidP="00B92C8F">
            <w:pPr>
              <w:rPr>
                <w:rFonts w:asciiTheme="majorBidi" w:hAnsiTheme="majorBidi" w:cstheme="majorBidi"/>
              </w:rPr>
            </w:pPr>
            <w:r w:rsidRPr="00820D8E">
              <w:rPr>
                <w:rFonts w:asciiTheme="majorBidi" w:hAnsiTheme="majorBidi" w:cstheme="majorBidi"/>
              </w:rPr>
              <w:t>----</w:t>
            </w:r>
          </w:p>
          <w:p w14:paraId="171786AB" w14:textId="77777777" w:rsidR="00DE4A80" w:rsidRPr="00820D8E" w:rsidRDefault="00DE4A80" w:rsidP="00B92C8F">
            <w:pPr>
              <w:rPr>
                <w:rFonts w:asciiTheme="majorBidi" w:hAnsiTheme="majorBidi" w:cstheme="majorBidi"/>
              </w:rPr>
            </w:pPr>
            <w:r w:rsidRPr="00820D8E">
              <w:rPr>
                <w:rFonts w:asciiTheme="majorBidi" w:hAnsiTheme="majorBidi" w:cstheme="majorBidi"/>
              </w:rPr>
              <w:t>4. Support Cluster</w:t>
            </w:r>
          </w:p>
          <w:p w14:paraId="7C961812" w14:textId="77777777" w:rsidR="00DE4A80" w:rsidRPr="00820D8E" w:rsidRDefault="00DE4A80" w:rsidP="00B92C8F">
            <w:pPr>
              <w:rPr>
                <w:rFonts w:asciiTheme="majorBidi" w:hAnsiTheme="majorBidi" w:cstheme="majorBidi"/>
              </w:rPr>
            </w:pPr>
            <w:r w:rsidRPr="00820D8E">
              <w:rPr>
                <w:rFonts w:asciiTheme="majorBidi" w:hAnsiTheme="majorBidi" w:cstheme="majorBidi"/>
              </w:rPr>
              <w:t>5. Info and Research Cluster</w:t>
            </w:r>
          </w:p>
        </w:tc>
        <w:tc>
          <w:tcPr>
            <w:tcW w:w="3100" w:type="dxa"/>
            <w:shd w:val="clear" w:color="auto" w:fill="B4C6E7" w:themeFill="accent1" w:themeFillTint="66"/>
          </w:tcPr>
          <w:p w14:paraId="4F74DA5A" w14:textId="41B91D23" w:rsidR="00DE4A80" w:rsidRPr="00820D8E" w:rsidRDefault="00DE4A80" w:rsidP="00125CC7">
            <w:pPr>
              <w:rPr>
                <w:rFonts w:asciiTheme="majorBidi" w:hAnsiTheme="majorBidi" w:cstheme="majorBidi"/>
              </w:rPr>
            </w:pPr>
            <w:r w:rsidRPr="00820D8E">
              <w:rPr>
                <w:rFonts w:asciiTheme="majorBidi" w:hAnsiTheme="majorBidi" w:cstheme="majorBidi"/>
              </w:rPr>
              <w:t xml:space="preserve">1. </w:t>
            </w:r>
            <w:r w:rsidRPr="00125CC7">
              <w:rPr>
                <w:rFonts w:asciiTheme="majorBidi" w:hAnsiTheme="majorBidi" w:cstheme="majorBidi"/>
              </w:rPr>
              <w:t>Pressure Cluster</w:t>
            </w:r>
          </w:p>
        </w:tc>
        <w:tc>
          <w:tcPr>
            <w:tcW w:w="3100" w:type="dxa"/>
            <w:vMerge/>
          </w:tcPr>
          <w:p w14:paraId="50E98829" w14:textId="77777777" w:rsidR="00DE4A80" w:rsidRPr="00820D8E" w:rsidRDefault="00DE4A80" w:rsidP="00B92C8F">
            <w:pPr>
              <w:rPr>
                <w:rFonts w:asciiTheme="majorBidi" w:hAnsiTheme="majorBidi" w:cstheme="majorBidi"/>
              </w:rPr>
            </w:pPr>
          </w:p>
        </w:tc>
      </w:tr>
      <w:tr w:rsidR="00C16E43" w:rsidRPr="00820D8E" w14:paraId="4C6C4707" w14:textId="77777777" w:rsidTr="00B92C8F">
        <w:tc>
          <w:tcPr>
            <w:tcW w:w="1756" w:type="dxa"/>
          </w:tcPr>
          <w:p w14:paraId="2AD4D3FD" w14:textId="77777777" w:rsidR="00DE4A80" w:rsidRPr="00820D8E" w:rsidRDefault="00DE4A80" w:rsidP="00B92C8F">
            <w:pPr>
              <w:rPr>
                <w:rFonts w:asciiTheme="majorBidi" w:hAnsiTheme="majorBidi" w:cstheme="majorBidi"/>
                <w:b/>
                <w:bCs/>
              </w:rPr>
            </w:pPr>
            <w:r w:rsidRPr="00820D8E">
              <w:rPr>
                <w:rFonts w:asciiTheme="majorBidi" w:hAnsiTheme="majorBidi" w:cstheme="majorBidi"/>
                <w:b/>
                <w:bCs/>
              </w:rPr>
              <w:t>Information Sources</w:t>
            </w:r>
          </w:p>
        </w:tc>
        <w:tc>
          <w:tcPr>
            <w:tcW w:w="3172" w:type="dxa"/>
            <w:shd w:val="clear" w:color="auto" w:fill="D9D9D9" w:themeFill="background1" w:themeFillShade="D9"/>
          </w:tcPr>
          <w:p w14:paraId="41D55D43" w14:textId="77777777" w:rsidR="00DE4A80" w:rsidRPr="009F07AD" w:rsidRDefault="00DE4A80" w:rsidP="00B92C8F">
            <w:pPr>
              <w:rPr>
                <w:rFonts w:asciiTheme="majorBidi" w:hAnsiTheme="majorBidi" w:cstheme="majorBidi"/>
                <w:lang w:val="fr-CH"/>
              </w:rPr>
            </w:pPr>
            <w:r w:rsidRPr="009F07AD">
              <w:rPr>
                <w:rFonts w:asciiTheme="majorBidi" w:hAnsiTheme="majorBidi" w:cstheme="majorBidi"/>
                <w:lang w:val="fr-CH"/>
              </w:rPr>
              <w:t>Parties: Article 21 reports</w:t>
            </w:r>
            <w:r w:rsidRPr="009F07AD">
              <w:rPr>
                <w:rFonts w:asciiTheme="majorBidi" w:hAnsiTheme="majorBidi" w:cstheme="majorBidi"/>
                <w:i/>
                <w:iCs/>
                <w:lang w:val="fr-CH"/>
              </w:rPr>
              <w:t xml:space="preserve"> (main source)</w:t>
            </w:r>
          </w:p>
        </w:tc>
        <w:tc>
          <w:tcPr>
            <w:tcW w:w="3028" w:type="dxa"/>
            <w:shd w:val="clear" w:color="auto" w:fill="D9D9D9" w:themeFill="background1" w:themeFillShade="D9"/>
          </w:tcPr>
          <w:p w14:paraId="3167B0B4" w14:textId="77777777" w:rsidR="00DE4A80" w:rsidRPr="009F07AD" w:rsidRDefault="00DE4A80" w:rsidP="00B92C8F">
            <w:pPr>
              <w:rPr>
                <w:rFonts w:asciiTheme="majorBidi" w:hAnsiTheme="majorBidi" w:cstheme="majorBidi"/>
                <w:lang w:val="fr-CH"/>
              </w:rPr>
            </w:pPr>
            <w:r w:rsidRPr="009F07AD">
              <w:rPr>
                <w:rFonts w:asciiTheme="majorBidi" w:hAnsiTheme="majorBidi" w:cstheme="majorBidi"/>
                <w:lang w:val="fr-CH"/>
              </w:rPr>
              <w:t>Parties: Article 21 reports</w:t>
            </w:r>
            <w:r w:rsidRPr="009F07AD">
              <w:rPr>
                <w:rFonts w:asciiTheme="majorBidi" w:hAnsiTheme="majorBidi" w:cstheme="majorBidi"/>
                <w:i/>
                <w:iCs/>
                <w:lang w:val="fr-CH"/>
              </w:rPr>
              <w:t xml:space="preserve"> (main source)</w:t>
            </w:r>
          </w:p>
        </w:tc>
        <w:tc>
          <w:tcPr>
            <w:tcW w:w="3100" w:type="dxa"/>
            <w:shd w:val="clear" w:color="auto" w:fill="B4C6E7" w:themeFill="accent1" w:themeFillTint="66"/>
          </w:tcPr>
          <w:p w14:paraId="5843358E" w14:textId="255827D3" w:rsidR="00602E3C" w:rsidRDefault="00602E3C" w:rsidP="00B92C8F">
            <w:pPr>
              <w:rPr>
                <w:rFonts w:asciiTheme="majorBidi" w:hAnsiTheme="majorBidi" w:cstheme="majorBidi"/>
              </w:rPr>
            </w:pPr>
            <w:r>
              <w:rPr>
                <w:rFonts w:asciiTheme="majorBidi" w:hAnsiTheme="majorBidi" w:cstheme="majorBidi"/>
              </w:rPr>
              <w:t xml:space="preserve">- </w:t>
            </w:r>
            <w:r w:rsidRPr="00820D8E">
              <w:rPr>
                <w:rFonts w:asciiTheme="majorBidi" w:hAnsiTheme="majorBidi" w:cstheme="majorBidi"/>
              </w:rPr>
              <w:t>Parties: Article 21 reports</w:t>
            </w:r>
          </w:p>
          <w:p w14:paraId="71F2A94D" w14:textId="1A0ABB01" w:rsidR="00DE4A80" w:rsidRPr="00820D8E" w:rsidRDefault="00602E3C" w:rsidP="00B92C8F">
            <w:pPr>
              <w:rPr>
                <w:rFonts w:asciiTheme="majorBidi" w:hAnsiTheme="majorBidi" w:cstheme="majorBidi"/>
              </w:rPr>
            </w:pPr>
            <w:r>
              <w:rPr>
                <w:rFonts w:asciiTheme="majorBidi" w:hAnsiTheme="majorBidi" w:cstheme="majorBidi"/>
              </w:rPr>
              <w:t xml:space="preserve">- </w:t>
            </w:r>
            <w:r w:rsidR="00DE4A80" w:rsidRPr="00820D8E">
              <w:rPr>
                <w:rFonts w:asciiTheme="majorBidi" w:hAnsiTheme="majorBidi" w:cstheme="majorBidi"/>
              </w:rPr>
              <w:t xml:space="preserve">Existing/proposed monitoring networks and </w:t>
            </w:r>
            <w:r w:rsidR="00382BAA" w:rsidRPr="00820D8E">
              <w:rPr>
                <w:rFonts w:asciiTheme="majorBidi" w:hAnsiTheme="majorBidi" w:cstheme="majorBidi"/>
              </w:rPr>
              <w:t>models</w:t>
            </w:r>
          </w:p>
        </w:tc>
        <w:tc>
          <w:tcPr>
            <w:tcW w:w="3100" w:type="dxa"/>
            <w:vMerge/>
          </w:tcPr>
          <w:p w14:paraId="0555ECDB" w14:textId="77777777" w:rsidR="00DE4A80" w:rsidRPr="00820D8E" w:rsidRDefault="00DE4A80" w:rsidP="00B92C8F">
            <w:pPr>
              <w:rPr>
                <w:rFonts w:asciiTheme="majorBidi" w:hAnsiTheme="majorBidi" w:cstheme="majorBidi"/>
              </w:rPr>
            </w:pPr>
          </w:p>
        </w:tc>
      </w:tr>
      <w:tr w:rsidR="00C16E43" w:rsidRPr="00820D8E" w14:paraId="777B7D76" w14:textId="77777777" w:rsidTr="00B92C8F">
        <w:tc>
          <w:tcPr>
            <w:tcW w:w="1756" w:type="dxa"/>
          </w:tcPr>
          <w:p w14:paraId="70EDBD98" w14:textId="77777777" w:rsidR="00DE4A80" w:rsidRPr="00820D8E" w:rsidRDefault="00DE4A80" w:rsidP="00B92C8F">
            <w:pPr>
              <w:rPr>
                <w:rFonts w:asciiTheme="majorBidi" w:hAnsiTheme="majorBidi" w:cstheme="majorBidi"/>
                <w:b/>
                <w:bCs/>
              </w:rPr>
            </w:pPr>
            <w:r w:rsidRPr="00820D8E">
              <w:rPr>
                <w:rFonts w:asciiTheme="majorBidi" w:hAnsiTheme="majorBidi" w:cstheme="majorBidi"/>
                <w:b/>
                <w:bCs/>
              </w:rPr>
              <w:t>Secretariat documents to COP, according to Article 22</w:t>
            </w:r>
          </w:p>
        </w:tc>
        <w:tc>
          <w:tcPr>
            <w:tcW w:w="3172" w:type="dxa"/>
            <w:shd w:val="clear" w:color="auto" w:fill="D9D9D9" w:themeFill="background1" w:themeFillShade="D9"/>
          </w:tcPr>
          <w:p w14:paraId="6B8F5931" w14:textId="77777777" w:rsidR="00DE4A80" w:rsidRPr="00820D8E" w:rsidRDefault="00DE4A80" w:rsidP="00B92C8F">
            <w:pPr>
              <w:rPr>
                <w:rFonts w:asciiTheme="majorBidi" w:hAnsiTheme="majorBidi" w:cstheme="majorBidi"/>
              </w:rPr>
            </w:pPr>
            <w:r w:rsidRPr="00820D8E">
              <w:rPr>
                <w:rFonts w:asciiTheme="majorBidi" w:hAnsiTheme="majorBidi" w:cstheme="majorBidi"/>
              </w:rPr>
              <w:t>- ICC reports</w:t>
            </w:r>
          </w:p>
          <w:p w14:paraId="755D9912" w14:textId="77777777" w:rsidR="00DE4A80" w:rsidRPr="00820D8E" w:rsidRDefault="00DE4A80" w:rsidP="00B92C8F">
            <w:pPr>
              <w:rPr>
                <w:rFonts w:asciiTheme="majorBidi" w:hAnsiTheme="majorBidi" w:cstheme="majorBidi"/>
              </w:rPr>
            </w:pPr>
            <w:r w:rsidRPr="00820D8E">
              <w:rPr>
                <w:rFonts w:asciiTheme="majorBidi" w:hAnsiTheme="majorBidi" w:cstheme="majorBidi"/>
              </w:rPr>
              <w:t>- Financial mechanism reports</w:t>
            </w:r>
          </w:p>
          <w:p w14:paraId="22C63383" w14:textId="77777777" w:rsidR="00DE4A80" w:rsidRPr="00820D8E" w:rsidRDefault="00DE4A80" w:rsidP="00B92C8F">
            <w:pPr>
              <w:rPr>
                <w:rFonts w:asciiTheme="majorBidi" w:hAnsiTheme="majorBidi" w:cstheme="majorBidi"/>
              </w:rPr>
            </w:pPr>
            <w:r w:rsidRPr="00820D8E">
              <w:rPr>
                <w:rFonts w:asciiTheme="majorBidi" w:hAnsiTheme="majorBidi" w:cstheme="majorBidi"/>
              </w:rPr>
              <w:t>- Report on Capacity-building and technical assistance</w:t>
            </w:r>
          </w:p>
        </w:tc>
        <w:tc>
          <w:tcPr>
            <w:tcW w:w="3028" w:type="dxa"/>
            <w:shd w:val="clear" w:color="auto" w:fill="D9D9D9" w:themeFill="background1" w:themeFillShade="D9"/>
          </w:tcPr>
          <w:p w14:paraId="28B2F8B1" w14:textId="77777777" w:rsidR="00DE4A80" w:rsidRPr="00820D8E" w:rsidRDefault="00DE4A80" w:rsidP="00B92C8F">
            <w:pPr>
              <w:rPr>
                <w:rFonts w:asciiTheme="majorBidi" w:hAnsiTheme="majorBidi" w:cstheme="majorBidi"/>
              </w:rPr>
            </w:pPr>
            <w:r w:rsidRPr="00820D8E">
              <w:rPr>
                <w:rFonts w:asciiTheme="majorBidi" w:hAnsiTheme="majorBidi" w:cstheme="majorBidi"/>
              </w:rPr>
              <w:t>n/a</w:t>
            </w:r>
          </w:p>
        </w:tc>
        <w:tc>
          <w:tcPr>
            <w:tcW w:w="3100" w:type="dxa"/>
            <w:shd w:val="clear" w:color="auto" w:fill="B4C6E7" w:themeFill="accent1" w:themeFillTint="66"/>
          </w:tcPr>
          <w:p w14:paraId="74FB5871" w14:textId="77777777" w:rsidR="00DE4A80" w:rsidRPr="00820D8E" w:rsidRDefault="00DE4A80" w:rsidP="00B92C8F">
            <w:pPr>
              <w:rPr>
                <w:rFonts w:asciiTheme="majorBidi" w:hAnsiTheme="majorBidi" w:cstheme="majorBidi"/>
              </w:rPr>
            </w:pPr>
            <w:r w:rsidRPr="00820D8E">
              <w:rPr>
                <w:rFonts w:asciiTheme="majorBidi" w:hAnsiTheme="majorBidi" w:cstheme="majorBidi"/>
              </w:rPr>
              <w:t>n/a</w:t>
            </w:r>
          </w:p>
        </w:tc>
        <w:tc>
          <w:tcPr>
            <w:tcW w:w="3100" w:type="dxa"/>
            <w:vMerge/>
          </w:tcPr>
          <w:p w14:paraId="697CE574" w14:textId="77777777" w:rsidR="00DE4A80" w:rsidRPr="00820D8E" w:rsidRDefault="00DE4A80" w:rsidP="00B92C8F">
            <w:pPr>
              <w:rPr>
                <w:rFonts w:asciiTheme="majorBidi" w:hAnsiTheme="majorBidi" w:cstheme="majorBidi"/>
              </w:rPr>
            </w:pPr>
          </w:p>
        </w:tc>
      </w:tr>
      <w:tr w:rsidR="00DE4A80" w:rsidRPr="00820D8E" w14:paraId="14ED5C4E" w14:textId="77777777" w:rsidTr="00B92C8F">
        <w:trPr>
          <w:cantSplit/>
          <w:trHeight w:val="1134"/>
        </w:trPr>
        <w:tc>
          <w:tcPr>
            <w:tcW w:w="1756" w:type="dxa"/>
            <w:vMerge w:val="restart"/>
          </w:tcPr>
          <w:p w14:paraId="57890E67" w14:textId="67A10733" w:rsidR="00DE4A80" w:rsidRPr="00820D8E" w:rsidRDefault="00DE4A80" w:rsidP="00B92C8F">
            <w:pPr>
              <w:rPr>
                <w:rFonts w:asciiTheme="majorBidi" w:hAnsiTheme="majorBidi" w:cstheme="majorBidi"/>
                <w:b/>
                <w:bCs/>
              </w:rPr>
            </w:pPr>
            <w:r w:rsidRPr="00820D8E">
              <w:rPr>
                <w:rFonts w:asciiTheme="majorBidi" w:hAnsiTheme="majorBidi" w:cstheme="majorBidi"/>
                <w:b/>
                <w:bCs/>
              </w:rPr>
              <w:t>Reports prepared for the Effectiveness Evaluation Committee</w:t>
            </w:r>
          </w:p>
        </w:tc>
        <w:tc>
          <w:tcPr>
            <w:tcW w:w="6200" w:type="dxa"/>
            <w:gridSpan w:val="2"/>
            <w:vMerge w:val="restart"/>
            <w:shd w:val="clear" w:color="auto" w:fill="D9D9D9" w:themeFill="background1" w:themeFillShade="D9"/>
          </w:tcPr>
          <w:p w14:paraId="3FFA6D0B" w14:textId="77777777" w:rsidR="00DE4A80" w:rsidRDefault="00DE4A80" w:rsidP="00B92C8F">
            <w:pPr>
              <w:jc w:val="right"/>
              <w:rPr>
                <w:rFonts w:asciiTheme="majorBidi" w:hAnsiTheme="majorBidi" w:cstheme="majorBidi"/>
                <w:b/>
                <w:bCs/>
              </w:rPr>
            </w:pPr>
            <w:r w:rsidRPr="00820D8E">
              <w:rPr>
                <w:rFonts w:asciiTheme="majorBidi" w:hAnsiTheme="majorBidi" w:cstheme="majorBidi"/>
                <w:b/>
                <w:bCs/>
              </w:rPr>
              <w:t xml:space="preserve">Level 1 </w:t>
            </w:r>
            <w:r>
              <w:rPr>
                <w:rFonts w:asciiTheme="majorBidi" w:hAnsiTheme="majorBidi" w:cstheme="majorBidi"/>
                <w:b/>
                <w:bCs/>
              </w:rPr>
              <w:t>–</w:t>
            </w:r>
            <w:r w:rsidRPr="00820D8E">
              <w:rPr>
                <w:rFonts w:asciiTheme="majorBidi" w:hAnsiTheme="majorBidi" w:cstheme="majorBidi"/>
                <w:b/>
                <w:bCs/>
              </w:rPr>
              <w:t xml:space="preserve"> 3</w:t>
            </w:r>
          </w:p>
          <w:p w14:paraId="053620DB" w14:textId="3E1A055F" w:rsidR="00DE4A80" w:rsidRPr="00820D8E" w:rsidRDefault="00DE4A80" w:rsidP="00C16E43">
            <w:pPr>
              <w:rPr>
                <w:rFonts w:asciiTheme="majorBidi" w:hAnsiTheme="majorBidi" w:cstheme="majorBidi"/>
                <w:b/>
                <w:bCs/>
              </w:rPr>
            </w:pPr>
          </w:p>
          <w:p w14:paraId="08972D94" w14:textId="128D3600" w:rsidR="00DE4A80" w:rsidRDefault="00DE4A80" w:rsidP="00B92C8F">
            <w:pPr>
              <w:rPr>
                <w:rFonts w:asciiTheme="majorBidi" w:hAnsiTheme="majorBidi" w:cstheme="majorBidi"/>
                <w:i/>
                <w:iCs/>
              </w:rPr>
            </w:pPr>
            <w:r w:rsidRPr="00820D8E">
              <w:rPr>
                <w:rFonts w:asciiTheme="majorBidi" w:hAnsiTheme="majorBidi" w:cstheme="majorBidi"/>
              </w:rPr>
              <w:t xml:space="preserve">1. </w:t>
            </w:r>
            <w:r w:rsidRPr="00820D8E">
              <w:rPr>
                <w:rFonts w:asciiTheme="majorBidi" w:hAnsiTheme="majorBidi" w:cstheme="majorBidi"/>
                <w:b/>
                <w:bCs/>
              </w:rPr>
              <w:t xml:space="preserve">Emissions and Releases </w:t>
            </w:r>
            <w:r w:rsidRPr="00820D8E">
              <w:rPr>
                <w:rFonts w:asciiTheme="majorBidi" w:hAnsiTheme="majorBidi" w:cstheme="majorBidi"/>
              </w:rPr>
              <w:t xml:space="preserve">(Pressure Cluster) </w:t>
            </w:r>
            <w:r w:rsidRPr="00820D8E">
              <w:rPr>
                <w:rFonts w:asciiTheme="majorBidi" w:hAnsiTheme="majorBidi" w:cstheme="majorBidi"/>
                <w:i/>
                <w:iCs/>
              </w:rPr>
              <w:t>“Mercury to the environment”</w:t>
            </w:r>
          </w:p>
          <w:p w14:paraId="2ABC4D33" w14:textId="4F6CB585" w:rsidR="00DE4A80" w:rsidRPr="00493EB0" w:rsidRDefault="00DE4A80" w:rsidP="00B92C8F">
            <w:pPr>
              <w:rPr>
                <w:rFonts w:asciiTheme="majorBidi" w:hAnsiTheme="majorBidi" w:cstheme="majorBidi"/>
                <w:i/>
                <w:iCs/>
              </w:rPr>
            </w:pPr>
            <w:r w:rsidRPr="00493EB0">
              <w:rPr>
                <w:rFonts w:asciiTheme="majorBidi" w:hAnsiTheme="majorBidi" w:cstheme="majorBidi"/>
              </w:rPr>
              <w:t>2.</w:t>
            </w:r>
            <w:r>
              <w:rPr>
                <w:rFonts w:asciiTheme="majorBidi" w:hAnsiTheme="majorBidi" w:cstheme="majorBidi"/>
                <w:b/>
                <w:bCs/>
              </w:rPr>
              <w:t xml:space="preserve"> </w:t>
            </w:r>
            <w:r w:rsidRPr="00820D8E">
              <w:rPr>
                <w:rFonts w:asciiTheme="majorBidi" w:hAnsiTheme="majorBidi" w:cstheme="majorBidi"/>
                <w:b/>
                <w:bCs/>
              </w:rPr>
              <w:t xml:space="preserve">Trade, Supply and Demand </w:t>
            </w:r>
            <w:r w:rsidRPr="00820D8E">
              <w:rPr>
                <w:rFonts w:asciiTheme="majorBidi" w:hAnsiTheme="majorBidi" w:cstheme="majorBidi"/>
                <w:i/>
                <w:iCs/>
              </w:rPr>
              <w:t>(Supply and Demand Clusters) “Intended/economic movement of mercury”</w:t>
            </w:r>
          </w:p>
          <w:p w14:paraId="14EA6D7B" w14:textId="006FF410" w:rsidR="00DE4A80" w:rsidRPr="00820D8E" w:rsidRDefault="00DE4A80" w:rsidP="00B92C8F">
            <w:pPr>
              <w:rPr>
                <w:rFonts w:asciiTheme="majorBidi" w:hAnsiTheme="majorBidi" w:cstheme="majorBidi"/>
              </w:rPr>
            </w:pPr>
            <w:r w:rsidRPr="00820D8E">
              <w:rPr>
                <w:rFonts w:asciiTheme="majorBidi" w:hAnsiTheme="majorBidi" w:cstheme="majorBidi"/>
              </w:rPr>
              <w:t xml:space="preserve">3. </w:t>
            </w:r>
            <w:r w:rsidRPr="00820D8E">
              <w:rPr>
                <w:rFonts w:asciiTheme="majorBidi" w:hAnsiTheme="majorBidi" w:cstheme="majorBidi"/>
                <w:b/>
                <w:bCs/>
              </w:rPr>
              <w:t xml:space="preserve">Waste </w:t>
            </w:r>
            <w:r w:rsidR="00995DA5">
              <w:rPr>
                <w:rFonts w:asciiTheme="majorBidi" w:hAnsiTheme="majorBidi" w:cstheme="majorBidi"/>
                <w:b/>
                <w:bCs/>
              </w:rPr>
              <w:t xml:space="preserve">Management </w:t>
            </w:r>
            <w:r w:rsidRPr="00820D8E">
              <w:rPr>
                <w:rFonts w:asciiTheme="majorBidi" w:hAnsiTheme="majorBidi" w:cstheme="majorBidi"/>
              </w:rPr>
              <w:t>(Supply, Demand and Pressure Clusters)</w:t>
            </w:r>
          </w:p>
        </w:tc>
        <w:tc>
          <w:tcPr>
            <w:tcW w:w="3100" w:type="dxa"/>
            <w:shd w:val="clear" w:color="auto" w:fill="B4C6E7" w:themeFill="accent1" w:themeFillTint="66"/>
          </w:tcPr>
          <w:p w14:paraId="0076B3E5" w14:textId="77777777" w:rsidR="00DE4A80" w:rsidRDefault="00DE4A80" w:rsidP="00B92C8F">
            <w:pPr>
              <w:jc w:val="right"/>
              <w:rPr>
                <w:rFonts w:asciiTheme="majorBidi" w:hAnsiTheme="majorBidi" w:cstheme="majorBidi"/>
                <w:b/>
                <w:bCs/>
              </w:rPr>
            </w:pPr>
            <w:r w:rsidRPr="00820D8E">
              <w:rPr>
                <w:rFonts w:asciiTheme="majorBidi" w:hAnsiTheme="majorBidi" w:cstheme="majorBidi"/>
                <w:b/>
                <w:bCs/>
              </w:rPr>
              <w:t>Level 3</w:t>
            </w:r>
          </w:p>
          <w:p w14:paraId="64E0121C" w14:textId="61666B00" w:rsidR="00DE4A80" w:rsidRPr="00820D8E" w:rsidRDefault="00DE4A80" w:rsidP="00C16E43">
            <w:pPr>
              <w:rPr>
                <w:rFonts w:asciiTheme="majorBidi" w:hAnsiTheme="majorBidi" w:cstheme="majorBidi"/>
                <w:b/>
                <w:bCs/>
              </w:rPr>
            </w:pPr>
          </w:p>
          <w:p w14:paraId="0323A5AD" w14:textId="77777777" w:rsidR="00DE4A80" w:rsidRPr="00820D8E" w:rsidRDefault="00DE4A80" w:rsidP="00B92C8F">
            <w:pPr>
              <w:rPr>
                <w:rFonts w:asciiTheme="majorBidi" w:hAnsiTheme="majorBidi" w:cstheme="majorBidi"/>
                <w:b/>
                <w:bCs/>
              </w:rPr>
            </w:pPr>
            <w:r w:rsidRPr="00820D8E">
              <w:rPr>
                <w:rFonts w:asciiTheme="majorBidi" w:hAnsiTheme="majorBidi" w:cstheme="majorBidi"/>
              </w:rPr>
              <w:t xml:space="preserve">4. </w:t>
            </w:r>
            <w:r w:rsidRPr="00820D8E">
              <w:rPr>
                <w:rFonts w:asciiTheme="majorBidi" w:hAnsiTheme="majorBidi" w:cstheme="majorBidi"/>
                <w:b/>
                <w:bCs/>
              </w:rPr>
              <w:t>Global</w:t>
            </w:r>
            <w:r w:rsidRPr="00820D8E">
              <w:rPr>
                <w:rFonts w:asciiTheme="majorBidi" w:hAnsiTheme="majorBidi" w:cstheme="majorBidi"/>
              </w:rPr>
              <w:t xml:space="preserve"> </w:t>
            </w:r>
            <w:r w:rsidRPr="00820D8E">
              <w:rPr>
                <w:rFonts w:asciiTheme="majorBidi" w:hAnsiTheme="majorBidi" w:cstheme="majorBidi"/>
                <w:b/>
                <w:bCs/>
              </w:rPr>
              <w:t>Monitoring Report</w:t>
            </w:r>
          </w:p>
          <w:p w14:paraId="09979333" w14:textId="77777777" w:rsidR="00DE4A80" w:rsidRPr="00820D8E" w:rsidRDefault="00DE4A80" w:rsidP="00B92C8F">
            <w:pPr>
              <w:rPr>
                <w:rFonts w:asciiTheme="majorBidi" w:hAnsiTheme="majorBidi" w:cstheme="majorBidi"/>
              </w:rPr>
            </w:pPr>
          </w:p>
        </w:tc>
        <w:tc>
          <w:tcPr>
            <w:tcW w:w="3100" w:type="dxa"/>
            <w:vMerge/>
            <w:textDirection w:val="btLr"/>
          </w:tcPr>
          <w:p w14:paraId="16F6CB99" w14:textId="77777777" w:rsidR="00DE4A80" w:rsidRPr="00820D8E" w:rsidRDefault="00DE4A80" w:rsidP="00B92C8F">
            <w:pPr>
              <w:rPr>
                <w:rFonts w:asciiTheme="majorBidi" w:hAnsiTheme="majorBidi" w:cstheme="majorBidi"/>
              </w:rPr>
            </w:pPr>
          </w:p>
        </w:tc>
      </w:tr>
      <w:tr w:rsidR="00DE4A80" w:rsidRPr="00820D8E" w14:paraId="70CEF791" w14:textId="77777777" w:rsidTr="00B92C8F">
        <w:trPr>
          <w:cantSplit/>
          <w:trHeight w:val="1134"/>
        </w:trPr>
        <w:tc>
          <w:tcPr>
            <w:tcW w:w="1756" w:type="dxa"/>
            <w:vMerge/>
          </w:tcPr>
          <w:p w14:paraId="70FADB9C" w14:textId="77777777" w:rsidR="00DE4A80" w:rsidRPr="00820D8E" w:rsidRDefault="00DE4A80" w:rsidP="00B92C8F">
            <w:pPr>
              <w:rPr>
                <w:rFonts w:asciiTheme="majorBidi" w:hAnsiTheme="majorBidi" w:cstheme="majorBidi"/>
                <w:b/>
                <w:bCs/>
              </w:rPr>
            </w:pPr>
          </w:p>
        </w:tc>
        <w:tc>
          <w:tcPr>
            <w:tcW w:w="6200" w:type="dxa"/>
            <w:gridSpan w:val="2"/>
            <w:vMerge/>
            <w:shd w:val="clear" w:color="auto" w:fill="D9D9D9" w:themeFill="background1" w:themeFillShade="D9"/>
            <w:textDirection w:val="btLr"/>
          </w:tcPr>
          <w:p w14:paraId="62C7EBDD" w14:textId="77777777" w:rsidR="00DE4A80" w:rsidRPr="00820D8E" w:rsidRDefault="00DE4A80" w:rsidP="00B92C8F">
            <w:pPr>
              <w:rPr>
                <w:rFonts w:asciiTheme="majorBidi" w:hAnsiTheme="majorBidi" w:cstheme="majorBidi"/>
              </w:rPr>
            </w:pPr>
          </w:p>
        </w:tc>
        <w:tc>
          <w:tcPr>
            <w:tcW w:w="3100" w:type="dxa"/>
            <w:shd w:val="clear" w:color="auto" w:fill="B4C6E7" w:themeFill="accent1" w:themeFillTint="66"/>
          </w:tcPr>
          <w:p w14:paraId="2AB06D01" w14:textId="77777777" w:rsidR="00DE4A80" w:rsidRPr="00820D8E" w:rsidRDefault="00DE4A80" w:rsidP="00B92C8F">
            <w:pPr>
              <w:jc w:val="right"/>
              <w:rPr>
                <w:rFonts w:asciiTheme="majorBidi" w:hAnsiTheme="majorBidi" w:cstheme="majorBidi"/>
                <w:b/>
                <w:bCs/>
              </w:rPr>
            </w:pPr>
            <w:r w:rsidRPr="00820D8E">
              <w:rPr>
                <w:rFonts w:asciiTheme="majorBidi" w:hAnsiTheme="majorBidi" w:cstheme="majorBidi"/>
                <w:b/>
                <w:bCs/>
              </w:rPr>
              <w:t>Level 4</w:t>
            </w:r>
          </w:p>
          <w:p w14:paraId="4D529288" w14:textId="77777777" w:rsidR="00DE4A80" w:rsidRPr="00820D8E" w:rsidRDefault="00DE4A80" w:rsidP="00B92C8F">
            <w:pPr>
              <w:rPr>
                <w:rFonts w:asciiTheme="majorBidi" w:hAnsiTheme="majorBidi" w:cstheme="majorBidi"/>
                <w:b/>
                <w:bCs/>
              </w:rPr>
            </w:pPr>
            <w:r w:rsidRPr="00820D8E">
              <w:rPr>
                <w:rFonts w:asciiTheme="majorBidi" w:hAnsiTheme="majorBidi" w:cstheme="majorBidi"/>
              </w:rPr>
              <w:t xml:space="preserve">5. </w:t>
            </w:r>
            <w:r w:rsidRPr="00820D8E">
              <w:rPr>
                <w:rFonts w:asciiTheme="majorBidi" w:hAnsiTheme="majorBidi" w:cstheme="majorBidi"/>
                <w:b/>
                <w:bCs/>
              </w:rPr>
              <w:t>Integrated assessment Report</w:t>
            </w:r>
          </w:p>
          <w:p w14:paraId="73CC5D12" w14:textId="77777777" w:rsidR="00DE4A80" w:rsidRPr="00820D8E" w:rsidRDefault="00DE4A80" w:rsidP="00B92C8F">
            <w:pPr>
              <w:rPr>
                <w:rFonts w:asciiTheme="majorBidi" w:hAnsiTheme="majorBidi" w:cstheme="majorBidi"/>
              </w:rPr>
            </w:pPr>
          </w:p>
        </w:tc>
        <w:tc>
          <w:tcPr>
            <w:tcW w:w="3100" w:type="dxa"/>
            <w:vMerge/>
          </w:tcPr>
          <w:p w14:paraId="021B6A70" w14:textId="77777777" w:rsidR="00DE4A80" w:rsidRPr="00820D8E" w:rsidRDefault="00DE4A80" w:rsidP="00B92C8F">
            <w:pPr>
              <w:rPr>
                <w:rFonts w:asciiTheme="majorBidi" w:hAnsiTheme="majorBidi" w:cstheme="majorBidi"/>
              </w:rPr>
            </w:pPr>
          </w:p>
        </w:tc>
      </w:tr>
      <w:tr w:rsidR="00DE4A80" w:rsidRPr="00820D8E" w14:paraId="4ED99892" w14:textId="77777777" w:rsidTr="00B92C8F">
        <w:trPr>
          <w:cantSplit/>
          <w:trHeight w:val="977"/>
        </w:trPr>
        <w:tc>
          <w:tcPr>
            <w:tcW w:w="1756" w:type="dxa"/>
          </w:tcPr>
          <w:p w14:paraId="4EFC6E50" w14:textId="77777777" w:rsidR="00DE4A80" w:rsidRPr="00820D8E" w:rsidRDefault="00DE4A80" w:rsidP="00B92C8F">
            <w:pPr>
              <w:rPr>
                <w:rFonts w:asciiTheme="majorBidi" w:hAnsiTheme="majorBidi" w:cstheme="majorBidi"/>
                <w:b/>
                <w:bCs/>
              </w:rPr>
            </w:pPr>
          </w:p>
        </w:tc>
        <w:tc>
          <w:tcPr>
            <w:tcW w:w="12400" w:type="dxa"/>
            <w:gridSpan w:val="4"/>
            <w:shd w:val="clear" w:color="auto" w:fill="A5A5A5" w:themeFill="accent3"/>
          </w:tcPr>
          <w:p w14:paraId="4520CE8D" w14:textId="77777777" w:rsidR="00DE4A80" w:rsidRPr="00FC6BCB" w:rsidRDefault="00DE4A80" w:rsidP="00B92C8F">
            <w:pPr>
              <w:jc w:val="right"/>
              <w:rPr>
                <w:rFonts w:asciiTheme="majorBidi" w:hAnsiTheme="majorBidi" w:cstheme="majorBidi"/>
                <w:b/>
                <w:bCs/>
              </w:rPr>
            </w:pPr>
            <w:r w:rsidRPr="00FC6BCB">
              <w:rPr>
                <w:rFonts w:asciiTheme="majorBidi" w:hAnsiTheme="majorBidi" w:cstheme="majorBidi"/>
                <w:b/>
                <w:bCs/>
              </w:rPr>
              <w:t>Level 6</w:t>
            </w:r>
          </w:p>
          <w:p w14:paraId="16A0C8BF" w14:textId="77777777" w:rsidR="00DE4A80" w:rsidRPr="00FC6BCB" w:rsidRDefault="00DE4A80" w:rsidP="00B92C8F">
            <w:pPr>
              <w:rPr>
                <w:rFonts w:asciiTheme="majorBidi" w:hAnsiTheme="majorBidi" w:cstheme="majorBidi"/>
                <w:b/>
                <w:bCs/>
              </w:rPr>
            </w:pPr>
          </w:p>
          <w:p w14:paraId="314212D7" w14:textId="77777777" w:rsidR="00DE4A80" w:rsidRPr="00FC6BCB" w:rsidRDefault="00DE4A80" w:rsidP="00B92C8F">
            <w:pPr>
              <w:jc w:val="center"/>
              <w:rPr>
                <w:rFonts w:asciiTheme="majorBidi" w:hAnsiTheme="majorBidi" w:cstheme="majorBidi"/>
                <w:b/>
                <w:bCs/>
              </w:rPr>
            </w:pPr>
            <w:r w:rsidRPr="00FC6BCB">
              <w:rPr>
                <w:rFonts w:asciiTheme="majorBidi" w:hAnsiTheme="majorBidi" w:cstheme="majorBidi"/>
                <w:b/>
                <w:bCs/>
              </w:rPr>
              <w:t>Report of the Effectiveness Evaluation Committee is considered by the Conference of the Parties</w:t>
            </w:r>
          </w:p>
        </w:tc>
      </w:tr>
    </w:tbl>
    <w:p w14:paraId="78E06386" w14:textId="77777777" w:rsidR="00DE4A80" w:rsidRDefault="00DE4A80">
      <w:pPr>
        <w:rPr>
          <w:rFonts w:asciiTheme="majorBidi" w:eastAsia="Arial Unicode MS" w:hAnsiTheme="majorBidi" w:cstheme="majorBidi"/>
          <w:color w:val="000000"/>
          <w:sz w:val="24"/>
          <w:szCs w:val="24"/>
          <w:u w:color="000000"/>
          <w:bdr w:val="nil"/>
        </w:rPr>
        <w:sectPr w:rsidR="00DE4A80" w:rsidSect="009171DA">
          <w:pgSz w:w="15840" w:h="12240" w:orient="landscape"/>
          <w:pgMar w:top="1440" w:right="1440" w:bottom="1440" w:left="1440" w:header="709" w:footer="709" w:gutter="0"/>
          <w:lnNumType w:countBy="1" w:restart="continuous"/>
          <w:cols w:space="708"/>
          <w:docGrid w:linePitch="360"/>
        </w:sectPr>
      </w:pPr>
    </w:p>
    <w:p w14:paraId="26080390" w14:textId="77777777" w:rsidR="007F6F72" w:rsidRPr="00FC73F5" w:rsidRDefault="007F6F72" w:rsidP="007F6F72">
      <w:pPr>
        <w:spacing w:after="0"/>
        <w:rPr>
          <w:rFonts w:asciiTheme="majorBidi" w:hAnsiTheme="majorBidi" w:cstheme="majorBidi"/>
          <w:b/>
          <w:bCs/>
          <w:sz w:val="28"/>
          <w:szCs w:val="28"/>
        </w:rPr>
      </w:pPr>
      <w:r w:rsidRPr="00FC73F5">
        <w:rPr>
          <w:rFonts w:asciiTheme="majorBidi" w:hAnsiTheme="majorBidi" w:cstheme="majorBidi"/>
          <w:b/>
          <w:bCs/>
          <w:sz w:val="28"/>
          <w:szCs w:val="28"/>
        </w:rPr>
        <w:lastRenderedPageBreak/>
        <w:t>III. Proposed methodology and schedule for the evaluation</w:t>
      </w:r>
    </w:p>
    <w:p w14:paraId="6CE4D963" w14:textId="77777777" w:rsidR="004A4E7A" w:rsidRPr="00FC73F5" w:rsidRDefault="004A4E7A" w:rsidP="00B30DB7">
      <w:pPr>
        <w:spacing w:after="0"/>
        <w:rPr>
          <w:rFonts w:asciiTheme="majorBidi" w:hAnsiTheme="majorBidi" w:cstheme="majorBidi"/>
          <w:sz w:val="24"/>
          <w:szCs w:val="24"/>
        </w:rPr>
      </w:pPr>
    </w:p>
    <w:p w14:paraId="7B6FE99E" w14:textId="7A5345E0" w:rsidR="00745228" w:rsidRPr="00FC73F5" w:rsidRDefault="007F6F72" w:rsidP="007568DE">
      <w:pPr>
        <w:spacing w:after="0"/>
        <w:rPr>
          <w:rFonts w:asciiTheme="majorBidi" w:hAnsiTheme="majorBidi" w:cstheme="majorBidi"/>
          <w:b/>
          <w:bCs/>
          <w:sz w:val="24"/>
          <w:szCs w:val="24"/>
        </w:rPr>
      </w:pPr>
      <w:r>
        <w:rPr>
          <w:rFonts w:asciiTheme="majorBidi" w:hAnsiTheme="majorBidi" w:cstheme="majorBidi"/>
          <w:b/>
          <w:bCs/>
          <w:sz w:val="24"/>
          <w:szCs w:val="24"/>
        </w:rPr>
        <w:t>1</w:t>
      </w:r>
      <w:r w:rsidR="00B30DB7" w:rsidRPr="00FC73F5">
        <w:rPr>
          <w:rFonts w:asciiTheme="majorBidi" w:hAnsiTheme="majorBidi" w:cstheme="majorBidi"/>
          <w:b/>
          <w:bCs/>
          <w:sz w:val="24"/>
          <w:szCs w:val="24"/>
        </w:rPr>
        <w:t xml:space="preserve">. </w:t>
      </w:r>
      <w:r w:rsidR="00745228" w:rsidRPr="00FC73F5">
        <w:rPr>
          <w:rFonts w:asciiTheme="majorBidi" w:hAnsiTheme="majorBidi" w:cstheme="majorBidi"/>
          <w:b/>
          <w:bCs/>
          <w:sz w:val="24"/>
          <w:szCs w:val="24"/>
        </w:rPr>
        <w:t xml:space="preserve">Information and analysis flow for the </w:t>
      </w:r>
      <w:r w:rsidR="00B30DB7" w:rsidRPr="00FC73F5">
        <w:rPr>
          <w:rFonts w:asciiTheme="majorBidi" w:hAnsiTheme="majorBidi" w:cstheme="majorBidi"/>
          <w:b/>
          <w:bCs/>
          <w:sz w:val="24"/>
          <w:szCs w:val="24"/>
        </w:rPr>
        <w:t xml:space="preserve">proposed </w:t>
      </w:r>
      <w:r w:rsidR="00745228" w:rsidRPr="00FC73F5">
        <w:rPr>
          <w:rFonts w:asciiTheme="majorBidi" w:hAnsiTheme="majorBidi" w:cstheme="majorBidi"/>
          <w:b/>
          <w:bCs/>
          <w:sz w:val="24"/>
          <w:szCs w:val="24"/>
        </w:rPr>
        <w:t>effectiveness evaluation</w:t>
      </w:r>
    </w:p>
    <w:p w14:paraId="0F625993" w14:textId="77777777" w:rsidR="00B30DB7" w:rsidRPr="00FC73F5" w:rsidRDefault="00B30DB7" w:rsidP="009D5BC7">
      <w:pPr>
        <w:pStyle w:val="Normal-pool"/>
        <w:tabs>
          <w:tab w:val="clear" w:pos="1247"/>
          <w:tab w:val="clear" w:pos="1814"/>
          <w:tab w:val="clear" w:pos="2381"/>
          <w:tab w:val="clear" w:pos="2948"/>
          <w:tab w:val="clear" w:pos="3515"/>
          <w:tab w:val="clear" w:pos="4082"/>
        </w:tabs>
        <w:rPr>
          <w:rFonts w:asciiTheme="majorBidi" w:hAnsiTheme="majorBidi" w:cstheme="majorBidi"/>
          <w:b/>
          <w:bCs/>
          <w:color w:val="auto"/>
          <w:sz w:val="24"/>
          <w:szCs w:val="24"/>
          <w:lang w:val="en-GB"/>
        </w:rPr>
      </w:pPr>
    </w:p>
    <w:p w14:paraId="6D0F2D4E" w14:textId="264D07A2" w:rsidR="00195AC3" w:rsidRDefault="00745228" w:rsidP="00195AC3">
      <w:pPr>
        <w:pStyle w:val="Normal-pool"/>
        <w:numPr>
          <w:ilvl w:val="0"/>
          <w:numId w:val="1"/>
        </w:numPr>
        <w:tabs>
          <w:tab w:val="clear" w:pos="1247"/>
          <w:tab w:val="clear" w:pos="1814"/>
          <w:tab w:val="clear" w:pos="2381"/>
          <w:tab w:val="clear" w:pos="2948"/>
          <w:tab w:val="clear" w:pos="3515"/>
          <w:tab w:val="clear" w:pos="4082"/>
        </w:tabs>
        <w:spacing w:after="160"/>
        <w:rPr>
          <w:rFonts w:asciiTheme="majorBidi" w:hAnsiTheme="majorBidi" w:cstheme="majorBidi"/>
          <w:bCs/>
          <w:color w:val="auto"/>
          <w:sz w:val="24"/>
          <w:szCs w:val="24"/>
          <w:lang w:val="en-GB"/>
        </w:rPr>
      </w:pPr>
      <w:r w:rsidRPr="00FC73F5">
        <w:rPr>
          <w:rFonts w:asciiTheme="majorBidi" w:hAnsiTheme="majorBidi" w:cstheme="majorBidi"/>
          <w:bCs/>
          <w:color w:val="auto"/>
          <w:sz w:val="24"/>
          <w:szCs w:val="24"/>
          <w:lang w:val="en-GB"/>
        </w:rPr>
        <w:t>The effectiveness evaluation will be carried out through a series of sequential steps of data</w:t>
      </w:r>
      <w:r w:rsidR="00D11C80">
        <w:rPr>
          <w:rFonts w:asciiTheme="majorBidi" w:hAnsiTheme="majorBidi" w:cstheme="majorBidi"/>
          <w:bCs/>
          <w:color w:val="auto"/>
          <w:sz w:val="24"/>
          <w:szCs w:val="24"/>
          <w:lang w:val="en-GB"/>
        </w:rPr>
        <w:t xml:space="preserve"> identification and</w:t>
      </w:r>
      <w:r w:rsidRPr="00FC73F5">
        <w:rPr>
          <w:rFonts w:asciiTheme="majorBidi" w:hAnsiTheme="majorBidi" w:cstheme="majorBidi"/>
          <w:bCs/>
          <w:color w:val="auto"/>
          <w:sz w:val="24"/>
          <w:szCs w:val="24"/>
          <w:lang w:val="en-GB"/>
        </w:rPr>
        <w:t xml:space="preserve"> collection, compilation</w:t>
      </w:r>
      <w:r w:rsidR="0001540B">
        <w:rPr>
          <w:rFonts w:asciiTheme="majorBidi" w:hAnsiTheme="majorBidi" w:cstheme="majorBidi"/>
          <w:bCs/>
          <w:color w:val="auto"/>
          <w:sz w:val="24"/>
          <w:szCs w:val="24"/>
          <w:lang w:val="en-GB"/>
        </w:rPr>
        <w:t xml:space="preserve"> of information</w:t>
      </w:r>
      <w:r w:rsidRPr="00FC73F5">
        <w:rPr>
          <w:rFonts w:asciiTheme="majorBidi" w:hAnsiTheme="majorBidi" w:cstheme="majorBidi"/>
          <w:bCs/>
          <w:color w:val="auto"/>
          <w:sz w:val="24"/>
          <w:szCs w:val="24"/>
          <w:lang w:val="en-GB"/>
        </w:rPr>
        <w:t>, assessment</w:t>
      </w:r>
      <w:r w:rsidR="0001540B">
        <w:rPr>
          <w:rFonts w:asciiTheme="majorBidi" w:hAnsiTheme="majorBidi" w:cstheme="majorBidi"/>
          <w:bCs/>
          <w:color w:val="auto"/>
          <w:sz w:val="24"/>
          <w:szCs w:val="24"/>
          <w:lang w:val="en-GB"/>
        </w:rPr>
        <w:t xml:space="preserve">, </w:t>
      </w:r>
      <w:r w:rsidRPr="00FC73F5">
        <w:rPr>
          <w:rFonts w:asciiTheme="majorBidi" w:hAnsiTheme="majorBidi" w:cstheme="majorBidi"/>
          <w:bCs/>
          <w:color w:val="auto"/>
          <w:sz w:val="24"/>
          <w:szCs w:val="24"/>
          <w:lang w:val="en-GB"/>
        </w:rPr>
        <w:t>analysis</w:t>
      </w:r>
      <w:r w:rsidR="0001540B">
        <w:rPr>
          <w:rFonts w:asciiTheme="majorBidi" w:hAnsiTheme="majorBidi" w:cstheme="majorBidi"/>
          <w:bCs/>
          <w:color w:val="auto"/>
          <w:sz w:val="24"/>
          <w:szCs w:val="24"/>
          <w:lang w:val="en-GB"/>
        </w:rPr>
        <w:t xml:space="preserve"> and synthesis</w:t>
      </w:r>
      <w:r w:rsidRPr="00FC73F5">
        <w:rPr>
          <w:rFonts w:asciiTheme="majorBidi" w:hAnsiTheme="majorBidi" w:cstheme="majorBidi"/>
          <w:bCs/>
          <w:color w:val="auto"/>
          <w:sz w:val="24"/>
          <w:szCs w:val="24"/>
          <w:lang w:val="en-GB"/>
        </w:rPr>
        <w:t xml:space="preserve">. The </w:t>
      </w:r>
      <w:r w:rsidR="0001540B">
        <w:rPr>
          <w:rFonts w:asciiTheme="majorBidi" w:hAnsiTheme="majorBidi" w:cstheme="majorBidi"/>
          <w:bCs/>
          <w:color w:val="auto"/>
          <w:sz w:val="24"/>
          <w:szCs w:val="24"/>
          <w:lang w:val="en-GB"/>
        </w:rPr>
        <w:t xml:space="preserve">framework presents the flow of information, beginning with </w:t>
      </w:r>
      <w:r w:rsidR="001D51FA">
        <w:rPr>
          <w:rFonts w:asciiTheme="majorBidi" w:hAnsiTheme="majorBidi" w:cstheme="majorBidi"/>
          <w:bCs/>
          <w:color w:val="auto"/>
          <w:sz w:val="24"/>
          <w:szCs w:val="24"/>
          <w:lang w:val="en-GB"/>
        </w:rPr>
        <w:t xml:space="preserve">identifying and </w:t>
      </w:r>
      <w:r w:rsidR="0001540B">
        <w:rPr>
          <w:rFonts w:asciiTheme="majorBidi" w:hAnsiTheme="majorBidi" w:cstheme="majorBidi"/>
          <w:bCs/>
          <w:color w:val="auto"/>
          <w:sz w:val="24"/>
          <w:szCs w:val="24"/>
          <w:lang w:val="en-GB"/>
        </w:rPr>
        <w:t xml:space="preserve">collecting information, to compiling information, to </w:t>
      </w:r>
      <w:r w:rsidR="00E00092">
        <w:rPr>
          <w:rFonts w:asciiTheme="majorBidi" w:hAnsiTheme="majorBidi" w:cstheme="majorBidi"/>
          <w:bCs/>
          <w:color w:val="auto"/>
          <w:sz w:val="24"/>
          <w:szCs w:val="24"/>
          <w:lang w:val="en-GB"/>
        </w:rPr>
        <w:t>synthesises</w:t>
      </w:r>
      <w:r w:rsidR="0001540B">
        <w:rPr>
          <w:rFonts w:asciiTheme="majorBidi" w:hAnsiTheme="majorBidi" w:cstheme="majorBidi"/>
          <w:bCs/>
          <w:color w:val="auto"/>
          <w:sz w:val="24"/>
          <w:szCs w:val="24"/>
          <w:lang w:val="en-GB"/>
        </w:rPr>
        <w:t xml:space="preserve"> information (levels 1 to 3). The framework then </w:t>
      </w:r>
      <w:r w:rsidR="00E00092">
        <w:rPr>
          <w:rFonts w:asciiTheme="majorBidi" w:hAnsiTheme="majorBidi" w:cstheme="majorBidi"/>
          <w:bCs/>
          <w:color w:val="auto"/>
          <w:sz w:val="24"/>
          <w:szCs w:val="24"/>
          <w:lang w:val="en-GB"/>
        </w:rPr>
        <w:t>foresees</w:t>
      </w:r>
      <w:r w:rsidR="0001540B">
        <w:rPr>
          <w:rFonts w:asciiTheme="majorBidi" w:hAnsiTheme="majorBidi" w:cstheme="majorBidi"/>
          <w:bCs/>
          <w:color w:val="auto"/>
          <w:sz w:val="24"/>
          <w:szCs w:val="24"/>
          <w:lang w:val="en-GB"/>
        </w:rPr>
        <w:t xml:space="preserve"> an integration function (level 4), before reaching the Effectiveness Evaluation </w:t>
      </w:r>
      <w:r w:rsidR="00E00092">
        <w:rPr>
          <w:rFonts w:asciiTheme="majorBidi" w:hAnsiTheme="majorBidi" w:cstheme="majorBidi"/>
          <w:bCs/>
          <w:color w:val="auto"/>
          <w:sz w:val="24"/>
          <w:szCs w:val="24"/>
          <w:lang w:val="en-GB"/>
        </w:rPr>
        <w:t>Committee</w:t>
      </w:r>
      <w:r w:rsidR="0001540B">
        <w:rPr>
          <w:rFonts w:asciiTheme="majorBidi" w:hAnsiTheme="majorBidi" w:cstheme="majorBidi"/>
          <w:bCs/>
          <w:color w:val="auto"/>
          <w:sz w:val="24"/>
          <w:szCs w:val="24"/>
          <w:lang w:val="en-GB"/>
        </w:rPr>
        <w:t xml:space="preserve"> (level 5) and the Conference of the Parties (level 6). </w:t>
      </w:r>
    </w:p>
    <w:p w14:paraId="4B130397" w14:textId="5787C6BA" w:rsidR="00745228" w:rsidRPr="00FC73F5" w:rsidRDefault="00E00092" w:rsidP="00195AC3">
      <w:pPr>
        <w:pStyle w:val="Normal-pool"/>
        <w:numPr>
          <w:ilvl w:val="0"/>
          <w:numId w:val="1"/>
        </w:numPr>
        <w:tabs>
          <w:tab w:val="clear" w:pos="1247"/>
          <w:tab w:val="clear" w:pos="1814"/>
          <w:tab w:val="clear" w:pos="2381"/>
          <w:tab w:val="clear" w:pos="2948"/>
          <w:tab w:val="clear" w:pos="3515"/>
          <w:tab w:val="clear" w:pos="4082"/>
        </w:tabs>
        <w:spacing w:after="160"/>
        <w:rPr>
          <w:rFonts w:asciiTheme="majorBidi" w:hAnsiTheme="majorBidi" w:cstheme="majorBidi"/>
          <w:bCs/>
          <w:color w:val="auto"/>
          <w:sz w:val="24"/>
          <w:szCs w:val="24"/>
          <w:lang w:val="en-GB"/>
        </w:rPr>
      </w:pPr>
      <w:r>
        <w:rPr>
          <w:rFonts w:asciiTheme="majorBidi" w:hAnsiTheme="majorBidi" w:cstheme="majorBidi"/>
          <w:bCs/>
          <w:color w:val="auto"/>
          <w:sz w:val="24"/>
          <w:szCs w:val="24"/>
          <w:lang w:val="en-GB"/>
        </w:rPr>
        <w:t xml:space="preserve">The flow of information and analysis </w:t>
      </w:r>
      <w:r w:rsidR="00745228" w:rsidRPr="00FC73F5">
        <w:rPr>
          <w:rFonts w:asciiTheme="majorBidi" w:hAnsiTheme="majorBidi" w:cstheme="majorBidi"/>
          <w:bCs/>
          <w:color w:val="auto"/>
          <w:sz w:val="24"/>
          <w:szCs w:val="24"/>
          <w:lang w:val="en-GB"/>
        </w:rPr>
        <w:t xml:space="preserve">is represented </w:t>
      </w:r>
      <w:r w:rsidR="0001540B">
        <w:rPr>
          <w:rFonts w:asciiTheme="majorBidi" w:hAnsiTheme="majorBidi" w:cstheme="majorBidi"/>
          <w:bCs/>
          <w:color w:val="auto"/>
          <w:sz w:val="24"/>
          <w:szCs w:val="24"/>
          <w:lang w:val="en-GB"/>
        </w:rPr>
        <w:t>in</w:t>
      </w:r>
      <w:r w:rsidR="00745228" w:rsidRPr="00FC73F5">
        <w:rPr>
          <w:rFonts w:asciiTheme="majorBidi" w:hAnsiTheme="majorBidi" w:cstheme="majorBidi"/>
          <w:bCs/>
          <w:color w:val="auto"/>
          <w:sz w:val="24"/>
          <w:szCs w:val="24"/>
          <w:lang w:val="en-GB"/>
        </w:rPr>
        <w:t xml:space="preserve"> </w:t>
      </w:r>
      <w:r w:rsidR="004253E8">
        <w:rPr>
          <w:rFonts w:asciiTheme="majorBidi" w:hAnsiTheme="majorBidi" w:cstheme="majorBidi"/>
          <w:bCs/>
          <w:color w:val="auto"/>
          <w:sz w:val="24"/>
          <w:szCs w:val="24"/>
          <w:lang w:val="en-GB"/>
        </w:rPr>
        <w:t>D</w:t>
      </w:r>
      <w:r w:rsidR="00745228" w:rsidRPr="00FC73F5">
        <w:rPr>
          <w:rFonts w:asciiTheme="majorBidi" w:hAnsiTheme="majorBidi" w:cstheme="majorBidi"/>
          <w:bCs/>
          <w:color w:val="auto"/>
          <w:sz w:val="24"/>
          <w:szCs w:val="24"/>
          <w:lang w:val="en-GB"/>
        </w:rPr>
        <w:t>iagram</w:t>
      </w:r>
      <w:r w:rsidR="0001540B">
        <w:rPr>
          <w:rFonts w:asciiTheme="majorBidi" w:hAnsiTheme="majorBidi" w:cstheme="majorBidi"/>
          <w:bCs/>
          <w:color w:val="auto"/>
          <w:sz w:val="24"/>
          <w:szCs w:val="24"/>
          <w:lang w:val="en-GB"/>
        </w:rPr>
        <w:t xml:space="preserve"> </w:t>
      </w:r>
      <w:r w:rsidR="004253E8">
        <w:rPr>
          <w:rFonts w:asciiTheme="majorBidi" w:hAnsiTheme="majorBidi" w:cstheme="majorBidi"/>
          <w:bCs/>
          <w:color w:val="auto"/>
          <w:sz w:val="24"/>
          <w:szCs w:val="24"/>
          <w:lang w:val="en-GB"/>
        </w:rPr>
        <w:t xml:space="preserve">1 </w:t>
      </w:r>
      <w:r>
        <w:rPr>
          <w:rFonts w:asciiTheme="majorBidi" w:hAnsiTheme="majorBidi" w:cstheme="majorBidi"/>
          <w:bCs/>
          <w:color w:val="auto"/>
          <w:sz w:val="24"/>
          <w:szCs w:val="24"/>
          <w:lang w:val="en-GB"/>
        </w:rPr>
        <w:t>below</w:t>
      </w:r>
      <w:r w:rsidR="00745228" w:rsidRPr="00FC73F5">
        <w:rPr>
          <w:rFonts w:asciiTheme="majorBidi" w:hAnsiTheme="majorBidi" w:cstheme="majorBidi"/>
          <w:bCs/>
          <w:color w:val="auto"/>
          <w:sz w:val="24"/>
          <w:szCs w:val="24"/>
          <w:lang w:val="en-GB"/>
        </w:rPr>
        <w:t xml:space="preserve">, and explained in more detail </w:t>
      </w:r>
      <w:r>
        <w:rPr>
          <w:rFonts w:asciiTheme="majorBidi" w:hAnsiTheme="majorBidi" w:cstheme="majorBidi"/>
          <w:bCs/>
          <w:color w:val="auto"/>
          <w:sz w:val="24"/>
          <w:szCs w:val="24"/>
          <w:lang w:val="en-GB"/>
        </w:rPr>
        <w:t>thereafter</w:t>
      </w:r>
      <w:r w:rsidR="00745228" w:rsidRPr="00FC73F5">
        <w:rPr>
          <w:rFonts w:asciiTheme="majorBidi" w:hAnsiTheme="majorBidi" w:cstheme="majorBidi"/>
          <w:bCs/>
          <w:color w:val="auto"/>
          <w:sz w:val="24"/>
          <w:szCs w:val="24"/>
          <w:lang w:val="en-GB"/>
        </w:rPr>
        <w:t>:</w:t>
      </w:r>
      <w:r w:rsidR="00195AC3">
        <w:rPr>
          <w:rFonts w:asciiTheme="majorBidi" w:hAnsiTheme="majorBidi" w:cstheme="majorBidi"/>
          <w:bCs/>
          <w:color w:val="auto"/>
          <w:sz w:val="24"/>
          <w:szCs w:val="24"/>
          <w:lang w:val="en-GB"/>
        </w:rPr>
        <w:t xml:space="preserve"> </w:t>
      </w:r>
    </w:p>
    <w:p w14:paraId="337D919F" w14:textId="084656B4" w:rsidR="00745228" w:rsidRPr="00FC73F5" w:rsidRDefault="008D5551" w:rsidP="009D5BC7">
      <w:pPr>
        <w:pStyle w:val="Normal-pool"/>
        <w:tabs>
          <w:tab w:val="clear" w:pos="1247"/>
          <w:tab w:val="clear" w:pos="1814"/>
          <w:tab w:val="clear" w:pos="2381"/>
          <w:tab w:val="clear" w:pos="2948"/>
          <w:tab w:val="clear" w:pos="3515"/>
          <w:tab w:val="clear" w:pos="4082"/>
        </w:tabs>
        <w:rPr>
          <w:rFonts w:asciiTheme="majorBidi" w:hAnsiTheme="majorBidi" w:cstheme="majorBidi"/>
          <w:bCs/>
          <w:color w:val="auto"/>
          <w:sz w:val="24"/>
          <w:szCs w:val="24"/>
          <w:lang w:val="en-GB"/>
        </w:rPr>
      </w:pPr>
      <w:r>
        <w:rPr>
          <w:noProof/>
        </w:rPr>
        <w:drawing>
          <wp:inline distT="0" distB="0" distL="0" distR="0" wp14:anchorId="0D78F715" wp14:editId="19B4812A">
            <wp:extent cx="5943600" cy="3568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68065"/>
                    </a:xfrm>
                    <a:prstGeom prst="rect">
                      <a:avLst/>
                    </a:prstGeom>
                  </pic:spPr>
                </pic:pic>
              </a:graphicData>
            </a:graphic>
          </wp:inline>
        </w:drawing>
      </w:r>
    </w:p>
    <w:p w14:paraId="73484B76" w14:textId="108BC930" w:rsidR="00745228" w:rsidRDefault="00745228" w:rsidP="004253E8">
      <w:pPr>
        <w:pStyle w:val="Normal-pool"/>
        <w:tabs>
          <w:tab w:val="clear" w:pos="1247"/>
          <w:tab w:val="clear" w:pos="1814"/>
          <w:tab w:val="clear" w:pos="2381"/>
          <w:tab w:val="clear" w:pos="2948"/>
          <w:tab w:val="clear" w:pos="3515"/>
          <w:tab w:val="clear" w:pos="4082"/>
        </w:tabs>
        <w:rPr>
          <w:rFonts w:asciiTheme="majorBidi" w:hAnsiTheme="majorBidi" w:cstheme="majorBidi"/>
          <w:b/>
          <w:bCs/>
          <w:color w:val="auto"/>
          <w:sz w:val="24"/>
          <w:szCs w:val="24"/>
          <w:lang w:val="en-GB"/>
        </w:rPr>
      </w:pPr>
    </w:p>
    <w:p w14:paraId="5A1D9065" w14:textId="77777777" w:rsidR="004253E8" w:rsidRPr="00FC73F5" w:rsidRDefault="004253E8" w:rsidP="004253E8">
      <w:pPr>
        <w:pStyle w:val="Normal-pool"/>
        <w:tabs>
          <w:tab w:val="clear" w:pos="1247"/>
          <w:tab w:val="clear" w:pos="1814"/>
          <w:tab w:val="clear" w:pos="2381"/>
          <w:tab w:val="clear" w:pos="2948"/>
          <w:tab w:val="clear" w:pos="3515"/>
          <w:tab w:val="clear" w:pos="4082"/>
        </w:tabs>
        <w:rPr>
          <w:rFonts w:asciiTheme="majorBidi" w:hAnsiTheme="majorBidi" w:cstheme="majorBidi"/>
          <w:b/>
          <w:bCs/>
          <w:color w:val="auto"/>
          <w:sz w:val="24"/>
          <w:szCs w:val="24"/>
          <w:lang w:val="en-GB"/>
        </w:rPr>
      </w:pPr>
    </w:p>
    <w:p w14:paraId="5BDDD3DF" w14:textId="3A1FCA92" w:rsidR="004D2E6C" w:rsidRPr="0023412D" w:rsidRDefault="00B30DB7" w:rsidP="0023412D">
      <w:pPr>
        <w:pStyle w:val="ListParagraph"/>
        <w:numPr>
          <w:ilvl w:val="0"/>
          <w:numId w:val="1"/>
        </w:numPr>
        <w:spacing w:after="160"/>
        <w:rPr>
          <w:rFonts w:asciiTheme="majorBidi" w:hAnsiTheme="majorBidi" w:cstheme="majorBidi"/>
          <w:sz w:val="24"/>
          <w:szCs w:val="24"/>
          <w:lang w:val="en-GB"/>
        </w:rPr>
      </w:pPr>
      <w:r w:rsidRPr="00FC73F5">
        <w:rPr>
          <w:rFonts w:asciiTheme="majorBidi" w:hAnsiTheme="majorBidi" w:cstheme="majorBidi"/>
          <w:b/>
          <w:bCs/>
          <w:sz w:val="24"/>
          <w:szCs w:val="24"/>
          <w:lang w:val="en-GB"/>
        </w:rPr>
        <w:t>Level 1</w:t>
      </w:r>
      <w:r w:rsidR="009D75C6" w:rsidRPr="00FC73F5">
        <w:rPr>
          <w:rFonts w:asciiTheme="majorBidi" w:hAnsiTheme="majorBidi" w:cstheme="majorBidi"/>
          <w:b/>
          <w:sz w:val="24"/>
          <w:szCs w:val="24"/>
          <w:lang w:val="en-GB"/>
        </w:rPr>
        <w:t xml:space="preserve"> – </w:t>
      </w:r>
      <w:r w:rsidR="00DF5496" w:rsidRPr="00FC73F5">
        <w:rPr>
          <w:rFonts w:asciiTheme="majorBidi" w:hAnsiTheme="majorBidi" w:cstheme="majorBidi"/>
          <w:b/>
          <w:bCs/>
          <w:sz w:val="24"/>
          <w:szCs w:val="24"/>
          <w:lang w:val="en-GB"/>
        </w:rPr>
        <w:t>Information</w:t>
      </w:r>
      <w:r w:rsidRPr="00FC73F5">
        <w:rPr>
          <w:rFonts w:asciiTheme="majorBidi" w:hAnsiTheme="majorBidi" w:cstheme="majorBidi"/>
          <w:b/>
          <w:bCs/>
          <w:sz w:val="24"/>
          <w:szCs w:val="24"/>
          <w:lang w:val="en-GB"/>
        </w:rPr>
        <w:t>:</w:t>
      </w:r>
      <w:r w:rsidRPr="00FC73F5">
        <w:rPr>
          <w:rFonts w:asciiTheme="majorBidi" w:hAnsiTheme="majorBidi" w:cstheme="majorBidi"/>
          <w:sz w:val="24"/>
          <w:szCs w:val="24"/>
          <w:lang w:val="en-GB"/>
        </w:rPr>
        <w:t xml:space="preserve"> </w:t>
      </w:r>
      <w:r w:rsidR="00745228" w:rsidRPr="00FC73F5">
        <w:rPr>
          <w:rFonts w:asciiTheme="majorBidi" w:hAnsiTheme="majorBidi" w:cstheme="majorBidi"/>
          <w:sz w:val="24"/>
          <w:szCs w:val="24"/>
          <w:lang w:val="en-GB"/>
        </w:rPr>
        <w:t xml:space="preserve">As a first step, information resources available to support the effectiveness evaluation will be identified and amassed. This will include information from reports mandated by the Convention (e.g., implementation reports per Article 21; compliance information and recommendations per Article 15; reports on effectiveness of financial mechanisms per Article 13; emission inventories under Article 8 and release inventories under Article 9; </w:t>
      </w:r>
      <w:r w:rsidR="00FA6DCC">
        <w:rPr>
          <w:rFonts w:asciiTheme="majorBidi" w:hAnsiTheme="majorBidi" w:cstheme="majorBidi"/>
          <w:sz w:val="24"/>
          <w:szCs w:val="24"/>
          <w:lang w:val="en-GB"/>
        </w:rPr>
        <w:t>ASGM National Action Plans (</w:t>
      </w:r>
      <w:r w:rsidR="00745228" w:rsidRPr="00FC73F5">
        <w:rPr>
          <w:rFonts w:asciiTheme="majorBidi" w:hAnsiTheme="majorBidi" w:cstheme="majorBidi"/>
          <w:sz w:val="24"/>
          <w:szCs w:val="24"/>
          <w:lang w:val="en-GB"/>
        </w:rPr>
        <w:t>NAP</w:t>
      </w:r>
      <w:r w:rsidR="00FA6DCC">
        <w:rPr>
          <w:rFonts w:asciiTheme="majorBidi" w:hAnsiTheme="majorBidi" w:cstheme="majorBidi"/>
          <w:sz w:val="24"/>
          <w:szCs w:val="24"/>
          <w:lang w:val="en-GB"/>
        </w:rPr>
        <w:t>)</w:t>
      </w:r>
      <w:r w:rsidR="00745228" w:rsidRPr="00FC73F5">
        <w:rPr>
          <w:rFonts w:asciiTheme="majorBidi" w:hAnsiTheme="majorBidi" w:cstheme="majorBidi"/>
          <w:sz w:val="24"/>
          <w:szCs w:val="24"/>
          <w:lang w:val="en-GB"/>
        </w:rPr>
        <w:t xml:space="preserve"> progress reports under Article 7), as well as the Secretariat’s Capacity Building and Technical Assistance report. </w:t>
      </w:r>
    </w:p>
    <w:p w14:paraId="30304BE3" w14:textId="46AED1AF" w:rsidR="004D2E6C" w:rsidRPr="00771944" w:rsidRDefault="00745228" w:rsidP="0023412D">
      <w:pPr>
        <w:pStyle w:val="ListParagraph"/>
        <w:numPr>
          <w:ilvl w:val="0"/>
          <w:numId w:val="1"/>
        </w:numPr>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Such reporting may be incomplete, and thus these reports will be supplemented by other available scientific, environmental, technical, financial and economic information per </w:t>
      </w:r>
      <w:r w:rsidRPr="00771944">
        <w:rPr>
          <w:rFonts w:asciiTheme="majorBidi" w:hAnsiTheme="majorBidi" w:cstheme="majorBidi"/>
          <w:sz w:val="24"/>
          <w:szCs w:val="24"/>
          <w:lang w:val="en-GB"/>
        </w:rPr>
        <w:t>Article 22 paragraph 3</w:t>
      </w:r>
      <w:r w:rsidR="00385CBF" w:rsidRPr="00771944">
        <w:rPr>
          <w:rFonts w:asciiTheme="majorBidi" w:hAnsiTheme="majorBidi" w:cstheme="majorBidi"/>
          <w:sz w:val="24"/>
          <w:szCs w:val="24"/>
          <w:lang w:val="en-GB" w:eastAsia="ja-JP"/>
        </w:rPr>
        <w:t xml:space="preserve"> and Article 19.</w:t>
      </w:r>
    </w:p>
    <w:p w14:paraId="63236215" w14:textId="123EAA9E" w:rsidR="00745228" w:rsidRPr="00385CBF" w:rsidRDefault="00745228" w:rsidP="00385CBF">
      <w:pPr>
        <w:pStyle w:val="ListParagraph"/>
        <w:numPr>
          <w:ilvl w:val="0"/>
          <w:numId w:val="1"/>
        </w:numPr>
        <w:spacing w:after="160"/>
        <w:rPr>
          <w:rFonts w:asciiTheme="majorBidi" w:hAnsiTheme="majorBidi" w:cstheme="majorBidi"/>
          <w:sz w:val="24"/>
          <w:szCs w:val="24"/>
          <w:lang w:val="en-GB"/>
        </w:rPr>
      </w:pPr>
      <w:r w:rsidRPr="00771944">
        <w:rPr>
          <w:rFonts w:asciiTheme="majorBidi" w:hAnsiTheme="majorBidi" w:cstheme="majorBidi"/>
          <w:sz w:val="24"/>
          <w:szCs w:val="24"/>
          <w:lang w:val="en-GB"/>
        </w:rPr>
        <w:lastRenderedPageBreak/>
        <w:t xml:space="preserve">Clear criteria for this data collection should be established (e.g. including peer-reviewed research articles and official publications such as national reports). The monitoring arrangements </w:t>
      </w:r>
      <w:r w:rsidR="00771944" w:rsidRPr="00771944">
        <w:rPr>
          <w:rFonts w:asciiTheme="majorBidi" w:hAnsiTheme="majorBidi" w:cstheme="majorBidi"/>
          <w:sz w:val="24"/>
          <w:szCs w:val="24"/>
          <w:lang w:val="en-GB"/>
        </w:rPr>
        <w:t xml:space="preserve">are </w:t>
      </w:r>
      <w:r w:rsidRPr="00771944">
        <w:rPr>
          <w:rFonts w:asciiTheme="majorBidi" w:hAnsiTheme="majorBidi" w:cstheme="majorBidi"/>
          <w:sz w:val="24"/>
          <w:szCs w:val="24"/>
          <w:lang w:val="en-GB"/>
        </w:rPr>
        <w:t>specified in Annex 3</w:t>
      </w:r>
      <w:r w:rsidR="00771944" w:rsidRPr="00771944">
        <w:rPr>
          <w:rFonts w:asciiTheme="majorBidi" w:hAnsiTheme="majorBidi" w:cstheme="majorBidi"/>
          <w:sz w:val="24"/>
          <w:szCs w:val="24"/>
          <w:lang w:val="en-GB"/>
        </w:rPr>
        <w:t xml:space="preserve"> and </w:t>
      </w:r>
      <w:r w:rsidRPr="00771944">
        <w:rPr>
          <w:rFonts w:asciiTheme="majorBidi" w:hAnsiTheme="majorBidi" w:cstheme="majorBidi"/>
          <w:sz w:val="24"/>
          <w:szCs w:val="24"/>
          <w:lang w:val="en-GB"/>
        </w:rPr>
        <w:t>will</w:t>
      </w:r>
      <w:r w:rsidRPr="00FC73F5">
        <w:rPr>
          <w:rFonts w:asciiTheme="majorBidi" w:hAnsiTheme="majorBidi" w:cstheme="majorBidi"/>
          <w:sz w:val="24"/>
          <w:szCs w:val="24"/>
          <w:lang w:val="en-GB"/>
        </w:rPr>
        <w:t xml:space="preserve"> determine which monitoring resources will be included in the effectiveness evaluation. </w:t>
      </w:r>
    </w:p>
    <w:p w14:paraId="5F76AF92" w14:textId="43E0194A" w:rsidR="00745228" w:rsidRPr="00FC73F5" w:rsidRDefault="00B30DB7" w:rsidP="003B0096">
      <w:pPr>
        <w:pStyle w:val="Normal-pool"/>
        <w:numPr>
          <w:ilvl w:val="0"/>
          <w:numId w:val="1"/>
        </w:numPr>
        <w:tabs>
          <w:tab w:val="clear" w:pos="1247"/>
          <w:tab w:val="clear" w:pos="1814"/>
          <w:tab w:val="clear" w:pos="2381"/>
          <w:tab w:val="clear" w:pos="2948"/>
          <w:tab w:val="clear" w:pos="3515"/>
        </w:tabs>
        <w:rPr>
          <w:rFonts w:asciiTheme="majorBidi" w:hAnsiTheme="majorBidi" w:cstheme="majorBidi"/>
          <w:sz w:val="24"/>
          <w:szCs w:val="24"/>
          <w:lang w:val="en-GB"/>
        </w:rPr>
      </w:pPr>
      <w:r w:rsidRPr="00FC73F5">
        <w:rPr>
          <w:rFonts w:asciiTheme="majorBidi" w:hAnsiTheme="majorBidi" w:cstheme="majorBidi"/>
          <w:b/>
          <w:bCs/>
          <w:sz w:val="24"/>
          <w:szCs w:val="24"/>
          <w:lang w:val="en-GB"/>
        </w:rPr>
        <w:t>Level 2</w:t>
      </w:r>
      <w:r w:rsidR="009D75C6" w:rsidRPr="00FC73F5">
        <w:rPr>
          <w:rFonts w:asciiTheme="majorBidi" w:hAnsiTheme="majorBidi" w:cstheme="majorBidi"/>
          <w:b/>
          <w:sz w:val="24"/>
          <w:szCs w:val="24"/>
          <w:lang w:val="en-GB"/>
        </w:rPr>
        <w:t xml:space="preserve"> – </w:t>
      </w:r>
      <w:r w:rsidR="00DF5496" w:rsidRPr="00FC73F5">
        <w:rPr>
          <w:rFonts w:asciiTheme="majorBidi" w:hAnsiTheme="majorBidi" w:cstheme="majorBidi"/>
          <w:b/>
          <w:bCs/>
          <w:sz w:val="24"/>
          <w:szCs w:val="24"/>
          <w:lang w:val="en-GB"/>
        </w:rPr>
        <w:t>Compilation</w:t>
      </w:r>
      <w:r w:rsidRPr="00FC73F5">
        <w:rPr>
          <w:rFonts w:asciiTheme="majorBidi" w:hAnsiTheme="majorBidi" w:cstheme="majorBidi"/>
          <w:b/>
          <w:bCs/>
          <w:sz w:val="24"/>
          <w:szCs w:val="24"/>
          <w:lang w:val="en-GB"/>
        </w:rPr>
        <w:t>:</w:t>
      </w:r>
      <w:r w:rsidRPr="00FC73F5">
        <w:rPr>
          <w:rFonts w:asciiTheme="majorBidi" w:hAnsiTheme="majorBidi" w:cstheme="majorBidi"/>
          <w:sz w:val="24"/>
          <w:szCs w:val="24"/>
          <w:lang w:val="en-GB"/>
        </w:rPr>
        <w:t xml:space="preserve"> </w:t>
      </w:r>
      <w:r w:rsidR="00385CBF">
        <w:rPr>
          <w:rFonts w:asciiTheme="majorBidi" w:hAnsiTheme="majorBidi" w:cstheme="majorBidi"/>
          <w:sz w:val="24"/>
          <w:szCs w:val="24"/>
          <w:lang w:val="en-GB"/>
        </w:rPr>
        <w:t>R</w:t>
      </w:r>
      <w:r w:rsidR="00745228" w:rsidRPr="00FC73F5">
        <w:rPr>
          <w:rFonts w:asciiTheme="majorBidi" w:hAnsiTheme="majorBidi" w:cstheme="majorBidi"/>
          <w:sz w:val="24"/>
          <w:szCs w:val="24"/>
          <w:lang w:val="en-GB"/>
        </w:rPr>
        <w:t xml:space="preserve">elevant data </w:t>
      </w:r>
      <w:r w:rsidR="00385CBF">
        <w:rPr>
          <w:rFonts w:asciiTheme="majorBidi" w:hAnsiTheme="majorBidi" w:cstheme="majorBidi"/>
          <w:sz w:val="24"/>
          <w:szCs w:val="24"/>
          <w:lang w:val="en-GB"/>
        </w:rPr>
        <w:t xml:space="preserve">for the effectiveness evaluation </w:t>
      </w:r>
      <w:r w:rsidR="00745228" w:rsidRPr="00FC73F5">
        <w:rPr>
          <w:rFonts w:asciiTheme="majorBidi" w:hAnsiTheme="majorBidi" w:cstheme="majorBidi"/>
          <w:sz w:val="24"/>
          <w:szCs w:val="24"/>
          <w:lang w:val="en-GB"/>
        </w:rPr>
        <w:t xml:space="preserve">will be extracted from the selected resources and compiled </w:t>
      </w:r>
      <w:r w:rsidR="00745228" w:rsidRPr="009B4373">
        <w:rPr>
          <w:rFonts w:asciiTheme="majorBidi" w:hAnsiTheme="majorBidi" w:cstheme="majorBidi"/>
          <w:sz w:val="24"/>
          <w:szCs w:val="24"/>
          <w:lang w:val="en-GB"/>
        </w:rPr>
        <w:t>into a format that will</w:t>
      </w:r>
      <w:r w:rsidR="00745228" w:rsidRPr="00FC73F5">
        <w:rPr>
          <w:rFonts w:asciiTheme="majorBidi" w:hAnsiTheme="majorBidi" w:cstheme="majorBidi"/>
          <w:sz w:val="24"/>
          <w:szCs w:val="24"/>
          <w:lang w:val="en-GB"/>
        </w:rPr>
        <w:t xml:space="preserve"> enable their use in the subsequent assessment and evaluation stages. Quality control of data should be conducted at this stage. For monitoring data, this may include the compilation of monitoring data into a global</w:t>
      </w:r>
      <w:r w:rsidR="0090735A">
        <w:rPr>
          <w:rFonts w:asciiTheme="majorBidi" w:hAnsiTheme="majorBidi" w:cstheme="majorBidi"/>
          <w:sz w:val="24"/>
          <w:szCs w:val="24"/>
          <w:lang w:val="en-GB"/>
        </w:rPr>
        <w:t>/central</w:t>
      </w:r>
      <w:r w:rsidR="00745228" w:rsidRPr="00FC73F5">
        <w:rPr>
          <w:rFonts w:asciiTheme="majorBidi" w:hAnsiTheme="majorBidi" w:cstheme="majorBidi"/>
          <w:sz w:val="24"/>
          <w:szCs w:val="24"/>
          <w:lang w:val="en-GB"/>
        </w:rPr>
        <w:t xml:space="preserve"> database with a consistent format, common quality control/quality assurance procedures, assessment of confidence, and other relevant elements.</w:t>
      </w:r>
    </w:p>
    <w:p w14:paraId="673A5C1D" w14:textId="77777777" w:rsidR="00745228" w:rsidRPr="00FC73F5" w:rsidRDefault="00745228" w:rsidP="009D5BC7">
      <w:pPr>
        <w:spacing w:after="0"/>
        <w:rPr>
          <w:rFonts w:asciiTheme="majorBidi" w:hAnsiTheme="majorBidi" w:cstheme="majorBidi"/>
          <w:bCs/>
          <w:sz w:val="24"/>
          <w:szCs w:val="24"/>
        </w:rPr>
      </w:pPr>
    </w:p>
    <w:p w14:paraId="0586E158" w14:textId="19D918F4" w:rsidR="007E4D28" w:rsidRPr="007E4D28" w:rsidRDefault="00B370AD" w:rsidP="007E4D28">
      <w:pPr>
        <w:pStyle w:val="ListParagraph"/>
        <w:numPr>
          <w:ilvl w:val="0"/>
          <w:numId w:val="1"/>
        </w:numPr>
        <w:spacing w:after="160"/>
        <w:rPr>
          <w:rFonts w:asciiTheme="majorBidi" w:hAnsiTheme="majorBidi" w:cstheme="majorBidi"/>
          <w:sz w:val="24"/>
          <w:szCs w:val="24"/>
          <w:lang w:val="en-GB"/>
        </w:rPr>
      </w:pPr>
      <w:r w:rsidRPr="00FC73F5">
        <w:rPr>
          <w:rFonts w:asciiTheme="majorBidi" w:hAnsiTheme="majorBidi" w:cstheme="majorBidi"/>
          <w:b/>
          <w:sz w:val="24"/>
          <w:szCs w:val="24"/>
          <w:lang w:val="en-GB"/>
        </w:rPr>
        <w:t>Level 3</w:t>
      </w:r>
      <w:r w:rsidR="009D75C6" w:rsidRPr="00FC73F5">
        <w:rPr>
          <w:rFonts w:asciiTheme="majorBidi" w:hAnsiTheme="majorBidi" w:cstheme="majorBidi"/>
          <w:b/>
          <w:sz w:val="24"/>
          <w:szCs w:val="24"/>
          <w:lang w:val="en-GB"/>
        </w:rPr>
        <w:t xml:space="preserve"> – </w:t>
      </w:r>
      <w:r w:rsidR="00DF5496" w:rsidRPr="00BA3A79">
        <w:rPr>
          <w:rFonts w:asciiTheme="majorBidi" w:hAnsiTheme="majorBidi" w:cstheme="majorBidi"/>
          <w:b/>
          <w:sz w:val="24"/>
          <w:szCs w:val="24"/>
          <w:lang w:val="en-GB"/>
        </w:rPr>
        <w:t>Synthesis reports</w:t>
      </w:r>
      <w:r w:rsidRPr="00FC73F5">
        <w:rPr>
          <w:rFonts w:asciiTheme="majorBidi" w:hAnsiTheme="majorBidi" w:cstheme="majorBidi"/>
          <w:b/>
          <w:sz w:val="24"/>
          <w:szCs w:val="24"/>
          <w:lang w:val="en-GB"/>
        </w:rPr>
        <w:t>:</w:t>
      </w:r>
      <w:r w:rsidRPr="00FC73F5">
        <w:rPr>
          <w:rFonts w:asciiTheme="majorBidi" w:hAnsiTheme="majorBidi" w:cstheme="majorBidi"/>
          <w:bCs/>
          <w:sz w:val="24"/>
          <w:szCs w:val="24"/>
          <w:lang w:val="en-GB"/>
        </w:rPr>
        <w:t xml:space="preserve"> </w:t>
      </w:r>
      <w:r w:rsidR="0090735A">
        <w:rPr>
          <w:rFonts w:asciiTheme="majorBidi" w:hAnsiTheme="majorBidi" w:cstheme="majorBidi"/>
          <w:bCs/>
          <w:sz w:val="24"/>
          <w:szCs w:val="24"/>
          <w:lang w:val="en-GB"/>
        </w:rPr>
        <w:t>T</w:t>
      </w:r>
      <w:r w:rsidR="00745228" w:rsidRPr="00FC73F5">
        <w:rPr>
          <w:rFonts w:asciiTheme="majorBidi" w:hAnsiTheme="majorBidi" w:cstheme="majorBidi"/>
          <w:bCs/>
          <w:sz w:val="24"/>
          <w:szCs w:val="24"/>
          <w:lang w:val="en-GB"/>
        </w:rPr>
        <w:t xml:space="preserve">he </w:t>
      </w:r>
      <w:r w:rsidR="00385CBF">
        <w:rPr>
          <w:rFonts w:asciiTheme="majorBidi" w:hAnsiTheme="majorBidi" w:cstheme="majorBidi"/>
          <w:bCs/>
          <w:sz w:val="24"/>
          <w:szCs w:val="24"/>
          <w:lang w:val="en-GB"/>
        </w:rPr>
        <w:t>amassed</w:t>
      </w:r>
      <w:r w:rsidR="00745228" w:rsidRPr="00FC73F5">
        <w:rPr>
          <w:rFonts w:asciiTheme="majorBidi" w:hAnsiTheme="majorBidi" w:cstheme="majorBidi"/>
          <w:bCs/>
          <w:sz w:val="24"/>
          <w:szCs w:val="24"/>
          <w:lang w:val="en-GB"/>
        </w:rPr>
        <w:t xml:space="preserve"> and compiled data</w:t>
      </w:r>
      <w:r w:rsidR="00745228" w:rsidRPr="00FC73F5">
        <w:rPr>
          <w:rFonts w:asciiTheme="majorBidi" w:hAnsiTheme="majorBidi" w:cstheme="majorBidi"/>
          <w:sz w:val="24"/>
          <w:szCs w:val="24"/>
          <w:lang w:val="en-GB"/>
        </w:rPr>
        <w:t xml:space="preserve"> will be used to create a </w:t>
      </w:r>
      <w:r w:rsidR="00BA3A79">
        <w:rPr>
          <w:rFonts w:asciiTheme="majorBidi" w:hAnsiTheme="majorBidi" w:cstheme="majorBidi"/>
          <w:sz w:val="24"/>
          <w:szCs w:val="24"/>
          <w:lang w:val="en-GB"/>
        </w:rPr>
        <w:t>set</w:t>
      </w:r>
      <w:r w:rsidR="00745228" w:rsidRPr="00FC73F5">
        <w:rPr>
          <w:rFonts w:asciiTheme="majorBidi" w:hAnsiTheme="majorBidi" w:cstheme="majorBidi"/>
          <w:sz w:val="24"/>
          <w:szCs w:val="24"/>
          <w:lang w:val="en-GB"/>
        </w:rPr>
        <w:t xml:space="preserve"> of reports that synthesize the information. </w:t>
      </w:r>
      <w:r w:rsidR="00600504">
        <w:rPr>
          <w:rFonts w:asciiTheme="majorBidi" w:hAnsiTheme="majorBidi" w:cstheme="majorBidi"/>
          <w:sz w:val="24"/>
          <w:szCs w:val="24"/>
          <w:lang w:val="en-GB"/>
        </w:rPr>
        <w:t>These reports are to inform the four policy questions</w:t>
      </w:r>
      <w:r w:rsidR="000134F7">
        <w:rPr>
          <w:rFonts w:asciiTheme="majorBidi" w:hAnsiTheme="majorBidi" w:cstheme="majorBidi"/>
          <w:sz w:val="24"/>
          <w:szCs w:val="24"/>
          <w:lang w:val="en-GB"/>
        </w:rPr>
        <w:t xml:space="preserve">. Responding to the request from the Conference of the Parties that the evaluation is to provide for an </w:t>
      </w:r>
      <w:r w:rsidR="000134F7" w:rsidRPr="00FC73F5">
        <w:rPr>
          <w:sz w:val="24"/>
          <w:szCs w:val="24"/>
          <w:lang w:val="en-GB"/>
        </w:rPr>
        <w:t xml:space="preserve">integrative picture of the general effectiveness of the Convention, </w:t>
      </w:r>
      <w:r w:rsidR="000134F7">
        <w:rPr>
          <w:sz w:val="24"/>
          <w:szCs w:val="24"/>
          <w:lang w:val="en-GB"/>
        </w:rPr>
        <w:t>the ad hoc technical expert group</w:t>
      </w:r>
      <w:r w:rsidR="007E4D28">
        <w:rPr>
          <w:sz w:val="24"/>
          <w:szCs w:val="24"/>
          <w:lang w:val="en-GB"/>
        </w:rPr>
        <w:t xml:space="preserve"> </w:t>
      </w:r>
      <w:r w:rsidR="007E4D28" w:rsidRPr="007E4D28">
        <w:rPr>
          <w:rFonts w:asciiTheme="majorBidi" w:hAnsiTheme="majorBidi" w:cstheme="majorBidi"/>
          <w:sz w:val="24"/>
          <w:szCs w:val="24"/>
        </w:rPr>
        <w:t>lays out that the following synthesis reports will be required</w:t>
      </w:r>
      <w:r w:rsidR="002B4674">
        <w:rPr>
          <w:rFonts w:asciiTheme="majorBidi" w:hAnsiTheme="majorBidi" w:cstheme="majorBidi"/>
          <w:sz w:val="24"/>
          <w:szCs w:val="24"/>
        </w:rPr>
        <w:t xml:space="preserve"> (see Annex 4 for descriptions of the synthesis reports)</w:t>
      </w:r>
      <w:r w:rsidR="007E4D28" w:rsidRPr="007E4D28">
        <w:rPr>
          <w:rFonts w:asciiTheme="majorBidi" w:hAnsiTheme="majorBidi" w:cstheme="majorBidi"/>
          <w:sz w:val="24"/>
          <w:szCs w:val="24"/>
        </w:rPr>
        <w:t xml:space="preserve">: </w:t>
      </w:r>
    </w:p>
    <w:p w14:paraId="4947FC0E" w14:textId="6B7FD30F" w:rsidR="003E41AD" w:rsidRPr="003E41AD" w:rsidRDefault="00472872" w:rsidP="0025348A">
      <w:pPr>
        <w:pStyle w:val="ListParagraph"/>
        <w:numPr>
          <w:ilvl w:val="0"/>
          <w:numId w:val="26"/>
        </w:numPr>
        <w:spacing w:after="160"/>
        <w:rPr>
          <w:sz w:val="24"/>
          <w:szCs w:val="24"/>
          <w:lang w:val="en-GB"/>
        </w:rPr>
      </w:pPr>
      <w:r w:rsidRPr="007A272C">
        <w:rPr>
          <w:sz w:val="24"/>
          <w:szCs w:val="24"/>
          <w:lang w:val="en-GB"/>
        </w:rPr>
        <w:t>The</w:t>
      </w:r>
      <w:r w:rsidR="007E4D28" w:rsidRPr="007A272C">
        <w:rPr>
          <w:sz w:val="24"/>
          <w:szCs w:val="24"/>
          <w:lang w:val="en-GB"/>
        </w:rPr>
        <w:t xml:space="preserve"> state of </w:t>
      </w:r>
      <w:r w:rsidR="00280F9E" w:rsidRPr="007A272C">
        <w:rPr>
          <w:sz w:val="24"/>
          <w:szCs w:val="24"/>
          <w:lang w:val="en-GB"/>
        </w:rPr>
        <w:t xml:space="preserve">global </w:t>
      </w:r>
      <w:r w:rsidR="007E4D28" w:rsidRPr="007A272C">
        <w:rPr>
          <w:sz w:val="24"/>
          <w:szCs w:val="24"/>
          <w:lang w:val="en-GB"/>
        </w:rPr>
        <w:t xml:space="preserve">mercury </w:t>
      </w:r>
      <w:r w:rsidR="002B55F3" w:rsidRPr="007A272C">
        <w:rPr>
          <w:sz w:val="24"/>
          <w:szCs w:val="24"/>
          <w:lang w:val="en-GB"/>
        </w:rPr>
        <w:t>levels</w:t>
      </w:r>
      <w:r w:rsidR="007E4D28" w:rsidRPr="007A272C">
        <w:rPr>
          <w:sz w:val="24"/>
          <w:szCs w:val="24"/>
          <w:lang w:val="en-GB"/>
        </w:rPr>
        <w:t xml:space="preserve"> in</w:t>
      </w:r>
      <w:r w:rsidR="007E4D28" w:rsidRPr="003E41AD">
        <w:rPr>
          <w:sz w:val="24"/>
          <w:szCs w:val="24"/>
          <w:lang w:val="en-GB"/>
        </w:rPr>
        <w:t xml:space="preserve"> the environment, biota and humans, as well as trends over time </w:t>
      </w:r>
      <w:r w:rsidR="007A272C">
        <w:rPr>
          <w:sz w:val="24"/>
          <w:szCs w:val="24"/>
          <w:lang w:val="en-GB"/>
        </w:rPr>
        <w:t>–</w:t>
      </w:r>
      <w:r w:rsidR="007E4D28" w:rsidRPr="003E41AD">
        <w:rPr>
          <w:sz w:val="24"/>
          <w:szCs w:val="24"/>
          <w:lang w:val="en-GB"/>
        </w:rPr>
        <w:t xml:space="preserve"> </w:t>
      </w:r>
      <w:r w:rsidR="006C25A6" w:rsidRPr="006C25A6">
        <w:rPr>
          <w:b/>
          <w:bCs/>
          <w:sz w:val="24"/>
          <w:szCs w:val="24"/>
          <w:lang w:val="en-GB"/>
        </w:rPr>
        <w:t>G</w:t>
      </w:r>
      <w:r w:rsidR="007E4D28" w:rsidRPr="006C25A6">
        <w:rPr>
          <w:b/>
          <w:bCs/>
          <w:sz w:val="24"/>
          <w:szCs w:val="24"/>
          <w:lang w:val="en-GB"/>
        </w:rPr>
        <w:t xml:space="preserve">lobal </w:t>
      </w:r>
      <w:r w:rsidR="006C25A6" w:rsidRPr="006C25A6">
        <w:rPr>
          <w:b/>
          <w:bCs/>
          <w:sz w:val="24"/>
          <w:szCs w:val="24"/>
          <w:lang w:val="en-GB"/>
        </w:rPr>
        <w:t>M</w:t>
      </w:r>
      <w:r w:rsidR="007E4D28" w:rsidRPr="006C25A6">
        <w:rPr>
          <w:b/>
          <w:bCs/>
          <w:sz w:val="24"/>
          <w:szCs w:val="24"/>
          <w:lang w:val="en-GB"/>
        </w:rPr>
        <w:t xml:space="preserve">onitoring </w:t>
      </w:r>
      <w:r w:rsidR="006C25A6" w:rsidRPr="006C25A6">
        <w:rPr>
          <w:b/>
          <w:bCs/>
          <w:sz w:val="24"/>
          <w:szCs w:val="24"/>
          <w:lang w:val="en-GB"/>
        </w:rPr>
        <w:t>R</w:t>
      </w:r>
      <w:r w:rsidR="007E4D28" w:rsidRPr="006C25A6">
        <w:rPr>
          <w:b/>
          <w:bCs/>
          <w:sz w:val="24"/>
          <w:szCs w:val="24"/>
          <w:lang w:val="en-GB"/>
        </w:rPr>
        <w:t>eport</w:t>
      </w:r>
      <w:r w:rsidR="003E41AD" w:rsidRPr="003E41AD">
        <w:rPr>
          <w:sz w:val="24"/>
          <w:szCs w:val="24"/>
          <w:lang w:val="en-GB"/>
        </w:rPr>
        <w:t>;</w:t>
      </w:r>
    </w:p>
    <w:p w14:paraId="70D1BF4D" w14:textId="79C3D592" w:rsidR="007E4D28" w:rsidRPr="003E41AD" w:rsidRDefault="003E41AD" w:rsidP="0025348A">
      <w:pPr>
        <w:pStyle w:val="ListParagraph"/>
        <w:numPr>
          <w:ilvl w:val="0"/>
          <w:numId w:val="26"/>
        </w:numPr>
        <w:spacing w:after="160"/>
        <w:rPr>
          <w:sz w:val="24"/>
          <w:szCs w:val="24"/>
          <w:lang w:val="en-GB"/>
        </w:rPr>
      </w:pPr>
      <w:r w:rsidRPr="003E41AD">
        <w:rPr>
          <w:b/>
          <w:bCs/>
          <w:sz w:val="24"/>
          <w:szCs w:val="24"/>
          <w:lang w:val="en-GB"/>
        </w:rPr>
        <w:t>Emissions and Releases</w:t>
      </w:r>
      <w:r w:rsidR="00995DA5">
        <w:rPr>
          <w:b/>
          <w:bCs/>
          <w:sz w:val="24"/>
          <w:szCs w:val="24"/>
          <w:lang w:val="en-GB"/>
        </w:rPr>
        <w:t xml:space="preserve"> Report</w:t>
      </w:r>
      <w:r w:rsidRPr="003E41AD">
        <w:rPr>
          <w:sz w:val="24"/>
          <w:szCs w:val="24"/>
          <w:lang w:val="en-GB"/>
        </w:rPr>
        <w:t xml:space="preserve"> – modelled after the </w:t>
      </w:r>
      <w:r w:rsidRPr="003E41AD">
        <w:rPr>
          <w:i/>
          <w:iCs/>
          <w:sz w:val="24"/>
          <w:szCs w:val="24"/>
          <w:lang w:val="en-GB"/>
        </w:rPr>
        <w:t>Global Mercury Assessment</w:t>
      </w:r>
      <w:r w:rsidRPr="003E41AD">
        <w:rPr>
          <w:sz w:val="24"/>
          <w:szCs w:val="24"/>
          <w:lang w:val="en-GB"/>
        </w:rPr>
        <w:t xml:space="preserve"> (2018);</w:t>
      </w:r>
    </w:p>
    <w:p w14:paraId="2BD89FE2" w14:textId="06BF87F4" w:rsidR="003E41AD" w:rsidRPr="003E41AD" w:rsidRDefault="003E41AD" w:rsidP="0025348A">
      <w:pPr>
        <w:pStyle w:val="ListParagraph"/>
        <w:numPr>
          <w:ilvl w:val="0"/>
          <w:numId w:val="26"/>
        </w:numPr>
        <w:spacing w:after="160"/>
        <w:rPr>
          <w:sz w:val="24"/>
          <w:szCs w:val="24"/>
          <w:lang w:val="en-GB"/>
        </w:rPr>
      </w:pPr>
      <w:r w:rsidRPr="003E41AD">
        <w:rPr>
          <w:b/>
          <w:bCs/>
          <w:sz w:val="24"/>
          <w:szCs w:val="24"/>
          <w:lang w:val="en-GB"/>
        </w:rPr>
        <w:t>Trade, Supply and Demand</w:t>
      </w:r>
      <w:r w:rsidR="00995DA5">
        <w:rPr>
          <w:b/>
          <w:bCs/>
          <w:sz w:val="24"/>
          <w:szCs w:val="24"/>
          <w:lang w:val="en-GB"/>
        </w:rPr>
        <w:t xml:space="preserve"> Report</w:t>
      </w:r>
      <w:r w:rsidRPr="003E41AD">
        <w:rPr>
          <w:sz w:val="24"/>
          <w:szCs w:val="24"/>
          <w:lang w:val="en-GB"/>
        </w:rPr>
        <w:t xml:space="preserve"> – modelled after </w:t>
      </w:r>
      <w:r w:rsidRPr="003E41AD">
        <w:rPr>
          <w:i/>
          <w:iCs/>
          <w:sz w:val="24"/>
          <w:szCs w:val="24"/>
          <w:lang w:val="en-GB"/>
        </w:rPr>
        <w:t>Global Mercury: Supply, Trade and Demand</w:t>
      </w:r>
      <w:r w:rsidRPr="003E41AD">
        <w:rPr>
          <w:sz w:val="24"/>
          <w:szCs w:val="24"/>
          <w:lang w:val="en-GB"/>
        </w:rPr>
        <w:t xml:space="preserve"> (2017);</w:t>
      </w:r>
    </w:p>
    <w:p w14:paraId="61B944DD" w14:textId="4A4BB66A" w:rsidR="007E4D28" w:rsidRPr="003E41AD" w:rsidRDefault="003E41AD" w:rsidP="0025348A">
      <w:pPr>
        <w:pStyle w:val="ListParagraph"/>
        <w:numPr>
          <w:ilvl w:val="0"/>
          <w:numId w:val="26"/>
        </w:numPr>
        <w:spacing w:after="160"/>
        <w:rPr>
          <w:sz w:val="24"/>
          <w:szCs w:val="24"/>
          <w:lang w:val="en-GB"/>
        </w:rPr>
      </w:pPr>
      <w:r w:rsidRPr="003E41AD">
        <w:rPr>
          <w:b/>
          <w:bCs/>
          <w:sz w:val="24"/>
          <w:szCs w:val="24"/>
          <w:lang w:val="en-GB"/>
        </w:rPr>
        <w:t>Waste Management</w:t>
      </w:r>
      <w:r w:rsidR="00995DA5">
        <w:rPr>
          <w:b/>
          <w:bCs/>
          <w:sz w:val="24"/>
          <w:szCs w:val="24"/>
          <w:lang w:val="en-GB"/>
        </w:rPr>
        <w:t xml:space="preserve"> Report</w:t>
      </w:r>
      <w:r w:rsidRPr="003E41AD">
        <w:rPr>
          <w:sz w:val="24"/>
          <w:szCs w:val="24"/>
          <w:lang w:val="en-GB"/>
        </w:rPr>
        <w:t xml:space="preserve"> – building on </w:t>
      </w:r>
      <w:r w:rsidRPr="003E41AD">
        <w:rPr>
          <w:i/>
          <w:iCs/>
          <w:sz w:val="24"/>
          <w:szCs w:val="24"/>
          <w:lang w:val="en-GB"/>
        </w:rPr>
        <w:t>Global Mercury Waste Assessment</w:t>
      </w:r>
      <w:r w:rsidRPr="003E41AD">
        <w:rPr>
          <w:sz w:val="24"/>
          <w:szCs w:val="24"/>
          <w:lang w:val="en-GB"/>
        </w:rPr>
        <w:t xml:space="preserve"> (2018).</w:t>
      </w:r>
    </w:p>
    <w:p w14:paraId="3DCCB31F" w14:textId="1CC42EE0" w:rsidR="00745228" w:rsidRPr="00FC73F5" w:rsidRDefault="00C636FB" w:rsidP="00636C4A">
      <w:pPr>
        <w:pStyle w:val="ListParagraph"/>
        <w:numPr>
          <w:ilvl w:val="0"/>
          <w:numId w:val="1"/>
        </w:numPr>
        <w:spacing w:after="160"/>
        <w:rPr>
          <w:rFonts w:asciiTheme="majorBidi" w:hAnsiTheme="majorBidi" w:cstheme="majorBidi"/>
          <w:sz w:val="24"/>
          <w:szCs w:val="24"/>
          <w:lang w:val="en-GB"/>
        </w:rPr>
      </w:pPr>
      <w:r>
        <w:rPr>
          <w:rFonts w:asciiTheme="majorBidi" w:hAnsiTheme="majorBidi" w:cstheme="majorBidi"/>
          <w:sz w:val="24"/>
          <w:szCs w:val="24"/>
          <w:lang w:val="en-GB"/>
        </w:rPr>
        <w:t xml:space="preserve">The reports will inform on the process, outcome and monitoring indicators, to facilitate the Effectiveness Evaluation Committee’s </w:t>
      </w:r>
      <w:r w:rsidR="00D75965">
        <w:rPr>
          <w:rFonts w:asciiTheme="majorBidi" w:hAnsiTheme="majorBidi" w:cstheme="majorBidi"/>
          <w:sz w:val="24"/>
          <w:szCs w:val="24"/>
          <w:lang w:val="en-GB"/>
        </w:rPr>
        <w:t>consideration of</w:t>
      </w:r>
      <w:r>
        <w:rPr>
          <w:rFonts w:asciiTheme="majorBidi" w:hAnsiTheme="majorBidi" w:cstheme="majorBidi"/>
          <w:sz w:val="24"/>
          <w:szCs w:val="24"/>
          <w:lang w:val="en-GB"/>
        </w:rPr>
        <w:t xml:space="preserve"> the four policy questions.</w:t>
      </w:r>
      <w:r w:rsidR="00D75965">
        <w:rPr>
          <w:rFonts w:asciiTheme="majorBidi" w:hAnsiTheme="majorBidi" w:cstheme="majorBidi"/>
          <w:sz w:val="24"/>
          <w:szCs w:val="24"/>
          <w:lang w:val="en-GB"/>
        </w:rPr>
        <w:t xml:space="preserve"> T</w:t>
      </w:r>
      <w:r>
        <w:rPr>
          <w:rFonts w:asciiTheme="majorBidi" w:hAnsiTheme="majorBidi" w:cstheme="majorBidi"/>
          <w:sz w:val="24"/>
          <w:szCs w:val="24"/>
          <w:lang w:val="en-GB"/>
        </w:rPr>
        <w:t>hese</w:t>
      </w:r>
      <w:r w:rsidRPr="00FC73F5">
        <w:rPr>
          <w:rFonts w:asciiTheme="majorBidi" w:hAnsiTheme="majorBidi" w:cstheme="majorBidi"/>
          <w:sz w:val="24"/>
          <w:szCs w:val="24"/>
          <w:lang w:val="en-GB"/>
        </w:rPr>
        <w:t xml:space="preserve"> reports </w:t>
      </w:r>
      <w:r>
        <w:rPr>
          <w:rFonts w:asciiTheme="majorBidi" w:hAnsiTheme="majorBidi" w:cstheme="majorBidi"/>
          <w:sz w:val="24"/>
          <w:szCs w:val="24"/>
          <w:lang w:val="en-GB"/>
        </w:rPr>
        <w:t>will</w:t>
      </w:r>
      <w:r w:rsidRPr="00FC73F5">
        <w:rPr>
          <w:rFonts w:asciiTheme="majorBidi" w:hAnsiTheme="majorBidi" w:cstheme="majorBidi"/>
          <w:sz w:val="24"/>
          <w:szCs w:val="24"/>
          <w:lang w:val="en-GB"/>
        </w:rPr>
        <w:t xml:space="preserve"> include scientific </w:t>
      </w:r>
      <w:r>
        <w:rPr>
          <w:rFonts w:asciiTheme="majorBidi" w:hAnsiTheme="majorBidi" w:cstheme="majorBidi"/>
          <w:sz w:val="24"/>
          <w:szCs w:val="24"/>
          <w:lang w:val="en-GB"/>
        </w:rPr>
        <w:t xml:space="preserve">and technical </w:t>
      </w:r>
      <w:r w:rsidRPr="00FC73F5">
        <w:rPr>
          <w:rFonts w:asciiTheme="majorBidi" w:hAnsiTheme="majorBidi" w:cstheme="majorBidi"/>
          <w:sz w:val="24"/>
          <w:szCs w:val="24"/>
          <w:lang w:val="en-GB"/>
        </w:rPr>
        <w:t>background</w:t>
      </w:r>
      <w:r>
        <w:rPr>
          <w:rFonts w:asciiTheme="majorBidi" w:hAnsiTheme="majorBidi" w:cstheme="majorBidi"/>
          <w:sz w:val="24"/>
          <w:szCs w:val="24"/>
          <w:lang w:val="en-GB"/>
        </w:rPr>
        <w:t>,</w:t>
      </w:r>
      <w:r w:rsidRPr="00FC73F5">
        <w:rPr>
          <w:rFonts w:asciiTheme="majorBidi" w:hAnsiTheme="majorBidi" w:cstheme="majorBidi"/>
          <w:sz w:val="24"/>
          <w:szCs w:val="24"/>
          <w:lang w:val="en-GB"/>
        </w:rPr>
        <w:t xml:space="preserve"> as well as accessible visual presentations</w:t>
      </w:r>
      <w:r>
        <w:rPr>
          <w:rFonts w:asciiTheme="majorBidi" w:hAnsiTheme="majorBidi" w:cstheme="majorBidi"/>
          <w:sz w:val="24"/>
          <w:szCs w:val="24"/>
          <w:lang w:val="en-GB"/>
        </w:rPr>
        <w:t>.</w:t>
      </w:r>
    </w:p>
    <w:p w14:paraId="629B735A" w14:textId="75B3BF65" w:rsidR="0052055E" w:rsidRDefault="00DF5496" w:rsidP="0090735A">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sz w:val="24"/>
          <w:szCs w:val="24"/>
          <w:lang w:val="en-GB"/>
        </w:rPr>
      </w:pPr>
      <w:r w:rsidRPr="00FC73F5">
        <w:rPr>
          <w:rFonts w:asciiTheme="majorBidi" w:hAnsiTheme="majorBidi" w:cstheme="majorBidi"/>
          <w:b/>
          <w:bCs/>
          <w:sz w:val="24"/>
          <w:szCs w:val="24"/>
          <w:lang w:val="en-GB"/>
        </w:rPr>
        <w:t>Level 4</w:t>
      </w:r>
      <w:r w:rsidR="009D75C6" w:rsidRPr="00FC73F5">
        <w:rPr>
          <w:rFonts w:asciiTheme="majorBidi" w:hAnsiTheme="majorBidi" w:cstheme="majorBidi"/>
          <w:b/>
          <w:sz w:val="24"/>
          <w:szCs w:val="24"/>
          <w:lang w:val="en-GB"/>
        </w:rPr>
        <w:t xml:space="preserve"> – </w:t>
      </w:r>
      <w:r w:rsidRPr="00FC73F5">
        <w:rPr>
          <w:rFonts w:asciiTheme="majorBidi" w:hAnsiTheme="majorBidi" w:cstheme="majorBidi"/>
          <w:b/>
          <w:bCs/>
          <w:sz w:val="24"/>
          <w:szCs w:val="24"/>
          <w:lang w:val="en-GB"/>
        </w:rPr>
        <w:t>Integrated Assessment Report:</w:t>
      </w:r>
      <w:r w:rsidRPr="00FC73F5">
        <w:rPr>
          <w:rFonts w:asciiTheme="majorBidi" w:hAnsiTheme="majorBidi" w:cstheme="majorBidi"/>
          <w:sz w:val="24"/>
          <w:szCs w:val="24"/>
          <w:lang w:val="en-GB"/>
        </w:rPr>
        <w:t xml:space="preserve"> </w:t>
      </w:r>
      <w:r w:rsidR="002D4E3D">
        <w:rPr>
          <w:rFonts w:asciiTheme="majorBidi" w:hAnsiTheme="majorBidi" w:cstheme="majorBidi"/>
          <w:sz w:val="24"/>
          <w:szCs w:val="24"/>
          <w:lang w:val="en-GB"/>
        </w:rPr>
        <w:t>T</w:t>
      </w:r>
      <w:r w:rsidR="00745228" w:rsidRPr="00FC73F5">
        <w:rPr>
          <w:rFonts w:asciiTheme="majorBidi" w:hAnsiTheme="majorBidi" w:cstheme="majorBidi"/>
          <w:sz w:val="24"/>
          <w:szCs w:val="24"/>
          <w:lang w:val="en-GB"/>
        </w:rPr>
        <w:t xml:space="preserve">he </w:t>
      </w:r>
      <w:r w:rsidRPr="002343DC">
        <w:rPr>
          <w:rFonts w:asciiTheme="majorBidi" w:hAnsiTheme="majorBidi" w:cstheme="majorBidi"/>
          <w:sz w:val="24"/>
          <w:szCs w:val="24"/>
          <w:lang w:val="en-GB"/>
        </w:rPr>
        <w:t>synthesis</w:t>
      </w:r>
      <w:r w:rsidR="002343DC" w:rsidRPr="002343DC">
        <w:rPr>
          <w:rFonts w:asciiTheme="majorBidi" w:hAnsiTheme="majorBidi" w:cstheme="majorBidi"/>
          <w:sz w:val="24"/>
          <w:szCs w:val="24"/>
          <w:lang w:val="en-GB"/>
        </w:rPr>
        <w:t xml:space="preserve"> </w:t>
      </w:r>
      <w:r w:rsidR="00745228" w:rsidRPr="002343DC">
        <w:rPr>
          <w:rFonts w:asciiTheme="majorBidi" w:hAnsiTheme="majorBidi" w:cstheme="majorBidi"/>
          <w:sz w:val="24"/>
          <w:szCs w:val="24"/>
          <w:lang w:val="en-GB"/>
        </w:rPr>
        <w:t>reports (and</w:t>
      </w:r>
      <w:r w:rsidR="00745228" w:rsidRPr="00FC73F5">
        <w:rPr>
          <w:rFonts w:asciiTheme="majorBidi" w:hAnsiTheme="majorBidi" w:cstheme="majorBidi"/>
          <w:sz w:val="24"/>
          <w:szCs w:val="24"/>
          <w:lang w:val="en-GB"/>
        </w:rPr>
        <w:t xml:space="preserve">, where needed, the underlying </w:t>
      </w:r>
      <w:r w:rsidR="002D4E3D">
        <w:rPr>
          <w:rFonts w:asciiTheme="majorBidi" w:hAnsiTheme="majorBidi" w:cstheme="majorBidi"/>
          <w:sz w:val="24"/>
          <w:szCs w:val="24"/>
          <w:lang w:val="en-GB"/>
        </w:rPr>
        <w:t xml:space="preserve">and/or additional </w:t>
      </w:r>
      <w:r w:rsidR="00745228" w:rsidRPr="00FC73F5">
        <w:rPr>
          <w:rFonts w:asciiTheme="majorBidi" w:hAnsiTheme="majorBidi" w:cstheme="majorBidi"/>
          <w:sz w:val="24"/>
          <w:szCs w:val="24"/>
          <w:lang w:val="en-GB"/>
        </w:rPr>
        <w:t xml:space="preserve">data) on Convention actions, emissions and releases, and monitoring data, etc. will be used </w:t>
      </w:r>
      <w:r w:rsidR="00C636FB">
        <w:rPr>
          <w:rFonts w:asciiTheme="majorBidi" w:hAnsiTheme="majorBidi" w:cstheme="majorBidi"/>
          <w:sz w:val="24"/>
          <w:szCs w:val="24"/>
          <w:lang w:val="en-GB"/>
        </w:rPr>
        <w:t xml:space="preserve">for </w:t>
      </w:r>
      <w:r w:rsidR="00CB5A44">
        <w:rPr>
          <w:rFonts w:asciiTheme="majorBidi" w:hAnsiTheme="majorBidi" w:cstheme="majorBidi"/>
          <w:sz w:val="24"/>
          <w:szCs w:val="24"/>
          <w:lang w:val="en-GB"/>
        </w:rPr>
        <w:t>the</w:t>
      </w:r>
      <w:r w:rsidR="00BD0F30">
        <w:rPr>
          <w:rFonts w:asciiTheme="majorBidi" w:hAnsiTheme="majorBidi" w:cstheme="majorBidi"/>
          <w:sz w:val="24"/>
          <w:szCs w:val="24"/>
          <w:lang w:val="en-GB"/>
        </w:rPr>
        <w:t xml:space="preserve"> fifth, the</w:t>
      </w:r>
      <w:r w:rsidR="00C636FB">
        <w:rPr>
          <w:rFonts w:asciiTheme="majorBidi" w:hAnsiTheme="majorBidi" w:cstheme="majorBidi"/>
          <w:sz w:val="24"/>
          <w:szCs w:val="24"/>
          <w:lang w:val="en-GB"/>
        </w:rPr>
        <w:t xml:space="preserve"> </w:t>
      </w:r>
      <w:r w:rsidR="00CB5A44">
        <w:rPr>
          <w:rFonts w:asciiTheme="majorBidi" w:hAnsiTheme="majorBidi" w:cstheme="majorBidi"/>
          <w:b/>
          <w:bCs/>
          <w:sz w:val="24"/>
          <w:szCs w:val="24"/>
          <w:lang w:val="en-GB"/>
        </w:rPr>
        <w:t>I</w:t>
      </w:r>
      <w:r w:rsidRPr="00CB5A44">
        <w:rPr>
          <w:rFonts w:asciiTheme="majorBidi" w:hAnsiTheme="majorBidi" w:cstheme="majorBidi"/>
          <w:b/>
          <w:bCs/>
          <w:sz w:val="24"/>
          <w:szCs w:val="24"/>
          <w:lang w:val="en-GB"/>
        </w:rPr>
        <w:t xml:space="preserve">ntegrated </w:t>
      </w:r>
      <w:r w:rsidR="00CB5A44">
        <w:rPr>
          <w:rFonts w:asciiTheme="majorBidi" w:hAnsiTheme="majorBidi" w:cstheme="majorBidi"/>
          <w:b/>
          <w:bCs/>
          <w:sz w:val="24"/>
          <w:szCs w:val="24"/>
          <w:lang w:val="en-GB"/>
        </w:rPr>
        <w:t>A</w:t>
      </w:r>
      <w:r w:rsidR="00745228" w:rsidRPr="00CB5A44">
        <w:rPr>
          <w:rFonts w:asciiTheme="majorBidi" w:hAnsiTheme="majorBidi" w:cstheme="majorBidi"/>
          <w:b/>
          <w:bCs/>
          <w:sz w:val="24"/>
          <w:szCs w:val="24"/>
          <w:lang w:val="en-GB"/>
        </w:rPr>
        <w:t>ssessment</w:t>
      </w:r>
      <w:r w:rsidR="00C636FB" w:rsidRPr="00CB5A44">
        <w:rPr>
          <w:rFonts w:asciiTheme="majorBidi" w:hAnsiTheme="majorBidi" w:cstheme="majorBidi"/>
          <w:b/>
          <w:bCs/>
          <w:sz w:val="24"/>
          <w:szCs w:val="24"/>
          <w:lang w:val="en-GB"/>
        </w:rPr>
        <w:t xml:space="preserve"> </w:t>
      </w:r>
      <w:r w:rsidR="00CB5A44">
        <w:rPr>
          <w:rFonts w:asciiTheme="majorBidi" w:hAnsiTheme="majorBidi" w:cstheme="majorBidi"/>
          <w:b/>
          <w:bCs/>
          <w:sz w:val="24"/>
          <w:szCs w:val="24"/>
          <w:lang w:val="en-GB"/>
        </w:rPr>
        <w:t>R</w:t>
      </w:r>
      <w:r w:rsidR="00C636FB" w:rsidRPr="00CB5A44">
        <w:rPr>
          <w:rFonts w:asciiTheme="majorBidi" w:hAnsiTheme="majorBidi" w:cstheme="majorBidi"/>
          <w:b/>
          <w:bCs/>
          <w:sz w:val="24"/>
          <w:szCs w:val="24"/>
          <w:lang w:val="en-GB"/>
        </w:rPr>
        <w:t>eport</w:t>
      </w:r>
      <w:r w:rsidR="00C636FB">
        <w:rPr>
          <w:rFonts w:asciiTheme="majorBidi" w:hAnsiTheme="majorBidi" w:cstheme="majorBidi"/>
          <w:sz w:val="24"/>
          <w:szCs w:val="24"/>
          <w:lang w:val="en-GB"/>
        </w:rPr>
        <w:t xml:space="preserve">. This </w:t>
      </w:r>
      <w:r w:rsidR="00745228" w:rsidRPr="00FC73F5">
        <w:rPr>
          <w:rFonts w:asciiTheme="majorBidi" w:hAnsiTheme="majorBidi" w:cstheme="majorBidi"/>
          <w:sz w:val="24"/>
          <w:szCs w:val="24"/>
          <w:lang w:val="en-GB"/>
        </w:rPr>
        <w:t xml:space="preserve">integrated assessment report </w:t>
      </w:r>
      <w:r w:rsidR="00236B0C">
        <w:rPr>
          <w:rFonts w:asciiTheme="majorBidi" w:hAnsiTheme="majorBidi" w:cstheme="majorBidi"/>
          <w:sz w:val="24"/>
          <w:szCs w:val="24"/>
          <w:lang w:val="en-GB"/>
        </w:rPr>
        <w:t xml:space="preserve">will </w:t>
      </w:r>
      <w:r w:rsidR="0052055E">
        <w:rPr>
          <w:rFonts w:asciiTheme="majorBidi" w:hAnsiTheme="majorBidi" w:cstheme="majorBidi"/>
          <w:sz w:val="24"/>
          <w:szCs w:val="24"/>
          <w:lang w:val="en-GB"/>
        </w:rPr>
        <w:t xml:space="preserve">distinguish between the process, outcome and monitoring indicators to facilitate the Effectiveness Evaluation Committee’s efforts to address the four policy questions. The report will take </w:t>
      </w:r>
      <w:r w:rsidR="00745228" w:rsidRPr="00FC73F5">
        <w:rPr>
          <w:rFonts w:asciiTheme="majorBidi" w:hAnsiTheme="majorBidi" w:cstheme="majorBidi"/>
          <w:sz w:val="24"/>
          <w:szCs w:val="24"/>
          <w:lang w:val="en-GB"/>
        </w:rPr>
        <w:t xml:space="preserve">into account </w:t>
      </w:r>
      <w:r w:rsidR="0052055E">
        <w:rPr>
          <w:rFonts w:asciiTheme="majorBidi" w:hAnsiTheme="majorBidi" w:cstheme="majorBidi"/>
          <w:sz w:val="24"/>
          <w:szCs w:val="24"/>
          <w:lang w:val="en-GB"/>
        </w:rPr>
        <w:t>other</w:t>
      </w:r>
      <w:r w:rsidR="00745228" w:rsidRPr="00FC73F5">
        <w:rPr>
          <w:rFonts w:asciiTheme="majorBidi" w:hAnsiTheme="majorBidi" w:cstheme="majorBidi"/>
          <w:sz w:val="24"/>
          <w:szCs w:val="24"/>
          <w:lang w:val="en-GB"/>
        </w:rPr>
        <w:t xml:space="preserve"> information (information such as socio-economic information, technology innovation, climate data, key global policies, etc.)</w:t>
      </w:r>
      <w:r w:rsidR="008F28B3">
        <w:rPr>
          <w:rFonts w:asciiTheme="majorBidi" w:hAnsiTheme="majorBidi" w:cstheme="majorBidi"/>
          <w:sz w:val="24"/>
          <w:szCs w:val="24"/>
          <w:lang w:val="en-GB"/>
        </w:rPr>
        <w:t xml:space="preserve"> as necessary</w:t>
      </w:r>
      <w:r w:rsidR="00745228" w:rsidRPr="00FC73F5">
        <w:rPr>
          <w:rFonts w:asciiTheme="majorBidi" w:hAnsiTheme="majorBidi" w:cstheme="majorBidi"/>
          <w:sz w:val="24"/>
          <w:szCs w:val="24"/>
          <w:lang w:val="en-GB"/>
        </w:rPr>
        <w:t xml:space="preserve">. </w:t>
      </w:r>
      <w:r w:rsidR="002B4674">
        <w:rPr>
          <w:rFonts w:asciiTheme="majorBidi" w:hAnsiTheme="majorBidi" w:cstheme="majorBidi"/>
          <w:sz w:val="24"/>
          <w:szCs w:val="24"/>
          <w:lang w:val="en-GB"/>
        </w:rPr>
        <w:t>(See annex 4 for a further description of the Integrated Assessment Report).</w:t>
      </w:r>
    </w:p>
    <w:p w14:paraId="3AACD60F" w14:textId="7A12C2EE" w:rsidR="00DF5496" w:rsidRPr="0090735A" w:rsidRDefault="00745228" w:rsidP="0090735A">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The analyses will </w:t>
      </w:r>
      <w:r w:rsidR="008F28B3">
        <w:rPr>
          <w:rFonts w:asciiTheme="majorBidi" w:hAnsiTheme="majorBidi" w:cstheme="majorBidi"/>
          <w:sz w:val="24"/>
          <w:szCs w:val="24"/>
          <w:lang w:val="en-GB"/>
        </w:rPr>
        <w:t>likely</w:t>
      </w:r>
      <w:r w:rsidR="00C636FB">
        <w:rPr>
          <w:rFonts w:asciiTheme="majorBidi" w:hAnsiTheme="majorBidi" w:cstheme="majorBidi"/>
          <w:sz w:val="24"/>
          <w:szCs w:val="24"/>
          <w:lang w:val="en-GB"/>
        </w:rPr>
        <w:t xml:space="preserve"> also </w:t>
      </w:r>
      <w:r w:rsidRPr="00FC73F5">
        <w:rPr>
          <w:rFonts w:asciiTheme="majorBidi" w:hAnsiTheme="majorBidi" w:cstheme="majorBidi"/>
          <w:sz w:val="24"/>
          <w:szCs w:val="24"/>
          <w:lang w:val="en-GB"/>
        </w:rPr>
        <w:t xml:space="preserve">include modelling to estimate how changes in emissions and releases due to Convention measures </w:t>
      </w:r>
      <w:r w:rsidR="00C636FB">
        <w:rPr>
          <w:rFonts w:asciiTheme="majorBidi" w:hAnsiTheme="majorBidi" w:cstheme="majorBidi"/>
          <w:sz w:val="24"/>
          <w:szCs w:val="24"/>
          <w:lang w:val="en-GB"/>
        </w:rPr>
        <w:t>have</w:t>
      </w:r>
      <w:r w:rsidRPr="00FC73F5">
        <w:rPr>
          <w:rFonts w:asciiTheme="majorBidi" w:hAnsiTheme="majorBidi" w:cstheme="majorBidi"/>
          <w:sz w:val="24"/>
          <w:szCs w:val="24"/>
          <w:lang w:val="en-GB"/>
        </w:rPr>
        <w:t xml:space="preserve"> contribute</w:t>
      </w:r>
      <w:r w:rsidR="00C636FB">
        <w:rPr>
          <w:rFonts w:asciiTheme="majorBidi" w:hAnsiTheme="majorBidi" w:cstheme="majorBidi"/>
          <w:sz w:val="24"/>
          <w:szCs w:val="24"/>
          <w:lang w:val="en-GB"/>
        </w:rPr>
        <w:t>d</w:t>
      </w:r>
      <w:r w:rsidRPr="00FC73F5">
        <w:rPr>
          <w:rFonts w:asciiTheme="majorBidi" w:hAnsiTheme="majorBidi" w:cstheme="majorBidi"/>
          <w:sz w:val="24"/>
          <w:szCs w:val="24"/>
          <w:lang w:val="en-GB"/>
        </w:rPr>
        <w:t xml:space="preserve"> to changes in mercury levels in the environment, humans and biota. </w:t>
      </w:r>
    </w:p>
    <w:p w14:paraId="27FA2FCF" w14:textId="77777777" w:rsidR="0052055E" w:rsidRDefault="00745228" w:rsidP="0090735A">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lastRenderedPageBreak/>
        <w:t xml:space="preserve">The </w:t>
      </w:r>
      <w:r w:rsidR="00DF5496" w:rsidRPr="00FC73F5">
        <w:rPr>
          <w:rFonts w:asciiTheme="majorBidi" w:hAnsiTheme="majorBidi" w:cstheme="majorBidi"/>
          <w:sz w:val="24"/>
          <w:szCs w:val="24"/>
          <w:lang w:val="en-GB"/>
        </w:rPr>
        <w:t>integrated</w:t>
      </w:r>
      <w:r w:rsidRPr="00FC73F5">
        <w:rPr>
          <w:rFonts w:asciiTheme="majorBidi" w:hAnsiTheme="majorBidi" w:cstheme="majorBidi"/>
          <w:sz w:val="24"/>
          <w:szCs w:val="24"/>
          <w:lang w:val="en-GB"/>
        </w:rPr>
        <w:t xml:space="preserve"> assessment will also </w:t>
      </w:r>
      <w:r w:rsidR="0090735A">
        <w:rPr>
          <w:rFonts w:asciiTheme="majorBidi" w:hAnsiTheme="majorBidi" w:cstheme="majorBidi"/>
          <w:sz w:val="24"/>
          <w:szCs w:val="24"/>
          <w:lang w:val="en-GB"/>
        </w:rPr>
        <w:t xml:space="preserve">seek to </w:t>
      </w:r>
      <w:r w:rsidRPr="00FC73F5">
        <w:rPr>
          <w:rFonts w:asciiTheme="majorBidi" w:hAnsiTheme="majorBidi" w:cstheme="majorBidi"/>
          <w:sz w:val="24"/>
          <w:szCs w:val="24"/>
          <w:lang w:val="en-GB"/>
        </w:rPr>
        <w:t xml:space="preserve">evaluate long-term trends </w:t>
      </w:r>
      <w:r w:rsidR="0052055E">
        <w:rPr>
          <w:rFonts w:asciiTheme="majorBidi" w:hAnsiTheme="majorBidi" w:cstheme="majorBidi"/>
          <w:sz w:val="24"/>
          <w:szCs w:val="24"/>
          <w:lang w:val="en-GB"/>
        </w:rPr>
        <w:t>to</w:t>
      </w:r>
      <w:r w:rsidRPr="00FC73F5">
        <w:rPr>
          <w:rFonts w:asciiTheme="majorBidi" w:hAnsiTheme="majorBidi" w:cstheme="majorBidi"/>
          <w:sz w:val="24"/>
          <w:szCs w:val="24"/>
          <w:lang w:val="en-GB"/>
        </w:rPr>
        <w:t xml:space="preserve"> interpret the relevance of social, technical and economic data in the context of effectiveness the Convention vis-à-vis its </w:t>
      </w:r>
      <w:r w:rsidR="003B292E" w:rsidRPr="00FC73F5">
        <w:rPr>
          <w:rFonts w:asciiTheme="majorBidi" w:hAnsiTheme="majorBidi" w:cstheme="majorBidi"/>
          <w:sz w:val="24"/>
          <w:szCs w:val="24"/>
          <w:lang w:val="en-GB"/>
        </w:rPr>
        <w:t>objective</w:t>
      </w:r>
      <w:r w:rsidRPr="00FC73F5">
        <w:rPr>
          <w:rFonts w:asciiTheme="majorBidi" w:hAnsiTheme="majorBidi" w:cstheme="majorBidi"/>
          <w:sz w:val="24"/>
          <w:szCs w:val="24"/>
          <w:lang w:val="en-GB"/>
        </w:rPr>
        <w:t xml:space="preserve">. </w:t>
      </w:r>
    </w:p>
    <w:p w14:paraId="0357FF6C" w14:textId="309AADF3" w:rsidR="00DF5496" w:rsidRPr="0090735A" w:rsidRDefault="00BE72DA" w:rsidP="0090735A">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sz w:val="24"/>
          <w:szCs w:val="24"/>
          <w:lang w:val="en-GB"/>
        </w:rPr>
      </w:pPr>
      <w:r>
        <w:rPr>
          <w:rFonts w:asciiTheme="majorBidi" w:hAnsiTheme="majorBidi" w:cstheme="majorBidi"/>
          <w:sz w:val="24"/>
          <w:szCs w:val="24"/>
          <w:lang w:val="en-GB"/>
        </w:rPr>
        <w:t>While the</w:t>
      </w:r>
      <w:r w:rsidR="00745228" w:rsidRPr="00FC73F5">
        <w:rPr>
          <w:rFonts w:asciiTheme="majorBidi" w:hAnsiTheme="majorBidi" w:cstheme="majorBidi"/>
          <w:sz w:val="24"/>
          <w:szCs w:val="24"/>
          <w:lang w:val="en-GB"/>
        </w:rPr>
        <w:t xml:space="preserve"> </w:t>
      </w:r>
      <w:r w:rsidR="00117B4C">
        <w:rPr>
          <w:rFonts w:asciiTheme="majorBidi" w:hAnsiTheme="majorBidi" w:cstheme="majorBidi"/>
          <w:sz w:val="24"/>
          <w:szCs w:val="24"/>
          <w:lang w:val="en-GB"/>
        </w:rPr>
        <w:t>I</w:t>
      </w:r>
      <w:r w:rsidR="00745228" w:rsidRPr="00FC73F5">
        <w:rPr>
          <w:rFonts w:asciiTheme="majorBidi" w:hAnsiTheme="majorBidi" w:cstheme="majorBidi"/>
          <w:sz w:val="24"/>
          <w:szCs w:val="24"/>
          <w:lang w:val="en-GB"/>
        </w:rPr>
        <w:t xml:space="preserve">ntegrated </w:t>
      </w:r>
      <w:r w:rsidR="00117B4C">
        <w:rPr>
          <w:rFonts w:asciiTheme="majorBidi" w:hAnsiTheme="majorBidi" w:cstheme="majorBidi"/>
          <w:sz w:val="24"/>
          <w:szCs w:val="24"/>
          <w:lang w:val="en-GB"/>
        </w:rPr>
        <w:t>A</w:t>
      </w:r>
      <w:r w:rsidR="00745228" w:rsidRPr="00FC73F5">
        <w:rPr>
          <w:rFonts w:asciiTheme="majorBidi" w:hAnsiTheme="majorBidi" w:cstheme="majorBidi"/>
          <w:sz w:val="24"/>
          <w:szCs w:val="24"/>
          <w:lang w:val="en-GB"/>
        </w:rPr>
        <w:t xml:space="preserve">ssessment </w:t>
      </w:r>
      <w:r w:rsidR="00117B4C">
        <w:rPr>
          <w:rFonts w:asciiTheme="majorBidi" w:hAnsiTheme="majorBidi" w:cstheme="majorBidi"/>
          <w:sz w:val="24"/>
          <w:szCs w:val="24"/>
          <w:lang w:val="en-GB"/>
        </w:rPr>
        <w:t>R</w:t>
      </w:r>
      <w:r w:rsidR="00745228" w:rsidRPr="00FC73F5">
        <w:rPr>
          <w:rFonts w:asciiTheme="majorBidi" w:hAnsiTheme="majorBidi" w:cstheme="majorBidi"/>
          <w:sz w:val="24"/>
          <w:szCs w:val="24"/>
          <w:lang w:val="en-GB"/>
        </w:rPr>
        <w:t>eport is to be a</w:t>
      </w:r>
      <w:r w:rsidR="00117B4C">
        <w:rPr>
          <w:rFonts w:asciiTheme="majorBidi" w:hAnsiTheme="majorBidi" w:cstheme="majorBidi"/>
          <w:sz w:val="24"/>
          <w:szCs w:val="24"/>
          <w:lang w:val="en-GB"/>
        </w:rPr>
        <w:t xml:space="preserve">n evidence-based </w:t>
      </w:r>
      <w:r w:rsidR="00745228" w:rsidRPr="00FC73F5">
        <w:rPr>
          <w:rFonts w:asciiTheme="majorBidi" w:hAnsiTheme="majorBidi" w:cstheme="majorBidi"/>
          <w:sz w:val="24"/>
          <w:szCs w:val="24"/>
          <w:lang w:val="en-GB"/>
        </w:rPr>
        <w:t>science</w:t>
      </w:r>
      <w:r w:rsidR="00134394">
        <w:rPr>
          <w:rFonts w:asciiTheme="majorBidi" w:hAnsiTheme="majorBidi" w:cstheme="majorBidi"/>
          <w:sz w:val="24"/>
          <w:szCs w:val="24"/>
          <w:lang w:val="en-GB"/>
        </w:rPr>
        <w:t xml:space="preserve"> and technical report, </w:t>
      </w:r>
      <w:r w:rsidR="0052055E">
        <w:rPr>
          <w:rFonts w:asciiTheme="majorBidi" w:hAnsiTheme="majorBidi" w:cstheme="majorBidi"/>
          <w:sz w:val="24"/>
          <w:szCs w:val="24"/>
          <w:lang w:val="en-GB"/>
        </w:rPr>
        <w:t xml:space="preserve">it is also to be </w:t>
      </w:r>
      <w:r w:rsidR="00745228" w:rsidRPr="00FC73F5">
        <w:rPr>
          <w:rFonts w:asciiTheme="majorBidi" w:hAnsiTheme="majorBidi" w:cstheme="majorBidi"/>
          <w:sz w:val="24"/>
          <w:szCs w:val="24"/>
          <w:lang w:val="en-GB"/>
        </w:rPr>
        <w:t>accessible to non-technical readers</w:t>
      </w:r>
      <w:r w:rsidR="006B4B23">
        <w:rPr>
          <w:rFonts w:asciiTheme="majorBidi" w:hAnsiTheme="majorBidi" w:cstheme="majorBidi"/>
          <w:sz w:val="24"/>
          <w:szCs w:val="24"/>
          <w:lang w:val="en-GB"/>
        </w:rPr>
        <w:t xml:space="preserve"> and include visual representations</w:t>
      </w:r>
      <w:r w:rsidR="00745228" w:rsidRPr="00FC73F5">
        <w:rPr>
          <w:rFonts w:asciiTheme="majorBidi" w:hAnsiTheme="majorBidi" w:cstheme="majorBidi"/>
          <w:sz w:val="24"/>
          <w:szCs w:val="24"/>
          <w:lang w:val="en-GB"/>
        </w:rPr>
        <w:t xml:space="preserve">. </w:t>
      </w:r>
    </w:p>
    <w:p w14:paraId="13F74689" w14:textId="724EF803" w:rsidR="009D75C6" w:rsidRPr="003C2F59" w:rsidRDefault="00DF5496" w:rsidP="003C2F59">
      <w:pPr>
        <w:pStyle w:val="Normal-pool"/>
        <w:numPr>
          <w:ilvl w:val="0"/>
          <w:numId w:val="1"/>
        </w:numPr>
        <w:spacing w:after="160"/>
        <w:rPr>
          <w:rFonts w:asciiTheme="majorBidi" w:eastAsiaTheme="minorHAnsi" w:hAnsiTheme="majorBidi" w:cstheme="majorBidi"/>
          <w:sz w:val="24"/>
          <w:szCs w:val="24"/>
          <w:bdr w:val="none" w:sz="0" w:space="0" w:color="auto"/>
          <w:lang w:val="en-GB"/>
        </w:rPr>
      </w:pPr>
      <w:r w:rsidRPr="00FC73F5">
        <w:rPr>
          <w:rFonts w:asciiTheme="majorBidi" w:hAnsiTheme="majorBidi" w:cstheme="majorBidi"/>
          <w:b/>
          <w:sz w:val="24"/>
          <w:szCs w:val="24"/>
          <w:lang w:val="en-GB"/>
        </w:rPr>
        <w:t>Level 5</w:t>
      </w:r>
      <w:bookmarkStart w:id="2" w:name="_Hlk10383875"/>
      <w:r w:rsidRPr="00FC73F5">
        <w:rPr>
          <w:rFonts w:asciiTheme="majorBidi" w:hAnsiTheme="majorBidi" w:cstheme="majorBidi"/>
          <w:b/>
          <w:sz w:val="24"/>
          <w:szCs w:val="24"/>
          <w:lang w:val="en-GB"/>
        </w:rPr>
        <w:t xml:space="preserve"> – </w:t>
      </w:r>
      <w:bookmarkEnd w:id="2"/>
      <w:r w:rsidRPr="00FC73F5">
        <w:rPr>
          <w:rFonts w:asciiTheme="majorBidi" w:hAnsiTheme="majorBidi" w:cstheme="majorBidi"/>
          <w:b/>
          <w:sz w:val="24"/>
          <w:szCs w:val="24"/>
          <w:lang w:val="en-GB"/>
        </w:rPr>
        <w:t>Effectiveness Evaluation:</w:t>
      </w:r>
      <w:r w:rsidRPr="00FC73F5">
        <w:rPr>
          <w:rFonts w:asciiTheme="majorBidi" w:hAnsiTheme="majorBidi" w:cstheme="majorBidi"/>
          <w:bCs/>
          <w:sz w:val="24"/>
          <w:szCs w:val="24"/>
          <w:lang w:val="en-GB"/>
        </w:rPr>
        <w:t xml:space="preserve"> </w:t>
      </w:r>
      <w:r w:rsidR="00D83005">
        <w:rPr>
          <w:rFonts w:asciiTheme="majorBidi" w:hAnsiTheme="majorBidi" w:cstheme="majorBidi"/>
          <w:bCs/>
          <w:sz w:val="24"/>
          <w:szCs w:val="24"/>
          <w:lang w:val="en-GB"/>
        </w:rPr>
        <w:t>T</w:t>
      </w:r>
      <w:r w:rsidR="00745228" w:rsidRPr="00FC73F5">
        <w:rPr>
          <w:rFonts w:asciiTheme="majorBidi" w:hAnsiTheme="majorBidi" w:cstheme="majorBidi"/>
          <w:sz w:val="24"/>
          <w:szCs w:val="24"/>
          <w:lang w:val="en-GB"/>
        </w:rPr>
        <w:t xml:space="preserve">he </w:t>
      </w:r>
      <w:r w:rsidR="00D83005">
        <w:rPr>
          <w:rFonts w:asciiTheme="majorBidi" w:hAnsiTheme="majorBidi" w:cstheme="majorBidi"/>
          <w:sz w:val="24"/>
          <w:szCs w:val="24"/>
          <w:lang w:val="en-GB"/>
        </w:rPr>
        <w:t>I</w:t>
      </w:r>
      <w:r w:rsidR="00745228" w:rsidRPr="00FC73F5">
        <w:rPr>
          <w:rFonts w:asciiTheme="majorBidi" w:hAnsiTheme="majorBidi" w:cstheme="majorBidi"/>
          <w:sz w:val="24"/>
          <w:szCs w:val="24"/>
          <w:lang w:val="en-GB"/>
        </w:rPr>
        <w:t xml:space="preserve">ntegrated </w:t>
      </w:r>
      <w:r w:rsidR="00D83005">
        <w:rPr>
          <w:rFonts w:asciiTheme="majorBidi" w:hAnsiTheme="majorBidi" w:cstheme="majorBidi"/>
          <w:sz w:val="24"/>
          <w:szCs w:val="24"/>
          <w:lang w:val="en-GB"/>
        </w:rPr>
        <w:t>A</w:t>
      </w:r>
      <w:r w:rsidR="00745228" w:rsidRPr="00FC73F5">
        <w:rPr>
          <w:rFonts w:asciiTheme="majorBidi" w:hAnsiTheme="majorBidi" w:cstheme="majorBidi"/>
          <w:sz w:val="24"/>
          <w:szCs w:val="24"/>
          <w:lang w:val="en-GB"/>
        </w:rPr>
        <w:t xml:space="preserve">ssessment </w:t>
      </w:r>
      <w:r w:rsidR="00D83005">
        <w:rPr>
          <w:rFonts w:asciiTheme="majorBidi" w:hAnsiTheme="majorBidi" w:cstheme="majorBidi"/>
          <w:sz w:val="24"/>
          <w:szCs w:val="24"/>
          <w:lang w:val="en-GB"/>
        </w:rPr>
        <w:t>R</w:t>
      </w:r>
      <w:r w:rsidR="00745228" w:rsidRPr="00FC73F5">
        <w:rPr>
          <w:rFonts w:asciiTheme="majorBidi" w:hAnsiTheme="majorBidi" w:cstheme="majorBidi"/>
          <w:sz w:val="24"/>
          <w:szCs w:val="24"/>
          <w:lang w:val="en-GB"/>
        </w:rPr>
        <w:t>eport supplemented</w:t>
      </w:r>
      <w:r w:rsidR="006D1D26">
        <w:rPr>
          <w:rFonts w:asciiTheme="majorBidi" w:hAnsiTheme="majorBidi" w:cstheme="majorBidi"/>
          <w:sz w:val="24"/>
          <w:szCs w:val="24"/>
          <w:lang w:val="en-GB"/>
        </w:rPr>
        <w:t>, as necessary,</w:t>
      </w:r>
      <w:r w:rsidR="00745228" w:rsidRPr="00FC73F5">
        <w:rPr>
          <w:rFonts w:asciiTheme="majorBidi" w:hAnsiTheme="majorBidi" w:cstheme="majorBidi"/>
          <w:sz w:val="24"/>
          <w:szCs w:val="24"/>
          <w:lang w:val="en-GB"/>
        </w:rPr>
        <w:t xml:space="preserve"> by the </w:t>
      </w:r>
      <w:r w:rsidR="00D83005">
        <w:rPr>
          <w:rFonts w:asciiTheme="majorBidi" w:hAnsiTheme="majorBidi" w:cstheme="majorBidi"/>
          <w:sz w:val="24"/>
          <w:szCs w:val="24"/>
          <w:lang w:val="en-GB"/>
        </w:rPr>
        <w:t xml:space="preserve">above-mentioned </w:t>
      </w:r>
      <w:r w:rsidR="00195AC3">
        <w:rPr>
          <w:rFonts w:asciiTheme="majorBidi" w:hAnsiTheme="majorBidi" w:cstheme="majorBidi"/>
          <w:sz w:val="24"/>
          <w:szCs w:val="24"/>
          <w:lang w:val="en-GB"/>
        </w:rPr>
        <w:t>synthesis</w:t>
      </w:r>
      <w:r w:rsidR="00745228" w:rsidRPr="00FC73F5">
        <w:rPr>
          <w:rFonts w:asciiTheme="majorBidi" w:hAnsiTheme="majorBidi" w:cstheme="majorBidi"/>
          <w:sz w:val="24"/>
          <w:szCs w:val="24"/>
          <w:lang w:val="en-GB"/>
        </w:rPr>
        <w:t xml:space="preserve"> reports, will be submitted to the </w:t>
      </w:r>
      <w:r w:rsidR="00D83005">
        <w:rPr>
          <w:rFonts w:asciiTheme="majorBidi" w:hAnsiTheme="majorBidi" w:cstheme="majorBidi"/>
          <w:sz w:val="24"/>
          <w:szCs w:val="24"/>
          <w:lang w:val="en-GB"/>
        </w:rPr>
        <w:t>E</w:t>
      </w:r>
      <w:r w:rsidR="00745228" w:rsidRPr="00FC73F5">
        <w:rPr>
          <w:rFonts w:asciiTheme="majorBidi" w:hAnsiTheme="majorBidi" w:cstheme="majorBidi"/>
          <w:sz w:val="24"/>
          <w:szCs w:val="24"/>
          <w:lang w:val="en-GB"/>
        </w:rPr>
        <w:t xml:space="preserve">ffectiveness </w:t>
      </w:r>
      <w:r w:rsidR="00D83005">
        <w:rPr>
          <w:rFonts w:asciiTheme="majorBidi" w:hAnsiTheme="majorBidi" w:cstheme="majorBidi"/>
          <w:sz w:val="24"/>
          <w:szCs w:val="24"/>
          <w:lang w:val="en-GB"/>
        </w:rPr>
        <w:t>E</w:t>
      </w:r>
      <w:r w:rsidR="00745228" w:rsidRPr="00FC73F5">
        <w:rPr>
          <w:rFonts w:asciiTheme="majorBidi" w:hAnsiTheme="majorBidi" w:cstheme="majorBidi"/>
          <w:sz w:val="24"/>
          <w:szCs w:val="24"/>
          <w:lang w:val="en-GB"/>
        </w:rPr>
        <w:t xml:space="preserve">valuation </w:t>
      </w:r>
      <w:r w:rsidR="00D83005">
        <w:rPr>
          <w:rFonts w:asciiTheme="majorBidi" w:hAnsiTheme="majorBidi" w:cstheme="majorBidi"/>
          <w:sz w:val="24"/>
          <w:szCs w:val="24"/>
          <w:lang w:val="en-GB"/>
        </w:rPr>
        <w:t>C</w:t>
      </w:r>
      <w:r w:rsidR="00745228" w:rsidRPr="00FC73F5">
        <w:rPr>
          <w:rFonts w:asciiTheme="majorBidi" w:hAnsiTheme="majorBidi" w:cstheme="majorBidi"/>
          <w:sz w:val="24"/>
          <w:szCs w:val="24"/>
          <w:lang w:val="en-GB"/>
        </w:rPr>
        <w:t>ommittee</w:t>
      </w:r>
      <w:r w:rsidR="00D83005">
        <w:rPr>
          <w:rFonts w:asciiTheme="majorBidi" w:hAnsiTheme="majorBidi" w:cstheme="majorBidi"/>
          <w:sz w:val="24"/>
          <w:szCs w:val="24"/>
          <w:lang w:val="en-GB"/>
        </w:rPr>
        <w:t xml:space="preserve">. The Committee </w:t>
      </w:r>
      <w:r w:rsidR="00745228" w:rsidRPr="00FC73F5">
        <w:rPr>
          <w:rFonts w:asciiTheme="majorBidi" w:hAnsiTheme="majorBidi" w:cstheme="majorBidi"/>
          <w:sz w:val="24"/>
          <w:szCs w:val="24"/>
          <w:lang w:val="en-GB"/>
        </w:rPr>
        <w:t xml:space="preserve">will use this information to consider the </w:t>
      </w:r>
      <w:r w:rsidR="00D83005">
        <w:rPr>
          <w:rFonts w:asciiTheme="majorBidi" w:hAnsiTheme="majorBidi" w:cstheme="majorBidi"/>
          <w:sz w:val="24"/>
          <w:szCs w:val="24"/>
          <w:lang w:val="en-GB"/>
        </w:rPr>
        <w:t xml:space="preserve">four </w:t>
      </w:r>
      <w:r w:rsidR="00745228" w:rsidRPr="00FC73F5">
        <w:rPr>
          <w:rFonts w:asciiTheme="majorBidi" w:hAnsiTheme="majorBidi" w:cstheme="majorBidi"/>
          <w:sz w:val="24"/>
          <w:szCs w:val="24"/>
          <w:lang w:val="en-GB"/>
        </w:rPr>
        <w:t>policy questions</w:t>
      </w:r>
      <w:r w:rsidR="009D75C6" w:rsidRPr="00FC73F5">
        <w:rPr>
          <w:rFonts w:asciiTheme="majorBidi" w:hAnsiTheme="majorBidi" w:cstheme="majorBidi"/>
          <w:sz w:val="24"/>
          <w:szCs w:val="24"/>
          <w:lang w:val="en-GB"/>
        </w:rPr>
        <w:t xml:space="preserve"> to </w:t>
      </w:r>
      <w:r w:rsidR="00745228" w:rsidRPr="00FC73F5">
        <w:rPr>
          <w:rFonts w:asciiTheme="majorBidi" w:hAnsiTheme="majorBidi" w:cstheme="majorBidi"/>
          <w:sz w:val="24"/>
          <w:szCs w:val="24"/>
          <w:lang w:val="en-GB"/>
        </w:rPr>
        <w:t xml:space="preserve">derive conclusions about the effectiveness of the Convention. The </w:t>
      </w:r>
      <w:r w:rsidR="009D75C6" w:rsidRPr="00FC73F5">
        <w:rPr>
          <w:rFonts w:asciiTheme="majorBidi" w:hAnsiTheme="majorBidi" w:cstheme="majorBidi"/>
          <w:sz w:val="24"/>
          <w:szCs w:val="24"/>
          <w:lang w:val="en-GB"/>
        </w:rPr>
        <w:t>Committee</w:t>
      </w:r>
      <w:r w:rsidR="00745228" w:rsidRPr="00FC73F5">
        <w:rPr>
          <w:rFonts w:asciiTheme="majorBidi" w:hAnsiTheme="majorBidi" w:cstheme="majorBidi"/>
          <w:sz w:val="24"/>
          <w:szCs w:val="24"/>
          <w:lang w:val="en-GB"/>
        </w:rPr>
        <w:t xml:space="preserve"> may include in its report suggestions for improving the effectiveness evaluation framewor</w:t>
      </w:r>
      <w:r w:rsidR="009D75C6" w:rsidRPr="00FC73F5">
        <w:rPr>
          <w:rFonts w:asciiTheme="majorBidi" w:hAnsiTheme="majorBidi" w:cstheme="majorBidi"/>
          <w:sz w:val="24"/>
          <w:szCs w:val="24"/>
          <w:lang w:val="en-GB"/>
        </w:rPr>
        <w:t>k</w:t>
      </w:r>
      <w:r w:rsidR="00745228" w:rsidRPr="00FC73F5">
        <w:rPr>
          <w:rFonts w:asciiTheme="majorBidi" w:hAnsiTheme="majorBidi" w:cstheme="majorBidi"/>
          <w:sz w:val="24"/>
          <w:szCs w:val="24"/>
          <w:lang w:val="en-GB"/>
        </w:rPr>
        <w:t xml:space="preserve">. The </w:t>
      </w:r>
      <w:r w:rsidR="009D75C6" w:rsidRPr="00FC73F5">
        <w:rPr>
          <w:rFonts w:asciiTheme="majorBidi" w:hAnsiTheme="majorBidi" w:cstheme="majorBidi"/>
          <w:sz w:val="24"/>
          <w:szCs w:val="24"/>
          <w:lang w:val="en-GB"/>
        </w:rPr>
        <w:t>Committee</w:t>
      </w:r>
      <w:r w:rsidR="00745228" w:rsidRPr="00FC73F5">
        <w:rPr>
          <w:rFonts w:asciiTheme="majorBidi" w:hAnsiTheme="majorBidi" w:cstheme="majorBidi"/>
          <w:sz w:val="24"/>
          <w:szCs w:val="24"/>
          <w:lang w:val="en-GB"/>
        </w:rPr>
        <w:t xml:space="preserve"> may also highlight areas that the </w:t>
      </w:r>
      <w:r w:rsidR="009D75C6" w:rsidRPr="00FC73F5">
        <w:rPr>
          <w:rFonts w:asciiTheme="majorBidi" w:hAnsiTheme="majorBidi" w:cstheme="majorBidi"/>
          <w:sz w:val="24"/>
          <w:szCs w:val="24"/>
          <w:lang w:val="en-GB"/>
        </w:rPr>
        <w:t>Conference</w:t>
      </w:r>
      <w:r w:rsidR="00745228" w:rsidRPr="00FC73F5">
        <w:rPr>
          <w:rFonts w:asciiTheme="majorBidi" w:hAnsiTheme="majorBidi" w:cstheme="majorBidi"/>
          <w:sz w:val="24"/>
          <w:szCs w:val="24"/>
          <w:lang w:val="en-GB"/>
        </w:rPr>
        <w:t xml:space="preserve"> may wish to consider for</w:t>
      </w:r>
      <w:r w:rsidR="006D1D26">
        <w:rPr>
          <w:rFonts w:asciiTheme="majorBidi" w:hAnsiTheme="majorBidi" w:cstheme="majorBidi"/>
          <w:sz w:val="24"/>
          <w:szCs w:val="24"/>
          <w:lang w:val="en-GB"/>
        </w:rPr>
        <w:t xml:space="preserve"> </w:t>
      </w:r>
      <w:r w:rsidR="00745228" w:rsidRPr="00FC73F5">
        <w:rPr>
          <w:rFonts w:asciiTheme="majorBidi" w:hAnsiTheme="majorBidi" w:cstheme="majorBidi"/>
          <w:sz w:val="24"/>
          <w:szCs w:val="24"/>
          <w:lang w:val="en-GB"/>
        </w:rPr>
        <w:t>the effectiveness of the Convention.</w:t>
      </w:r>
    </w:p>
    <w:p w14:paraId="1059C3EC" w14:textId="4F14CFBB" w:rsidR="00745228" w:rsidRPr="00FC73F5" w:rsidRDefault="009D75C6" w:rsidP="003B0096">
      <w:pPr>
        <w:pStyle w:val="Normal-pool"/>
        <w:numPr>
          <w:ilvl w:val="0"/>
          <w:numId w:val="1"/>
        </w:numPr>
        <w:rPr>
          <w:rFonts w:asciiTheme="majorBidi" w:eastAsiaTheme="minorHAnsi" w:hAnsiTheme="majorBidi" w:cstheme="majorBidi"/>
          <w:sz w:val="24"/>
          <w:szCs w:val="24"/>
          <w:bdr w:val="none" w:sz="0" w:space="0" w:color="auto"/>
          <w:lang w:val="en-GB"/>
        </w:rPr>
      </w:pPr>
      <w:r w:rsidRPr="00FC73F5">
        <w:rPr>
          <w:rFonts w:asciiTheme="majorBidi" w:hAnsiTheme="majorBidi" w:cstheme="majorBidi"/>
          <w:b/>
          <w:sz w:val="24"/>
          <w:szCs w:val="24"/>
          <w:lang w:val="en-GB"/>
        </w:rPr>
        <w:t>Level 6 – Conference of the Parties:</w:t>
      </w:r>
      <w:r w:rsidRPr="00FC73F5">
        <w:rPr>
          <w:rFonts w:asciiTheme="majorBidi" w:hAnsiTheme="majorBidi" w:cstheme="majorBidi"/>
          <w:bCs/>
          <w:sz w:val="24"/>
          <w:szCs w:val="24"/>
          <w:lang w:val="en-GB"/>
        </w:rPr>
        <w:t xml:space="preserve"> </w:t>
      </w:r>
      <w:r w:rsidR="00E6640C">
        <w:rPr>
          <w:rFonts w:asciiTheme="majorBidi" w:hAnsiTheme="majorBidi" w:cstheme="majorBidi"/>
          <w:bCs/>
          <w:sz w:val="24"/>
          <w:szCs w:val="24"/>
          <w:lang w:val="en-GB"/>
        </w:rPr>
        <w:t>T</w:t>
      </w:r>
      <w:r w:rsidR="00745228" w:rsidRPr="00FC73F5">
        <w:rPr>
          <w:rFonts w:asciiTheme="majorBidi" w:hAnsiTheme="majorBidi" w:cstheme="majorBidi"/>
          <w:bCs/>
          <w:sz w:val="24"/>
          <w:szCs w:val="24"/>
          <w:lang w:val="en-GB"/>
        </w:rPr>
        <w:t xml:space="preserve">he </w:t>
      </w:r>
      <w:r w:rsidRPr="00FC73F5">
        <w:rPr>
          <w:rFonts w:asciiTheme="majorBidi" w:hAnsiTheme="majorBidi" w:cstheme="majorBidi"/>
          <w:sz w:val="24"/>
          <w:szCs w:val="24"/>
          <w:lang w:val="en-GB"/>
        </w:rPr>
        <w:t>Conference</w:t>
      </w:r>
      <w:r w:rsidR="00745228" w:rsidRPr="00FC73F5">
        <w:rPr>
          <w:rFonts w:asciiTheme="majorBidi" w:hAnsiTheme="majorBidi" w:cstheme="majorBidi"/>
          <w:sz w:val="24"/>
          <w:szCs w:val="24"/>
          <w:lang w:val="en-GB"/>
        </w:rPr>
        <w:t xml:space="preserve"> </w:t>
      </w:r>
      <w:r w:rsidR="00E6640C">
        <w:rPr>
          <w:rFonts w:asciiTheme="majorBidi" w:hAnsiTheme="majorBidi" w:cstheme="majorBidi"/>
          <w:sz w:val="24"/>
          <w:szCs w:val="24"/>
          <w:lang w:val="en-GB"/>
        </w:rPr>
        <w:t xml:space="preserve">of the Parties </w:t>
      </w:r>
      <w:r w:rsidR="00745228" w:rsidRPr="00FC73F5">
        <w:rPr>
          <w:rFonts w:asciiTheme="majorBidi" w:hAnsiTheme="majorBidi" w:cstheme="majorBidi"/>
          <w:sz w:val="24"/>
          <w:szCs w:val="24"/>
          <w:lang w:val="en-GB"/>
        </w:rPr>
        <w:t xml:space="preserve">receives and reviews the report </w:t>
      </w:r>
      <w:r w:rsidRPr="00FC73F5">
        <w:rPr>
          <w:rFonts w:asciiTheme="majorBidi" w:hAnsiTheme="majorBidi" w:cstheme="majorBidi"/>
          <w:sz w:val="24"/>
          <w:szCs w:val="24"/>
          <w:lang w:val="en-GB"/>
        </w:rPr>
        <w:t xml:space="preserve">of the Effectiveness Evaluation Committee </w:t>
      </w:r>
      <w:r w:rsidR="00745228" w:rsidRPr="00FC73F5">
        <w:rPr>
          <w:rFonts w:asciiTheme="majorBidi" w:hAnsiTheme="majorBidi" w:cstheme="majorBidi"/>
          <w:sz w:val="24"/>
          <w:szCs w:val="24"/>
          <w:lang w:val="en-GB"/>
        </w:rPr>
        <w:t xml:space="preserve">and considers the conclusions and recommendations of the </w:t>
      </w:r>
      <w:r w:rsidRPr="00FC73F5">
        <w:rPr>
          <w:rFonts w:asciiTheme="majorBidi" w:hAnsiTheme="majorBidi" w:cstheme="majorBidi"/>
          <w:sz w:val="24"/>
          <w:szCs w:val="24"/>
          <w:lang w:val="en-GB"/>
        </w:rPr>
        <w:t>Committee</w:t>
      </w:r>
      <w:r w:rsidR="00745228" w:rsidRPr="00FC73F5">
        <w:rPr>
          <w:rFonts w:asciiTheme="majorBidi" w:hAnsiTheme="majorBidi" w:cstheme="majorBidi"/>
          <w:sz w:val="24"/>
          <w:szCs w:val="24"/>
          <w:lang w:val="en-GB"/>
        </w:rPr>
        <w:t xml:space="preserve">. The </w:t>
      </w:r>
      <w:r w:rsidRPr="00FC73F5">
        <w:rPr>
          <w:rFonts w:asciiTheme="majorBidi" w:hAnsiTheme="majorBidi" w:cstheme="majorBidi"/>
          <w:sz w:val="24"/>
          <w:szCs w:val="24"/>
          <w:lang w:val="en-GB"/>
        </w:rPr>
        <w:t>Conference</w:t>
      </w:r>
      <w:r w:rsidR="00745228" w:rsidRPr="00FC73F5">
        <w:rPr>
          <w:rFonts w:asciiTheme="majorBidi" w:hAnsiTheme="majorBidi" w:cstheme="majorBidi"/>
          <w:sz w:val="24"/>
          <w:szCs w:val="24"/>
          <w:lang w:val="en-GB"/>
        </w:rPr>
        <w:t xml:space="preserve"> makes </w:t>
      </w:r>
      <w:r w:rsidRPr="00FC73F5">
        <w:rPr>
          <w:rFonts w:asciiTheme="majorBidi" w:hAnsiTheme="majorBidi" w:cstheme="majorBidi"/>
          <w:sz w:val="24"/>
          <w:szCs w:val="24"/>
          <w:lang w:val="en-GB"/>
        </w:rPr>
        <w:t>its</w:t>
      </w:r>
      <w:r w:rsidR="00745228" w:rsidRPr="00FC73F5">
        <w:rPr>
          <w:rFonts w:asciiTheme="majorBidi" w:hAnsiTheme="majorBidi" w:cstheme="majorBidi"/>
          <w:sz w:val="24"/>
          <w:szCs w:val="24"/>
          <w:lang w:val="en-GB"/>
        </w:rPr>
        <w:t xml:space="preserve"> determinations regarding actions or mechanisms to </w:t>
      </w:r>
      <w:r w:rsidR="00745228" w:rsidRPr="00167389">
        <w:rPr>
          <w:rFonts w:asciiTheme="majorBidi" w:hAnsiTheme="majorBidi" w:cstheme="majorBidi"/>
          <w:sz w:val="24"/>
          <w:szCs w:val="24"/>
          <w:lang w:val="en-GB"/>
        </w:rPr>
        <w:t>improve the</w:t>
      </w:r>
      <w:r w:rsidR="00745228" w:rsidRPr="00FC73F5">
        <w:rPr>
          <w:rFonts w:asciiTheme="majorBidi" w:hAnsiTheme="majorBidi" w:cstheme="majorBidi"/>
          <w:sz w:val="24"/>
          <w:szCs w:val="24"/>
          <w:lang w:val="en-GB"/>
        </w:rPr>
        <w:t xml:space="preserve"> effectiveness of the Convention. </w:t>
      </w:r>
    </w:p>
    <w:p w14:paraId="5EBDF984" w14:textId="0B63354E" w:rsidR="00745228" w:rsidRDefault="00745228" w:rsidP="009D5BC7">
      <w:pPr>
        <w:pStyle w:val="Normal-pool"/>
        <w:tabs>
          <w:tab w:val="clear" w:pos="1247"/>
          <w:tab w:val="clear" w:pos="1814"/>
          <w:tab w:val="clear" w:pos="2381"/>
          <w:tab w:val="clear" w:pos="2948"/>
          <w:tab w:val="clear" w:pos="3515"/>
        </w:tabs>
        <w:rPr>
          <w:rFonts w:asciiTheme="majorBidi" w:hAnsiTheme="majorBidi" w:cstheme="majorBidi"/>
          <w:sz w:val="24"/>
          <w:szCs w:val="24"/>
          <w:lang w:val="en-GB"/>
        </w:rPr>
      </w:pPr>
    </w:p>
    <w:p w14:paraId="7800B465" w14:textId="5F796B17" w:rsidR="002678EA" w:rsidRDefault="008D397D" w:rsidP="008D397D">
      <w:pPr>
        <w:pStyle w:val="Normal-pool"/>
        <w:tabs>
          <w:tab w:val="clear" w:pos="1247"/>
          <w:tab w:val="clear" w:pos="1814"/>
          <w:tab w:val="clear" w:pos="2381"/>
          <w:tab w:val="clear" w:pos="2948"/>
          <w:tab w:val="clear" w:pos="3515"/>
        </w:tabs>
        <w:spacing w:after="160"/>
        <w:rPr>
          <w:rFonts w:asciiTheme="majorBidi" w:hAnsiTheme="majorBidi" w:cstheme="majorBidi"/>
          <w:sz w:val="24"/>
          <w:szCs w:val="24"/>
          <w:lang w:val="en-GB"/>
        </w:rPr>
      </w:pPr>
      <w:r>
        <w:rPr>
          <w:rFonts w:asciiTheme="majorBidi" w:hAnsiTheme="majorBidi" w:cstheme="majorBidi"/>
          <w:b/>
          <w:bCs/>
          <w:sz w:val="24"/>
          <w:szCs w:val="24"/>
        </w:rPr>
        <w:t>2</w:t>
      </w:r>
      <w:r w:rsidRPr="00FC73F5">
        <w:rPr>
          <w:rFonts w:asciiTheme="majorBidi" w:hAnsiTheme="majorBidi" w:cstheme="majorBidi"/>
          <w:b/>
          <w:bCs/>
          <w:sz w:val="24"/>
          <w:szCs w:val="24"/>
          <w:lang w:val="en-GB"/>
        </w:rPr>
        <w:t xml:space="preserve">. </w:t>
      </w:r>
      <w:r>
        <w:rPr>
          <w:rFonts w:asciiTheme="majorBidi" w:hAnsiTheme="majorBidi" w:cstheme="majorBidi"/>
          <w:b/>
          <w:bCs/>
          <w:sz w:val="24"/>
          <w:szCs w:val="24"/>
          <w:lang w:val="en-GB"/>
        </w:rPr>
        <w:t>Development of indicators</w:t>
      </w:r>
    </w:p>
    <w:p w14:paraId="56543B9B" w14:textId="527121D8" w:rsidR="008D397D" w:rsidRPr="00752E45" w:rsidRDefault="008D397D" w:rsidP="00752E45">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color w:val="auto"/>
          <w:sz w:val="24"/>
          <w:szCs w:val="24"/>
          <w:lang w:val="en-GB"/>
        </w:rPr>
      </w:pPr>
      <w:r w:rsidRPr="00FC73F5">
        <w:rPr>
          <w:rFonts w:asciiTheme="majorBidi" w:hAnsiTheme="majorBidi" w:cstheme="majorBidi"/>
          <w:sz w:val="24"/>
          <w:szCs w:val="24"/>
          <w:lang w:val="en-GB"/>
        </w:rPr>
        <w:t xml:space="preserve">The Minamata Convention includes a number of measures that seek to control, reduce or eliminate the major sources and uses of mercury, as well as a set of further stipulations that oblige </w:t>
      </w:r>
      <w:r>
        <w:rPr>
          <w:rFonts w:asciiTheme="majorBidi" w:hAnsiTheme="majorBidi" w:cstheme="majorBidi"/>
          <w:sz w:val="24"/>
          <w:szCs w:val="24"/>
          <w:lang w:val="en-GB"/>
        </w:rPr>
        <w:t>Parties</w:t>
      </w:r>
      <w:r w:rsidRPr="00FC73F5">
        <w:rPr>
          <w:rFonts w:asciiTheme="majorBidi" w:hAnsiTheme="majorBidi" w:cstheme="majorBidi"/>
          <w:sz w:val="24"/>
          <w:szCs w:val="24"/>
          <w:lang w:val="en-GB"/>
        </w:rPr>
        <w:t xml:space="preserve"> to work together to support each other in the overall endeavour to protecting people and the environment from the adverse effects of mercury. </w:t>
      </w:r>
    </w:p>
    <w:p w14:paraId="6580712A" w14:textId="77777777" w:rsidR="00441E15" w:rsidRDefault="006E07BC" w:rsidP="006E07BC">
      <w:pPr>
        <w:pStyle w:val="ListParagraph"/>
        <w:numPr>
          <w:ilvl w:val="0"/>
          <w:numId w:val="1"/>
        </w:numPr>
        <w:spacing w:after="160"/>
        <w:rPr>
          <w:sz w:val="24"/>
          <w:szCs w:val="24"/>
          <w:lang w:val="en-GB"/>
        </w:rPr>
      </w:pPr>
      <w:r>
        <w:rPr>
          <w:sz w:val="24"/>
          <w:szCs w:val="24"/>
          <w:lang w:val="en-GB"/>
        </w:rPr>
        <w:t xml:space="preserve">To </w:t>
      </w:r>
      <w:r w:rsidR="00DB0D34">
        <w:rPr>
          <w:sz w:val="24"/>
          <w:szCs w:val="24"/>
          <w:lang w:val="en-GB"/>
        </w:rPr>
        <w:t>provide</w:t>
      </w:r>
      <w:r w:rsidRPr="00FC73F5">
        <w:rPr>
          <w:sz w:val="24"/>
          <w:szCs w:val="24"/>
          <w:lang w:val="en-GB"/>
        </w:rPr>
        <w:t xml:space="preserve"> an integrative picture of the general effectiveness of the </w:t>
      </w:r>
      <w:r w:rsidR="00441E15">
        <w:rPr>
          <w:sz w:val="24"/>
          <w:szCs w:val="24"/>
          <w:lang w:val="en-GB"/>
        </w:rPr>
        <w:t xml:space="preserve">measures and provisions of the </w:t>
      </w:r>
      <w:r w:rsidRPr="00FC73F5">
        <w:rPr>
          <w:sz w:val="24"/>
          <w:szCs w:val="24"/>
          <w:lang w:val="en-GB"/>
        </w:rPr>
        <w:t>Convention</w:t>
      </w:r>
      <w:r>
        <w:rPr>
          <w:sz w:val="24"/>
          <w:szCs w:val="24"/>
          <w:lang w:val="en-GB"/>
        </w:rPr>
        <w:t xml:space="preserve">, </w:t>
      </w:r>
      <w:r w:rsidR="00DB0D34">
        <w:rPr>
          <w:sz w:val="24"/>
          <w:szCs w:val="24"/>
          <w:lang w:val="en-GB"/>
        </w:rPr>
        <w:t xml:space="preserve">the ad hoc technical expert group </w:t>
      </w:r>
      <w:r w:rsidR="00441E15">
        <w:rPr>
          <w:sz w:val="24"/>
          <w:szCs w:val="24"/>
          <w:lang w:val="en-GB"/>
        </w:rPr>
        <w:t>used</w:t>
      </w:r>
      <w:r w:rsidR="00DB0D34">
        <w:rPr>
          <w:sz w:val="24"/>
          <w:szCs w:val="24"/>
          <w:lang w:val="en-GB"/>
        </w:rPr>
        <w:t xml:space="preserve"> an integrative approach to </w:t>
      </w:r>
      <w:r w:rsidR="00441E15">
        <w:rPr>
          <w:sz w:val="24"/>
          <w:szCs w:val="24"/>
          <w:lang w:val="en-GB"/>
        </w:rPr>
        <w:t xml:space="preserve">identify </w:t>
      </w:r>
      <w:r w:rsidR="00DB0D34">
        <w:rPr>
          <w:sz w:val="24"/>
          <w:szCs w:val="24"/>
          <w:lang w:val="en-GB"/>
        </w:rPr>
        <w:t>indicators</w:t>
      </w:r>
      <w:r w:rsidR="00441E15">
        <w:rPr>
          <w:sz w:val="24"/>
          <w:szCs w:val="24"/>
          <w:lang w:val="en-GB"/>
        </w:rPr>
        <w:t xml:space="preserve">. </w:t>
      </w:r>
    </w:p>
    <w:p w14:paraId="6221B76E" w14:textId="0949081D" w:rsidR="00441E15" w:rsidRDefault="00441E15" w:rsidP="006E07BC">
      <w:pPr>
        <w:pStyle w:val="ListParagraph"/>
        <w:numPr>
          <w:ilvl w:val="0"/>
          <w:numId w:val="1"/>
        </w:numPr>
        <w:spacing w:after="160"/>
        <w:rPr>
          <w:sz w:val="24"/>
          <w:szCs w:val="24"/>
          <w:lang w:val="en-GB"/>
        </w:rPr>
      </w:pPr>
      <w:r>
        <w:rPr>
          <w:sz w:val="24"/>
          <w:szCs w:val="24"/>
          <w:lang w:val="en-GB"/>
        </w:rPr>
        <w:t xml:space="preserve">A set of indicators on process, outcome and monitoring to inform the policy questions are proposed. The proposed indicators draw on previous work on elements for the effectiveness evaluation framework, and the review of monitoring capacities and abilities. </w:t>
      </w:r>
    </w:p>
    <w:p w14:paraId="25CEF19D" w14:textId="3EBF0C49" w:rsidR="00C72F3C" w:rsidRPr="006E07BC" w:rsidRDefault="00441E15" w:rsidP="006E07BC">
      <w:pPr>
        <w:pStyle w:val="ListParagraph"/>
        <w:numPr>
          <w:ilvl w:val="0"/>
          <w:numId w:val="1"/>
        </w:numPr>
        <w:spacing w:after="160"/>
        <w:rPr>
          <w:sz w:val="24"/>
          <w:szCs w:val="24"/>
          <w:lang w:val="en-GB"/>
        </w:rPr>
      </w:pPr>
      <w:r>
        <w:rPr>
          <w:sz w:val="24"/>
          <w:szCs w:val="24"/>
          <w:lang w:val="en-GB"/>
        </w:rPr>
        <w:t xml:space="preserve">Numerous indicators, developed following an article-by-article review, are </w:t>
      </w:r>
      <w:r w:rsidR="00DB0D34">
        <w:rPr>
          <w:sz w:val="24"/>
          <w:szCs w:val="24"/>
          <w:lang w:val="en-GB"/>
        </w:rPr>
        <w:t xml:space="preserve">clustering </w:t>
      </w:r>
      <w:r w:rsidR="00E05E85">
        <w:rPr>
          <w:sz w:val="24"/>
          <w:szCs w:val="24"/>
          <w:lang w:val="en-GB"/>
        </w:rPr>
        <w:t xml:space="preserve">to enable synthesised analysis in the proposed reports. The following articles and indicators are clustered </w:t>
      </w:r>
      <w:r>
        <w:rPr>
          <w:rFonts w:asciiTheme="majorBidi" w:hAnsiTheme="majorBidi" w:cstheme="majorBidi"/>
          <w:color w:val="auto"/>
          <w:sz w:val="24"/>
          <w:szCs w:val="24"/>
          <w:lang w:val="en-GB"/>
        </w:rPr>
        <w:t xml:space="preserve">for </w:t>
      </w:r>
      <w:r w:rsidR="00E05E85">
        <w:rPr>
          <w:rFonts w:asciiTheme="majorBidi" w:hAnsiTheme="majorBidi" w:cstheme="majorBidi"/>
          <w:color w:val="auto"/>
          <w:sz w:val="24"/>
          <w:szCs w:val="24"/>
          <w:lang w:val="en-GB"/>
        </w:rPr>
        <w:t>evaluative purposes</w:t>
      </w:r>
      <w:r w:rsidR="00C72F3C" w:rsidRPr="006E07BC">
        <w:rPr>
          <w:sz w:val="24"/>
          <w:szCs w:val="24"/>
        </w:rPr>
        <w:t xml:space="preserve">: </w:t>
      </w:r>
    </w:p>
    <w:p w14:paraId="0F17E543" w14:textId="77777777" w:rsidR="00C72F3C" w:rsidRPr="00FC73F5" w:rsidRDefault="00C72F3C" w:rsidP="0025348A">
      <w:pPr>
        <w:pStyle w:val="ListParagraph"/>
        <w:numPr>
          <w:ilvl w:val="1"/>
          <w:numId w:val="25"/>
        </w:numPr>
        <w:rPr>
          <w:rFonts w:asciiTheme="majorBidi" w:hAnsiTheme="majorBidi" w:cstheme="majorBidi"/>
          <w:sz w:val="24"/>
          <w:szCs w:val="24"/>
          <w:lang w:val="en-GB"/>
        </w:rPr>
      </w:pPr>
      <w:r w:rsidRPr="00FC73F5">
        <w:rPr>
          <w:rFonts w:asciiTheme="majorBidi" w:hAnsiTheme="majorBidi" w:cstheme="majorBidi"/>
          <w:b/>
          <w:bCs/>
          <w:sz w:val="24"/>
          <w:szCs w:val="24"/>
          <w:lang w:val="en-GB"/>
        </w:rPr>
        <w:t>Supply cluster:</w:t>
      </w:r>
      <w:r w:rsidRPr="00FC73F5">
        <w:rPr>
          <w:rFonts w:asciiTheme="majorBidi" w:hAnsiTheme="majorBidi" w:cstheme="majorBidi"/>
          <w:sz w:val="24"/>
          <w:szCs w:val="24"/>
          <w:lang w:val="en-GB"/>
        </w:rPr>
        <w:t xml:space="preserve"> supply, storage and waste (Art 3, 10, 11);</w:t>
      </w:r>
    </w:p>
    <w:p w14:paraId="22C2EAEC" w14:textId="77777777" w:rsidR="00C72F3C" w:rsidRPr="00FC73F5" w:rsidRDefault="00C72F3C" w:rsidP="0025348A">
      <w:pPr>
        <w:pStyle w:val="ListParagraph"/>
        <w:numPr>
          <w:ilvl w:val="1"/>
          <w:numId w:val="25"/>
        </w:numPr>
        <w:rPr>
          <w:rFonts w:asciiTheme="majorBidi" w:hAnsiTheme="majorBidi" w:cstheme="majorBidi"/>
          <w:sz w:val="24"/>
          <w:szCs w:val="24"/>
          <w:lang w:val="en-GB"/>
        </w:rPr>
      </w:pPr>
      <w:r w:rsidRPr="00FC73F5">
        <w:rPr>
          <w:rFonts w:asciiTheme="majorBidi" w:hAnsiTheme="majorBidi" w:cstheme="majorBidi"/>
          <w:b/>
          <w:bCs/>
          <w:sz w:val="24"/>
          <w:szCs w:val="24"/>
          <w:lang w:val="en-GB"/>
        </w:rPr>
        <w:t>Demand cluster:</w:t>
      </w:r>
      <w:r w:rsidRPr="00FC73F5">
        <w:rPr>
          <w:rFonts w:asciiTheme="majorBidi" w:hAnsiTheme="majorBidi" w:cstheme="majorBidi"/>
          <w:sz w:val="24"/>
          <w:szCs w:val="24"/>
          <w:lang w:val="en-GB"/>
        </w:rPr>
        <w:t xml:space="preserve"> products, processes and ASGM (Art 4,5,7);</w:t>
      </w:r>
    </w:p>
    <w:p w14:paraId="2ABB2053" w14:textId="77777777" w:rsidR="00C72F3C" w:rsidRDefault="00C72F3C" w:rsidP="0025348A">
      <w:pPr>
        <w:pStyle w:val="ListParagraph"/>
        <w:numPr>
          <w:ilvl w:val="1"/>
          <w:numId w:val="25"/>
        </w:numPr>
        <w:rPr>
          <w:rFonts w:asciiTheme="majorBidi" w:hAnsiTheme="majorBidi" w:cstheme="majorBidi"/>
          <w:sz w:val="24"/>
          <w:szCs w:val="24"/>
          <w:lang w:val="en-GB"/>
        </w:rPr>
      </w:pPr>
      <w:r w:rsidRPr="00FC73F5">
        <w:rPr>
          <w:rFonts w:asciiTheme="majorBidi" w:hAnsiTheme="majorBidi" w:cstheme="majorBidi"/>
          <w:b/>
          <w:bCs/>
          <w:sz w:val="24"/>
          <w:szCs w:val="24"/>
          <w:lang w:val="en-GB"/>
        </w:rPr>
        <w:t>Pressures cluster:</w:t>
      </w:r>
      <w:r w:rsidRPr="00FC73F5">
        <w:rPr>
          <w:rFonts w:asciiTheme="majorBidi" w:hAnsiTheme="majorBidi" w:cstheme="majorBidi"/>
          <w:sz w:val="24"/>
          <w:szCs w:val="24"/>
          <w:lang w:val="en-GB"/>
        </w:rPr>
        <w:t xml:space="preserve"> emissions, releases and contaminated sites (Art 8, 9, and 12),</w:t>
      </w:r>
    </w:p>
    <w:p w14:paraId="67D3D9A8" w14:textId="77777777" w:rsidR="00C72F3C" w:rsidRPr="00385CBF" w:rsidRDefault="00C72F3C" w:rsidP="0025348A">
      <w:pPr>
        <w:pStyle w:val="ListParagraph"/>
        <w:numPr>
          <w:ilvl w:val="1"/>
          <w:numId w:val="25"/>
        </w:numPr>
        <w:rPr>
          <w:rFonts w:asciiTheme="majorBidi" w:hAnsiTheme="majorBidi" w:cstheme="majorBidi"/>
          <w:sz w:val="24"/>
          <w:szCs w:val="24"/>
          <w:lang w:val="en-GB"/>
        </w:rPr>
      </w:pPr>
      <w:r w:rsidRPr="00385CBF">
        <w:rPr>
          <w:rFonts w:asciiTheme="majorBidi" w:hAnsiTheme="majorBidi" w:cstheme="majorBidi"/>
          <w:b/>
          <w:bCs/>
          <w:sz w:val="24"/>
          <w:szCs w:val="24"/>
        </w:rPr>
        <w:t>Support cluster:</w:t>
      </w:r>
      <w:r w:rsidRPr="00385CBF">
        <w:rPr>
          <w:rFonts w:asciiTheme="majorBidi" w:hAnsiTheme="majorBidi" w:cstheme="majorBidi"/>
          <w:sz w:val="24"/>
          <w:szCs w:val="24"/>
        </w:rPr>
        <w:t xml:space="preserve"> financial and technical assistance (Art 13 and 14), and</w:t>
      </w:r>
    </w:p>
    <w:p w14:paraId="7C96C560" w14:textId="325A88D7" w:rsidR="008D397D" w:rsidRPr="00CD4A10" w:rsidRDefault="00C72F3C" w:rsidP="0025348A">
      <w:pPr>
        <w:pStyle w:val="ListParagraph"/>
        <w:numPr>
          <w:ilvl w:val="1"/>
          <w:numId w:val="25"/>
        </w:numPr>
        <w:spacing w:after="160"/>
        <w:rPr>
          <w:rFonts w:asciiTheme="majorBidi" w:hAnsiTheme="majorBidi" w:cstheme="majorBidi"/>
          <w:sz w:val="24"/>
          <w:szCs w:val="24"/>
          <w:lang w:val="en-GB"/>
        </w:rPr>
      </w:pPr>
      <w:r w:rsidRPr="00FC73F5">
        <w:rPr>
          <w:rFonts w:asciiTheme="majorBidi" w:hAnsiTheme="majorBidi" w:cstheme="majorBidi"/>
          <w:b/>
          <w:bCs/>
          <w:sz w:val="24"/>
          <w:szCs w:val="24"/>
          <w:lang w:val="en-GB"/>
        </w:rPr>
        <w:t>Information and research cluster:</w:t>
      </w:r>
      <w:r w:rsidRPr="00FC73F5">
        <w:rPr>
          <w:rFonts w:asciiTheme="majorBidi" w:hAnsiTheme="majorBidi" w:cstheme="majorBidi"/>
          <w:sz w:val="24"/>
          <w:szCs w:val="24"/>
          <w:lang w:val="en-GB"/>
        </w:rPr>
        <w:t xml:space="preserve"> information exchange, public information, research (Art 17, 18 and 19). </w:t>
      </w:r>
    </w:p>
    <w:p w14:paraId="7F84E10D" w14:textId="7E7F079C" w:rsidR="003E69A4" w:rsidRPr="00ED0D6B" w:rsidRDefault="006E07BC" w:rsidP="00ED0D6B">
      <w:pPr>
        <w:pStyle w:val="ListParagraph"/>
        <w:numPr>
          <w:ilvl w:val="0"/>
          <w:numId w:val="1"/>
        </w:numPr>
        <w:spacing w:after="160"/>
        <w:rPr>
          <w:rFonts w:asciiTheme="majorBidi" w:hAnsiTheme="majorBidi" w:cstheme="majorBidi"/>
          <w:color w:val="auto"/>
          <w:sz w:val="24"/>
          <w:szCs w:val="24"/>
          <w:lang w:val="en-GB"/>
        </w:rPr>
      </w:pPr>
      <w:r>
        <w:rPr>
          <w:rFonts w:asciiTheme="majorBidi" w:hAnsiTheme="majorBidi" w:cstheme="majorBidi"/>
          <w:sz w:val="24"/>
          <w:szCs w:val="24"/>
          <w:lang w:val="en-GB"/>
        </w:rPr>
        <w:t xml:space="preserve">Furthermore, </w:t>
      </w:r>
      <w:r w:rsidR="00F44030">
        <w:rPr>
          <w:rFonts w:asciiTheme="majorBidi" w:hAnsiTheme="majorBidi" w:cstheme="majorBidi"/>
          <w:sz w:val="24"/>
          <w:szCs w:val="24"/>
          <w:lang w:val="en-GB"/>
        </w:rPr>
        <w:t>recognising</w:t>
      </w:r>
      <w:r>
        <w:rPr>
          <w:rFonts w:asciiTheme="majorBidi" w:hAnsiTheme="majorBidi" w:cstheme="majorBidi"/>
          <w:sz w:val="24"/>
          <w:szCs w:val="24"/>
          <w:lang w:val="en-GB"/>
        </w:rPr>
        <w:t xml:space="preserve"> the central nature of some articles, such as</w:t>
      </w:r>
      <w:r w:rsidR="00FE7B7E">
        <w:rPr>
          <w:rFonts w:asciiTheme="majorBidi" w:hAnsiTheme="majorBidi" w:cstheme="majorBidi"/>
          <w:color w:val="auto"/>
          <w:sz w:val="24"/>
          <w:szCs w:val="24"/>
          <w:lang w:val="en-GB"/>
        </w:rPr>
        <w:t xml:space="preserve"> </w:t>
      </w:r>
      <w:r w:rsidR="008D397D" w:rsidRPr="00FC73F5">
        <w:rPr>
          <w:rFonts w:asciiTheme="majorBidi" w:hAnsiTheme="majorBidi" w:cstheme="majorBidi"/>
          <w:color w:val="auto"/>
          <w:sz w:val="24"/>
          <w:szCs w:val="24"/>
          <w:lang w:val="en-GB"/>
        </w:rPr>
        <w:t>Article 1</w:t>
      </w:r>
      <w:r w:rsidR="00FE7B7E">
        <w:rPr>
          <w:rFonts w:asciiTheme="majorBidi" w:hAnsiTheme="majorBidi" w:cstheme="majorBidi"/>
          <w:color w:val="auto"/>
          <w:sz w:val="24"/>
          <w:szCs w:val="24"/>
          <w:lang w:val="en-GB"/>
        </w:rPr>
        <w:t xml:space="preserve"> (</w:t>
      </w:r>
      <w:r w:rsidR="008D397D" w:rsidRPr="00FC73F5">
        <w:rPr>
          <w:rFonts w:asciiTheme="majorBidi" w:hAnsiTheme="majorBidi" w:cstheme="majorBidi"/>
          <w:color w:val="auto"/>
          <w:sz w:val="24"/>
          <w:szCs w:val="24"/>
          <w:lang w:val="en-GB"/>
        </w:rPr>
        <w:t xml:space="preserve">setting out the objective of the Convention) </w:t>
      </w:r>
      <w:r w:rsidR="00FE7B7E">
        <w:rPr>
          <w:rFonts w:asciiTheme="majorBidi" w:hAnsiTheme="majorBidi" w:cstheme="majorBidi"/>
          <w:color w:val="auto"/>
          <w:sz w:val="24"/>
          <w:szCs w:val="24"/>
          <w:lang w:val="en-GB"/>
        </w:rPr>
        <w:t>or</w:t>
      </w:r>
      <w:r w:rsidR="008D397D" w:rsidRPr="00FC73F5">
        <w:rPr>
          <w:rFonts w:asciiTheme="majorBidi" w:hAnsiTheme="majorBidi" w:cstheme="majorBidi"/>
          <w:color w:val="auto"/>
          <w:sz w:val="24"/>
          <w:szCs w:val="24"/>
          <w:lang w:val="en-GB"/>
        </w:rPr>
        <w:t xml:space="preserve"> </w:t>
      </w:r>
      <w:r>
        <w:rPr>
          <w:rFonts w:asciiTheme="majorBidi" w:hAnsiTheme="majorBidi" w:cstheme="majorBidi"/>
          <w:color w:val="auto"/>
          <w:sz w:val="24"/>
          <w:szCs w:val="24"/>
          <w:lang w:val="en-GB"/>
        </w:rPr>
        <w:t xml:space="preserve">the crosscutting nature, such as </w:t>
      </w:r>
      <w:r w:rsidR="008D397D" w:rsidRPr="00FC73F5">
        <w:rPr>
          <w:rFonts w:asciiTheme="majorBidi" w:hAnsiTheme="majorBidi" w:cstheme="majorBidi"/>
          <w:color w:val="auto"/>
          <w:sz w:val="24"/>
          <w:szCs w:val="24"/>
          <w:lang w:val="en-GB"/>
        </w:rPr>
        <w:t>Article 16</w:t>
      </w:r>
      <w:r w:rsidR="00FE7B7E">
        <w:rPr>
          <w:rFonts w:asciiTheme="majorBidi" w:hAnsiTheme="majorBidi" w:cstheme="majorBidi"/>
          <w:color w:val="auto"/>
          <w:sz w:val="24"/>
          <w:szCs w:val="24"/>
          <w:lang w:val="en-GB"/>
        </w:rPr>
        <w:t xml:space="preserve"> (</w:t>
      </w:r>
      <w:r w:rsidR="008D397D" w:rsidRPr="00FC73F5">
        <w:rPr>
          <w:rFonts w:asciiTheme="majorBidi" w:hAnsiTheme="majorBidi" w:cstheme="majorBidi"/>
          <w:color w:val="auto"/>
          <w:sz w:val="24"/>
          <w:szCs w:val="24"/>
          <w:lang w:val="en-GB"/>
        </w:rPr>
        <w:t xml:space="preserve">on the </w:t>
      </w:r>
      <w:r w:rsidR="008D397D" w:rsidRPr="00FC73F5">
        <w:rPr>
          <w:rFonts w:asciiTheme="majorBidi" w:hAnsiTheme="majorBidi" w:cstheme="majorBidi"/>
          <w:color w:val="auto"/>
          <w:sz w:val="24"/>
          <w:szCs w:val="24"/>
          <w:lang w:val="en-GB"/>
        </w:rPr>
        <w:lastRenderedPageBreak/>
        <w:t>health aspects)</w:t>
      </w:r>
      <w:r w:rsidR="00FE7B7E">
        <w:rPr>
          <w:rFonts w:asciiTheme="majorBidi" w:hAnsiTheme="majorBidi" w:cstheme="majorBidi"/>
          <w:color w:val="auto"/>
          <w:sz w:val="24"/>
          <w:szCs w:val="24"/>
          <w:lang w:val="en-GB"/>
        </w:rPr>
        <w:t xml:space="preserve"> </w:t>
      </w:r>
      <w:r>
        <w:rPr>
          <w:rFonts w:asciiTheme="majorBidi" w:hAnsiTheme="majorBidi" w:cstheme="majorBidi"/>
          <w:color w:val="auto"/>
          <w:sz w:val="24"/>
          <w:szCs w:val="24"/>
          <w:lang w:val="en-GB"/>
        </w:rPr>
        <w:t xml:space="preserve">key articles </w:t>
      </w:r>
      <w:r w:rsidR="00FE7B7E">
        <w:rPr>
          <w:rFonts w:asciiTheme="majorBidi" w:hAnsiTheme="majorBidi" w:cstheme="majorBidi"/>
          <w:color w:val="auto"/>
          <w:sz w:val="24"/>
          <w:szCs w:val="24"/>
          <w:lang w:val="en-GB"/>
        </w:rPr>
        <w:t xml:space="preserve">were not clustered but kept separate for the purposes of identifying indicators. </w:t>
      </w:r>
    </w:p>
    <w:p w14:paraId="63975557" w14:textId="036C1E6B" w:rsidR="00A656FD" w:rsidRPr="00253802" w:rsidRDefault="00A656FD" w:rsidP="003E69A4">
      <w:pPr>
        <w:pStyle w:val="ListParagraph"/>
        <w:numPr>
          <w:ilvl w:val="0"/>
          <w:numId w:val="1"/>
        </w:numPr>
        <w:spacing w:after="160"/>
        <w:rPr>
          <w:rFonts w:asciiTheme="majorBidi" w:hAnsiTheme="majorBidi" w:cstheme="majorBidi"/>
          <w:color w:val="auto"/>
          <w:sz w:val="24"/>
          <w:szCs w:val="24"/>
          <w:lang w:val="en-GB"/>
        </w:rPr>
      </w:pPr>
      <w:r>
        <w:rPr>
          <w:rFonts w:asciiTheme="majorBidi" w:hAnsiTheme="majorBidi" w:cstheme="majorBidi"/>
          <w:sz w:val="24"/>
          <w:szCs w:val="24"/>
        </w:rPr>
        <w:t xml:space="preserve">The </w:t>
      </w:r>
      <w:r w:rsidRPr="00253802">
        <w:rPr>
          <w:rFonts w:asciiTheme="majorBidi" w:hAnsiTheme="majorBidi" w:cstheme="majorBidi"/>
          <w:sz w:val="24"/>
          <w:szCs w:val="24"/>
          <w:u w:val="single"/>
        </w:rPr>
        <w:t>rationale</w:t>
      </w:r>
      <w:r>
        <w:rPr>
          <w:rFonts w:asciiTheme="majorBidi" w:hAnsiTheme="majorBidi" w:cstheme="majorBidi"/>
          <w:sz w:val="24"/>
          <w:szCs w:val="24"/>
        </w:rPr>
        <w:t xml:space="preserve"> underlying the proposed indicators is as follows: (a) Process indicators are required to answer the first policy question (Have the Parties taken actions to implement the Minamata Convention?). (b) Outcome indicators are required to address the second policy question (Have the actions resulted in changes in emission and releases of mercury to the environment?). For each cluster of </w:t>
      </w:r>
      <w:r w:rsidR="001322DA">
        <w:rPr>
          <w:rFonts w:asciiTheme="majorBidi" w:hAnsiTheme="majorBidi" w:cstheme="majorBidi"/>
          <w:sz w:val="24"/>
          <w:szCs w:val="24"/>
        </w:rPr>
        <w:t>articles,</w:t>
      </w:r>
      <w:r>
        <w:rPr>
          <w:rFonts w:asciiTheme="majorBidi" w:hAnsiTheme="majorBidi" w:cstheme="majorBidi"/>
          <w:sz w:val="24"/>
          <w:szCs w:val="24"/>
        </w:rPr>
        <w:t xml:space="preserve"> the ad hoc expert group followed the formulation of identification of how many parties are taking action on a key policy measure, and </w:t>
      </w:r>
      <w:r w:rsidRPr="00ED0D6B">
        <w:rPr>
          <w:rFonts w:asciiTheme="majorBidi" w:hAnsiTheme="majorBidi" w:cstheme="majorBidi"/>
          <w:sz w:val="24"/>
          <w:szCs w:val="24"/>
        </w:rPr>
        <w:t xml:space="preserve">what is the outcome of those actions. (c) Monitoring indicators </w:t>
      </w:r>
      <w:r w:rsidR="00ED0D6B" w:rsidRPr="00ED0D6B">
        <w:rPr>
          <w:rFonts w:asciiTheme="majorBidi" w:hAnsiTheme="majorBidi" w:cstheme="majorBidi"/>
          <w:sz w:val="24"/>
          <w:szCs w:val="24"/>
        </w:rPr>
        <w:t xml:space="preserve">are needed to provide validated, scientific information to inform and support policy and decision-making. </w:t>
      </w:r>
    </w:p>
    <w:p w14:paraId="40D6D576" w14:textId="5457BAB1" w:rsidR="00253802" w:rsidRDefault="00BB1E09" w:rsidP="003E69A4">
      <w:pPr>
        <w:pStyle w:val="ListParagraph"/>
        <w:numPr>
          <w:ilvl w:val="0"/>
          <w:numId w:val="1"/>
        </w:numPr>
        <w:spacing w:after="160"/>
        <w:rPr>
          <w:rFonts w:asciiTheme="majorBidi" w:hAnsiTheme="majorBidi" w:cstheme="majorBidi"/>
          <w:color w:val="auto"/>
          <w:sz w:val="24"/>
          <w:szCs w:val="24"/>
          <w:lang w:val="en-GB"/>
        </w:rPr>
      </w:pPr>
      <w:r>
        <w:rPr>
          <w:rFonts w:asciiTheme="majorBidi" w:hAnsiTheme="majorBidi" w:cstheme="majorBidi"/>
          <w:color w:val="auto"/>
          <w:sz w:val="24"/>
          <w:szCs w:val="24"/>
          <w:lang w:val="en-GB"/>
        </w:rPr>
        <w:t xml:space="preserve">The indicators were largely developed keeping in mind data and reports required by the Convention’s reporting requirements or related bodies (including, for example, reports of the Global Environment Facility). These reports will be supplemented by other available and compiled data in the synthesis reports, and in the Integrated Assessment Report. By using the data available, the indicators are therefore </w:t>
      </w:r>
      <w:r w:rsidRPr="00BB1E09">
        <w:rPr>
          <w:rFonts w:asciiTheme="majorBidi" w:hAnsiTheme="majorBidi" w:cstheme="majorBidi"/>
          <w:color w:val="auto"/>
          <w:sz w:val="24"/>
          <w:szCs w:val="24"/>
          <w:u w:val="single"/>
          <w:lang w:val="en-GB"/>
        </w:rPr>
        <w:t>cost effective</w:t>
      </w:r>
      <w:r>
        <w:rPr>
          <w:rFonts w:asciiTheme="majorBidi" w:hAnsiTheme="majorBidi" w:cstheme="majorBidi"/>
          <w:color w:val="auto"/>
          <w:sz w:val="24"/>
          <w:szCs w:val="24"/>
          <w:lang w:val="en-GB"/>
        </w:rPr>
        <w:t xml:space="preserve">. Further, the data will be produced on a recurrent basis for the life of the Convention, and thus are </w:t>
      </w:r>
      <w:r w:rsidRPr="00BB1E09">
        <w:rPr>
          <w:rFonts w:asciiTheme="majorBidi" w:hAnsiTheme="majorBidi" w:cstheme="majorBidi"/>
          <w:color w:val="auto"/>
          <w:sz w:val="24"/>
          <w:szCs w:val="24"/>
          <w:u w:val="single"/>
          <w:lang w:val="en-GB"/>
        </w:rPr>
        <w:t>sustainable</w:t>
      </w:r>
      <w:r>
        <w:rPr>
          <w:rFonts w:asciiTheme="majorBidi" w:hAnsiTheme="majorBidi" w:cstheme="majorBidi"/>
          <w:color w:val="auto"/>
          <w:sz w:val="24"/>
          <w:szCs w:val="24"/>
          <w:lang w:val="en-GB"/>
        </w:rPr>
        <w:t xml:space="preserve">. </w:t>
      </w:r>
    </w:p>
    <w:p w14:paraId="44A1FF7A" w14:textId="4A3D57B3" w:rsidR="00BB1E09" w:rsidRDefault="00BB1E09" w:rsidP="003E69A4">
      <w:pPr>
        <w:pStyle w:val="ListParagraph"/>
        <w:numPr>
          <w:ilvl w:val="0"/>
          <w:numId w:val="1"/>
        </w:numPr>
        <w:spacing w:after="160"/>
        <w:rPr>
          <w:rFonts w:asciiTheme="majorBidi" w:hAnsiTheme="majorBidi" w:cstheme="majorBidi"/>
          <w:color w:val="auto"/>
          <w:sz w:val="24"/>
          <w:szCs w:val="24"/>
          <w:lang w:val="en-GB"/>
        </w:rPr>
      </w:pPr>
      <w:r>
        <w:rPr>
          <w:rFonts w:asciiTheme="majorBidi" w:hAnsiTheme="majorBidi" w:cstheme="majorBidi"/>
          <w:color w:val="auto"/>
          <w:sz w:val="24"/>
          <w:szCs w:val="24"/>
          <w:lang w:val="en-GB"/>
        </w:rPr>
        <w:t xml:space="preserve">The indicators are formulated in a way that can be </w:t>
      </w:r>
      <w:r w:rsidRPr="00400ACB">
        <w:rPr>
          <w:rFonts w:asciiTheme="majorBidi" w:hAnsiTheme="majorBidi" w:cstheme="majorBidi"/>
          <w:color w:val="auto"/>
          <w:sz w:val="24"/>
          <w:szCs w:val="24"/>
          <w:u w:val="single"/>
          <w:lang w:val="en-GB"/>
        </w:rPr>
        <w:t>practical and feasible</w:t>
      </w:r>
      <w:r>
        <w:rPr>
          <w:rFonts w:asciiTheme="majorBidi" w:hAnsiTheme="majorBidi" w:cstheme="majorBidi"/>
          <w:color w:val="auto"/>
          <w:sz w:val="24"/>
          <w:szCs w:val="24"/>
          <w:lang w:val="en-GB"/>
        </w:rPr>
        <w:t xml:space="preserve">. The </w:t>
      </w:r>
      <w:r w:rsidR="000629FA">
        <w:rPr>
          <w:rFonts w:asciiTheme="majorBidi" w:hAnsiTheme="majorBidi" w:cstheme="majorBidi"/>
          <w:color w:val="auto"/>
          <w:sz w:val="24"/>
          <w:szCs w:val="24"/>
          <w:lang w:val="en-GB"/>
        </w:rPr>
        <w:t>indicators</w:t>
      </w:r>
      <w:r>
        <w:rPr>
          <w:rFonts w:asciiTheme="majorBidi" w:hAnsiTheme="majorBidi" w:cstheme="majorBidi"/>
          <w:color w:val="auto"/>
          <w:sz w:val="24"/>
          <w:szCs w:val="24"/>
          <w:lang w:val="en-GB"/>
        </w:rPr>
        <w:t xml:space="preserve"> are designed to be easily counted and calculated, and </w:t>
      </w:r>
      <w:r w:rsidR="000629FA">
        <w:rPr>
          <w:rFonts w:asciiTheme="majorBidi" w:hAnsiTheme="majorBidi" w:cstheme="majorBidi"/>
          <w:color w:val="auto"/>
          <w:sz w:val="24"/>
          <w:szCs w:val="24"/>
          <w:lang w:val="en-GB"/>
        </w:rPr>
        <w:t xml:space="preserve">to be easily </w:t>
      </w:r>
      <w:r>
        <w:rPr>
          <w:rFonts w:asciiTheme="majorBidi" w:hAnsiTheme="majorBidi" w:cstheme="majorBidi"/>
          <w:color w:val="auto"/>
          <w:sz w:val="24"/>
          <w:szCs w:val="24"/>
          <w:lang w:val="en-GB"/>
        </w:rPr>
        <w:t>understood</w:t>
      </w:r>
      <w:r w:rsidR="000629FA">
        <w:rPr>
          <w:rFonts w:asciiTheme="majorBidi" w:hAnsiTheme="majorBidi" w:cstheme="majorBidi"/>
          <w:color w:val="auto"/>
          <w:sz w:val="24"/>
          <w:szCs w:val="24"/>
          <w:lang w:val="en-GB"/>
        </w:rPr>
        <w:t xml:space="preserve"> (they do not represent complex functions)</w:t>
      </w:r>
      <w:r>
        <w:rPr>
          <w:rFonts w:asciiTheme="majorBidi" w:hAnsiTheme="majorBidi" w:cstheme="majorBidi"/>
          <w:color w:val="auto"/>
          <w:sz w:val="24"/>
          <w:szCs w:val="24"/>
          <w:lang w:val="en-GB"/>
        </w:rPr>
        <w:t xml:space="preserve">. If Article 21 reporting data is submitted electronically to the Secretariat, their calculation should be especially straight forward. </w:t>
      </w:r>
    </w:p>
    <w:p w14:paraId="2E5A4DC9" w14:textId="3FCB6E18" w:rsidR="00EA0CA0" w:rsidRPr="00ED0D6B" w:rsidRDefault="00A32C9A" w:rsidP="003E69A4">
      <w:pPr>
        <w:pStyle w:val="ListParagraph"/>
        <w:numPr>
          <w:ilvl w:val="0"/>
          <w:numId w:val="1"/>
        </w:numPr>
        <w:spacing w:after="160"/>
        <w:rPr>
          <w:rFonts w:asciiTheme="majorBidi" w:hAnsiTheme="majorBidi" w:cstheme="majorBidi"/>
          <w:color w:val="auto"/>
          <w:sz w:val="24"/>
          <w:szCs w:val="24"/>
          <w:lang w:val="en-GB"/>
        </w:rPr>
      </w:pPr>
      <w:r w:rsidRPr="00ED0D6B">
        <w:rPr>
          <w:rFonts w:asciiTheme="majorBidi" w:hAnsiTheme="majorBidi" w:cstheme="majorBidi"/>
          <w:color w:val="auto"/>
          <w:sz w:val="24"/>
          <w:szCs w:val="24"/>
          <w:u w:val="single"/>
          <w:lang w:val="en-GB"/>
        </w:rPr>
        <w:t>Baselines</w:t>
      </w:r>
      <w:r w:rsidRPr="00ED0D6B">
        <w:rPr>
          <w:rFonts w:asciiTheme="majorBidi" w:hAnsiTheme="majorBidi" w:cstheme="majorBidi"/>
          <w:color w:val="auto"/>
          <w:sz w:val="24"/>
          <w:szCs w:val="24"/>
          <w:lang w:val="en-GB"/>
        </w:rPr>
        <w:t xml:space="preserve"> are considered fundamental to undertake an effectiveness evaluation, so that indicators can be evaluated over time. </w:t>
      </w:r>
      <w:r w:rsidR="0065607D" w:rsidRPr="00ED0D6B">
        <w:rPr>
          <w:rFonts w:asciiTheme="majorBidi" w:hAnsiTheme="majorBidi" w:cstheme="majorBidi"/>
          <w:color w:val="auto"/>
          <w:sz w:val="24"/>
          <w:szCs w:val="24"/>
          <w:lang w:val="en-GB"/>
        </w:rPr>
        <w:t xml:space="preserve">There is </w:t>
      </w:r>
      <w:r w:rsidRPr="00ED0D6B">
        <w:rPr>
          <w:rFonts w:asciiTheme="majorBidi" w:hAnsiTheme="majorBidi" w:cstheme="majorBidi"/>
          <w:color w:val="auto"/>
          <w:sz w:val="24"/>
          <w:szCs w:val="24"/>
          <w:lang w:val="en-GB"/>
        </w:rPr>
        <w:t xml:space="preserve">no formal process under the Convention to establish baselines. </w:t>
      </w:r>
      <w:r w:rsidR="0065607D" w:rsidRPr="00ED0D6B">
        <w:rPr>
          <w:rFonts w:asciiTheme="majorBidi" w:hAnsiTheme="majorBidi" w:cstheme="majorBidi"/>
          <w:color w:val="auto"/>
          <w:sz w:val="24"/>
          <w:szCs w:val="24"/>
          <w:lang w:val="en-GB"/>
        </w:rPr>
        <w:t xml:space="preserve">There are two approaches to establish baselines. </w:t>
      </w:r>
      <w:r w:rsidRPr="00ED0D6B">
        <w:rPr>
          <w:rFonts w:asciiTheme="majorBidi" w:hAnsiTheme="majorBidi" w:cstheme="majorBidi"/>
          <w:color w:val="auto"/>
          <w:sz w:val="24"/>
          <w:szCs w:val="24"/>
          <w:lang w:val="en-GB"/>
        </w:rPr>
        <w:t xml:space="preserve">One is a “before-after” baseline, another is “with-without” baseline. The former is suitable for the indicators that are relatively stable, so that </w:t>
      </w:r>
      <w:r w:rsidR="0065607D" w:rsidRPr="00ED0D6B">
        <w:rPr>
          <w:rFonts w:asciiTheme="majorBidi" w:hAnsiTheme="majorBidi" w:cstheme="majorBidi"/>
          <w:color w:val="auto"/>
          <w:sz w:val="24"/>
          <w:szCs w:val="24"/>
          <w:lang w:val="en-GB"/>
        </w:rPr>
        <w:t>a</w:t>
      </w:r>
      <w:r w:rsidRPr="00ED0D6B">
        <w:rPr>
          <w:rFonts w:asciiTheme="majorBidi" w:hAnsiTheme="majorBidi" w:cstheme="majorBidi"/>
          <w:color w:val="auto"/>
          <w:sz w:val="24"/>
          <w:szCs w:val="24"/>
          <w:lang w:val="en-GB"/>
        </w:rPr>
        <w:t xml:space="preserve"> time value from before the Convention can be used</w:t>
      </w:r>
      <w:r w:rsidR="0065607D" w:rsidRPr="00ED0D6B">
        <w:rPr>
          <w:rFonts w:asciiTheme="majorBidi" w:hAnsiTheme="majorBidi" w:cstheme="majorBidi"/>
          <w:color w:val="auto"/>
          <w:sz w:val="24"/>
          <w:szCs w:val="24"/>
          <w:lang w:val="en-GB"/>
        </w:rPr>
        <w:t xml:space="preserve"> throughout the evaluation process. The latter type is suitable for indicators that fluctuate over time by some factors other than the interventions made due to the provisions of the Convention. Socio-economic and demographic aspects can play a role, as can climate change, ongoing initiatives, as well as shifts in life style. These will impact baseline value in the medium and longer term.</w:t>
      </w:r>
    </w:p>
    <w:p w14:paraId="512E4B4E" w14:textId="1EB79BCB" w:rsidR="00914E5C" w:rsidRDefault="00483331" w:rsidP="003E69A4">
      <w:pPr>
        <w:pStyle w:val="ListParagraph"/>
        <w:numPr>
          <w:ilvl w:val="0"/>
          <w:numId w:val="1"/>
        </w:numPr>
        <w:spacing w:after="160"/>
        <w:rPr>
          <w:rFonts w:asciiTheme="majorBidi" w:hAnsiTheme="majorBidi" w:cstheme="majorBidi"/>
          <w:color w:val="auto"/>
          <w:sz w:val="24"/>
          <w:szCs w:val="24"/>
          <w:lang w:val="en-GB"/>
        </w:rPr>
      </w:pPr>
      <w:r>
        <w:rPr>
          <w:rFonts w:asciiTheme="majorBidi" w:hAnsiTheme="majorBidi" w:cstheme="majorBidi"/>
          <w:color w:val="auto"/>
          <w:sz w:val="24"/>
          <w:szCs w:val="24"/>
          <w:lang w:val="en-GB"/>
        </w:rPr>
        <w:t xml:space="preserve">Table 2 below presented the </w:t>
      </w:r>
      <w:r w:rsidR="00193F2A">
        <w:rPr>
          <w:rFonts w:asciiTheme="majorBidi" w:hAnsiTheme="majorBidi" w:cstheme="majorBidi"/>
          <w:color w:val="auto"/>
          <w:sz w:val="24"/>
          <w:szCs w:val="24"/>
          <w:lang w:val="en-GB"/>
        </w:rPr>
        <w:t xml:space="preserve">proposed </w:t>
      </w:r>
      <w:r>
        <w:rPr>
          <w:rFonts w:asciiTheme="majorBidi" w:hAnsiTheme="majorBidi" w:cstheme="majorBidi"/>
          <w:color w:val="auto"/>
          <w:sz w:val="24"/>
          <w:szCs w:val="24"/>
          <w:lang w:val="en-GB"/>
        </w:rPr>
        <w:t>indicators</w:t>
      </w:r>
      <w:r w:rsidR="00547E9C">
        <w:rPr>
          <w:rFonts w:asciiTheme="majorBidi" w:hAnsiTheme="majorBidi" w:cstheme="majorBidi"/>
          <w:color w:val="auto"/>
          <w:sz w:val="24"/>
          <w:szCs w:val="24"/>
          <w:lang w:val="en-GB"/>
        </w:rPr>
        <w:t xml:space="preserve">, </w:t>
      </w:r>
      <w:r w:rsidR="00547E9C" w:rsidRPr="00771944">
        <w:rPr>
          <w:rFonts w:asciiTheme="majorBidi" w:hAnsiTheme="majorBidi" w:cstheme="majorBidi"/>
          <w:color w:val="auto"/>
          <w:sz w:val="24"/>
          <w:szCs w:val="24"/>
          <w:lang w:val="en-GB"/>
        </w:rPr>
        <w:t>that are to be read in compliment to the specific monitoring indicators identified in paragraph 52</w:t>
      </w:r>
      <w:r w:rsidR="00193F2A" w:rsidRPr="00771944">
        <w:rPr>
          <w:rFonts w:asciiTheme="majorBidi" w:hAnsiTheme="majorBidi" w:cstheme="majorBidi"/>
          <w:color w:val="auto"/>
          <w:sz w:val="24"/>
          <w:szCs w:val="24"/>
          <w:lang w:val="en-GB"/>
        </w:rPr>
        <w:t>:</w:t>
      </w:r>
    </w:p>
    <w:p w14:paraId="028CF90A" w14:textId="77777777" w:rsidR="00914E5C" w:rsidRDefault="00914E5C">
      <w:pPr>
        <w:rPr>
          <w:rFonts w:asciiTheme="majorBidi" w:eastAsia="Arial Unicode MS" w:hAnsiTheme="majorBidi" w:cstheme="majorBidi"/>
          <w:sz w:val="24"/>
          <w:szCs w:val="24"/>
          <w:u w:color="000000"/>
          <w:bdr w:val="nil"/>
        </w:rPr>
      </w:pPr>
      <w:r>
        <w:rPr>
          <w:rFonts w:asciiTheme="majorBidi" w:hAnsiTheme="majorBidi" w:cstheme="majorBidi"/>
          <w:sz w:val="24"/>
          <w:szCs w:val="24"/>
        </w:rPr>
        <w:br w:type="page"/>
      </w:r>
    </w:p>
    <w:p w14:paraId="023C6CEC" w14:textId="77777777" w:rsidR="00567037" w:rsidRDefault="00567037" w:rsidP="00914E5C">
      <w:pPr>
        <w:rPr>
          <w:rStyle w:val="dn"/>
          <w:rFonts w:asciiTheme="majorBidi" w:eastAsia="Roboto" w:hAnsiTheme="majorBidi" w:cstheme="majorBidi"/>
          <w:b/>
        </w:rPr>
        <w:sectPr w:rsidR="00567037" w:rsidSect="009171DA">
          <w:pgSz w:w="12240" w:h="15840"/>
          <w:pgMar w:top="1440" w:right="1440" w:bottom="1440" w:left="1440" w:header="709" w:footer="709" w:gutter="0"/>
          <w:lnNumType w:countBy="1" w:restart="continuous"/>
          <w:cols w:space="708"/>
          <w:docGrid w:linePitch="360"/>
        </w:sectPr>
      </w:pPr>
    </w:p>
    <w:tbl>
      <w:tblPr>
        <w:tblStyle w:val="TableGrid"/>
        <w:tblW w:w="0" w:type="auto"/>
        <w:tblLook w:val="04A0" w:firstRow="1" w:lastRow="0" w:firstColumn="1" w:lastColumn="0" w:noHBand="0" w:noVBand="1"/>
      </w:tblPr>
      <w:tblGrid>
        <w:gridCol w:w="2689"/>
        <w:gridCol w:w="5386"/>
        <w:gridCol w:w="2410"/>
        <w:gridCol w:w="2410"/>
      </w:tblGrid>
      <w:tr w:rsidR="00792AAE" w:rsidRPr="00C56B34" w14:paraId="730ED70D" w14:textId="77777777" w:rsidTr="002B0296">
        <w:tc>
          <w:tcPr>
            <w:tcW w:w="12895" w:type="dxa"/>
            <w:gridSpan w:val="4"/>
            <w:shd w:val="clear" w:color="auto" w:fill="D9D9D9" w:themeFill="background1" w:themeFillShade="D9"/>
          </w:tcPr>
          <w:p w14:paraId="5A27107E" w14:textId="34CB9C6A" w:rsidR="00FE1F19" w:rsidRPr="001F0AC6" w:rsidRDefault="00FE1F19" w:rsidP="00914E5C">
            <w:pPr>
              <w:rPr>
                <w:rStyle w:val="dn"/>
                <w:rFonts w:asciiTheme="majorBidi" w:eastAsia="Roboto" w:hAnsiTheme="majorBidi" w:cstheme="majorBidi"/>
                <w:b/>
              </w:rPr>
            </w:pPr>
          </w:p>
          <w:p w14:paraId="135F6435" w14:textId="2E6E57B2" w:rsidR="00792AAE" w:rsidRPr="001F0AC6" w:rsidRDefault="00792AAE" w:rsidP="00914E5C">
            <w:pPr>
              <w:rPr>
                <w:rFonts w:asciiTheme="majorBidi" w:hAnsiTheme="majorBidi" w:cstheme="majorBidi"/>
                <w:b/>
              </w:rPr>
            </w:pPr>
            <w:r w:rsidRPr="001F0AC6">
              <w:rPr>
                <w:rStyle w:val="dn"/>
                <w:rFonts w:asciiTheme="majorBidi" w:eastAsia="Roboto" w:hAnsiTheme="majorBidi" w:cstheme="majorBidi"/>
                <w:b/>
              </w:rPr>
              <w:t>T</w:t>
            </w:r>
            <w:r w:rsidRPr="001F0AC6">
              <w:rPr>
                <w:rStyle w:val="dn"/>
                <w:rFonts w:eastAsia="Roboto"/>
                <w:b/>
              </w:rPr>
              <w:t xml:space="preserve">able 2: </w:t>
            </w:r>
            <w:r w:rsidRPr="001F0AC6">
              <w:rPr>
                <w:rStyle w:val="dn"/>
                <w:b/>
              </w:rPr>
              <w:t>Proposed i</w:t>
            </w:r>
            <w:r w:rsidRPr="001F0AC6">
              <w:rPr>
                <w:rFonts w:asciiTheme="majorBidi" w:hAnsiTheme="majorBidi" w:cstheme="majorBidi"/>
                <w:b/>
              </w:rPr>
              <w:t>ndicators to evaluate the effectiveness of the Minamata Convention</w:t>
            </w:r>
          </w:p>
          <w:p w14:paraId="4EBAE5CD" w14:textId="77777777" w:rsidR="00792AAE" w:rsidRPr="00C56B34" w:rsidRDefault="00792AAE" w:rsidP="00567037">
            <w:pPr>
              <w:rPr>
                <w:rFonts w:asciiTheme="majorBidi" w:hAnsiTheme="majorBidi" w:cstheme="majorBidi"/>
                <w:b/>
                <w:bCs/>
              </w:rPr>
            </w:pPr>
          </w:p>
        </w:tc>
      </w:tr>
      <w:tr w:rsidR="00914E5C" w:rsidRPr="00C56B34" w14:paraId="5EB15EAD" w14:textId="77777777" w:rsidTr="002B0296">
        <w:tc>
          <w:tcPr>
            <w:tcW w:w="8075" w:type="dxa"/>
            <w:gridSpan w:val="2"/>
            <w:shd w:val="clear" w:color="auto" w:fill="D9D9D9" w:themeFill="background1" w:themeFillShade="D9"/>
          </w:tcPr>
          <w:p w14:paraId="568D9971" w14:textId="4B74A76B" w:rsidR="00914E5C" w:rsidRPr="00C56B34" w:rsidRDefault="00914E5C" w:rsidP="00567037">
            <w:pPr>
              <w:rPr>
                <w:rFonts w:asciiTheme="majorBidi" w:hAnsiTheme="majorBidi" w:cstheme="majorBidi"/>
                <w:b/>
                <w:bCs/>
              </w:rPr>
            </w:pPr>
            <w:r w:rsidRPr="00C56B34">
              <w:rPr>
                <w:rStyle w:val="dn"/>
                <w:rFonts w:asciiTheme="majorBidi" w:eastAsia="Roboto" w:hAnsiTheme="majorBidi" w:cstheme="majorBidi"/>
                <w:b/>
              </w:rPr>
              <w:t>A: Minamata Convention Article 1: (Objective) Protecting human health and the environment</w:t>
            </w:r>
            <w:r w:rsidR="00B65DF6">
              <w:rPr>
                <w:rStyle w:val="dn"/>
                <w:rFonts w:asciiTheme="majorBidi" w:eastAsia="Roboto" w:hAnsiTheme="majorBidi" w:cstheme="majorBidi"/>
                <w:b/>
              </w:rPr>
              <w:t xml:space="preserve"> </w:t>
            </w:r>
            <w:r w:rsidR="00B65DF6">
              <w:rPr>
                <w:rStyle w:val="dn"/>
                <w:rFonts w:eastAsia="Roboto"/>
                <w:b/>
              </w:rPr>
              <w:t>**</w:t>
            </w:r>
          </w:p>
        </w:tc>
        <w:tc>
          <w:tcPr>
            <w:tcW w:w="2410" w:type="dxa"/>
            <w:shd w:val="clear" w:color="auto" w:fill="D9D9D9" w:themeFill="background1" w:themeFillShade="D9"/>
          </w:tcPr>
          <w:p w14:paraId="114467A2" w14:textId="77777777" w:rsidR="00914E5C" w:rsidRPr="00C56B34" w:rsidRDefault="00914E5C" w:rsidP="00567037">
            <w:pPr>
              <w:rPr>
                <w:rStyle w:val="dn"/>
                <w:rFonts w:asciiTheme="majorBidi" w:eastAsia="Roboto" w:hAnsiTheme="majorBidi" w:cstheme="majorBidi"/>
                <w:b/>
                <w:bCs/>
              </w:rPr>
            </w:pPr>
            <w:r w:rsidRPr="00C56B34">
              <w:rPr>
                <w:rFonts w:asciiTheme="majorBidi" w:hAnsiTheme="majorBidi" w:cstheme="majorBidi"/>
                <w:b/>
                <w:bCs/>
              </w:rPr>
              <w:t>Source of information on indicator</w:t>
            </w:r>
          </w:p>
        </w:tc>
        <w:tc>
          <w:tcPr>
            <w:tcW w:w="2410" w:type="dxa"/>
            <w:shd w:val="clear" w:color="auto" w:fill="D9D9D9" w:themeFill="background1" w:themeFillShade="D9"/>
          </w:tcPr>
          <w:p w14:paraId="084874B1" w14:textId="77777777" w:rsidR="00914E5C" w:rsidRPr="00C56B34" w:rsidRDefault="00914E5C" w:rsidP="00567037">
            <w:pPr>
              <w:rPr>
                <w:rStyle w:val="dn"/>
                <w:rFonts w:asciiTheme="majorBidi" w:eastAsia="Roboto" w:hAnsiTheme="majorBidi" w:cstheme="majorBidi"/>
                <w:b/>
                <w:bCs/>
              </w:rPr>
            </w:pPr>
            <w:r w:rsidRPr="00C56B34">
              <w:rPr>
                <w:rFonts w:asciiTheme="majorBidi" w:hAnsiTheme="majorBidi" w:cstheme="majorBidi"/>
                <w:b/>
                <w:bCs/>
              </w:rPr>
              <w:t>Baseline for the indicator</w:t>
            </w:r>
          </w:p>
        </w:tc>
      </w:tr>
      <w:tr w:rsidR="00914E5C" w:rsidRPr="00C56B34" w14:paraId="18B2E289" w14:textId="77777777" w:rsidTr="002B0296">
        <w:tc>
          <w:tcPr>
            <w:tcW w:w="2689" w:type="dxa"/>
          </w:tcPr>
          <w:p w14:paraId="5589EB69" w14:textId="77777777" w:rsidR="00914E5C" w:rsidRPr="00C56B34" w:rsidRDefault="00914E5C" w:rsidP="00567037">
            <w:pPr>
              <w:rPr>
                <w:rFonts w:asciiTheme="majorBidi" w:hAnsiTheme="majorBidi" w:cstheme="majorBidi"/>
                <w:b/>
                <w:bCs/>
              </w:rPr>
            </w:pPr>
            <w:r w:rsidRPr="00C56B34">
              <w:rPr>
                <w:rFonts w:asciiTheme="majorBidi" w:hAnsiTheme="majorBidi" w:cstheme="majorBidi"/>
                <w:b/>
                <w:bCs/>
              </w:rPr>
              <w:t>A1. Cross-cutting monitoring indicator</w:t>
            </w:r>
          </w:p>
        </w:tc>
        <w:tc>
          <w:tcPr>
            <w:tcW w:w="5386" w:type="dxa"/>
          </w:tcPr>
          <w:p w14:paraId="27190FCF" w14:textId="28E2CF0E" w:rsidR="00914E5C" w:rsidRPr="00C56B34" w:rsidRDefault="00914E5C" w:rsidP="00567037">
            <w:pPr>
              <w:rPr>
                <w:rFonts w:asciiTheme="majorBidi" w:hAnsiTheme="majorBidi" w:cstheme="majorBidi"/>
              </w:rPr>
            </w:pPr>
            <w:r w:rsidRPr="00C56B34">
              <w:rPr>
                <w:rFonts w:asciiTheme="majorBidi" w:hAnsiTheme="majorBidi" w:cstheme="majorBidi"/>
              </w:rPr>
              <w:t xml:space="preserve">Levels of mercury in the environment and in humans due to </w:t>
            </w:r>
            <w:r w:rsidR="00B65DF6">
              <w:rPr>
                <w:rFonts w:asciiTheme="majorBidi" w:hAnsiTheme="majorBidi" w:cstheme="majorBidi"/>
              </w:rPr>
              <w:t>anthropogenic</w:t>
            </w:r>
            <w:r w:rsidRPr="00C56B34">
              <w:rPr>
                <w:rFonts w:asciiTheme="majorBidi" w:hAnsiTheme="majorBidi" w:cstheme="majorBidi"/>
              </w:rPr>
              <w:t xml:space="preserve"> emissions and releases</w:t>
            </w:r>
          </w:p>
        </w:tc>
        <w:tc>
          <w:tcPr>
            <w:tcW w:w="2410" w:type="dxa"/>
          </w:tcPr>
          <w:p w14:paraId="07804AEC" w14:textId="4E4A7904" w:rsidR="00914E5C" w:rsidRPr="00C56B34" w:rsidRDefault="00914E5C" w:rsidP="00567037">
            <w:pPr>
              <w:rPr>
                <w:rFonts w:asciiTheme="majorBidi" w:hAnsiTheme="majorBidi" w:cstheme="majorBidi"/>
              </w:rPr>
            </w:pPr>
            <w:r w:rsidRPr="00C56B34">
              <w:rPr>
                <w:rFonts w:asciiTheme="majorBidi" w:hAnsiTheme="majorBidi" w:cstheme="majorBidi"/>
              </w:rPr>
              <w:t xml:space="preserve">- </w:t>
            </w:r>
            <w:r w:rsidR="00B65DF6">
              <w:rPr>
                <w:rFonts w:asciiTheme="majorBidi" w:hAnsiTheme="majorBidi" w:cstheme="majorBidi"/>
              </w:rPr>
              <w:t>Integrated modelling</w:t>
            </w:r>
          </w:p>
          <w:p w14:paraId="5FC70797" w14:textId="77777777" w:rsidR="00914E5C" w:rsidRPr="00C56B34" w:rsidRDefault="00914E5C" w:rsidP="00567037">
            <w:pPr>
              <w:rPr>
                <w:rFonts w:asciiTheme="majorBidi" w:hAnsiTheme="majorBidi" w:cstheme="majorBidi"/>
              </w:rPr>
            </w:pPr>
          </w:p>
        </w:tc>
        <w:tc>
          <w:tcPr>
            <w:tcW w:w="2410" w:type="dxa"/>
          </w:tcPr>
          <w:p w14:paraId="717B0D1C" w14:textId="48391B16" w:rsidR="00914E5C" w:rsidRPr="00C56B34" w:rsidRDefault="00B65DF6" w:rsidP="00567037">
            <w:pPr>
              <w:rPr>
                <w:rFonts w:asciiTheme="majorBidi" w:hAnsiTheme="majorBidi" w:cstheme="majorBidi"/>
              </w:rPr>
            </w:pPr>
            <w:r w:rsidRPr="00C56B34">
              <w:rPr>
                <w:rFonts w:asciiTheme="majorBidi" w:hAnsiTheme="majorBidi" w:cstheme="majorBidi"/>
              </w:rPr>
              <w:t>Baseline amount in the first evaluation</w:t>
            </w:r>
            <w:r>
              <w:rPr>
                <w:rFonts w:asciiTheme="majorBidi" w:hAnsiTheme="majorBidi" w:cstheme="majorBidi"/>
              </w:rPr>
              <w:t xml:space="preserve"> (if models are available)</w:t>
            </w:r>
          </w:p>
        </w:tc>
      </w:tr>
      <w:tr w:rsidR="00914E5C" w:rsidRPr="00C56B34" w14:paraId="02C84672" w14:textId="77777777" w:rsidTr="002B0296">
        <w:tc>
          <w:tcPr>
            <w:tcW w:w="2689" w:type="dxa"/>
          </w:tcPr>
          <w:p w14:paraId="21A962E2" w14:textId="77777777" w:rsidR="00914E5C" w:rsidRPr="00C56B34" w:rsidRDefault="00914E5C" w:rsidP="00567037">
            <w:pPr>
              <w:rPr>
                <w:rFonts w:asciiTheme="majorBidi" w:hAnsiTheme="majorBidi" w:cstheme="majorBidi"/>
                <w:b/>
                <w:bCs/>
              </w:rPr>
            </w:pPr>
            <w:r w:rsidRPr="00C56B34">
              <w:rPr>
                <w:rFonts w:asciiTheme="majorBidi" w:hAnsiTheme="majorBidi" w:cstheme="majorBidi"/>
                <w:b/>
                <w:bCs/>
              </w:rPr>
              <w:t>Notes</w:t>
            </w:r>
          </w:p>
        </w:tc>
        <w:tc>
          <w:tcPr>
            <w:tcW w:w="10206" w:type="dxa"/>
            <w:gridSpan w:val="3"/>
          </w:tcPr>
          <w:p w14:paraId="33624451" w14:textId="77777777" w:rsidR="00914E5C" w:rsidRPr="00B65DF6" w:rsidRDefault="00914E5C" w:rsidP="0025348A">
            <w:pPr>
              <w:pStyle w:val="ListParagraph"/>
              <w:numPr>
                <w:ilvl w:val="0"/>
                <w:numId w:val="33"/>
              </w:numPr>
              <w:rPr>
                <w:rFonts w:asciiTheme="majorBidi" w:eastAsia="Times New Roman" w:hAnsiTheme="majorBidi" w:cstheme="majorBidi"/>
              </w:rPr>
            </w:pPr>
            <w:r w:rsidRPr="00B65DF6">
              <w:rPr>
                <w:rFonts w:asciiTheme="majorBidi" w:eastAsia="Times New Roman" w:hAnsiTheme="majorBidi" w:cstheme="majorBidi"/>
              </w:rPr>
              <w:t>Attribution to be estimated using modelling to be developed</w:t>
            </w:r>
          </w:p>
          <w:p w14:paraId="15E63D86" w14:textId="77777777" w:rsidR="00B65DF6" w:rsidRPr="00B65DF6" w:rsidRDefault="00B65DF6" w:rsidP="0025348A">
            <w:pPr>
              <w:pStyle w:val="ListParagraph"/>
              <w:numPr>
                <w:ilvl w:val="0"/>
                <w:numId w:val="33"/>
              </w:numPr>
              <w:rPr>
                <w:rFonts w:asciiTheme="majorBidi" w:eastAsia="Times New Roman" w:hAnsiTheme="majorBidi" w:cstheme="majorBidi"/>
              </w:rPr>
            </w:pPr>
            <w:r w:rsidRPr="00B65DF6">
              <w:rPr>
                <w:rFonts w:asciiTheme="majorBidi" w:eastAsia="Times New Roman" w:hAnsiTheme="majorBidi" w:cstheme="majorBidi"/>
              </w:rPr>
              <w:t>In case of non-availability of such information from models, levels of mercury and trend in mercury (changes over time) will be used.</w:t>
            </w:r>
          </w:p>
          <w:p w14:paraId="7A434C05" w14:textId="79C7FEF7" w:rsidR="00B65DF6" w:rsidRPr="00B65DF6" w:rsidRDefault="00B65DF6" w:rsidP="0025348A">
            <w:pPr>
              <w:pStyle w:val="ListParagraph"/>
              <w:numPr>
                <w:ilvl w:val="0"/>
                <w:numId w:val="33"/>
              </w:numPr>
              <w:rPr>
                <w:rFonts w:asciiTheme="majorBidi" w:eastAsia="Times New Roman" w:hAnsiTheme="majorBidi" w:cstheme="majorBidi"/>
              </w:rPr>
            </w:pPr>
            <w:r w:rsidRPr="00B65DF6">
              <w:rPr>
                <w:rFonts w:asciiTheme="majorBidi" w:eastAsia="Times New Roman" w:hAnsiTheme="majorBidi" w:cstheme="majorBidi"/>
              </w:rPr>
              <w:t xml:space="preserve">The </w:t>
            </w:r>
            <w:r>
              <w:rPr>
                <w:rFonts w:asciiTheme="majorBidi" w:eastAsia="Times New Roman" w:hAnsiTheme="majorBidi" w:cstheme="majorBidi"/>
              </w:rPr>
              <w:t xml:space="preserve">indicator </w:t>
            </w:r>
            <w:r w:rsidR="00075314">
              <w:rPr>
                <w:rFonts w:asciiTheme="majorBidi" w:eastAsia="Times New Roman" w:hAnsiTheme="majorBidi" w:cstheme="majorBidi"/>
              </w:rPr>
              <w:t>for Article 1</w:t>
            </w:r>
            <w:r>
              <w:rPr>
                <w:rFonts w:asciiTheme="majorBidi" w:eastAsia="Times New Roman" w:hAnsiTheme="majorBidi" w:cstheme="majorBidi"/>
              </w:rPr>
              <w:t xml:space="preserve"> is to be read with the relevant monitoring indicator indicated in Table </w:t>
            </w:r>
            <w:r w:rsidR="00930E4D">
              <w:rPr>
                <w:rFonts w:asciiTheme="majorBidi" w:eastAsia="Times New Roman" w:hAnsiTheme="majorBidi" w:cstheme="majorBidi"/>
              </w:rPr>
              <w:t>4</w:t>
            </w:r>
            <w:r>
              <w:rPr>
                <w:rFonts w:asciiTheme="majorBidi" w:eastAsia="Times New Roman" w:hAnsiTheme="majorBidi" w:cstheme="majorBidi"/>
              </w:rPr>
              <w:t xml:space="preserve">, paragraph 52. </w:t>
            </w:r>
          </w:p>
        </w:tc>
      </w:tr>
    </w:tbl>
    <w:p w14:paraId="584322CF" w14:textId="77777777" w:rsidR="00914E5C" w:rsidRPr="00C56B34" w:rsidRDefault="00914E5C" w:rsidP="00914E5C">
      <w:pPr>
        <w:spacing w:after="0"/>
        <w:rPr>
          <w:rFonts w:asciiTheme="majorBidi" w:hAnsiTheme="majorBidi" w:cstheme="majorBidi"/>
        </w:rPr>
      </w:pPr>
    </w:p>
    <w:tbl>
      <w:tblPr>
        <w:tblStyle w:val="TableGrid"/>
        <w:tblW w:w="12895" w:type="dxa"/>
        <w:tblLook w:val="04A0" w:firstRow="1" w:lastRow="0" w:firstColumn="1" w:lastColumn="0" w:noHBand="0" w:noVBand="1"/>
      </w:tblPr>
      <w:tblGrid>
        <w:gridCol w:w="2689"/>
        <w:gridCol w:w="5386"/>
        <w:gridCol w:w="2410"/>
        <w:gridCol w:w="2410"/>
      </w:tblGrid>
      <w:tr w:rsidR="00914E5C" w:rsidRPr="00C56B34" w14:paraId="36D96062" w14:textId="77777777" w:rsidTr="002B0296">
        <w:tc>
          <w:tcPr>
            <w:tcW w:w="8075" w:type="dxa"/>
            <w:gridSpan w:val="2"/>
            <w:shd w:val="clear" w:color="auto" w:fill="D9D9D9" w:themeFill="background1" w:themeFillShade="D9"/>
          </w:tcPr>
          <w:p w14:paraId="229B3D2A" w14:textId="77777777" w:rsidR="00914E5C" w:rsidRPr="00C56B34" w:rsidRDefault="00914E5C" w:rsidP="00567037">
            <w:pPr>
              <w:rPr>
                <w:rFonts w:asciiTheme="majorBidi" w:hAnsiTheme="majorBidi" w:cstheme="majorBidi"/>
                <w:b/>
                <w:bCs/>
              </w:rPr>
            </w:pPr>
            <w:r w:rsidRPr="00C56B34">
              <w:rPr>
                <w:rStyle w:val="dn"/>
                <w:rFonts w:asciiTheme="majorBidi" w:eastAsia="Roboto" w:hAnsiTheme="majorBidi" w:cstheme="majorBidi"/>
                <w:b/>
              </w:rPr>
              <w:t>B: Supply Cluster of Articles: Mercury supply sources and trade (Article 3), Environmentally sound interim storage of mercury other than waste mercury (Article 10), Mercury waste (Article 11)</w:t>
            </w:r>
          </w:p>
        </w:tc>
        <w:tc>
          <w:tcPr>
            <w:tcW w:w="2410" w:type="dxa"/>
            <w:shd w:val="clear" w:color="auto" w:fill="D9D9D9" w:themeFill="background1" w:themeFillShade="D9"/>
          </w:tcPr>
          <w:p w14:paraId="38863632" w14:textId="77777777" w:rsidR="00914E5C" w:rsidRPr="00C56B34" w:rsidRDefault="00914E5C" w:rsidP="00567037">
            <w:pPr>
              <w:rPr>
                <w:rFonts w:asciiTheme="majorBidi" w:hAnsiTheme="majorBidi" w:cstheme="majorBidi"/>
                <w:b/>
                <w:bCs/>
              </w:rPr>
            </w:pPr>
            <w:r w:rsidRPr="00C56B34">
              <w:rPr>
                <w:rFonts w:asciiTheme="majorBidi" w:hAnsiTheme="majorBidi" w:cstheme="majorBidi"/>
                <w:b/>
                <w:bCs/>
              </w:rPr>
              <w:t>Source of information on indicator</w:t>
            </w:r>
          </w:p>
        </w:tc>
        <w:tc>
          <w:tcPr>
            <w:tcW w:w="2410" w:type="dxa"/>
            <w:shd w:val="clear" w:color="auto" w:fill="D9D9D9" w:themeFill="background1" w:themeFillShade="D9"/>
          </w:tcPr>
          <w:p w14:paraId="0FD9F003" w14:textId="77777777" w:rsidR="00914E5C" w:rsidRPr="00C56B34" w:rsidRDefault="00914E5C" w:rsidP="00567037">
            <w:pPr>
              <w:rPr>
                <w:rFonts w:asciiTheme="majorBidi" w:hAnsiTheme="majorBidi" w:cstheme="majorBidi"/>
                <w:b/>
                <w:bCs/>
              </w:rPr>
            </w:pPr>
            <w:r w:rsidRPr="00C56B34">
              <w:rPr>
                <w:rFonts w:asciiTheme="majorBidi" w:hAnsiTheme="majorBidi" w:cstheme="majorBidi"/>
                <w:b/>
                <w:bCs/>
              </w:rPr>
              <w:t>Baseline for the indicator</w:t>
            </w:r>
          </w:p>
        </w:tc>
      </w:tr>
      <w:tr w:rsidR="00914E5C" w:rsidRPr="00C56B34" w14:paraId="5603632C" w14:textId="77777777" w:rsidTr="006E1DA8">
        <w:tc>
          <w:tcPr>
            <w:tcW w:w="2689" w:type="dxa"/>
          </w:tcPr>
          <w:p w14:paraId="4C535968" w14:textId="77777777" w:rsidR="00914E5C" w:rsidRPr="00257474" w:rsidRDefault="00914E5C" w:rsidP="00567037">
            <w:pPr>
              <w:rPr>
                <w:rFonts w:asciiTheme="majorBidi" w:hAnsiTheme="majorBidi" w:cstheme="majorBidi"/>
                <w:bCs/>
              </w:rPr>
            </w:pPr>
            <w:r w:rsidRPr="00257474">
              <w:rPr>
                <w:rFonts w:asciiTheme="majorBidi" w:hAnsiTheme="majorBidi" w:cstheme="majorBidi"/>
                <w:bCs/>
              </w:rPr>
              <w:t xml:space="preserve">B1. </w:t>
            </w:r>
            <w:r w:rsidRPr="00257474">
              <w:rPr>
                <w:rStyle w:val="dn"/>
                <w:rFonts w:asciiTheme="majorBidi" w:eastAsia="Roboto" w:hAnsiTheme="majorBidi" w:cstheme="majorBidi"/>
                <w:bCs/>
              </w:rPr>
              <w:t>Overall process indicator for Articles 3, 10 and 11</w:t>
            </w:r>
          </w:p>
        </w:tc>
        <w:tc>
          <w:tcPr>
            <w:tcW w:w="5386" w:type="dxa"/>
          </w:tcPr>
          <w:p w14:paraId="3499C166" w14:textId="77777777" w:rsidR="00914E5C" w:rsidRPr="0025747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257474">
              <w:rPr>
                <w:rStyle w:val="dn"/>
                <w:rFonts w:asciiTheme="majorBidi" w:eastAsia="Roboto" w:hAnsiTheme="majorBidi" w:cstheme="majorBidi"/>
              </w:rPr>
              <w:t xml:space="preserve">Share of Parties that have implemented key provisions under this cluster </w:t>
            </w:r>
            <w:r w:rsidRPr="00257474">
              <w:rPr>
                <w:rStyle w:val="dn"/>
                <w:rFonts w:asciiTheme="majorBidi" w:hAnsiTheme="majorBidi" w:cstheme="majorBidi"/>
              </w:rPr>
              <w:t>(encompassing all process indicators below, i.e. B5, B6, B7, B9 and B12)</w:t>
            </w:r>
          </w:p>
          <w:p w14:paraId="099D3F00" w14:textId="77777777" w:rsidR="00914E5C" w:rsidRPr="00257474" w:rsidRDefault="00914E5C" w:rsidP="00567037">
            <w:pPr>
              <w:rPr>
                <w:rFonts w:asciiTheme="majorBidi" w:hAnsiTheme="majorBidi" w:cstheme="majorBidi"/>
              </w:rPr>
            </w:pPr>
          </w:p>
        </w:tc>
        <w:tc>
          <w:tcPr>
            <w:tcW w:w="2410" w:type="dxa"/>
          </w:tcPr>
          <w:p w14:paraId="7086876A"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ind w:right="-1192"/>
              <w:rPr>
                <w:rFonts w:asciiTheme="majorBidi" w:hAnsiTheme="majorBidi" w:cstheme="majorBidi"/>
                <w:iCs/>
              </w:rPr>
            </w:pPr>
            <w:r w:rsidRPr="00C56B34">
              <w:rPr>
                <w:rFonts w:asciiTheme="majorBidi" w:hAnsiTheme="majorBidi" w:cstheme="majorBidi"/>
                <w:iCs/>
              </w:rPr>
              <w:t>- Article 21 reporting</w:t>
            </w:r>
          </w:p>
          <w:p w14:paraId="7405D1FC"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ind w:right="-1192"/>
              <w:rPr>
                <w:rStyle w:val="dn"/>
                <w:rFonts w:asciiTheme="majorBidi" w:eastAsia="Roboto" w:hAnsiTheme="majorBidi" w:cstheme="majorBidi"/>
                <w:iCs/>
              </w:rPr>
            </w:pPr>
          </w:p>
        </w:tc>
        <w:tc>
          <w:tcPr>
            <w:tcW w:w="2410" w:type="dxa"/>
          </w:tcPr>
          <w:p w14:paraId="1E55A0B8"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amount in the first evaluation</w:t>
            </w:r>
          </w:p>
        </w:tc>
      </w:tr>
      <w:tr w:rsidR="00914E5C" w:rsidRPr="00C56B34" w14:paraId="247D1FC5" w14:textId="77777777" w:rsidTr="006E1DA8">
        <w:tc>
          <w:tcPr>
            <w:tcW w:w="2689" w:type="dxa"/>
          </w:tcPr>
          <w:p w14:paraId="5B006EE4" w14:textId="77777777" w:rsidR="00914E5C" w:rsidRPr="00257474" w:rsidRDefault="00914E5C" w:rsidP="00567037">
            <w:pPr>
              <w:rPr>
                <w:rFonts w:asciiTheme="majorBidi" w:hAnsiTheme="majorBidi" w:cstheme="majorBidi"/>
                <w:bCs/>
              </w:rPr>
            </w:pPr>
            <w:r w:rsidRPr="00257474">
              <w:rPr>
                <w:rFonts w:asciiTheme="majorBidi" w:hAnsiTheme="majorBidi" w:cstheme="majorBidi"/>
                <w:bCs/>
              </w:rPr>
              <w:t>B2. Additional C</w:t>
            </w:r>
            <w:r w:rsidRPr="00257474">
              <w:rPr>
                <w:rStyle w:val="dn"/>
                <w:rFonts w:asciiTheme="majorBidi" w:eastAsia="Roboto" w:hAnsiTheme="majorBidi" w:cstheme="majorBidi"/>
                <w:bCs/>
              </w:rPr>
              <w:t>ross-cutting outcome indicator for Articles 3, 10 and 11</w:t>
            </w:r>
          </w:p>
        </w:tc>
        <w:tc>
          <w:tcPr>
            <w:tcW w:w="5386" w:type="dxa"/>
          </w:tcPr>
          <w:p w14:paraId="3AAB0DD9" w14:textId="77777777" w:rsidR="00914E5C" w:rsidRPr="00257474" w:rsidRDefault="00914E5C" w:rsidP="00567037">
            <w:pPr>
              <w:pBdr>
                <w:top w:val="nil"/>
                <w:left w:val="nil"/>
                <w:bottom w:val="nil"/>
                <w:right w:val="nil"/>
                <w:between w:val="nil"/>
                <w:bar w:val="nil"/>
              </w:pBdr>
              <w:rPr>
                <w:rFonts w:asciiTheme="majorBidi" w:eastAsia="Roboto" w:hAnsiTheme="majorBidi" w:cstheme="majorBidi"/>
              </w:rPr>
            </w:pPr>
            <w:r w:rsidRPr="00257474">
              <w:rPr>
                <w:rFonts w:asciiTheme="majorBidi" w:eastAsia="Roboto" w:hAnsiTheme="majorBidi" w:cstheme="majorBidi"/>
              </w:rPr>
              <w:t>Estimated global supply of mercury, in tonnes per year</w:t>
            </w:r>
          </w:p>
          <w:p w14:paraId="4F3F22AF" w14:textId="77777777" w:rsidR="00914E5C" w:rsidRPr="00257474" w:rsidRDefault="00914E5C" w:rsidP="00567037">
            <w:pPr>
              <w:rPr>
                <w:rFonts w:asciiTheme="majorBidi" w:hAnsiTheme="majorBidi" w:cstheme="majorBidi"/>
              </w:rPr>
            </w:pPr>
          </w:p>
        </w:tc>
        <w:tc>
          <w:tcPr>
            <w:tcW w:w="2410" w:type="dxa"/>
          </w:tcPr>
          <w:p w14:paraId="44228025" w14:textId="60809C78" w:rsidR="00914E5C" w:rsidRPr="002C5615" w:rsidRDefault="003C27FD" w:rsidP="002C5615">
            <w:pPr>
              <w:pBdr>
                <w:top w:val="nil"/>
                <w:left w:val="nil"/>
                <w:bottom w:val="nil"/>
                <w:right w:val="nil"/>
                <w:between w:val="nil"/>
                <w:bar w:val="nil"/>
              </w:pBdr>
              <w:rPr>
                <w:rFonts w:asciiTheme="majorBidi" w:hAnsiTheme="majorBidi" w:cstheme="majorBidi"/>
              </w:rPr>
            </w:pPr>
            <w:r w:rsidRPr="002C5615">
              <w:rPr>
                <w:rFonts w:asciiTheme="majorBidi" w:hAnsiTheme="majorBidi" w:cstheme="majorBidi"/>
              </w:rPr>
              <w:t xml:space="preserve">- </w:t>
            </w:r>
            <w:r w:rsidR="0079738B">
              <w:rPr>
                <w:rFonts w:asciiTheme="majorBidi" w:hAnsiTheme="majorBidi" w:cstheme="majorBidi"/>
              </w:rPr>
              <w:t>S</w:t>
            </w:r>
            <w:r w:rsidRPr="002C5615">
              <w:rPr>
                <w:rFonts w:asciiTheme="majorBidi" w:hAnsiTheme="majorBidi" w:cstheme="majorBidi"/>
              </w:rPr>
              <w:t>ynthesised information from individual indicators for Art 3, 10 and 11</w:t>
            </w:r>
          </w:p>
        </w:tc>
        <w:tc>
          <w:tcPr>
            <w:tcW w:w="2410" w:type="dxa"/>
          </w:tcPr>
          <w:p w14:paraId="7A9AECD8" w14:textId="36C465E5" w:rsidR="00914E5C" w:rsidRPr="00C56B34" w:rsidRDefault="0079738B" w:rsidP="002C5615">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amount in the first evaluation</w:t>
            </w:r>
          </w:p>
        </w:tc>
      </w:tr>
      <w:tr w:rsidR="00914E5C" w:rsidRPr="00C56B34" w14:paraId="70036706" w14:textId="77777777" w:rsidTr="006E1DA8">
        <w:tc>
          <w:tcPr>
            <w:tcW w:w="2689" w:type="dxa"/>
            <w:shd w:val="clear" w:color="auto" w:fill="D9D9D9" w:themeFill="background1" w:themeFillShade="D9"/>
          </w:tcPr>
          <w:p w14:paraId="6F38816F" w14:textId="77777777" w:rsidR="00914E5C" w:rsidRPr="00C56B34" w:rsidRDefault="00914E5C" w:rsidP="00567037">
            <w:pPr>
              <w:rPr>
                <w:rFonts w:asciiTheme="majorBidi" w:hAnsiTheme="majorBidi" w:cstheme="majorBidi"/>
                <w:b/>
              </w:rPr>
            </w:pPr>
            <w:r w:rsidRPr="00C56B34">
              <w:rPr>
                <w:rFonts w:asciiTheme="majorBidi" w:hAnsiTheme="majorBidi" w:cstheme="majorBidi"/>
                <w:b/>
              </w:rPr>
              <w:t>Article 3</w:t>
            </w:r>
          </w:p>
        </w:tc>
        <w:tc>
          <w:tcPr>
            <w:tcW w:w="5386" w:type="dxa"/>
            <w:shd w:val="clear" w:color="auto" w:fill="D9D9D9" w:themeFill="background1" w:themeFillShade="D9"/>
          </w:tcPr>
          <w:p w14:paraId="65CA7A5B" w14:textId="77777777" w:rsidR="00914E5C" w:rsidRPr="00C56B34" w:rsidRDefault="00914E5C" w:rsidP="00567037">
            <w:pPr>
              <w:rPr>
                <w:rFonts w:asciiTheme="majorBidi" w:hAnsiTheme="majorBidi" w:cstheme="majorBidi"/>
              </w:rPr>
            </w:pPr>
          </w:p>
        </w:tc>
        <w:tc>
          <w:tcPr>
            <w:tcW w:w="2410" w:type="dxa"/>
            <w:shd w:val="clear" w:color="auto" w:fill="D9D9D9" w:themeFill="background1" w:themeFillShade="D9"/>
          </w:tcPr>
          <w:p w14:paraId="23C4D8CA" w14:textId="77777777" w:rsidR="00914E5C" w:rsidRPr="00C56B34" w:rsidRDefault="00914E5C" w:rsidP="00567037">
            <w:pPr>
              <w:ind w:right="-1192"/>
              <w:rPr>
                <w:rFonts w:asciiTheme="majorBidi" w:hAnsiTheme="majorBidi" w:cstheme="majorBidi"/>
              </w:rPr>
            </w:pPr>
          </w:p>
        </w:tc>
        <w:tc>
          <w:tcPr>
            <w:tcW w:w="2410" w:type="dxa"/>
            <w:shd w:val="clear" w:color="auto" w:fill="D9D9D9" w:themeFill="background1" w:themeFillShade="D9"/>
          </w:tcPr>
          <w:p w14:paraId="51BD8E28" w14:textId="77777777" w:rsidR="00914E5C" w:rsidRPr="00C56B34" w:rsidRDefault="00914E5C" w:rsidP="00567037">
            <w:pPr>
              <w:ind w:right="-1192"/>
              <w:rPr>
                <w:rFonts w:asciiTheme="majorBidi" w:hAnsiTheme="majorBidi" w:cstheme="majorBidi"/>
              </w:rPr>
            </w:pPr>
          </w:p>
        </w:tc>
      </w:tr>
      <w:tr w:rsidR="00914E5C" w:rsidRPr="00C56B34" w14:paraId="51CA74FC" w14:textId="77777777" w:rsidTr="006E1DA8">
        <w:tc>
          <w:tcPr>
            <w:tcW w:w="2689" w:type="dxa"/>
          </w:tcPr>
          <w:p w14:paraId="4D9450DB" w14:textId="77777777" w:rsidR="00914E5C" w:rsidRPr="00C56B34" w:rsidRDefault="00914E5C" w:rsidP="00567037">
            <w:pPr>
              <w:rPr>
                <w:rFonts w:asciiTheme="majorBidi" w:hAnsiTheme="majorBidi" w:cstheme="majorBidi"/>
              </w:rPr>
            </w:pPr>
            <w:r w:rsidRPr="00C56B34">
              <w:rPr>
                <w:rFonts w:asciiTheme="majorBidi" w:hAnsiTheme="majorBidi" w:cstheme="majorBidi"/>
              </w:rPr>
              <w:t xml:space="preserve">B3. </w:t>
            </w:r>
            <w:r w:rsidRPr="00C56B34">
              <w:rPr>
                <w:rStyle w:val="dn"/>
                <w:rFonts w:asciiTheme="majorBidi" w:eastAsia="Roboto" w:hAnsiTheme="majorBidi" w:cstheme="majorBidi"/>
              </w:rPr>
              <w:t>Outcome indicator for Article 3</w:t>
            </w:r>
          </w:p>
        </w:tc>
        <w:tc>
          <w:tcPr>
            <w:tcW w:w="5386" w:type="dxa"/>
          </w:tcPr>
          <w:p w14:paraId="4DEECF2E"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b/>
                <w:bCs/>
              </w:rPr>
            </w:pPr>
            <w:r w:rsidRPr="00C56B34">
              <w:rPr>
                <w:rStyle w:val="dn"/>
                <w:rFonts w:asciiTheme="majorBidi" w:eastAsia="Roboto" w:hAnsiTheme="majorBidi" w:cstheme="majorBidi"/>
              </w:rPr>
              <w:t>Total amount of Hg mined from primary mercury mines</w:t>
            </w:r>
          </w:p>
          <w:p w14:paraId="5D8EE795" w14:textId="77777777" w:rsidR="00914E5C" w:rsidRPr="00C56B34" w:rsidRDefault="00914E5C" w:rsidP="00567037">
            <w:pPr>
              <w:rPr>
                <w:rFonts w:asciiTheme="majorBidi" w:hAnsiTheme="majorBidi" w:cstheme="majorBidi"/>
              </w:rPr>
            </w:pPr>
          </w:p>
        </w:tc>
        <w:tc>
          <w:tcPr>
            <w:tcW w:w="2410" w:type="dxa"/>
          </w:tcPr>
          <w:p w14:paraId="4E573118"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 Global Mercury Trade, Supply, Demand (2017)</w:t>
            </w:r>
          </w:p>
          <w:p w14:paraId="02034A20" w14:textId="77777777" w:rsidR="00914E5C" w:rsidRPr="0079738B" w:rsidRDefault="00914E5C" w:rsidP="00567037">
            <w:pPr>
              <w:rPr>
                <w:rFonts w:asciiTheme="majorBidi" w:hAnsiTheme="majorBidi" w:cstheme="majorBidi"/>
              </w:rPr>
            </w:pPr>
            <w:r w:rsidRPr="0079738B">
              <w:rPr>
                <w:rFonts w:asciiTheme="majorBidi" w:hAnsiTheme="majorBidi" w:cstheme="majorBidi"/>
              </w:rPr>
              <w:t>- ASGM NAP reports</w:t>
            </w:r>
          </w:p>
          <w:p w14:paraId="533F7063" w14:textId="77777777" w:rsidR="00914E5C" w:rsidRPr="0079738B" w:rsidRDefault="00914E5C" w:rsidP="00567037"/>
        </w:tc>
        <w:tc>
          <w:tcPr>
            <w:tcW w:w="2410" w:type="dxa"/>
          </w:tcPr>
          <w:p w14:paraId="43C759BD"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amount in the first evaluation</w:t>
            </w:r>
          </w:p>
        </w:tc>
      </w:tr>
      <w:tr w:rsidR="00914E5C" w:rsidRPr="00C56B34" w14:paraId="2EC85407" w14:textId="77777777" w:rsidTr="006E1DA8">
        <w:tc>
          <w:tcPr>
            <w:tcW w:w="2689" w:type="dxa"/>
          </w:tcPr>
          <w:p w14:paraId="5EF6D2C5" w14:textId="77777777" w:rsidR="00914E5C" w:rsidRPr="00C56B34" w:rsidRDefault="00914E5C" w:rsidP="00567037">
            <w:pPr>
              <w:rPr>
                <w:rFonts w:asciiTheme="majorBidi" w:hAnsiTheme="majorBidi" w:cstheme="majorBidi"/>
              </w:rPr>
            </w:pPr>
            <w:r w:rsidRPr="00C56B34">
              <w:rPr>
                <w:rFonts w:asciiTheme="majorBidi" w:hAnsiTheme="majorBidi" w:cstheme="majorBidi"/>
              </w:rPr>
              <w:t>B4 Outcome indicator for Article 3</w:t>
            </w:r>
          </w:p>
        </w:tc>
        <w:tc>
          <w:tcPr>
            <w:tcW w:w="5386" w:type="dxa"/>
          </w:tcPr>
          <w:p w14:paraId="3E00A6A2"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b/>
                <w:bCs/>
              </w:rPr>
            </w:pPr>
            <w:r w:rsidRPr="00C56B34">
              <w:rPr>
                <w:rStyle w:val="dn"/>
                <w:rFonts w:asciiTheme="majorBidi" w:eastAsia="Roboto" w:hAnsiTheme="majorBidi" w:cstheme="majorBidi"/>
              </w:rPr>
              <w:t>Amount of Hg traded - broken down for specific purposes</w:t>
            </w:r>
          </w:p>
          <w:p w14:paraId="3A05713D" w14:textId="77777777" w:rsidR="00914E5C" w:rsidRPr="00C56B34" w:rsidRDefault="00914E5C" w:rsidP="00567037">
            <w:pPr>
              <w:rPr>
                <w:rFonts w:asciiTheme="majorBidi" w:hAnsiTheme="majorBidi" w:cstheme="majorBidi"/>
              </w:rPr>
            </w:pPr>
          </w:p>
        </w:tc>
        <w:tc>
          <w:tcPr>
            <w:tcW w:w="2410" w:type="dxa"/>
          </w:tcPr>
          <w:p w14:paraId="7DD60992" w14:textId="116DBC3B" w:rsidR="00914E5C" w:rsidRPr="00C56B34" w:rsidRDefault="003B0E3A" w:rsidP="00567037">
            <w:pPr>
              <w:pBdr>
                <w:top w:val="nil"/>
                <w:left w:val="nil"/>
                <w:bottom w:val="nil"/>
                <w:right w:val="nil"/>
                <w:between w:val="nil"/>
                <w:bar w:val="nil"/>
              </w:pBdr>
              <w:rPr>
                <w:rStyle w:val="dn"/>
                <w:rFonts w:asciiTheme="majorBidi" w:eastAsia="Roboto" w:hAnsiTheme="majorBidi" w:cstheme="majorBidi"/>
                <w:iCs/>
              </w:rPr>
            </w:pPr>
            <w:r>
              <w:rPr>
                <w:rStyle w:val="dn"/>
                <w:rFonts w:asciiTheme="majorBidi" w:eastAsia="Roboto" w:hAnsiTheme="majorBidi" w:cstheme="majorBidi"/>
                <w:iCs/>
              </w:rPr>
              <w:t>-</w:t>
            </w:r>
            <w:r>
              <w:rPr>
                <w:rStyle w:val="dn"/>
                <w:rFonts w:eastAsia="Roboto"/>
                <w:iCs/>
              </w:rPr>
              <w:t xml:space="preserve"> Article 3 forms</w:t>
            </w:r>
          </w:p>
        </w:tc>
        <w:tc>
          <w:tcPr>
            <w:tcW w:w="2410" w:type="dxa"/>
          </w:tcPr>
          <w:p w14:paraId="173A3322"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amount in the first evaluation</w:t>
            </w:r>
          </w:p>
        </w:tc>
      </w:tr>
      <w:tr w:rsidR="00914E5C" w:rsidRPr="00C56B34" w14:paraId="702081C5" w14:textId="77777777" w:rsidTr="006E1DA8">
        <w:tc>
          <w:tcPr>
            <w:tcW w:w="2689" w:type="dxa"/>
          </w:tcPr>
          <w:p w14:paraId="564C5E9E" w14:textId="77777777" w:rsidR="00914E5C" w:rsidRPr="00C56B34" w:rsidRDefault="00914E5C" w:rsidP="00567037">
            <w:pPr>
              <w:rPr>
                <w:rFonts w:asciiTheme="majorBidi" w:hAnsiTheme="majorBidi" w:cstheme="majorBidi"/>
              </w:rPr>
            </w:pPr>
            <w:r w:rsidRPr="00C56B34">
              <w:rPr>
                <w:rFonts w:asciiTheme="majorBidi" w:hAnsiTheme="majorBidi" w:cstheme="majorBidi"/>
              </w:rPr>
              <w:t>B5. Process indicator for Article 3</w:t>
            </w:r>
          </w:p>
        </w:tc>
        <w:tc>
          <w:tcPr>
            <w:tcW w:w="5386" w:type="dxa"/>
          </w:tcPr>
          <w:p w14:paraId="4AD6B794"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eastAsia="Roboto" w:hAnsiTheme="majorBidi" w:cstheme="majorBidi"/>
              </w:rPr>
            </w:pPr>
            <w:r w:rsidRPr="00C56B34">
              <w:rPr>
                <w:rFonts w:asciiTheme="majorBidi" w:eastAsia="Roboto" w:hAnsiTheme="majorBidi" w:cstheme="majorBidi"/>
              </w:rPr>
              <w:t>Number of parties that have developed an inventory of stocks and sources of supply</w:t>
            </w:r>
          </w:p>
        </w:tc>
        <w:tc>
          <w:tcPr>
            <w:tcW w:w="2410" w:type="dxa"/>
          </w:tcPr>
          <w:p w14:paraId="2A4D7CFD"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ind w:right="-1192"/>
              <w:rPr>
                <w:rFonts w:asciiTheme="majorBidi" w:eastAsia="Roboto" w:hAnsiTheme="majorBidi" w:cstheme="majorBidi"/>
              </w:rPr>
            </w:pPr>
            <w:r w:rsidRPr="00C56B34">
              <w:rPr>
                <w:rFonts w:asciiTheme="majorBidi" w:hAnsiTheme="majorBidi" w:cstheme="majorBidi"/>
                <w:iCs/>
              </w:rPr>
              <w:t>- Article 21 reporting</w:t>
            </w:r>
          </w:p>
        </w:tc>
        <w:tc>
          <w:tcPr>
            <w:tcW w:w="2410" w:type="dxa"/>
          </w:tcPr>
          <w:p w14:paraId="79C0AFAD"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number in the first evaluation</w:t>
            </w:r>
          </w:p>
        </w:tc>
      </w:tr>
      <w:tr w:rsidR="00914E5C" w:rsidRPr="00C56B34" w14:paraId="1015BA41" w14:textId="77777777" w:rsidTr="006E1DA8">
        <w:tc>
          <w:tcPr>
            <w:tcW w:w="2689" w:type="dxa"/>
          </w:tcPr>
          <w:p w14:paraId="2A1F6192" w14:textId="77777777" w:rsidR="00914E5C" w:rsidRPr="003B0E3A"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3B0E3A">
              <w:rPr>
                <w:rFonts w:asciiTheme="majorBidi" w:hAnsiTheme="majorBidi" w:cstheme="majorBidi"/>
              </w:rPr>
              <w:t>B6. Process indicator for Article 3</w:t>
            </w:r>
          </w:p>
        </w:tc>
        <w:tc>
          <w:tcPr>
            <w:tcW w:w="5386" w:type="dxa"/>
          </w:tcPr>
          <w:p w14:paraId="10EEF363" w14:textId="77777777" w:rsidR="00914E5C" w:rsidRPr="003B0E3A"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eastAsia="Roboto" w:hAnsiTheme="majorBidi" w:cstheme="majorBidi"/>
              </w:rPr>
            </w:pPr>
            <w:r w:rsidRPr="003B0E3A">
              <w:rPr>
                <w:rStyle w:val="dn"/>
                <w:rFonts w:asciiTheme="majorBidi" w:eastAsia="Roboto" w:hAnsiTheme="majorBidi" w:cstheme="majorBidi"/>
              </w:rPr>
              <w:t>Share of parties that have excess Hg from Chlor Alkali that have taken measures that such mercury is subject to final disposal</w:t>
            </w:r>
          </w:p>
        </w:tc>
        <w:tc>
          <w:tcPr>
            <w:tcW w:w="2410" w:type="dxa"/>
          </w:tcPr>
          <w:p w14:paraId="39FBCC2C" w14:textId="2BA5737B" w:rsidR="00914E5C" w:rsidRPr="003B0E3A" w:rsidRDefault="002D64D3" w:rsidP="00567037">
            <w:pPr>
              <w:rPr>
                <w:rFonts w:asciiTheme="majorBidi" w:hAnsiTheme="majorBidi" w:cstheme="majorBidi"/>
                <w:iCs/>
              </w:rPr>
            </w:pPr>
            <w:r>
              <w:rPr>
                <w:rFonts w:asciiTheme="majorBidi" w:hAnsiTheme="majorBidi" w:cstheme="majorBidi"/>
                <w:iCs/>
              </w:rPr>
              <w:t xml:space="preserve">- </w:t>
            </w:r>
            <w:r w:rsidR="00914E5C" w:rsidRPr="003B0E3A">
              <w:rPr>
                <w:rFonts w:asciiTheme="majorBidi" w:hAnsiTheme="majorBidi" w:cstheme="majorBidi"/>
                <w:iCs/>
              </w:rPr>
              <w:t>World Chlorine Council Reports</w:t>
            </w:r>
          </w:p>
          <w:p w14:paraId="0BD47819" w14:textId="77777777" w:rsidR="00914E5C" w:rsidRPr="003B0E3A"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ind w:right="-1192"/>
              <w:rPr>
                <w:rStyle w:val="dn"/>
                <w:rFonts w:asciiTheme="majorBidi" w:eastAsia="Roboto" w:hAnsiTheme="majorBidi" w:cstheme="majorBidi"/>
              </w:rPr>
            </w:pPr>
          </w:p>
        </w:tc>
        <w:tc>
          <w:tcPr>
            <w:tcW w:w="2410" w:type="dxa"/>
          </w:tcPr>
          <w:p w14:paraId="71100ED3"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 in the first evaluation</w:t>
            </w:r>
          </w:p>
        </w:tc>
      </w:tr>
      <w:tr w:rsidR="00914E5C" w:rsidRPr="00C56B34" w14:paraId="1D82E063" w14:textId="77777777" w:rsidTr="006E1DA8">
        <w:tc>
          <w:tcPr>
            <w:tcW w:w="2689" w:type="dxa"/>
          </w:tcPr>
          <w:p w14:paraId="2C96FDFF"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B7. Process indicator for Article 3</w:t>
            </w:r>
          </w:p>
        </w:tc>
        <w:tc>
          <w:tcPr>
            <w:tcW w:w="5386" w:type="dxa"/>
          </w:tcPr>
          <w:p w14:paraId="379AE3D3"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Style w:val="dn"/>
                <w:rFonts w:asciiTheme="majorBidi" w:eastAsia="Roboto" w:hAnsiTheme="majorBidi" w:cstheme="majorBidi"/>
              </w:rPr>
              <w:t>Number of parties trading in mercury</w:t>
            </w:r>
          </w:p>
        </w:tc>
        <w:tc>
          <w:tcPr>
            <w:tcW w:w="2410" w:type="dxa"/>
          </w:tcPr>
          <w:p w14:paraId="4C22D45E" w14:textId="290169B5" w:rsidR="00914E5C" w:rsidRPr="00C56B34" w:rsidRDefault="003B0E3A" w:rsidP="00567037">
            <w:pPr>
              <w:pBdr>
                <w:top w:val="nil"/>
                <w:left w:val="nil"/>
                <w:bottom w:val="nil"/>
                <w:right w:val="nil"/>
                <w:between w:val="nil"/>
                <w:bar w:val="nil"/>
              </w:pBdr>
              <w:tabs>
                <w:tab w:val="left" w:pos="1163"/>
                <w:tab w:val="left" w:pos="1247"/>
                <w:tab w:val="left" w:pos="1814"/>
                <w:tab w:val="left" w:pos="2381"/>
                <w:tab w:val="left" w:pos="2948"/>
                <w:tab w:val="left" w:pos="3515"/>
              </w:tabs>
              <w:ind w:right="-1192"/>
              <w:rPr>
                <w:rStyle w:val="dn"/>
                <w:rFonts w:asciiTheme="majorBidi" w:eastAsia="Roboto" w:hAnsiTheme="majorBidi" w:cstheme="majorBidi"/>
              </w:rPr>
            </w:pPr>
            <w:r>
              <w:rPr>
                <w:rStyle w:val="dn"/>
                <w:rFonts w:asciiTheme="majorBidi" w:eastAsia="Roboto" w:hAnsiTheme="majorBidi" w:cstheme="majorBidi"/>
              </w:rPr>
              <w:t>-</w:t>
            </w:r>
            <w:r>
              <w:rPr>
                <w:rStyle w:val="dn"/>
                <w:rFonts w:eastAsia="Roboto"/>
              </w:rPr>
              <w:t xml:space="preserve"> Article 3 forms</w:t>
            </w:r>
          </w:p>
        </w:tc>
        <w:tc>
          <w:tcPr>
            <w:tcW w:w="2410" w:type="dxa"/>
          </w:tcPr>
          <w:p w14:paraId="6F39F542"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amount in the first evaluation</w:t>
            </w:r>
          </w:p>
        </w:tc>
      </w:tr>
      <w:tr w:rsidR="00914E5C" w:rsidRPr="00C56B34" w14:paraId="302EE5D2" w14:textId="77777777" w:rsidTr="006E1DA8">
        <w:tc>
          <w:tcPr>
            <w:tcW w:w="2689" w:type="dxa"/>
            <w:shd w:val="clear" w:color="auto" w:fill="D9D9D9" w:themeFill="background1" w:themeFillShade="D9"/>
          </w:tcPr>
          <w:p w14:paraId="40E6EFBC"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b/>
              </w:rPr>
            </w:pPr>
            <w:r w:rsidRPr="00C56B34">
              <w:rPr>
                <w:rFonts w:asciiTheme="majorBidi" w:hAnsiTheme="majorBidi" w:cstheme="majorBidi"/>
                <w:b/>
              </w:rPr>
              <w:t>Article 10</w:t>
            </w:r>
          </w:p>
        </w:tc>
        <w:tc>
          <w:tcPr>
            <w:tcW w:w="5386" w:type="dxa"/>
            <w:shd w:val="clear" w:color="auto" w:fill="D9D9D9" w:themeFill="background1" w:themeFillShade="D9"/>
          </w:tcPr>
          <w:p w14:paraId="7687DADB"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410" w:type="dxa"/>
            <w:shd w:val="clear" w:color="auto" w:fill="D9D9D9" w:themeFill="background1" w:themeFillShade="D9"/>
          </w:tcPr>
          <w:p w14:paraId="54E40269"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ind w:right="-1192"/>
              <w:rPr>
                <w:rStyle w:val="dn"/>
                <w:rFonts w:asciiTheme="majorBidi" w:eastAsia="Roboto" w:hAnsiTheme="majorBidi" w:cstheme="majorBidi"/>
              </w:rPr>
            </w:pPr>
          </w:p>
        </w:tc>
        <w:tc>
          <w:tcPr>
            <w:tcW w:w="2410" w:type="dxa"/>
            <w:shd w:val="clear" w:color="auto" w:fill="D9D9D9" w:themeFill="background1" w:themeFillShade="D9"/>
          </w:tcPr>
          <w:p w14:paraId="4A3D63EA" w14:textId="77777777" w:rsidR="00914E5C" w:rsidRPr="00C56B34" w:rsidRDefault="00914E5C" w:rsidP="00567037">
            <w:pPr>
              <w:pBdr>
                <w:top w:val="nil"/>
                <w:left w:val="nil"/>
                <w:bottom w:val="nil"/>
                <w:right w:val="nil"/>
                <w:between w:val="nil"/>
                <w:bar w:val="nil"/>
              </w:pBdr>
              <w:rPr>
                <w:rFonts w:asciiTheme="majorBidi" w:hAnsiTheme="majorBidi" w:cstheme="majorBidi"/>
              </w:rPr>
            </w:pPr>
          </w:p>
        </w:tc>
      </w:tr>
      <w:tr w:rsidR="00914E5C" w:rsidRPr="00C56B34" w14:paraId="7E4840F0" w14:textId="77777777" w:rsidTr="006E1DA8">
        <w:tc>
          <w:tcPr>
            <w:tcW w:w="2689" w:type="dxa"/>
          </w:tcPr>
          <w:p w14:paraId="12336CA7"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lastRenderedPageBreak/>
              <w:t>B9. Process indicator for Article 10</w:t>
            </w:r>
          </w:p>
        </w:tc>
        <w:tc>
          <w:tcPr>
            <w:tcW w:w="5386" w:type="dxa"/>
          </w:tcPr>
          <w:p w14:paraId="59DC0175"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Style w:val="dn"/>
                <w:rFonts w:asciiTheme="majorBidi" w:eastAsia="Roboto" w:hAnsiTheme="majorBidi" w:cstheme="majorBidi"/>
              </w:rPr>
              <w:t>Number of parties that have taken measures to ensure sound interim storage</w:t>
            </w:r>
          </w:p>
        </w:tc>
        <w:tc>
          <w:tcPr>
            <w:tcW w:w="2410" w:type="dxa"/>
          </w:tcPr>
          <w:p w14:paraId="6830C795" w14:textId="77777777" w:rsidR="00914E5C" w:rsidRPr="00C56B34" w:rsidRDefault="00914E5C" w:rsidP="00567037">
            <w:pPr>
              <w:pBdr>
                <w:top w:val="nil"/>
                <w:left w:val="nil"/>
                <w:bottom w:val="nil"/>
                <w:right w:val="nil"/>
                <w:between w:val="nil"/>
                <w:bar w:val="nil"/>
              </w:pBdr>
              <w:ind w:right="-1192"/>
              <w:rPr>
                <w:rStyle w:val="dn"/>
                <w:rFonts w:asciiTheme="majorBidi" w:eastAsia="Roboto" w:hAnsiTheme="majorBidi" w:cstheme="majorBidi"/>
              </w:rPr>
            </w:pPr>
            <w:r w:rsidRPr="00C56B34">
              <w:rPr>
                <w:rFonts w:asciiTheme="majorBidi" w:hAnsiTheme="majorBidi" w:cstheme="majorBidi"/>
                <w:iCs/>
              </w:rPr>
              <w:t>- Article 21 reporting</w:t>
            </w:r>
          </w:p>
        </w:tc>
        <w:tc>
          <w:tcPr>
            <w:tcW w:w="2410" w:type="dxa"/>
          </w:tcPr>
          <w:p w14:paraId="3265966A"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amount in the first evaluation</w:t>
            </w:r>
          </w:p>
        </w:tc>
      </w:tr>
      <w:tr w:rsidR="00914E5C" w:rsidRPr="00C56B34" w14:paraId="7C56B54F" w14:textId="77777777" w:rsidTr="006E1DA8">
        <w:tc>
          <w:tcPr>
            <w:tcW w:w="2689" w:type="dxa"/>
          </w:tcPr>
          <w:p w14:paraId="34F02EA0"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B10. Outcome indicator for Article 10</w:t>
            </w:r>
          </w:p>
        </w:tc>
        <w:tc>
          <w:tcPr>
            <w:tcW w:w="5386" w:type="dxa"/>
          </w:tcPr>
          <w:p w14:paraId="7D397847"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Style w:val="dn"/>
                <w:rFonts w:asciiTheme="majorBidi" w:eastAsia="Roboto" w:hAnsiTheme="majorBidi" w:cstheme="majorBidi"/>
              </w:rPr>
              <w:t>Amount of Hg stored in an environmentally sound way as identified in the inventory of stocks</w:t>
            </w:r>
          </w:p>
        </w:tc>
        <w:tc>
          <w:tcPr>
            <w:tcW w:w="2410" w:type="dxa"/>
          </w:tcPr>
          <w:p w14:paraId="20C838ED"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ind w:right="-1192"/>
              <w:rPr>
                <w:rStyle w:val="dn"/>
                <w:rFonts w:asciiTheme="majorBidi" w:eastAsia="Roboto" w:hAnsiTheme="majorBidi" w:cstheme="majorBidi"/>
              </w:rPr>
            </w:pPr>
            <w:r w:rsidRPr="00C56B34">
              <w:rPr>
                <w:rFonts w:asciiTheme="majorBidi" w:hAnsiTheme="majorBidi" w:cstheme="majorBidi"/>
                <w:iCs/>
              </w:rPr>
              <w:t>- Article 21 reporting</w:t>
            </w:r>
          </w:p>
        </w:tc>
        <w:tc>
          <w:tcPr>
            <w:tcW w:w="2410" w:type="dxa"/>
          </w:tcPr>
          <w:p w14:paraId="3C3C9CC3"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amount in the first evaluation</w:t>
            </w:r>
          </w:p>
        </w:tc>
      </w:tr>
      <w:tr w:rsidR="00914E5C" w:rsidRPr="00C56B34" w14:paraId="1F53E8FE" w14:textId="77777777" w:rsidTr="006E1DA8">
        <w:tc>
          <w:tcPr>
            <w:tcW w:w="2689" w:type="dxa"/>
            <w:shd w:val="clear" w:color="auto" w:fill="D9D9D9" w:themeFill="background1" w:themeFillShade="D9"/>
          </w:tcPr>
          <w:p w14:paraId="25769B0D"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b/>
              </w:rPr>
            </w:pPr>
            <w:r w:rsidRPr="00C56B34">
              <w:rPr>
                <w:rFonts w:asciiTheme="majorBidi" w:hAnsiTheme="majorBidi" w:cstheme="majorBidi"/>
                <w:b/>
              </w:rPr>
              <w:t>Article 11</w:t>
            </w:r>
          </w:p>
        </w:tc>
        <w:tc>
          <w:tcPr>
            <w:tcW w:w="5386" w:type="dxa"/>
            <w:shd w:val="clear" w:color="auto" w:fill="D9D9D9" w:themeFill="background1" w:themeFillShade="D9"/>
          </w:tcPr>
          <w:p w14:paraId="5227053B"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410" w:type="dxa"/>
            <w:shd w:val="clear" w:color="auto" w:fill="D9D9D9" w:themeFill="background1" w:themeFillShade="D9"/>
          </w:tcPr>
          <w:p w14:paraId="3E009B86"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ind w:right="-1192"/>
              <w:rPr>
                <w:rStyle w:val="dn"/>
                <w:rFonts w:asciiTheme="majorBidi" w:eastAsia="Roboto" w:hAnsiTheme="majorBidi" w:cstheme="majorBidi"/>
              </w:rPr>
            </w:pPr>
          </w:p>
        </w:tc>
        <w:tc>
          <w:tcPr>
            <w:tcW w:w="2410" w:type="dxa"/>
            <w:shd w:val="clear" w:color="auto" w:fill="D9D9D9" w:themeFill="background1" w:themeFillShade="D9"/>
          </w:tcPr>
          <w:p w14:paraId="385B3D85" w14:textId="77777777" w:rsidR="00914E5C" w:rsidRPr="00C56B34" w:rsidRDefault="00914E5C" w:rsidP="00567037">
            <w:pPr>
              <w:pBdr>
                <w:top w:val="nil"/>
                <w:left w:val="nil"/>
                <w:bottom w:val="nil"/>
                <w:right w:val="nil"/>
                <w:between w:val="nil"/>
                <w:bar w:val="nil"/>
              </w:pBdr>
              <w:rPr>
                <w:rFonts w:asciiTheme="majorBidi" w:hAnsiTheme="majorBidi" w:cstheme="majorBidi"/>
              </w:rPr>
            </w:pPr>
          </w:p>
        </w:tc>
      </w:tr>
      <w:tr w:rsidR="00914E5C" w:rsidRPr="00C56B34" w14:paraId="30E84451" w14:textId="77777777" w:rsidTr="006E1DA8">
        <w:tc>
          <w:tcPr>
            <w:tcW w:w="2689" w:type="dxa"/>
          </w:tcPr>
          <w:p w14:paraId="711E0B4C"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B11. Outcome indicator for Article 11</w:t>
            </w:r>
          </w:p>
        </w:tc>
        <w:tc>
          <w:tcPr>
            <w:tcW w:w="5386" w:type="dxa"/>
          </w:tcPr>
          <w:p w14:paraId="28A45733"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b/>
                <w:bCs/>
              </w:rPr>
            </w:pPr>
            <w:r w:rsidRPr="00C56B34">
              <w:rPr>
                <w:rStyle w:val="dn"/>
                <w:rFonts w:asciiTheme="majorBidi" w:eastAsia="Roboto" w:hAnsiTheme="majorBidi" w:cstheme="majorBidi"/>
              </w:rPr>
              <w:t>Amount of mercury/mercury compound waste subjected to final disposal</w:t>
            </w:r>
          </w:p>
          <w:p w14:paraId="43B20B48"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410" w:type="dxa"/>
          </w:tcPr>
          <w:p w14:paraId="20679523" w14:textId="77777777" w:rsidR="00914E5C" w:rsidRPr="00C56B34" w:rsidRDefault="00914E5C" w:rsidP="00567037">
            <w:pPr>
              <w:pBdr>
                <w:top w:val="nil"/>
                <w:left w:val="nil"/>
                <w:bottom w:val="nil"/>
                <w:right w:val="nil"/>
                <w:between w:val="nil"/>
                <w:bar w:val="nil"/>
              </w:pBdr>
              <w:ind w:right="-1192"/>
              <w:rPr>
                <w:rStyle w:val="dn"/>
                <w:rFonts w:asciiTheme="majorBidi" w:eastAsia="Roboto" w:hAnsiTheme="majorBidi" w:cstheme="majorBidi"/>
              </w:rPr>
            </w:pPr>
            <w:r w:rsidRPr="00C56B34">
              <w:rPr>
                <w:rFonts w:asciiTheme="majorBidi" w:hAnsiTheme="majorBidi" w:cstheme="majorBidi"/>
                <w:iCs/>
              </w:rPr>
              <w:t>- Article 21 reporting</w:t>
            </w:r>
          </w:p>
        </w:tc>
        <w:tc>
          <w:tcPr>
            <w:tcW w:w="2410" w:type="dxa"/>
          </w:tcPr>
          <w:p w14:paraId="40D11A3C"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amount in the first evaluation</w:t>
            </w:r>
          </w:p>
        </w:tc>
      </w:tr>
      <w:tr w:rsidR="00914E5C" w:rsidRPr="00C56B34" w14:paraId="15E9468D" w14:textId="77777777" w:rsidTr="006E1DA8">
        <w:tc>
          <w:tcPr>
            <w:tcW w:w="2689" w:type="dxa"/>
          </w:tcPr>
          <w:p w14:paraId="5991AD11"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B12. Process indictor for Article 11</w:t>
            </w:r>
          </w:p>
        </w:tc>
        <w:tc>
          <w:tcPr>
            <w:tcW w:w="5386" w:type="dxa"/>
          </w:tcPr>
          <w:p w14:paraId="44A9569E"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Style w:val="dn"/>
                <w:rFonts w:asciiTheme="majorBidi" w:eastAsia="Roboto" w:hAnsiTheme="majorBidi" w:cstheme="majorBidi"/>
              </w:rPr>
              <w:t>Number of parties that have measures in place to manage mercury waste in an environmentally sound manner</w:t>
            </w:r>
          </w:p>
        </w:tc>
        <w:tc>
          <w:tcPr>
            <w:tcW w:w="2410" w:type="dxa"/>
          </w:tcPr>
          <w:p w14:paraId="2F6CC563" w14:textId="77777777" w:rsidR="00914E5C" w:rsidRPr="00C56B34" w:rsidRDefault="00914E5C" w:rsidP="00567037">
            <w:pPr>
              <w:pBdr>
                <w:top w:val="nil"/>
                <w:left w:val="nil"/>
                <w:bottom w:val="nil"/>
                <w:right w:val="nil"/>
                <w:between w:val="nil"/>
                <w:bar w:val="nil"/>
              </w:pBdr>
              <w:ind w:right="-1192"/>
              <w:rPr>
                <w:rStyle w:val="dn"/>
                <w:rFonts w:asciiTheme="majorBidi" w:eastAsia="Roboto" w:hAnsiTheme="majorBidi" w:cstheme="majorBidi"/>
              </w:rPr>
            </w:pPr>
            <w:r w:rsidRPr="00C56B34">
              <w:rPr>
                <w:rFonts w:asciiTheme="majorBidi" w:hAnsiTheme="majorBidi" w:cstheme="majorBidi"/>
                <w:iCs/>
              </w:rPr>
              <w:t>- Article 21 reporting</w:t>
            </w:r>
          </w:p>
        </w:tc>
        <w:tc>
          <w:tcPr>
            <w:tcW w:w="2410" w:type="dxa"/>
          </w:tcPr>
          <w:p w14:paraId="7ADD4692"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amount in the first evaluation</w:t>
            </w:r>
          </w:p>
        </w:tc>
      </w:tr>
      <w:tr w:rsidR="00914E5C" w:rsidRPr="00C56B34" w14:paraId="31704A2F" w14:textId="77777777" w:rsidTr="006E1DA8">
        <w:tc>
          <w:tcPr>
            <w:tcW w:w="2689" w:type="dxa"/>
            <w:shd w:val="clear" w:color="auto" w:fill="D9D9D9" w:themeFill="background1" w:themeFillShade="D9"/>
          </w:tcPr>
          <w:p w14:paraId="31445E46" w14:textId="77777777" w:rsidR="00914E5C" w:rsidRPr="00C56B34" w:rsidRDefault="00914E5C" w:rsidP="00567037">
            <w:pPr>
              <w:rPr>
                <w:rFonts w:asciiTheme="majorBidi" w:hAnsiTheme="majorBidi" w:cstheme="majorBidi"/>
                <w:b/>
                <w:bCs/>
              </w:rPr>
            </w:pPr>
            <w:r w:rsidRPr="00C56B34">
              <w:rPr>
                <w:rFonts w:asciiTheme="majorBidi" w:hAnsiTheme="majorBidi" w:cstheme="majorBidi"/>
                <w:b/>
                <w:bCs/>
              </w:rPr>
              <w:t>Notes</w:t>
            </w:r>
          </w:p>
        </w:tc>
        <w:tc>
          <w:tcPr>
            <w:tcW w:w="10206" w:type="dxa"/>
            <w:gridSpan w:val="3"/>
          </w:tcPr>
          <w:p w14:paraId="1736D8F6" w14:textId="77777777" w:rsidR="00914E5C" w:rsidRDefault="00914E5C" w:rsidP="0025348A">
            <w:pPr>
              <w:pStyle w:val="ListParagraph"/>
              <w:numPr>
                <w:ilvl w:val="0"/>
                <w:numId w:val="35"/>
              </w:numPr>
              <w:tabs>
                <w:tab w:val="clear" w:pos="1247"/>
              </w:tabs>
              <w:ind w:right="-1192"/>
              <w:rPr>
                <w:rFonts w:asciiTheme="majorBidi" w:eastAsia="Times New Roman" w:hAnsiTheme="majorBidi" w:cstheme="majorBidi"/>
              </w:rPr>
            </w:pPr>
            <w:r w:rsidRPr="0022456E">
              <w:rPr>
                <w:rFonts w:asciiTheme="majorBidi" w:eastAsia="Times New Roman" w:hAnsiTheme="majorBidi" w:cstheme="majorBidi"/>
              </w:rPr>
              <w:t>Data from non-Parties is important too.</w:t>
            </w:r>
          </w:p>
          <w:p w14:paraId="26E16F1C" w14:textId="4A82CE72" w:rsidR="00FA267C" w:rsidRPr="0022456E" w:rsidRDefault="00FA267C" w:rsidP="00FA267C">
            <w:pPr>
              <w:pStyle w:val="ListParagraph"/>
              <w:ind w:left="360" w:right="-1192"/>
              <w:rPr>
                <w:rFonts w:asciiTheme="majorBidi" w:eastAsia="Times New Roman" w:hAnsiTheme="majorBidi" w:cstheme="majorBidi"/>
              </w:rPr>
            </w:pPr>
          </w:p>
        </w:tc>
      </w:tr>
    </w:tbl>
    <w:p w14:paraId="3BDAABB7" w14:textId="77777777" w:rsidR="00914E5C" w:rsidRPr="00C56B34" w:rsidRDefault="00914E5C" w:rsidP="00914E5C">
      <w:pPr>
        <w:spacing w:after="0"/>
        <w:rPr>
          <w:rFonts w:asciiTheme="majorBidi" w:hAnsiTheme="majorBidi" w:cstheme="majorBidi"/>
        </w:rPr>
      </w:pPr>
    </w:p>
    <w:tbl>
      <w:tblPr>
        <w:tblStyle w:val="TableGrid"/>
        <w:tblW w:w="0" w:type="auto"/>
        <w:tblLook w:val="04A0" w:firstRow="1" w:lastRow="0" w:firstColumn="1" w:lastColumn="0" w:noHBand="0" w:noVBand="1"/>
      </w:tblPr>
      <w:tblGrid>
        <w:gridCol w:w="2830"/>
        <w:gridCol w:w="5245"/>
        <w:gridCol w:w="2508"/>
        <w:gridCol w:w="2367"/>
      </w:tblGrid>
      <w:tr w:rsidR="00914E5C" w:rsidRPr="00C56B34" w14:paraId="602776DD" w14:textId="77777777" w:rsidTr="002B0296">
        <w:tc>
          <w:tcPr>
            <w:tcW w:w="8075" w:type="dxa"/>
            <w:gridSpan w:val="2"/>
            <w:shd w:val="clear" w:color="auto" w:fill="D9D9D9" w:themeFill="background1" w:themeFillShade="D9"/>
          </w:tcPr>
          <w:p w14:paraId="4EFA5FA0"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Fonts w:asciiTheme="majorBidi" w:eastAsia="Roboto" w:hAnsiTheme="majorBidi" w:cstheme="majorBidi"/>
                <w:b/>
                <w:sz w:val="22"/>
                <w:szCs w:val="22"/>
              </w:rPr>
            </w:pPr>
            <w:r w:rsidRPr="00C56B34">
              <w:rPr>
                <w:rStyle w:val="dn"/>
                <w:rFonts w:asciiTheme="majorBidi" w:eastAsia="Roboto" w:hAnsiTheme="majorBidi" w:cstheme="majorBidi"/>
                <w:b/>
                <w:sz w:val="22"/>
                <w:szCs w:val="22"/>
              </w:rPr>
              <w:t xml:space="preserve">C: Demand Cluster of Articles: Mercury-added products (Article 4), Manufacturing processes in which mercury or mercury compounds are used (Article 5), and Artisanal and small-scale gold mining (Article 7) </w:t>
            </w:r>
          </w:p>
        </w:tc>
        <w:tc>
          <w:tcPr>
            <w:tcW w:w="2508" w:type="dxa"/>
            <w:shd w:val="clear" w:color="auto" w:fill="D9D9D9" w:themeFill="background1" w:themeFillShade="D9"/>
          </w:tcPr>
          <w:p w14:paraId="76335649"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Style w:val="dn"/>
                <w:rFonts w:asciiTheme="majorBidi" w:eastAsia="Roboto" w:hAnsiTheme="majorBidi" w:cstheme="majorBidi"/>
                <w:b/>
                <w:sz w:val="22"/>
                <w:szCs w:val="22"/>
              </w:rPr>
            </w:pPr>
            <w:r w:rsidRPr="00C56B34">
              <w:rPr>
                <w:rFonts w:asciiTheme="majorBidi" w:hAnsiTheme="majorBidi" w:cstheme="majorBidi"/>
                <w:b/>
                <w:bCs/>
                <w:sz w:val="22"/>
                <w:szCs w:val="22"/>
              </w:rPr>
              <w:t>Source of information on indicator</w:t>
            </w:r>
          </w:p>
        </w:tc>
        <w:tc>
          <w:tcPr>
            <w:tcW w:w="2367" w:type="dxa"/>
            <w:shd w:val="clear" w:color="auto" w:fill="D9D9D9" w:themeFill="background1" w:themeFillShade="D9"/>
          </w:tcPr>
          <w:p w14:paraId="2A823491"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Style w:val="dn"/>
                <w:rFonts w:asciiTheme="majorBidi" w:eastAsia="Roboto" w:hAnsiTheme="majorBidi" w:cstheme="majorBidi"/>
                <w:b/>
                <w:sz w:val="22"/>
                <w:szCs w:val="22"/>
              </w:rPr>
            </w:pPr>
            <w:r w:rsidRPr="00C56B34">
              <w:rPr>
                <w:rFonts w:asciiTheme="majorBidi" w:hAnsiTheme="majorBidi" w:cstheme="majorBidi"/>
                <w:b/>
                <w:bCs/>
                <w:sz w:val="22"/>
                <w:szCs w:val="22"/>
              </w:rPr>
              <w:t>Baseline for the indicator</w:t>
            </w:r>
          </w:p>
        </w:tc>
      </w:tr>
      <w:tr w:rsidR="00914E5C" w:rsidRPr="00C56B34" w14:paraId="36F15D85" w14:textId="77777777" w:rsidTr="00567037">
        <w:tc>
          <w:tcPr>
            <w:tcW w:w="2830" w:type="dxa"/>
          </w:tcPr>
          <w:p w14:paraId="6507F478" w14:textId="77777777" w:rsidR="00914E5C" w:rsidRPr="00C56B34" w:rsidRDefault="00914E5C" w:rsidP="00567037">
            <w:pPr>
              <w:rPr>
                <w:rFonts w:asciiTheme="majorBidi" w:hAnsiTheme="majorBidi" w:cstheme="majorBidi"/>
                <w:bCs/>
              </w:rPr>
            </w:pPr>
            <w:r w:rsidRPr="00C56B34">
              <w:rPr>
                <w:rFonts w:asciiTheme="majorBidi" w:hAnsiTheme="majorBidi" w:cstheme="majorBidi"/>
                <w:bCs/>
              </w:rPr>
              <w:t xml:space="preserve">C1. Cross-cutting </w:t>
            </w:r>
            <w:r w:rsidRPr="00C56B34">
              <w:rPr>
                <w:rStyle w:val="dn"/>
                <w:rFonts w:asciiTheme="majorBidi" w:eastAsia="Roboto" w:hAnsiTheme="majorBidi" w:cstheme="majorBidi"/>
                <w:bCs/>
              </w:rPr>
              <w:t>process indicator for Articles 4, 5 and 7</w:t>
            </w:r>
          </w:p>
        </w:tc>
        <w:tc>
          <w:tcPr>
            <w:tcW w:w="5245" w:type="dxa"/>
          </w:tcPr>
          <w:p w14:paraId="7D3A86EB"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Style w:val="dn"/>
                <w:rFonts w:asciiTheme="majorBidi" w:eastAsia="Roboto" w:hAnsiTheme="majorBidi" w:cstheme="majorBidi"/>
              </w:rPr>
              <w:t xml:space="preserve">Share of Parties that have </w:t>
            </w:r>
            <w:r w:rsidRPr="002D64D3">
              <w:rPr>
                <w:rStyle w:val="dn"/>
                <w:rFonts w:asciiTheme="majorBidi" w:eastAsia="Roboto" w:hAnsiTheme="majorBidi" w:cstheme="majorBidi"/>
              </w:rPr>
              <w:t>implemented key provisions under this cluster</w:t>
            </w:r>
          </w:p>
          <w:p w14:paraId="4956D1B8" w14:textId="77777777" w:rsidR="00914E5C" w:rsidRPr="00C56B34" w:rsidRDefault="00914E5C" w:rsidP="00567037">
            <w:pPr>
              <w:rPr>
                <w:rFonts w:asciiTheme="majorBidi" w:hAnsiTheme="majorBidi" w:cstheme="majorBidi"/>
              </w:rPr>
            </w:pPr>
          </w:p>
        </w:tc>
        <w:tc>
          <w:tcPr>
            <w:tcW w:w="2508" w:type="dxa"/>
          </w:tcPr>
          <w:p w14:paraId="22B84C7F" w14:textId="3435F9F7" w:rsidR="00914E5C" w:rsidRPr="00C56B34" w:rsidRDefault="002D64D3" w:rsidP="00567037">
            <w:pPr>
              <w:pBdr>
                <w:top w:val="nil"/>
                <w:left w:val="nil"/>
                <w:bottom w:val="nil"/>
                <w:right w:val="nil"/>
                <w:between w:val="nil"/>
                <w:bar w:val="nil"/>
              </w:pBdr>
              <w:rPr>
                <w:rStyle w:val="dn"/>
                <w:rFonts w:asciiTheme="majorBidi" w:eastAsia="Roboto" w:hAnsiTheme="majorBidi" w:cstheme="majorBidi"/>
              </w:rPr>
            </w:pPr>
            <w:r w:rsidRPr="002C5615">
              <w:rPr>
                <w:rFonts w:asciiTheme="majorBidi" w:hAnsiTheme="majorBidi" w:cstheme="majorBidi"/>
              </w:rPr>
              <w:t xml:space="preserve">- </w:t>
            </w:r>
            <w:r>
              <w:rPr>
                <w:rFonts w:asciiTheme="majorBidi" w:hAnsiTheme="majorBidi" w:cstheme="majorBidi"/>
              </w:rPr>
              <w:t>S</w:t>
            </w:r>
            <w:r w:rsidRPr="002C5615">
              <w:rPr>
                <w:rFonts w:asciiTheme="majorBidi" w:hAnsiTheme="majorBidi" w:cstheme="majorBidi"/>
              </w:rPr>
              <w:t xml:space="preserve">ynthesised information from individual indicators for Art </w:t>
            </w:r>
            <w:r>
              <w:rPr>
                <w:rFonts w:asciiTheme="majorBidi" w:hAnsiTheme="majorBidi" w:cstheme="majorBidi"/>
              </w:rPr>
              <w:t>4</w:t>
            </w:r>
            <w:r w:rsidRPr="002C5615">
              <w:rPr>
                <w:rFonts w:asciiTheme="majorBidi" w:hAnsiTheme="majorBidi" w:cstheme="majorBidi"/>
              </w:rPr>
              <w:t xml:space="preserve">, </w:t>
            </w:r>
            <w:r>
              <w:rPr>
                <w:rFonts w:asciiTheme="majorBidi" w:hAnsiTheme="majorBidi" w:cstheme="majorBidi"/>
              </w:rPr>
              <w:t>5</w:t>
            </w:r>
            <w:r w:rsidRPr="002C5615">
              <w:rPr>
                <w:rFonts w:asciiTheme="majorBidi" w:hAnsiTheme="majorBidi" w:cstheme="majorBidi"/>
              </w:rPr>
              <w:t xml:space="preserve"> and </w:t>
            </w:r>
            <w:r>
              <w:rPr>
                <w:rFonts w:asciiTheme="majorBidi" w:hAnsiTheme="majorBidi" w:cstheme="majorBidi"/>
              </w:rPr>
              <w:t>7</w:t>
            </w:r>
          </w:p>
        </w:tc>
        <w:tc>
          <w:tcPr>
            <w:tcW w:w="2367" w:type="dxa"/>
          </w:tcPr>
          <w:p w14:paraId="135B7703"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 in the first evaluation</w:t>
            </w:r>
          </w:p>
        </w:tc>
      </w:tr>
      <w:tr w:rsidR="00914E5C" w:rsidRPr="00C56B34" w14:paraId="5A75A74C" w14:textId="77777777" w:rsidTr="00567037">
        <w:tc>
          <w:tcPr>
            <w:tcW w:w="2830" w:type="dxa"/>
          </w:tcPr>
          <w:p w14:paraId="649D9054" w14:textId="77777777" w:rsidR="00914E5C" w:rsidRPr="00C56B34" w:rsidRDefault="00914E5C" w:rsidP="00567037">
            <w:pPr>
              <w:rPr>
                <w:rFonts w:asciiTheme="majorBidi" w:hAnsiTheme="majorBidi" w:cstheme="majorBidi"/>
                <w:bCs/>
              </w:rPr>
            </w:pPr>
            <w:r w:rsidRPr="00C56B34">
              <w:rPr>
                <w:rFonts w:asciiTheme="majorBidi" w:hAnsiTheme="majorBidi" w:cstheme="majorBidi"/>
                <w:bCs/>
              </w:rPr>
              <w:t>C2. Cross-cutting outcome</w:t>
            </w:r>
            <w:r w:rsidRPr="00C56B34">
              <w:rPr>
                <w:rStyle w:val="dn"/>
                <w:rFonts w:asciiTheme="majorBidi" w:eastAsia="Roboto" w:hAnsiTheme="majorBidi" w:cstheme="majorBidi"/>
                <w:bCs/>
              </w:rPr>
              <w:t xml:space="preserve"> indicator for Articles 4, 5 and 7</w:t>
            </w:r>
          </w:p>
        </w:tc>
        <w:tc>
          <w:tcPr>
            <w:tcW w:w="5245" w:type="dxa"/>
          </w:tcPr>
          <w:p w14:paraId="0BB6DEA1" w14:textId="77777777" w:rsidR="00914E5C" w:rsidRPr="00C56B34" w:rsidRDefault="00914E5C" w:rsidP="00567037">
            <w:pPr>
              <w:rPr>
                <w:rFonts w:asciiTheme="majorBidi" w:hAnsiTheme="majorBidi" w:cstheme="majorBidi"/>
              </w:rPr>
            </w:pPr>
            <w:r w:rsidRPr="00C56B34">
              <w:rPr>
                <w:rStyle w:val="dn"/>
                <w:rFonts w:asciiTheme="majorBidi" w:eastAsia="Roboto" w:hAnsiTheme="majorBidi" w:cstheme="majorBidi"/>
              </w:rPr>
              <w:t xml:space="preserve">Global use of Hg product or process in tonnes per application </w:t>
            </w:r>
          </w:p>
        </w:tc>
        <w:tc>
          <w:tcPr>
            <w:tcW w:w="2508" w:type="dxa"/>
          </w:tcPr>
          <w:p w14:paraId="0187807D" w14:textId="7936E605" w:rsidR="00914E5C" w:rsidRPr="00C56B34" w:rsidRDefault="002D64D3" w:rsidP="00567037">
            <w:pPr>
              <w:rPr>
                <w:rStyle w:val="dn"/>
                <w:rFonts w:asciiTheme="majorBidi" w:eastAsia="Roboto" w:hAnsiTheme="majorBidi" w:cstheme="majorBidi"/>
              </w:rPr>
            </w:pPr>
            <w:r>
              <w:rPr>
                <w:rStyle w:val="dn"/>
                <w:rFonts w:asciiTheme="majorBidi" w:eastAsia="Roboto" w:hAnsiTheme="majorBidi" w:cstheme="majorBidi"/>
              </w:rPr>
              <w:t>-</w:t>
            </w:r>
            <w:r>
              <w:rPr>
                <w:rStyle w:val="dn"/>
                <w:rFonts w:eastAsia="Roboto"/>
              </w:rPr>
              <w:t xml:space="preserve"> Information from industry stakeholders</w:t>
            </w:r>
          </w:p>
        </w:tc>
        <w:tc>
          <w:tcPr>
            <w:tcW w:w="2367" w:type="dxa"/>
          </w:tcPr>
          <w:p w14:paraId="4658DF27" w14:textId="77777777" w:rsidR="00914E5C" w:rsidRPr="00C56B34" w:rsidRDefault="00914E5C" w:rsidP="00567037">
            <w:pPr>
              <w:rPr>
                <w:rFonts w:asciiTheme="majorBidi" w:hAnsiTheme="majorBidi" w:cstheme="majorBidi"/>
              </w:rPr>
            </w:pPr>
            <w:r w:rsidRPr="00C56B34">
              <w:rPr>
                <w:rFonts w:asciiTheme="majorBidi" w:hAnsiTheme="majorBidi" w:cstheme="majorBidi"/>
              </w:rPr>
              <w:t>Baseline amount in the first evaluation</w:t>
            </w:r>
          </w:p>
        </w:tc>
      </w:tr>
      <w:tr w:rsidR="00914E5C" w:rsidRPr="00C56B34" w14:paraId="39EB4D53" w14:textId="77777777" w:rsidTr="00150A5C">
        <w:tc>
          <w:tcPr>
            <w:tcW w:w="2830" w:type="dxa"/>
            <w:shd w:val="clear" w:color="auto" w:fill="D9D9D9" w:themeFill="background1" w:themeFillShade="D9"/>
          </w:tcPr>
          <w:p w14:paraId="6E9FE287" w14:textId="77777777" w:rsidR="00914E5C" w:rsidRPr="00C56B34" w:rsidRDefault="00914E5C" w:rsidP="00567037">
            <w:pPr>
              <w:rPr>
                <w:rFonts w:asciiTheme="majorBidi" w:hAnsiTheme="majorBidi" w:cstheme="majorBidi"/>
                <w:b/>
              </w:rPr>
            </w:pPr>
            <w:r w:rsidRPr="00C56B34">
              <w:rPr>
                <w:rFonts w:asciiTheme="majorBidi" w:hAnsiTheme="majorBidi" w:cstheme="majorBidi"/>
                <w:b/>
              </w:rPr>
              <w:t>Article 4</w:t>
            </w:r>
          </w:p>
        </w:tc>
        <w:tc>
          <w:tcPr>
            <w:tcW w:w="5245" w:type="dxa"/>
            <w:shd w:val="clear" w:color="auto" w:fill="D9D9D9" w:themeFill="background1" w:themeFillShade="D9"/>
          </w:tcPr>
          <w:p w14:paraId="06C23FAB" w14:textId="77777777" w:rsidR="00914E5C" w:rsidRPr="00C56B34" w:rsidRDefault="00914E5C" w:rsidP="00567037">
            <w:pPr>
              <w:rPr>
                <w:rFonts w:asciiTheme="majorBidi" w:hAnsiTheme="majorBidi" w:cstheme="majorBidi"/>
              </w:rPr>
            </w:pPr>
          </w:p>
        </w:tc>
        <w:tc>
          <w:tcPr>
            <w:tcW w:w="2508" w:type="dxa"/>
            <w:shd w:val="clear" w:color="auto" w:fill="D9D9D9" w:themeFill="background1" w:themeFillShade="D9"/>
          </w:tcPr>
          <w:p w14:paraId="651148E1" w14:textId="77777777" w:rsidR="00914E5C" w:rsidRPr="00C56B34" w:rsidRDefault="00914E5C" w:rsidP="00567037">
            <w:pPr>
              <w:rPr>
                <w:rFonts w:asciiTheme="majorBidi" w:hAnsiTheme="majorBidi" w:cstheme="majorBidi"/>
              </w:rPr>
            </w:pPr>
          </w:p>
        </w:tc>
        <w:tc>
          <w:tcPr>
            <w:tcW w:w="2367" w:type="dxa"/>
            <w:shd w:val="clear" w:color="auto" w:fill="D9D9D9" w:themeFill="background1" w:themeFillShade="D9"/>
          </w:tcPr>
          <w:p w14:paraId="6325BDB2" w14:textId="77777777" w:rsidR="00914E5C" w:rsidRPr="00C56B34" w:rsidRDefault="00914E5C" w:rsidP="00567037">
            <w:pPr>
              <w:rPr>
                <w:rFonts w:asciiTheme="majorBidi" w:hAnsiTheme="majorBidi" w:cstheme="majorBidi"/>
              </w:rPr>
            </w:pPr>
          </w:p>
        </w:tc>
      </w:tr>
      <w:tr w:rsidR="00914E5C" w:rsidRPr="00C56B34" w14:paraId="49C2B962" w14:textId="77777777" w:rsidTr="00567037">
        <w:tc>
          <w:tcPr>
            <w:tcW w:w="2830" w:type="dxa"/>
          </w:tcPr>
          <w:p w14:paraId="13024611" w14:textId="77777777" w:rsidR="00914E5C" w:rsidRPr="00C56B34" w:rsidRDefault="00914E5C" w:rsidP="00567037">
            <w:pPr>
              <w:rPr>
                <w:rFonts w:asciiTheme="majorBidi" w:hAnsiTheme="majorBidi" w:cstheme="majorBidi"/>
              </w:rPr>
            </w:pPr>
            <w:r w:rsidRPr="00C56B34">
              <w:rPr>
                <w:rFonts w:asciiTheme="majorBidi" w:hAnsiTheme="majorBidi" w:cstheme="majorBidi"/>
              </w:rPr>
              <w:t xml:space="preserve">C3. </w:t>
            </w:r>
            <w:r w:rsidRPr="00C56B34">
              <w:rPr>
                <w:rStyle w:val="dn"/>
                <w:rFonts w:asciiTheme="majorBidi" w:eastAsia="Roboto" w:hAnsiTheme="majorBidi" w:cstheme="majorBidi"/>
              </w:rPr>
              <w:t>Process indicator for Article 4</w:t>
            </w:r>
          </w:p>
        </w:tc>
        <w:tc>
          <w:tcPr>
            <w:tcW w:w="5245" w:type="dxa"/>
          </w:tcPr>
          <w:p w14:paraId="5946B6A4" w14:textId="77777777" w:rsidR="00914E5C" w:rsidRPr="00C56B34" w:rsidRDefault="00914E5C" w:rsidP="00567037">
            <w:pPr>
              <w:pBdr>
                <w:top w:val="nil"/>
                <w:left w:val="nil"/>
                <w:bottom w:val="nil"/>
                <w:right w:val="nil"/>
                <w:between w:val="nil"/>
                <w:bar w:val="nil"/>
              </w:pBdr>
              <w:rPr>
                <w:rStyle w:val="dn"/>
                <w:rFonts w:asciiTheme="majorBidi" w:hAnsiTheme="majorBidi" w:cstheme="majorBidi"/>
              </w:rPr>
            </w:pPr>
            <w:r w:rsidRPr="00C56B34">
              <w:rPr>
                <w:rStyle w:val="dn"/>
                <w:rFonts w:asciiTheme="majorBidi" w:hAnsiTheme="majorBidi" w:cstheme="majorBidi"/>
                <w:lang w:eastAsia="ja-JP"/>
              </w:rPr>
              <w:t>Number of parties having appropriate measures to not allow the manufacture, export or import of mercury-added products listed in Part I of Annex A</w:t>
            </w:r>
          </w:p>
          <w:p w14:paraId="08D9A1D3" w14:textId="77777777" w:rsidR="00914E5C" w:rsidRPr="00C56B34" w:rsidRDefault="00914E5C" w:rsidP="00567037">
            <w:pPr>
              <w:rPr>
                <w:rFonts w:asciiTheme="majorBidi" w:hAnsiTheme="majorBidi" w:cstheme="majorBidi"/>
              </w:rPr>
            </w:pPr>
          </w:p>
        </w:tc>
        <w:tc>
          <w:tcPr>
            <w:tcW w:w="2508" w:type="dxa"/>
          </w:tcPr>
          <w:p w14:paraId="2021D2E0" w14:textId="77777777" w:rsidR="00914E5C" w:rsidRPr="00C56B34" w:rsidRDefault="00914E5C" w:rsidP="00567037">
            <w:pPr>
              <w:pBdr>
                <w:top w:val="nil"/>
                <w:left w:val="nil"/>
                <w:bottom w:val="nil"/>
                <w:right w:val="nil"/>
                <w:between w:val="nil"/>
                <w:bar w:val="nil"/>
              </w:pBdr>
              <w:rPr>
                <w:rFonts w:asciiTheme="majorBidi" w:hAnsiTheme="majorBidi" w:cstheme="majorBidi"/>
                <w:iCs/>
              </w:rPr>
            </w:pPr>
            <w:r w:rsidRPr="00C56B34">
              <w:rPr>
                <w:rFonts w:asciiTheme="majorBidi" w:hAnsiTheme="majorBidi" w:cstheme="majorBidi"/>
                <w:iCs/>
              </w:rPr>
              <w:t>- Article 21 reporting</w:t>
            </w:r>
          </w:p>
          <w:p w14:paraId="4CA3B032" w14:textId="77777777" w:rsidR="00914E5C" w:rsidRPr="00C56B34" w:rsidRDefault="00914E5C" w:rsidP="00567037">
            <w:pPr>
              <w:pBdr>
                <w:top w:val="nil"/>
                <w:left w:val="nil"/>
                <w:bottom w:val="nil"/>
                <w:right w:val="nil"/>
                <w:between w:val="nil"/>
                <w:bar w:val="nil"/>
              </w:pBdr>
              <w:rPr>
                <w:rStyle w:val="dn"/>
                <w:rFonts w:asciiTheme="majorBidi" w:hAnsiTheme="majorBidi" w:cstheme="majorBidi"/>
                <w:lang w:eastAsia="ja-JP"/>
              </w:rPr>
            </w:pPr>
          </w:p>
        </w:tc>
        <w:tc>
          <w:tcPr>
            <w:tcW w:w="2367" w:type="dxa"/>
          </w:tcPr>
          <w:p w14:paraId="3EAB3951"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number in the first evaluation</w:t>
            </w:r>
          </w:p>
        </w:tc>
      </w:tr>
      <w:tr w:rsidR="00914E5C" w:rsidRPr="00C56B34" w14:paraId="0AB4FFA3" w14:textId="77777777" w:rsidTr="00567037">
        <w:tc>
          <w:tcPr>
            <w:tcW w:w="2830" w:type="dxa"/>
          </w:tcPr>
          <w:p w14:paraId="4E4EC017" w14:textId="77777777" w:rsidR="00914E5C" w:rsidRPr="00C56B34" w:rsidRDefault="00914E5C" w:rsidP="00567037">
            <w:pPr>
              <w:rPr>
                <w:rFonts w:asciiTheme="majorBidi" w:hAnsiTheme="majorBidi" w:cstheme="majorBidi"/>
              </w:rPr>
            </w:pPr>
            <w:r w:rsidRPr="00C56B34">
              <w:rPr>
                <w:rFonts w:asciiTheme="majorBidi" w:hAnsiTheme="majorBidi" w:cstheme="majorBidi"/>
              </w:rPr>
              <w:t xml:space="preserve">C4. </w:t>
            </w:r>
            <w:r w:rsidRPr="00C56B34">
              <w:rPr>
                <w:rStyle w:val="dn"/>
                <w:rFonts w:asciiTheme="majorBidi" w:eastAsia="Roboto" w:hAnsiTheme="majorBidi" w:cstheme="majorBidi"/>
              </w:rPr>
              <w:t>Process indicator for Article 4</w:t>
            </w:r>
          </w:p>
        </w:tc>
        <w:tc>
          <w:tcPr>
            <w:tcW w:w="5245" w:type="dxa"/>
          </w:tcPr>
          <w:p w14:paraId="3E2C03E1" w14:textId="77777777" w:rsidR="00914E5C" w:rsidRPr="00C56B34" w:rsidRDefault="00914E5C" w:rsidP="00567037">
            <w:pPr>
              <w:pBdr>
                <w:top w:val="nil"/>
                <w:left w:val="nil"/>
                <w:bottom w:val="nil"/>
                <w:right w:val="nil"/>
                <w:between w:val="nil"/>
                <w:bar w:val="nil"/>
              </w:pBdr>
              <w:rPr>
                <w:rStyle w:val="dn"/>
                <w:rFonts w:asciiTheme="majorBidi" w:hAnsiTheme="majorBidi" w:cstheme="majorBidi"/>
              </w:rPr>
            </w:pPr>
            <w:r w:rsidRPr="00C56B34">
              <w:rPr>
                <w:rStyle w:val="dn"/>
                <w:rFonts w:asciiTheme="majorBidi" w:eastAsia="Roboto" w:hAnsiTheme="majorBidi" w:cstheme="majorBidi"/>
              </w:rPr>
              <w:t>Number of exemptions per product category</w:t>
            </w:r>
            <w:r w:rsidRPr="00C56B34">
              <w:rPr>
                <w:rStyle w:val="dn"/>
                <w:rFonts w:asciiTheme="majorBidi" w:hAnsiTheme="majorBidi" w:cstheme="majorBidi"/>
                <w:lang w:eastAsia="ja-JP"/>
              </w:rPr>
              <w:t xml:space="preserve"> which are still valid</w:t>
            </w:r>
          </w:p>
          <w:p w14:paraId="399D9A31"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p>
        </w:tc>
        <w:tc>
          <w:tcPr>
            <w:tcW w:w="2508" w:type="dxa"/>
          </w:tcPr>
          <w:p w14:paraId="6E312044"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Style w:val="dn"/>
                <w:rFonts w:asciiTheme="majorBidi" w:eastAsia="Roboto" w:hAnsiTheme="majorBidi" w:cstheme="majorBidi"/>
              </w:rPr>
              <w:t>- Registry of exemptions</w:t>
            </w:r>
          </w:p>
        </w:tc>
        <w:tc>
          <w:tcPr>
            <w:tcW w:w="2367" w:type="dxa"/>
          </w:tcPr>
          <w:p w14:paraId="6DAFC211"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number in the first evaluation</w:t>
            </w:r>
          </w:p>
        </w:tc>
      </w:tr>
      <w:tr w:rsidR="00914E5C" w:rsidRPr="00C56B34" w14:paraId="6C2F2CCC" w14:textId="77777777" w:rsidTr="00567037">
        <w:tc>
          <w:tcPr>
            <w:tcW w:w="2830" w:type="dxa"/>
          </w:tcPr>
          <w:p w14:paraId="5CBFD49F" w14:textId="77777777" w:rsidR="00914E5C" w:rsidRPr="00C56B34" w:rsidRDefault="00914E5C" w:rsidP="00567037">
            <w:pPr>
              <w:rPr>
                <w:rFonts w:asciiTheme="majorBidi" w:hAnsiTheme="majorBidi" w:cstheme="majorBidi"/>
              </w:rPr>
            </w:pPr>
            <w:r w:rsidRPr="00C56B34">
              <w:rPr>
                <w:rFonts w:asciiTheme="majorBidi" w:hAnsiTheme="majorBidi" w:cstheme="majorBidi"/>
              </w:rPr>
              <w:t xml:space="preserve">C5. </w:t>
            </w:r>
            <w:r w:rsidRPr="00C56B34">
              <w:rPr>
                <w:rStyle w:val="dn"/>
                <w:rFonts w:asciiTheme="majorBidi" w:eastAsia="Roboto" w:hAnsiTheme="majorBidi" w:cstheme="majorBidi"/>
              </w:rPr>
              <w:t>Process indicator for Article 4</w:t>
            </w:r>
          </w:p>
        </w:tc>
        <w:tc>
          <w:tcPr>
            <w:tcW w:w="5245" w:type="dxa"/>
          </w:tcPr>
          <w:p w14:paraId="464CD1BF" w14:textId="77777777" w:rsidR="00914E5C" w:rsidRPr="00C56B34" w:rsidRDefault="00914E5C" w:rsidP="00567037">
            <w:pPr>
              <w:pBdr>
                <w:top w:val="nil"/>
                <w:left w:val="nil"/>
                <w:bottom w:val="nil"/>
                <w:right w:val="nil"/>
                <w:between w:val="nil"/>
                <w:bar w:val="nil"/>
              </w:pBdr>
              <w:rPr>
                <w:rStyle w:val="dn"/>
                <w:rFonts w:asciiTheme="majorBidi" w:hAnsiTheme="majorBidi" w:cstheme="majorBidi"/>
              </w:rPr>
            </w:pPr>
            <w:r w:rsidRPr="00C56B34">
              <w:rPr>
                <w:rStyle w:val="dn"/>
                <w:rFonts w:asciiTheme="majorBidi" w:hAnsiTheme="majorBidi" w:cstheme="majorBidi"/>
                <w:lang w:eastAsia="ja-JP"/>
              </w:rPr>
              <w:t>Number of parties that have taken two or more measures for the mercury-added products listed in Part II of Annex A</w:t>
            </w:r>
          </w:p>
          <w:p w14:paraId="0C175B24" w14:textId="77777777" w:rsidR="00914E5C" w:rsidRPr="00C56B34" w:rsidRDefault="00914E5C" w:rsidP="00567037">
            <w:pPr>
              <w:rPr>
                <w:rFonts w:asciiTheme="majorBidi" w:hAnsiTheme="majorBidi" w:cstheme="majorBidi"/>
              </w:rPr>
            </w:pPr>
          </w:p>
        </w:tc>
        <w:tc>
          <w:tcPr>
            <w:tcW w:w="2508" w:type="dxa"/>
          </w:tcPr>
          <w:p w14:paraId="771023E1" w14:textId="77777777" w:rsidR="00914E5C" w:rsidRPr="00C56B34" w:rsidRDefault="00914E5C" w:rsidP="00567037">
            <w:pPr>
              <w:pBdr>
                <w:top w:val="nil"/>
                <w:left w:val="nil"/>
                <w:bottom w:val="nil"/>
                <w:right w:val="nil"/>
                <w:between w:val="nil"/>
                <w:bar w:val="nil"/>
              </w:pBdr>
              <w:rPr>
                <w:rStyle w:val="dn"/>
                <w:rFonts w:asciiTheme="majorBidi" w:hAnsiTheme="majorBidi" w:cstheme="majorBidi"/>
                <w:lang w:eastAsia="ja-JP"/>
              </w:rPr>
            </w:pPr>
            <w:r w:rsidRPr="00C56B34">
              <w:rPr>
                <w:rFonts w:asciiTheme="majorBidi" w:hAnsiTheme="majorBidi" w:cstheme="majorBidi"/>
                <w:iCs/>
              </w:rPr>
              <w:t>- Article 21 reporting</w:t>
            </w:r>
          </w:p>
        </w:tc>
        <w:tc>
          <w:tcPr>
            <w:tcW w:w="2367" w:type="dxa"/>
          </w:tcPr>
          <w:p w14:paraId="413D6A98" w14:textId="77777777" w:rsidR="00914E5C" w:rsidRPr="00C56B34" w:rsidRDefault="00914E5C" w:rsidP="00567037">
            <w:pPr>
              <w:pBdr>
                <w:top w:val="nil"/>
                <w:left w:val="nil"/>
                <w:bottom w:val="nil"/>
                <w:right w:val="nil"/>
                <w:between w:val="nil"/>
                <w:bar w:val="nil"/>
              </w:pBdr>
              <w:rPr>
                <w:rStyle w:val="dn"/>
                <w:rFonts w:asciiTheme="majorBidi" w:hAnsiTheme="majorBidi" w:cstheme="majorBidi"/>
                <w:lang w:eastAsia="ja-JP"/>
              </w:rPr>
            </w:pPr>
            <w:r w:rsidRPr="00C56B34">
              <w:rPr>
                <w:rFonts w:asciiTheme="majorBidi" w:hAnsiTheme="majorBidi" w:cstheme="majorBidi"/>
              </w:rPr>
              <w:t>Baseline number in the first evaluation</w:t>
            </w:r>
          </w:p>
        </w:tc>
      </w:tr>
      <w:tr w:rsidR="00914E5C" w:rsidRPr="00C56B34" w14:paraId="09DE67BB" w14:textId="77777777" w:rsidTr="00567037">
        <w:tc>
          <w:tcPr>
            <w:tcW w:w="2830" w:type="dxa"/>
          </w:tcPr>
          <w:p w14:paraId="68D6774E"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C6. Additional outcome indicator for Article 4</w:t>
            </w:r>
          </w:p>
        </w:tc>
        <w:tc>
          <w:tcPr>
            <w:tcW w:w="5245" w:type="dxa"/>
          </w:tcPr>
          <w:p w14:paraId="06ABEC71"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Style w:val="dn"/>
                <w:rFonts w:asciiTheme="majorBidi" w:eastAsia="Roboto" w:hAnsiTheme="majorBidi" w:cstheme="majorBidi"/>
              </w:rPr>
              <w:t xml:space="preserve">Volume tonnes of mercury added products (a) imported and (b) exported, in units per year for each product category in Annex A Part 1 </w:t>
            </w:r>
          </w:p>
        </w:tc>
        <w:tc>
          <w:tcPr>
            <w:tcW w:w="2508" w:type="dxa"/>
          </w:tcPr>
          <w:p w14:paraId="0C9A5D42" w14:textId="5D6B1AC2" w:rsidR="00914E5C" w:rsidRPr="00C56B34" w:rsidRDefault="00696C1E"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Pr>
                <w:rStyle w:val="dn"/>
                <w:rFonts w:asciiTheme="majorBidi" w:eastAsia="Roboto" w:hAnsiTheme="majorBidi" w:cstheme="majorBidi"/>
              </w:rPr>
              <w:t>-</w:t>
            </w:r>
            <w:r>
              <w:rPr>
                <w:rStyle w:val="dn"/>
                <w:rFonts w:eastAsia="Roboto"/>
              </w:rPr>
              <w:t xml:space="preserve"> Trade and customs data</w:t>
            </w:r>
          </w:p>
        </w:tc>
        <w:tc>
          <w:tcPr>
            <w:tcW w:w="2367" w:type="dxa"/>
          </w:tcPr>
          <w:p w14:paraId="18F854EB"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Fonts w:asciiTheme="majorBidi" w:hAnsiTheme="majorBidi" w:cstheme="majorBidi"/>
              </w:rPr>
              <w:t>Baseline amount in the first evaluation</w:t>
            </w:r>
          </w:p>
        </w:tc>
      </w:tr>
      <w:tr w:rsidR="00914E5C" w:rsidRPr="00C56B34" w14:paraId="6C3B1BC9" w14:textId="77777777" w:rsidTr="002B0296">
        <w:tc>
          <w:tcPr>
            <w:tcW w:w="2830" w:type="dxa"/>
            <w:shd w:val="clear" w:color="auto" w:fill="D9D9D9" w:themeFill="background1" w:themeFillShade="D9"/>
          </w:tcPr>
          <w:p w14:paraId="343E38CA"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b/>
              </w:rPr>
            </w:pPr>
            <w:r w:rsidRPr="00C56B34">
              <w:rPr>
                <w:rFonts w:asciiTheme="majorBidi" w:hAnsiTheme="majorBidi" w:cstheme="majorBidi"/>
                <w:b/>
              </w:rPr>
              <w:t>Article 5</w:t>
            </w:r>
          </w:p>
        </w:tc>
        <w:tc>
          <w:tcPr>
            <w:tcW w:w="5245" w:type="dxa"/>
            <w:shd w:val="clear" w:color="auto" w:fill="D9D9D9" w:themeFill="background1" w:themeFillShade="D9"/>
          </w:tcPr>
          <w:p w14:paraId="52157EA4"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508" w:type="dxa"/>
            <w:shd w:val="clear" w:color="auto" w:fill="D9D9D9" w:themeFill="background1" w:themeFillShade="D9"/>
          </w:tcPr>
          <w:p w14:paraId="1DA82A94"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367" w:type="dxa"/>
            <w:shd w:val="clear" w:color="auto" w:fill="D9D9D9" w:themeFill="background1" w:themeFillShade="D9"/>
          </w:tcPr>
          <w:p w14:paraId="577630CD"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r>
      <w:tr w:rsidR="00914E5C" w:rsidRPr="00C56B34" w14:paraId="767955A9" w14:textId="77777777" w:rsidTr="00567037">
        <w:tc>
          <w:tcPr>
            <w:tcW w:w="2830" w:type="dxa"/>
          </w:tcPr>
          <w:p w14:paraId="32A5DCC4"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C7. Process indicator for Article 5</w:t>
            </w:r>
          </w:p>
        </w:tc>
        <w:tc>
          <w:tcPr>
            <w:tcW w:w="5245" w:type="dxa"/>
          </w:tcPr>
          <w:p w14:paraId="201310AA"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Style w:val="dn"/>
                <w:rFonts w:asciiTheme="majorBidi" w:eastAsia="Roboto" w:hAnsiTheme="majorBidi" w:cstheme="majorBidi"/>
              </w:rPr>
              <w:t xml:space="preserve">Number of parties with exemptions for Annex B Part 1 processes, </w:t>
            </w:r>
            <w:r w:rsidRPr="00C56B34">
              <w:rPr>
                <w:rStyle w:val="dn"/>
                <w:rFonts w:asciiTheme="majorBidi" w:hAnsiTheme="majorBidi" w:cstheme="majorBidi"/>
                <w:lang w:eastAsia="ja-JP"/>
              </w:rPr>
              <w:t>which are still valid</w:t>
            </w:r>
          </w:p>
        </w:tc>
        <w:tc>
          <w:tcPr>
            <w:tcW w:w="2508" w:type="dxa"/>
          </w:tcPr>
          <w:p w14:paraId="16730BD9"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Style w:val="dn"/>
                <w:rFonts w:asciiTheme="majorBidi" w:eastAsia="Roboto" w:hAnsiTheme="majorBidi" w:cstheme="majorBidi"/>
              </w:rPr>
              <w:t>- Registry of exemptions</w:t>
            </w:r>
          </w:p>
        </w:tc>
        <w:tc>
          <w:tcPr>
            <w:tcW w:w="2367" w:type="dxa"/>
          </w:tcPr>
          <w:p w14:paraId="569A3F40"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914E5C" w:rsidRPr="00C56B34" w14:paraId="17C17F8A" w14:textId="77777777" w:rsidTr="00567037">
        <w:tc>
          <w:tcPr>
            <w:tcW w:w="2830" w:type="dxa"/>
          </w:tcPr>
          <w:p w14:paraId="27D82550"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lastRenderedPageBreak/>
              <w:t>C8. Process indicator for Article 5</w:t>
            </w:r>
          </w:p>
        </w:tc>
        <w:tc>
          <w:tcPr>
            <w:tcW w:w="5245" w:type="dxa"/>
          </w:tcPr>
          <w:p w14:paraId="2A1C3DB7"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hAnsiTheme="majorBidi" w:cstheme="majorBidi"/>
              </w:rPr>
            </w:pPr>
            <w:r w:rsidRPr="00C56B34">
              <w:rPr>
                <w:rStyle w:val="dn"/>
                <w:rFonts w:asciiTheme="majorBidi" w:hAnsiTheme="majorBidi" w:cstheme="majorBidi"/>
                <w:lang w:eastAsia="ja-JP"/>
              </w:rPr>
              <w:t>Number of parties having measures in place to not allow the use of mercury or mercury compounds in manufacturing processes listed in Part I of Annex B</w:t>
            </w:r>
          </w:p>
        </w:tc>
        <w:tc>
          <w:tcPr>
            <w:tcW w:w="2508" w:type="dxa"/>
          </w:tcPr>
          <w:p w14:paraId="18784C2E"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hAnsiTheme="majorBidi" w:cstheme="majorBidi"/>
                <w:lang w:eastAsia="ja-JP"/>
              </w:rPr>
            </w:pPr>
            <w:r w:rsidRPr="00C56B34">
              <w:rPr>
                <w:rFonts w:asciiTheme="majorBidi" w:hAnsiTheme="majorBidi" w:cstheme="majorBidi"/>
                <w:iCs/>
              </w:rPr>
              <w:t>- Article 21 reporting</w:t>
            </w:r>
          </w:p>
        </w:tc>
        <w:tc>
          <w:tcPr>
            <w:tcW w:w="2367" w:type="dxa"/>
          </w:tcPr>
          <w:p w14:paraId="5A0F4B1D"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hAnsiTheme="majorBidi" w:cstheme="majorBidi"/>
                <w:lang w:eastAsia="ja-JP"/>
              </w:rPr>
            </w:pPr>
            <w:r w:rsidRPr="00C56B34">
              <w:rPr>
                <w:rFonts w:asciiTheme="majorBidi" w:hAnsiTheme="majorBidi" w:cstheme="majorBidi"/>
              </w:rPr>
              <w:t>Baseline number in the first evaluation</w:t>
            </w:r>
          </w:p>
        </w:tc>
      </w:tr>
      <w:tr w:rsidR="00914E5C" w:rsidRPr="00C56B34" w14:paraId="2A00A3FB" w14:textId="77777777" w:rsidTr="00567037">
        <w:tc>
          <w:tcPr>
            <w:tcW w:w="2830" w:type="dxa"/>
          </w:tcPr>
          <w:p w14:paraId="7546891A"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C9. Process indicator for Article 5</w:t>
            </w:r>
          </w:p>
        </w:tc>
        <w:tc>
          <w:tcPr>
            <w:tcW w:w="5245" w:type="dxa"/>
          </w:tcPr>
          <w:p w14:paraId="2E069E96"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eastAsia="Roboto" w:hAnsiTheme="majorBidi" w:cstheme="majorBidi"/>
              </w:rPr>
            </w:pPr>
            <w:r w:rsidRPr="00C56B34">
              <w:rPr>
                <w:rFonts w:asciiTheme="majorBidi" w:eastAsia="Roboto" w:hAnsiTheme="majorBidi" w:cstheme="majorBidi"/>
              </w:rPr>
              <w:t xml:space="preserve">Share of the parties that have processes subject to Article 5 para 3, that have taken all the measures for the respective processes listed in </w:t>
            </w:r>
            <w:r w:rsidRPr="00C56B34">
              <w:rPr>
                <w:rStyle w:val="dn"/>
                <w:rFonts w:asciiTheme="majorBidi" w:hAnsiTheme="majorBidi" w:cstheme="majorBidi"/>
                <w:lang w:eastAsia="ja-JP"/>
              </w:rPr>
              <w:t>Annex B, Part II</w:t>
            </w:r>
          </w:p>
        </w:tc>
        <w:tc>
          <w:tcPr>
            <w:tcW w:w="2508" w:type="dxa"/>
          </w:tcPr>
          <w:p w14:paraId="4EFEA8F2"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eastAsia="Roboto" w:hAnsiTheme="majorBidi" w:cstheme="majorBidi"/>
              </w:rPr>
            </w:pPr>
            <w:r w:rsidRPr="00C56B34">
              <w:rPr>
                <w:rFonts w:asciiTheme="majorBidi" w:hAnsiTheme="majorBidi" w:cstheme="majorBidi"/>
                <w:iCs/>
              </w:rPr>
              <w:t>- Article 21 reporting</w:t>
            </w:r>
          </w:p>
        </w:tc>
        <w:tc>
          <w:tcPr>
            <w:tcW w:w="2367" w:type="dxa"/>
          </w:tcPr>
          <w:p w14:paraId="1AA43E8F"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eastAsia="Roboto" w:hAnsiTheme="majorBidi" w:cstheme="majorBidi"/>
              </w:rPr>
            </w:pPr>
            <w:r w:rsidRPr="00C56B34">
              <w:rPr>
                <w:rFonts w:asciiTheme="majorBidi" w:hAnsiTheme="majorBidi" w:cstheme="majorBidi"/>
              </w:rPr>
              <w:t>Baseline % in the first evaluation</w:t>
            </w:r>
          </w:p>
        </w:tc>
      </w:tr>
      <w:tr w:rsidR="00914E5C" w:rsidRPr="00C56B34" w14:paraId="1FE7651D" w14:textId="77777777" w:rsidTr="002B0296">
        <w:tc>
          <w:tcPr>
            <w:tcW w:w="2830" w:type="dxa"/>
            <w:shd w:val="clear" w:color="auto" w:fill="D9D9D9" w:themeFill="background1" w:themeFillShade="D9"/>
          </w:tcPr>
          <w:p w14:paraId="759F9837"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b/>
              </w:rPr>
            </w:pPr>
            <w:r w:rsidRPr="00C56B34">
              <w:rPr>
                <w:rFonts w:asciiTheme="majorBidi" w:hAnsiTheme="majorBidi" w:cstheme="majorBidi"/>
                <w:b/>
              </w:rPr>
              <w:t>Article 7</w:t>
            </w:r>
          </w:p>
        </w:tc>
        <w:tc>
          <w:tcPr>
            <w:tcW w:w="5245" w:type="dxa"/>
            <w:shd w:val="clear" w:color="auto" w:fill="D9D9D9" w:themeFill="background1" w:themeFillShade="D9"/>
          </w:tcPr>
          <w:p w14:paraId="069F737D"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eastAsia="Roboto" w:hAnsiTheme="majorBidi" w:cstheme="majorBidi"/>
              </w:rPr>
            </w:pPr>
          </w:p>
        </w:tc>
        <w:tc>
          <w:tcPr>
            <w:tcW w:w="2508" w:type="dxa"/>
            <w:shd w:val="clear" w:color="auto" w:fill="D9D9D9" w:themeFill="background1" w:themeFillShade="D9"/>
          </w:tcPr>
          <w:p w14:paraId="2E1E3F7A"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eastAsia="Roboto" w:hAnsiTheme="majorBidi" w:cstheme="majorBidi"/>
              </w:rPr>
            </w:pPr>
          </w:p>
        </w:tc>
        <w:tc>
          <w:tcPr>
            <w:tcW w:w="2367" w:type="dxa"/>
            <w:shd w:val="clear" w:color="auto" w:fill="D9D9D9" w:themeFill="background1" w:themeFillShade="D9"/>
          </w:tcPr>
          <w:p w14:paraId="59760695"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eastAsia="Roboto" w:hAnsiTheme="majorBidi" w:cstheme="majorBidi"/>
              </w:rPr>
            </w:pPr>
          </w:p>
        </w:tc>
      </w:tr>
      <w:tr w:rsidR="00914E5C" w:rsidRPr="00C56B34" w14:paraId="51A25EBA" w14:textId="77777777" w:rsidTr="00567037">
        <w:tc>
          <w:tcPr>
            <w:tcW w:w="2830" w:type="dxa"/>
          </w:tcPr>
          <w:p w14:paraId="0B1EBAFE"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C11. Outcome indicator for Article 7</w:t>
            </w:r>
          </w:p>
        </w:tc>
        <w:tc>
          <w:tcPr>
            <w:tcW w:w="5245" w:type="dxa"/>
          </w:tcPr>
          <w:p w14:paraId="34F85141"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Style w:val="dn"/>
                <w:rFonts w:asciiTheme="majorBidi" w:eastAsia="Roboto" w:hAnsiTheme="majorBidi" w:cstheme="majorBidi"/>
              </w:rPr>
              <w:t xml:space="preserve">Total amount of Hg used in ASGM globally, in tonnes per year </w:t>
            </w:r>
          </w:p>
          <w:p w14:paraId="3552002F"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eastAsia="Roboto" w:hAnsiTheme="majorBidi" w:cstheme="majorBidi"/>
              </w:rPr>
            </w:pPr>
          </w:p>
        </w:tc>
        <w:tc>
          <w:tcPr>
            <w:tcW w:w="2508" w:type="dxa"/>
          </w:tcPr>
          <w:p w14:paraId="25DDCF30"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Style w:val="dn"/>
                <w:rFonts w:asciiTheme="majorBidi" w:eastAsia="Roboto" w:hAnsiTheme="majorBidi" w:cstheme="majorBidi"/>
              </w:rPr>
              <w:t>- Article 21 reporting</w:t>
            </w:r>
          </w:p>
          <w:p w14:paraId="49621C2F"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Style w:val="dn"/>
                <w:rFonts w:asciiTheme="majorBidi" w:eastAsia="Roboto" w:hAnsiTheme="majorBidi" w:cstheme="majorBidi"/>
              </w:rPr>
              <w:t>- NAPs and its review</w:t>
            </w:r>
          </w:p>
          <w:p w14:paraId="53E0164F"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Style w:val="dn"/>
                <w:rFonts w:asciiTheme="majorBidi" w:eastAsia="Roboto" w:hAnsiTheme="majorBidi" w:cstheme="majorBidi"/>
              </w:rPr>
              <w:t>- Notifications</w:t>
            </w:r>
          </w:p>
        </w:tc>
        <w:tc>
          <w:tcPr>
            <w:tcW w:w="2367" w:type="dxa"/>
          </w:tcPr>
          <w:p w14:paraId="56C4A95E"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Fonts w:asciiTheme="majorBidi" w:hAnsiTheme="majorBidi" w:cstheme="majorBidi"/>
              </w:rPr>
              <w:t>Baseline amount in the first evaluation</w:t>
            </w:r>
          </w:p>
        </w:tc>
      </w:tr>
      <w:tr w:rsidR="00914E5C" w:rsidRPr="00C56B34" w14:paraId="4DB57908" w14:textId="77777777" w:rsidTr="00567037">
        <w:tc>
          <w:tcPr>
            <w:tcW w:w="2830" w:type="dxa"/>
          </w:tcPr>
          <w:p w14:paraId="5D18EEC5"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C12. Process indicator for Article 7</w:t>
            </w:r>
          </w:p>
        </w:tc>
        <w:tc>
          <w:tcPr>
            <w:tcW w:w="5245" w:type="dxa"/>
          </w:tcPr>
          <w:p w14:paraId="208CD64F"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Style w:val="dn"/>
                <w:rFonts w:asciiTheme="majorBidi" w:eastAsia="Roboto" w:hAnsiTheme="majorBidi" w:cstheme="majorBidi"/>
              </w:rPr>
              <w:t>Share of parties declaring more than insignificant ASGM that have submitted NAP</w:t>
            </w:r>
          </w:p>
          <w:p w14:paraId="560646E6"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eastAsia="Roboto" w:hAnsiTheme="majorBidi" w:cstheme="majorBidi"/>
              </w:rPr>
            </w:pPr>
          </w:p>
        </w:tc>
        <w:tc>
          <w:tcPr>
            <w:tcW w:w="2508" w:type="dxa"/>
          </w:tcPr>
          <w:p w14:paraId="49DADA38"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Style w:val="dn"/>
                <w:rFonts w:asciiTheme="majorBidi" w:eastAsia="Roboto" w:hAnsiTheme="majorBidi" w:cstheme="majorBidi"/>
              </w:rPr>
              <w:t>- Notifications</w:t>
            </w:r>
          </w:p>
        </w:tc>
        <w:tc>
          <w:tcPr>
            <w:tcW w:w="2367" w:type="dxa"/>
          </w:tcPr>
          <w:p w14:paraId="6BF26910"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Fonts w:asciiTheme="majorBidi" w:hAnsiTheme="majorBidi" w:cstheme="majorBidi"/>
              </w:rPr>
              <w:t>Baseline % in the first evaluation</w:t>
            </w:r>
          </w:p>
        </w:tc>
      </w:tr>
      <w:tr w:rsidR="00914E5C" w:rsidRPr="00C56B34" w14:paraId="1186F97A" w14:textId="77777777" w:rsidTr="00567037">
        <w:tc>
          <w:tcPr>
            <w:tcW w:w="2830" w:type="dxa"/>
          </w:tcPr>
          <w:p w14:paraId="45F1093D"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C13. Process indicator for Article 7</w:t>
            </w:r>
          </w:p>
        </w:tc>
        <w:tc>
          <w:tcPr>
            <w:tcW w:w="5245" w:type="dxa"/>
          </w:tcPr>
          <w:p w14:paraId="4AFC4120"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eastAsia="Roboto" w:hAnsiTheme="majorBidi" w:cstheme="majorBidi"/>
              </w:rPr>
            </w:pPr>
            <w:r w:rsidRPr="00C56B34">
              <w:rPr>
                <w:rStyle w:val="dn"/>
                <w:rFonts w:asciiTheme="majorBidi" w:hAnsiTheme="majorBidi" w:cstheme="majorBidi"/>
                <w:lang w:eastAsia="ja-JP"/>
              </w:rPr>
              <w:t>Share of parties that have submitted a NAP and have reviewed it</w:t>
            </w:r>
          </w:p>
          <w:p w14:paraId="4A5B4BE8"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508" w:type="dxa"/>
          </w:tcPr>
          <w:p w14:paraId="2B7BD09C" w14:textId="77777777" w:rsidR="00914E5C" w:rsidRPr="00696C1E"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hAnsiTheme="majorBidi" w:cstheme="majorBidi"/>
                <w:lang w:eastAsia="ja-JP"/>
              </w:rPr>
            </w:pPr>
            <w:r w:rsidRPr="00696C1E">
              <w:rPr>
                <w:rStyle w:val="dn"/>
                <w:rFonts w:asciiTheme="majorBidi" w:hAnsiTheme="majorBidi" w:cstheme="majorBidi"/>
                <w:lang w:eastAsia="ja-JP"/>
              </w:rPr>
              <w:t>- Article 7 review</w:t>
            </w:r>
          </w:p>
        </w:tc>
        <w:tc>
          <w:tcPr>
            <w:tcW w:w="2367" w:type="dxa"/>
          </w:tcPr>
          <w:p w14:paraId="47FEB588"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hAnsiTheme="majorBidi" w:cstheme="majorBidi"/>
                <w:lang w:eastAsia="ja-JP"/>
              </w:rPr>
            </w:pPr>
            <w:r w:rsidRPr="00C56B34">
              <w:rPr>
                <w:rFonts w:asciiTheme="majorBidi" w:hAnsiTheme="majorBidi" w:cstheme="majorBidi"/>
              </w:rPr>
              <w:t>Baseline % in the first evaluation</w:t>
            </w:r>
          </w:p>
        </w:tc>
      </w:tr>
      <w:tr w:rsidR="00914E5C" w:rsidRPr="00C56B34" w14:paraId="04C6C956" w14:textId="77777777" w:rsidTr="00567037">
        <w:tc>
          <w:tcPr>
            <w:tcW w:w="2830" w:type="dxa"/>
            <w:shd w:val="clear" w:color="auto" w:fill="D9D9D9" w:themeFill="background1" w:themeFillShade="D9"/>
          </w:tcPr>
          <w:p w14:paraId="021D7359" w14:textId="77777777" w:rsidR="00914E5C" w:rsidRPr="00C56B34" w:rsidRDefault="00914E5C" w:rsidP="00567037">
            <w:pPr>
              <w:rPr>
                <w:rFonts w:asciiTheme="majorBidi" w:hAnsiTheme="majorBidi" w:cstheme="majorBidi"/>
                <w:highlight w:val="yellow"/>
              </w:rPr>
            </w:pPr>
            <w:r w:rsidRPr="00C56B34">
              <w:rPr>
                <w:rFonts w:asciiTheme="majorBidi" w:hAnsiTheme="majorBidi" w:cstheme="majorBidi"/>
                <w:b/>
                <w:bCs/>
              </w:rPr>
              <w:t>Notes</w:t>
            </w:r>
          </w:p>
        </w:tc>
        <w:tc>
          <w:tcPr>
            <w:tcW w:w="10120" w:type="dxa"/>
            <w:gridSpan w:val="3"/>
          </w:tcPr>
          <w:p w14:paraId="3EDECF62" w14:textId="77777777" w:rsidR="00914E5C" w:rsidRPr="00696C1E" w:rsidRDefault="00914E5C" w:rsidP="0025348A">
            <w:pPr>
              <w:pStyle w:val="ListParagraph"/>
              <w:numPr>
                <w:ilvl w:val="0"/>
                <w:numId w:val="35"/>
              </w:numPr>
              <w:tabs>
                <w:tab w:val="clear" w:pos="1247"/>
              </w:tabs>
              <w:rPr>
                <w:rFonts w:asciiTheme="majorBidi" w:eastAsia="Times New Roman" w:hAnsiTheme="majorBidi" w:cstheme="majorBidi"/>
              </w:rPr>
            </w:pPr>
            <w:r w:rsidRPr="00696C1E">
              <w:rPr>
                <w:rFonts w:asciiTheme="majorBidi" w:eastAsia="Times New Roman" w:hAnsiTheme="majorBidi" w:cstheme="majorBidi"/>
              </w:rPr>
              <w:t>Some data on products may not be obtainable from public sources.</w:t>
            </w:r>
          </w:p>
        </w:tc>
      </w:tr>
    </w:tbl>
    <w:p w14:paraId="59268D7B" w14:textId="77777777" w:rsidR="00914E5C" w:rsidRPr="00C56B34" w:rsidRDefault="00914E5C" w:rsidP="00914E5C">
      <w:pPr>
        <w:spacing w:after="0"/>
        <w:rPr>
          <w:rFonts w:asciiTheme="majorBidi" w:hAnsiTheme="majorBidi" w:cstheme="majorBidi"/>
        </w:rPr>
      </w:pPr>
    </w:p>
    <w:tbl>
      <w:tblPr>
        <w:tblStyle w:val="TableGrid"/>
        <w:tblW w:w="0" w:type="auto"/>
        <w:tblLook w:val="04A0" w:firstRow="1" w:lastRow="0" w:firstColumn="1" w:lastColumn="0" w:noHBand="0" w:noVBand="1"/>
      </w:tblPr>
      <w:tblGrid>
        <w:gridCol w:w="2830"/>
        <w:gridCol w:w="5245"/>
        <w:gridCol w:w="2504"/>
        <w:gridCol w:w="2371"/>
      </w:tblGrid>
      <w:tr w:rsidR="00914E5C" w:rsidRPr="00C56B34" w14:paraId="19209FCF" w14:textId="77777777" w:rsidTr="002B0296">
        <w:tc>
          <w:tcPr>
            <w:tcW w:w="8075" w:type="dxa"/>
            <w:gridSpan w:val="2"/>
            <w:shd w:val="clear" w:color="auto" w:fill="D9D9D9" w:themeFill="background1" w:themeFillShade="D9"/>
          </w:tcPr>
          <w:p w14:paraId="370E8C17"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Fonts w:asciiTheme="majorBidi" w:eastAsia="Roboto" w:hAnsiTheme="majorBidi" w:cstheme="majorBidi"/>
                <w:b/>
                <w:sz w:val="22"/>
                <w:szCs w:val="22"/>
              </w:rPr>
            </w:pPr>
            <w:r w:rsidRPr="00C56B34">
              <w:rPr>
                <w:rStyle w:val="dn"/>
                <w:rFonts w:asciiTheme="majorBidi" w:eastAsia="Roboto" w:hAnsiTheme="majorBidi" w:cstheme="majorBidi"/>
                <w:b/>
                <w:sz w:val="22"/>
                <w:szCs w:val="22"/>
              </w:rPr>
              <w:t>D: Pressure Cluster of Articles: Emissions (Article 8), Releases (Article 9) and Contaminated Sites (Article 12)</w:t>
            </w:r>
          </w:p>
        </w:tc>
        <w:tc>
          <w:tcPr>
            <w:tcW w:w="2504" w:type="dxa"/>
            <w:shd w:val="clear" w:color="auto" w:fill="D9D9D9" w:themeFill="background1" w:themeFillShade="D9"/>
          </w:tcPr>
          <w:p w14:paraId="4421111E"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Style w:val="dn"/>
                <w:rFonts w:asciiTheme="majorBidi" w:eastAsia="Roboto" w:hAnsiTheme="majorBidi" w:cstheme="majorBidi"/>
                <w:b/>
                <w:sz w:val="22"/>
                <w:szCs w:val="22"/>
              </w:rPr>
            </w:pPr>
            <w:r w:rsidRPr="00C56B34">
              <w:rPr>
                <w:rFonts w:asciiTheme="majorBidi" w:hAnsiTheme="majorBidi" w:cstheme="majorBidi"/>
                <w:b/>
                <w:bCs/>
                <w:sz w:val="22"/>
                <w:szCs w:val="22"/>
              </w:rPr>
              <w:t>Source of information on indicator</w:t>
            </w:r>
          </w:p>
        </w:tc>
        <w:tc>
          <w:tcPr>
            <w:tcW w:w="2371" w:type="dxa"/>
            <w:shd w:val="clear" w:color="auto" w:fill="D9D9D9" w:themeFill="background1" w:themeFillShade="D9"/>
          </w:tcPr>
          <w:p w14:paraId="439A7FAB"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Style w:val="dn"/>
                <w:rFonts w:asciiTheme="majorBidi" w:eastAsia="Roboto" w:hAnsiTheme="majorBidi" w:cstheme="majorBidi"/>
                <w:b/>
                <w:sz w:val="22"/>
                <w:szCs w:val="22"/>
              </w:rPr>
            </w:pPr>
            <w:r w:rsidRPr="00C56B34">
              <w:rPr>
                <w:rFonts w:asciiTheme="majorBidi" w:hAnsiTheme="majorBidi" w:cstheme="majorBidi"/>
                <w:b/>
                <w:bCs/>
                <w:sz w:val="22"/>
                <w:szCs w:val="22"/>
              </w:rPr>
              <w:t>Baseline for the indicator</w:t>
            </w:r>
          </w:p>
        </w:tc>
      </w:tr>
      <w:tr w:rsidR="00914E5C" w:rsidRPr="00C56B34" w14:paraId="05F94326" w14:textId="77777777" w:rsidTr="00567037">
        <w:tc>
          <w:tcPr>
            <w:tcW w:w="2830" w:type="dxa"/>
          </w:tcPr>
          <w:p w14:paraId="139F9621" w14:textId="77777777" w:rsidR="00914E5C" w:rsidRPr="00C56B34" w:rsidRDefault="00914E5C" w:rsidP="00567037">
            <w:pPr>
              <w:rPr>
                <w:rFonts w:asciiTheme="majorBidi" w:hAnsiTheme="majorBidi" w:cstheme="majorBidi"/>
                <w:bCs/>
              </w:rPr>
            </w:pPr>
            <w:r w:rsidRPr="00C56B34">
              <w:rPr>
                <w:rFonts w:asciiTheme="majorBidi" w:hAnsiTheme="majorBidi" w:cstheme="majorBidi"/>
                <w:bCs/>
              </w:rPr>
              <w:t xml:space="preserve">D1. </w:t>
            </w:r>
            <w:r w:rsidRPr="00C56B34">
              <w:rPr>
                <w:rStyle w:val="dn"/>
                <w:rFonts w:asciiTheme="majorBidi" w:eastAsia="Roboto" w:hAnsiTheme="majorBidi" w:cstheme="majorBidi"/>
                <w:bCs/>
              </w:rPr>
              <w:t>Overall process indicator for Articles 8, 9 and 12</w:t>
            </w:r>
          </w:p>
        </w:tc>
        <w:tc>
          <w:tcPr>
            <w:tcW w:w="5245" w:type="dxa"/>
          </w:tcPr>
          <w:p w14:paraId="6C4F1FDD"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Style w:val="dn"/>
                <w:rFonts w:asciiTheme="majorBidi" w:eastAsia="Roboto" w:hAnsiTheme="majorBidi" w:cstheme="majorBidi"/>
              </w:rPr>
              <w:t xml:space="preserve">Share of Parties that have </w:t>
            </w:r>
            <w:r w:rsidRPr="006E4EC6">
              <w:rPr>
                <w:rStyle w:val="dn"/>
                <w:rFonts w:asciiTheme="majorBidi" w:eastAsia="Roboto" w:hAnsiTheme="majorBidi" w:cstheme="majorBidi"/>
              </w:rPr>
              <w:t>implemented key provisions under</w:t>
            </w:r>
            <w:r w:rsidRPr="00C56B34">
              <w:rPr>
                <w:rStyle w:val="dn"/>
                <w:rFonts w:asciiTheme="majorBidi" w:eastAsia="Roboto" w:hAnsiTheme="majorBidi" w:cstheme="majorBidi"/>
              </w:rPr>
              <w:t xml:space="preserve"> this cluster</w:t>
            </w:r>
          </w:p>
          <w:p w14:paraId="3286641C" w14:textId="77777777" w:rsidR="00914E5C" w:rsidRPr="00C56B34" w:rsidRDefault="00914E5C" w:rsidP="00567037">
            <w:pPr>
              <w:rPr>
                <w:rFonts w:asciiTheme="majorBidi" w:hAnsiTheme="majorBidi" w:cstheme="majorBidi"/>
              </w:rPr>
            </w:pPr>
          </w:p>
        </w:tc>
        <w:tc>
          <w:tcPr>
            <w:tcW w:w="2504" w:type="dxa"/>
          </w:tcPr>
          <w:p w14:paraId="68BB65B4"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Style w:val="dn"/>
                <w:rFonts w:asciiTheme="majorBidi" w:eastAsia="Roboto" w:hAnsiTheme="majorBidi" w:cstheme="majorBidi"/>
              </w:rPr>
              <w:t>- Article 21 reporting</w:t>
            </w:r>
          </w:p>
          <w:p w14:paraId="78399AEE"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p>
        </w:tc>
        <w:tc>
          <w:tcPr>
            <w:tcW w:w="2371" w:type="dxa"/>
          </w:tcPr>
          <w:p w14:paraId="54F995EB"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rPr>
              <w:t>Baseline % in the first evaluation</w:t>
            </w:r>
          </w:p>
        </w:tc>
      </w:tr>
      <w:tr w:rsidR="00914E5C" w:rsidRPr="00C56B34" w14:paraId="30FD0859" w14:textId="77777777" w:rsidTr="00567037">
        <w:trPr>
          <w:trHeight w:val="98"/>
        </w:trPr>
        <w:tc>
          <w:tcPr>
            <w:tcW w:w="2830" w:type="dxa"/>
          </w:tcPr>
          <w:p w14:paraId="4691B610" w14:textId="77777777" w:rsidR="00914E5C" w:rsidRPr="00C56B34" w:rsidRDefault="00914E5C" w:rsidP="00567037">
            <w:pPr>
              <w:rPr>
                <w:rFonts w:asciiTheme="majorBidi" w:hAnsiTheme="majorBidi" w:cstheme="majorBidi"/>
                <w:bCs/>
              </w:rPr>
            </w:pPr>
            <w:r w:rsidRPr="00C56B34">
              <w:rPr>
                <w:rFonts w:asciiTheme="majorBidi" w:hAnsiTheme="majorBidi" w:cstheme="majorBidi"/>
                <w:bCs/>
              </w:rPr>
              <w:t>D2. Cross-cutting outcome</w:t>
            </w:r>
            <w:r w:rsidRPr="00C56B34">
              <w:rPr>
                <w:rStyle w:val="dn"/>
                <w:rFonts w:asciiTheme="majorBidi" w:eastAsia="Roboto" w:hAnsiTheme="majorBidi" w:cstheme="majorBidi"/>
                <w:bCs/>
              </w:rPr>
              <w:t xml:space="preserve"> indicator for Articles 8, 9 and 12</w:t>
            </w:r>
          </w:p>
        </w:tc>
        <w:tc>
          <w:tcPr>
            <w:tcW w:w="5245" w:type="dxa"/>
          </w:tcPr>
          <w:p w14:paraId="5F025290" w14:textId="77777777" w:rsidR="00914E5C" w:rsidRPr="00C56B34" w:rsidRDefault="00914E5C" w:rsidP="00567037">
            <w:pPr>
              <w:rPr>
                <w:rFonts w:asciiTheme="majorBidi" w:hAnsiTheme="majorBidi" w:cstheme="majorBidi"/>
              </w:rPr>
            </w:pPr>
            <w:r w:rsidRPr="00C56B34">
              <w:rPr>
                <w:rStyle w:val="dn"/>
                <w:rFonts w:asciiTheme="majorBidi" w:eastAsia="Roboto" w:hAnsiTheme="majorBidi" w:cstheme="majorBidi"/>
              </w:rPr>
              <w:t xml:space="preserve">Total amount of Hg emitted and released </w:t>
            </w:r>
          </w:p>
        </w:tc>
        <w:tc>
          <w:tcPr>
            <w:tcW w:w="2504" w:type="dxa"/>
          </w:tcPr>
          <w:p w14:paraId="7726347A" w14:textId="77777777" w:rsidR="00914E5C" w:rsidRPr="00C56B34" w:rsidRDefault="00914E5C" w:rsidP="00567037">
            <w:pPr>
              <w:rPr>
                <w:rStyle w:val="dn"/>
                <w:rFonts w:asciiTheme="majorBidi" w:eastAsia="Roboto" w:hAnsiTheme="majorBidi" w:cstheme="majorBidi"/>
              </w:rPr>
            </w:pPr>
            <w:r w:rsidRPr="00C56B34">
              <w:rPr>
                <w:rStyle w:val="dn"/>
                <w:rFonts w:asciiTheme="majorBidi" w:eastAsia="Roboto" w:hAnsiTheme="majorBidi" w:cstheme="majorBidi"/>
              </w:rPr>
              <w:t>- Global Mercury Assessment</w:t>
            </w:r>
          </w:p>
          <w:p w14:paraId="0FB8282E" w14:textId="77777777" w:rsidR="00914E5C" w:rsidRPr="00C56B34" w:rsidRDefault="00914E5C" w:rsidP="00567037">
            <w:pPr>
              <w:rPr>
                <w:rStyle w:val="dn"/>
                <w:rFonts w:asciiTheme="majorBidi" w:eastAsia="Roboto" w:hAnsiTheme="majorBidi" w:cstheme="majorBidi"/>
              </w:rPr>
            </w:pPr>
            <w:r w:rsidRPr="00C56B34">
              <w:rPr>
                <w:rStyle w:val="dn"/>
                <w:rFonts w:asciiTheme="majorBidi" w:eastAsia="Roboto" w:hAnsiTheme="majorBidi" w:cstheme="majorBidi"/>
              </w:rPr>
              <w:t>- Inventories</w:t>
            </w:r>
          </w:p>
          <w:p w14:paraId="26EA29EE" w14:textId="77777777" w:rsidR="00914E5C" w:rsidRPr="00C56B34" w:rsidRDefault="00914E5C" w:rsidP="00567037">
            <w:pPr>
              <w:rPr>
                <w:rStyle w:val="dn"/>
                <w:rFonts w:asciiTheme="majorBidi" w:eastAsia="Roboto" w:hAnsiTheme="majorBidi" w:cstheme="majorBidi"/>
              </w:rPr>
            </w:pPr>
            <w:r w:rsidRPr="00C56B34">
              <w:rPr>
                <w:rStyle w:val="dn"/>
                <w:rFonts w:asciiTheme="majorBidi" w:eastAsia="Roboto" w:hAnsiTheme="majorBidi" w:cstheme="majorBidi"/>
              </w:rPr>
              <w:t>- MIAs</w:t>
            </w:r>
          </w:p>
        </w:tc>
        <w:tc>
          <w:tcPr>
            <w:tcW w:w="2371" w:type="dxa"/>
          </w:tcPr>
          <w:p w14:paraId="0057524D" w14:textId="77777777" w:rsidR="00914E5C" w:rsidRPr="00C56B34" w:rsidRDefault="00914E5C" w:rsidP="00567037">
            <w:pPr>
              <w:rPr>
                <w:rStyle w:val="dn"/>
                <w:rFonts w:asciiTheme="majorBidi" w:eastAsia="Roboto" w:hAnsiTheme="majorBidi" w:cstheme="majorBidi"/>
              </w:rPr>
            </w:pPr>
            <w:r w:rsidRPr="00C56B34">
              <w:rPr>
                <w:rFonts w:asciiTheme="majorBidi" w:hAnsiTheme="majorBidi" w:cstheme="majorBidi"/>
              </w:rPr>
              <w:t>Baseline amount in the first evaluation</w:t>
            </w:r>
          </w:p>
        </w:tc>
      </w:tr>
      <w:tr w:rsidR="00914E5C" w:rsidRPr="00C56B34" w14:paraId="188C022C" w14:textId="77777777" w:rsidTr="00150A5C">
        <w:tc>
          <w:tcPr>
            <w:tcW w:w="2830" w:type="dxa"/>
            <w:shd w:val="clear" w:color="auto" w:fill="D9D9D9" w:themeFill="background1" w:themeFillShade="D9"/>
          </w:tcPr>
          <w:p w14:paraId="763616E5" w14:textId="12CFCBB2" w:rsidR="00914E5C" w:rsidRPr="00C56B34" w:rsidRDefault="00914E5C" w:rsidP="00567037">
            <w:pPr>
              <w:rPr>
                <w:rFonts w:asciiTheme="majorBidi" w:hAnsiTheme="majorBidi" w:cstheme="majorBidi"/>
                <w:b/>
              </w:rPr>
            </w:pPr>
            <w:r w:rsidRPr="00C56B34">
              <w:rPr>
                <w:rFonts w:asciiTheme="majorBidi" w:hAnsiTheme="majorBidi" w:cstheme="majorBidi"/>
                <w:b/>
              </w:rPr>
              <w:t>Article 8</w:t>
            </w:r>
            <w:r w:rsidR="00075314">
              <w:rPr>
                <w:rFonts w:asciiTheme="majorBidi" w:hAnsiTheme="majorBidi" w:cstheme="majorBidi"/>
                <w:b/>
              </w:rPr>
              <w:t xml:space="preserve"> **</w:t>
            </w:r>
          </w:p>
        </w:tc>
        <w:tc>
          <w:tcPr>
            <w:tcW w:w="5245" w:type="dxa"/>
            <w:shd w:val="clear" w:color="auto" w:fill="D9D9D9" w:themeFill="background1" w:themeFillShade="D9"/>
          </w:tcPr>
          <w:p w14:paraId="1419523E" w14:textId="77777777" w:rsidR="00914E5C" w:rsidRPr="00C56B34" w:rsidRDefault="00914E5C" w:rsidP="00567037">
            <w:pPr>
              <w:rPr>
                <w:rFonts w:asciiTheme="majorBidi" w:hAnsiTheme="majorBidi" w:cstheme="majorBidi"/>
              </w:rPr>
            </w:pPr>
          </w:p>
        </w:tc>
        <w:tc>
          <w:tcPr>
            <w:tcW w:w="2504" w:type="dxa"/>
            <w:shd w:val="clear" w:color="auto" w:fill="D9D9D9" w:themeFill="background1" w:themeFillShade="D9"/>
          </w:tcPr>
          <w:p w14:paraId="2A74E287" w14:textId="77777777" w:rsidR="00914E5C" w:rsidRPr="00C56B34" w:rsidRDefault="00914E5C" w:rsidP="00567037">
            <w:pPr>
              <w:rPr>
                <w:rFonts w:asciiTheme="majorBidi" w:hAnsiTheme="majorBidi" w:cstheme="majorBidi"/>
              </w:rPr>
            </w:pPr>
          </w:p>
        </w:tc>
        <w:tc>
          <w:tcPr>
            <w:tcW w:w="2371" w:type="dxa"/>
            <w:shd w:val="clear" w:color="auto" w:fill="D9D9D9" w:themeFill="background1" w:themeFillShade="D9"/>
          </w:tcPr>
          <w:p w14:paraId="61230BE4" w14:textId="77777777" w:rsidR="00914E5C" w:rsidRPr="00C56B34" w:rsidRDefault="00914E5C" w:rsidP="00567037">
            <w:pPr>
              <w:rPr>
                <w:rFonts w:asciiTheme="majorBidi" w:hAnsiTheme="majorBidi" w:cstheme="majorBidi"/>
              </w:rPr>
            </w:pPr>
          </w:p>
        </w:tc>
      </w:tr>
      <w:tr w:rsidR="00914E5C" w:rsidRPr="00C56B34" w14:paraId="5C1B26DC" w14:textId="77777777" w:rsidTr="00567037">
        <w:tc>
          <w:tcPr>
            <w:tcW w:w="2830" w:type="dxa"/>
          </w:tcPr>
          <w:p w14:paraId="4E3C0B61" w14:textId="77777777" w:rsidR="00914E5C" w:rsidRPr="00C56B34" w:rsidRDefault="00914E5C" w:rsidP="00567037">
            <w:pPr>
              <w:rPr>
                <w:rFonts w:asciiTheme="majorBidi" w:hAnsiTheme="majorBidi" w:cstheme="majorBidi"/>
              </w:rPr>
            </w:pPr>
            <w:r w:rsidRPr="00C56B34">
              <w:rPr>
                <w:rFonts w:asciiTheme="majorBidi" w:hAnsiTheme="majorBidi" w:cstheme="majorBidi"/>
              </w:rPr>
              <w:t xml:space="preserve">D3. </w:t>
            </w:r>
            <w:r w:rsidRPr="00C56B34">
              <w:rPr>
                <w:rStyle w:val="dn"/>
                <w:rFonts w:asciiTheme="majorBidi" w:eastAsia="Roboto" w:hAnsiTheme="majorBidi" w:cstheme="majorBidi"/>
              </w:rPr>
              <w:t>Outcome indicator for Article 8</w:t>
            </w:r>
          </w:p>
        </w:tc>
        <w:tc>
          <w:tcPr>
            <w:tcW w:w="5245" w:type="dxa"/>
          </w:tcPr>
          <w:p w14:paraId="708D6752" w14:textId="77777777" w:rsidR="00914E5C" w:rsidRPr="00C56B34" w:rsidRDefault="00914E5C" w:rsidP="00567037">
            <w:pPr>
              <w:pBdr>
                <w:top w:val="nil"/>
                <w:left w:val="nil"/>
                <w:bottom w:val="nil"/>
                <w:right w:val="nil"/>
                <w:between w:val="nil"/>
                <w:bar w:val="nil"/>
              </w:pBdr>
              <w:rPr>
                <w:rFonts w:asciiTheme="majorBidi" w:eastAsia="Roboto" w:hAnsiTheme="majorBidi" w:cstheme="majorBidi"/>
              </w:rPr>
            </w:pPr>
            <w:r w:rsidRPr="00C56B34">
              <w:rPr>
                <w:rStyle w:val="dn"/>
                <w:rFonts w:asciiTheme="majorBidi" w:eastAsia="Roboto" w:hAnsiTheme="majorBidi" w:cstheme="majorBidi"/>
              </w:rPr>
              <w:t>Total amount of Hg emitted from each of point source categories in Annex D (Article 21 report, inventories)</w:t>
            </w:r>
          </w:p>
          <w:p w14:paraId="7BC1A1E2" w14:textId="77777777" w:rsidR="00914E5C" w:rsidRPr="00C56B34" w:rsidRDefault="00914E5C" w:rsidP="00567037">
            <w:pPr>
              <w:rPr>
                <w:rFonts w:asciiTheme="majorBidi" w:hAnsiTheme="majorBidi" w:cstheme="majorBidi"/>
              </w:rPr>
            </w:pPr>
          </w:p>
        </w:tc>
        <w:tc>
          <w:tcPr>
            <w:tcW w:w="2504" w:type="dxa"/>
          </w:tcPr>
          <w:p w14:paraId="4E6C46EC"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Style w:val="dn"/>
                <w:rFonts w:asciiTheme="majorBidi" w:eastAsia="Roboto" w:hAnsiTheme="majorBidi" w:cstheme="majorBidi"/>
              </w:rPr>
              <w:t>- Article 21 reporting</w:t>
            </w:r>
          </w:p>
          <w:p w14:paraId="2AE9B443"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p>
        </w:tc>
        <w:tc>
          <w:tcPr>
            <w:tcW w:w="2371" w:type="dxa"/>
          </w:tcPr>
          <w:p w14:paraId="62B530B9"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914E5C" w:rsidRPr="00C56B34" w14:paraId="165D568C" w14:textId="77777777" w:rsidTr="00567037">
        <w:tc>
          <w:tcPr>
            <w:tcW w:w="2830" w:type="dxa"/>
          </w:tcPr>
          <w:p w14:paraId="18AEB737" w14:textId="77777777" w:rsidR="00914E5C" w:rsidRPr="00C56B34" w:rsidRDefault="00914E5C" w:rsidP="00567037">
            <w:pPr>
              <w:rPr>
                <w:rFonts w:asciiTheme="majorBidi" w:hAnsiTheme="majorBidi" w:cstheme="majorBidi"/>
              </w:rPr>
            </w:pPr>
            <w:r w:rsidRPr="00C56B34">
              <w:rPr>
                <w:rFonts w:asciiTheme="majorBidi" w:hAnsiTheme="majorBidi" w:cstheme="majorBidi"/>
              </w:rPr>
              <w:t xml:space="preserve">D4. </w:t>
            </w:r>
            <w:r w:rsidRPr="00C56B34">
              <w:rPr>
                <w:rStyle w:val="dn"/>
                <w:rFonts w:asciiTheme="majorBidi" w:eastAsia="Roboto" w:hAnsiTheme="majorBidi" w:cstheme="majorBidi"/>
              </w:rPr>
              <w:t>Process indicator for Article 8</w:t>
            </w:r>
          </w:p>
        </w:tc>
        <w:tc>
          <w:tcPr>
            <w:tcW w:w="5245" w:type="dxa"/>
          </w:tcPr>
          <w:p w14:paraId="01B78509"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Style w:val="dn"/>
                <w:rFonts w:asciiTheme="majorBidi" w:eastAsia="Roboto" w:hAnsiTheme="majorBidi" w:cstheme="majorBidi"/>
              </w:rPr>
              <w:t>Number of parties that have enacted appropriate laws and regulations to require BAT/BEP for new sources</w:t>
            </w:r>
          </w:p>
          <w:p w14:paraId="78776BC1"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p>
        </w:tc>
        <w:tc>
          <w:tcPr>
            <w:tcW w:w="2504" w:type="dxa"/>
          </w:tcPr>
          <w:p w14:paraId="186DC1E1"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Fonts w:asciiTheme="majorBidi" w:hAnsiTheme="majorBidi" w:cstheme="majorBidi"/>
                <w:iCs/>
              </w:rPr>
              <w:t>- Article 21 reporting</w:t>
            </w:r>
          </w:p>
        </w:tc>
        <w:tc>
          <w:tcPr>
            <w:tcW w:w="2371" w:type="dxa"/>
          </w:tcPr>
          <w:p w14:paraId="45B39B65"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914E5C" w:rsidRPr="00C56B34" w14:paraId="065B2D29" w14:textId="77777777" w:rsidTr="00567037">
        <w:tc>
          <w:tcPr>
            <w:tcW w:w="2830" w:type="dxa"/>
          </w:tcPr>
          <w:p w14:paraId="15CDFF12" w14:textId="77777777" w:rsidR="00914E5C" w:rsidRPr="00C56B34" w:rsidRDefault="00914E5C" w:rsidP="00567037">
            <w:pPr>
              <w:rPr>
                <w:rFonts w:asciiTheme="majorBidi" w:hAnsiTheme="majorBidi" w:cstheme="majorBidi"/>
              </w:rPr>
            </w:pPr>
            <w:r w:rsidRPr="00C56B34">
              <w:rPr>
                <w:rFonts w:asciiTheme="majorBidi" w:hAnsiTheme="majorBidi" w:cstheme="majorBidi"/>
              </w:rPr>
              <w:t xml:space="preserve">D5. </w:t>
            </w:r>
            <w:r w:rsidRPr="00C56B34">
              <w:rPr>
                <w:rStyle w:val="dn"/>
                <w:rFonts w:asciiTheme="majorBidi" w:eastAsia="Roboto" w:hAnsiTheme="majorBidi" w:cstheme="majorBidi"/>
              </w:rPr>
              <w:t>Process indicator for Article 8</w:t>
            </w:r>
          </w:p>
        </w:tc>
        <w:tc>
          <w:tcPr>
            <w:tcW w:w="5245" w:type="dxa"/>
          </w:tcPr>
          <w:p w14:paraId="1ABF1096" w14:textId="77777777" w:rsidR="00914E5C" w:rsidRPr="00C56B34" w:rsidRDefault="00914E5C" w:rsidP="00567037">
            <w:pPr>
              <w:rPr>
                <w:rFonts w:asciiTheme="majorBidi" w:hAnsiTheme="majorBidi" w:cstheme="majorBidi"/>
              </w:rPr>
            </w:pPr>
            <w:r w:rsidRPr="00C56B34">
              <w:rPr>
                <w:rStyle w:val="dn"/>
                <w:rFonts w:asciiTheme="majorBidi" w:eastAsia="Roboto" w:hAnsiTheme="majorBidi" w:cstheme="majorBidi"/>
              </w:rPr>
              <w:t>Number of parties that have put in place control measures for existing sources (per each of the measures set out in Article 8, para 5)</w:t>
            </w:r>
          </w:p>
        </w:tc>
        <w:tc>
          <w:tcPr>
            <w:tcW w:w="2504" w:type="dxa"/>
          </w:tcPr>
          <w:p w14:paraId="2EEC0310" w14:textId="77777777" w:rsidR="00914E5C" w:rsidRPr="00C56B34" w:rsidRDefault="00914E5C" w:rsidP="00567037">
            <w:pPr>
              <w:rPr>
                <w:rStyle w:val="dn"/>
                <w:rFonts w:asciiTheme="majorBidi" w:eastAsia="Roboto" w:hAnsiTheme="majorBidi" w:cstheme="majorBidi"/>
              </w:rPr>
            </w:pPr>
            <w:r w:rsidRPr="00C56B34">
              <w:rPr>
                <w:rFonts w:asciiTheme="majorBidi" w:hAnsiTheme="majorBidi" w:cstheme="majorBidi"/>
                <w:iCs/>
              </w:rPr>
              <w:t>- Article 21 reporting</w:t>
            </w:r>
          </w:p>
        </w:tc>
        <w:tc>
          <w:tcPr>
            <w:tcW w:w="2371" w:type="dxa"/>
          </w:tcPr>
          <w:p w14:paraId="2F3E5BF9" w14:textId="77777777" w:rsidR="00914E5C" w:rsidRPr="00C56B34" w:rsidRDefault="00914E5C" w:rsidP="00567037">
            <w:pPr>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914E5C" w:rsidRPr="00C56B34" w14:paraId="191BE390" w14:textId="77777777" w:rsidTr="00150A5C">
        <w:tc>
          <w:tcPr>
            <w:tcW w:w="2830" w:type="dxa"/>
            <w:shd w:val="clear" w:color="auto" w:fill="D9D9D9" w:themeFill="background1" w:themeFillShade="D9"/>
          </w:tcPr>
          <w:p w14:paraId="72E03F3B" w14:textId="2AFDBD46"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b/>
              </w:rPr>
            </w:pPr>
            <w:r w:rsidRPr="00C56B34">
              <w:rPr>
                <w:rFonts w:asciiTheme="majorBidi" w:hAnsiTheme="majorBidi" w:cstheme="majorBidi"/>
                <w:b/>
              </w:rPr>
              <w:t>Article 9</w:t>
            </w:r>
            <w:r w:rsidR="00075314">
              <w:rPr>
                <w:rFonts w:asciiTheme="majorBidi" w:hAnsiTheme="majorBidi" w:cstheme="majorBidi"/>
                <w:b/>
              </w:rPr>
              <w:t xml:space="preserve"> **</w:t>
            </w:r>
          </w:p>
        </w:tc>
        <w:tc>
          <w:tcPr>
            <w:tcW w:w="5245" w:type="dxa"/>
            <w:shd w:val="clear" w:color="auto" w:fill="D9D9D9" w:themeFill="background1" w:themeFillShade="D9"/>
          </w:tcPr>
          <w:p w14:paraId="1FE6A343"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504" w:type="dxa"/>
            <w:shd w:val="clear" w:color="auto" w:fill="D9D9D9" w:themeFill="background1" w:themeFillShade="D9"/>
          </w:tcPr>
          <w:p w14:paraId="6E11F94F"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371" w:type="dxa"/>
            <w:shd w:val="clear" w:color="auto" w:fill="D9D9D9" w:themeFill="background1" w:themeFillShade="D9"/>
          </w:tcPr>
          <w:p w14:paraId="42963FD7"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r>
      <w:tr w:rsidR="00914E5C" w:rsidRPr="00C56B34" w14:paraId="3E9D3D2C" w14:textId="77777777" w:rsidTr="00567037">
        <w:tc>
          <w:tcPr>
            <w:tcW w:w="2830" w:type="dxa"/>
          </w:tcPr>
          <w:p w14:paraId="5DF5D797"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lastRenderedPageBreak/>
              <w:t>D6. Outcome indicator for Article 9</w:t>
            </w:r>
          </w:p>
        </w:tc>
        <w:tc>
          <w:tcPr>
            <w:tcW w:w="5245" w:type="dxa"/>
          </w:tcPr>
          <w:p w14:paraId="3B5C9240"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b/>
                <w:bCs/>
              </w:rPr>
            </w:pPr>
            <w:r w:rsidRPr="00C56B34">
              <w:rPr>
                <w:rStyle w:val="dn"/>
                <w:rFonts w:asciiTheme="majorBidi" w:eastAsia="Roboto" w:hAnsiTheme="majorBidi" w:cstheme="majorBidi"/>
              </w:rPr>
              <w:t>Total amount of Hg releases in the inventory from relevant sources (Article 21 report, inventories)</w:t>
            </w:r>
          </w:p>
          <w:p w14:paraId="69636548"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504" w:type="dxa"/>
          </w:tcPr>
          <w:p w14:paraId="253178AA"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Style w:val="dn"/>
                <w:rFonts w:asciiTheme="majorBidi" w:eastAsia="Roboto" w:hAnsiTheme="majorBidi" w:cstheme="majorBidi"/>
              </w:rPr>
              <w:t>- Article 21 reporting</w:t>
            </w:r>
          </w:p>
          <w:p w14:paraId="75EECEBF"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p>
        </w:tc>
        <w:tc>
          <w:tcPr>
            <w:tcW w:w="2371" w:type="dxa"/>
          </w:tcPr>
          <w:p w14:paraId="657E700B"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914E5C" w:rsidRPr="00C56B34" w14:paraId="76A62FA2" w14:textId="77777777" w:rsidTr="00567037">
        <w:tc>
          <w:tcPr>
            <w:tcW w:w="2830" w:type="dxa"/>
          </w:tcPr>
          <w:p w14:paraId="31409F65"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D7. Process indicator for Article 9</w:t>
            </w:r>
          </w:p>
        </w:tc>
        <w:tc>
          <w:tcPr>
            <w:tcW w:w="5245" w:type="dxa"/>
          </w:tcPr>
          <w:p w14:paraId="172FBA70"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Style w:val="dn"/>
                <w:rFonts w:asciiTheme="majorBidi" w:eastAsia="Roboto" w:hAnsiTheme="majorBidi" w:cstheme="majorBidi"/>
              </w:rPr>
              <w:t>Number of parties that have identified relevant sources</w:t>
            </w:r>
          </w:p>
          <w:p w14:paraId="1D101EE0"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504" w:type="dxa"/>
          </w:tcPr>
          <w:p w14:paraId="0E7D3618"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iCs/>
              </w:rPr>
              <w:t>- Article 21 reporting</w:t>
            </w:r>
          </w:p>
        </w:tc>
        <w:tc>
          <w:tcPr>
            <w:tcW w:w="2371" w:type="dxa"/>
          </w:tcPr>
          <w:p w14:paraId="7490EB77"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914E5C" w:rsidRPr="00C56B34" w14:paraId="06903112" w14:textId="77777777" w:rsidTr="00567037">
        <w:tc>
          <w:tcPr>
            <w:tcW w:w="2830" w:type="dxa"/>
          </w:tcPr>
          <w:p w14:paraId="607E6059"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D8. Process indicator for Article 9</w:t>
            </w:r>
          </w:p>
        </w:tc>
        <w:tc>
          <w:tcPr>
            <w:tcW w:w="5245" w:type="dxa"/>
          </w:tcPr>
          <w:p w14:paraId="6B4311F8"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Style w:val="dn"/>
                <w:rFonts w:asciiTheme="majorBidi" w:eastAsia="Roboto" w:hAnsiTheme="majorBidi" w:cstheme="majorBidi"/>
              </w:rPr>
              <w:t>Number of parties that have established inventory of releases from relevant sources</w:t>
            </w:r>
          </w:p>
        </w:tc>
        <w:tc>
          <w:tcPr>
            <w:tcW w:w="2504" w:type="dxa"/>
          </w:tcPr>
          <w:p w14:paraId="0715368E"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iCs/>
              </w:rPr>
              <w:t>- Article 21 reporting</w:t>
            </w:r>
          </w:p>
        </w:tc>
        <w:tc>
          <w:tcPr>
            <w:tcW w:w="2371" w:type="dxa"/>
          </w:tcPr>
          <w:p w14:paraId="53DAA8F2"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914E5C" w:rsidRPr="00C56B34" w14:paraId="2B081B8E" w14:textId="77777777" w:rsidTr="00150A5C">
        <w:tc>
          <w:tcPr>
            <w:tcW w:w="2830" w:type="dxa"/>
            <w:shd w:val="clear" w:color="auto" w:fill="D9D9D9" w:themeFill="background1" w:themeFillShade="D9"/>
          </w:tcPr>
          <w:p w14:paraId="64B73B41"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b/>
              </w:rPr>
            </w:pPr>
            <w:r w:rsidRPr="00C56B34">
              <w:rPr>
                <w:rFonts w:asciiTheme="majorBidi" w:hAnsiTheme="majorBidi" w:cstheme="majorBidi"/>
                <w:b/>
              </w:rPr>
              <w:t>Article 12</w:t>
            </w:r>
          </w:p>
        </w:tc>
        <w:tc>
          <w:tcPr>
            <w:tcW w:w="5245" w:type="dxa"/>
            <w:shd w:val="clear" w:color="auto" w:fill="D9D9D9" w:themeFill="background1" w:themeFillShade="D9"/>
          </w:tcPr>
          <w:p w14:paraId="646923E6" w14:textId="77777777" w:rsidR="00914E5C" w:rsidRPr="00C56B34" w:rsidRDefault="00914E5C" w:rsidP="00567037">
            <w:pPr>
              <w:rPr>
                <w:rStyle w:val="dn"/>
                <w:rFonts w:asciiTheme="majorBidi" w:hAnsiTheme="majorBidi" w:cstheme="majorBidi"/>
                <w:i/>
                <w:iCs/>
                <w:color w:val="4472C4" w:themeColor="accent1"/>
              </w:rPr>
            </w:pPr>
          </w:p>
        </w:tc>
        <w:tc>
          <w:tcPr>
            <w:tcW w:w="2504" w:type="dxa"/>
            <w:shd w:val="clear" w:color="auto" w:fill="D9D9D9" w:themeFill="background1" w:themeFillShade="D9"/>
          </w:tcPr>
          <w:p w14:paraId="30930EFD" w14:textId="77777777" w:rsidR="00914E5C" w:rsidRPr="00C56B34" w:rsidRDefault="00914E5C" w:rsidP="00567037">
            <w:pPr>
              <w:rPr>
                <w:rFonts w:asciiTheme="majorBidi" w:hAnsiTheme="majorBidi" w:cstheme="majorBidi"/>
                <w:i/>
                <w:iCs/>
                <w:color w:val="4472C4" w:themeColor="accent1"/>
              </w:rPr>
            </w:pPr>
          </w:p>
        </w:tc>
        <w:tc>
          <w:tcPr>
            <w:tcW w:w="2371" w:type="dxa"/>
            <w:shd w:val="clear" w:color="auto" w:fill="D9D9D9" w:themeFill="background1" w:themeFillShade="D9"/>
          </w:tcPr>
          <w:p w14:paraId="14B2D0FC" w14:textId="77777777" w:rsidR="00914E5C" w:rsidRPr="00C56B34" w:rsidRDefault="00914E5C" w:rsidP="00567037">
            <w:pPr>
              <w:rPr>
                <w:rFonts w:asciiTheme="majorBidi" w:hAnsiTheme="majorBidi" w:cstheme="majorBidi"/>
                <w:i/>
                <w:iCs/>
                <w:color w:val="4472C4" w:themeColor="accent1"/>
              </w:rPr>
            </w:pPr>
          </w:p>
        </w:tc>
      </w:tr>
      <w:tr w:rsidR="00914E5C" w:rsidRPr="00C56B34" w14:paraId="0136FC40" w14:textId="77777777" w:rsidTr="00567037">
        <w:tc>
          <w:tcPr>
            <w:tcW w:w="2830" w:type="dxa"/>
          </w:tcPr>
          <w:p w14:paraId="7115DF6A"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D9. Process indicator for Article 12</w:t>
            </w:r>
          </w:p>
        </w:tc>
        <w:tc>
          <w:tcPr>
            <w:tcW w:w="5245" w:type="dxa"/>
          </w:tcPr>
          <w:p w14:paraId="6F28D4A0" w14:textId="77777777" w:rsidR="00914E5C" w:rsidRPr="00C56B34" w:rsidRDefault="00914E5C" w:rsidP="00567037">
            <w:pPr>
              <w:pBdr>
                <w:top w:val="nil"/>
                <w:left w:val="nil"/>
                <w:bottom w:val="nil"/>
                <w:right w:val="nil"/>
                <w:between w:val="nil"/>
                <w:bar w:val="nil"/>
              </w:pBdr>
              <w:rPr>
                <w:rFonts w:asciiTheme="majorBidi" w:eastAsia="Roboto" w:hAnsiTheme="majorBidi" w:cstheme="majorBidi"/>
              </w:rPr>
            </w:pPr>
            <w:r w:rsidRPr="00C56B34">
              <w:rPr>
                <w:rStyle w:val="dn"/>
                <w:rFonts w:asciiTheme="majorBidi" w:eastAsia="Roboto" w:hAnsiTheme="majorBidi" w:cstheme="majorBidi"/>
              </w:rPr>
              <w:t>Number of parties that have developed strategies for identifying and assessing sites contaminated by mercury or mercury compounds</w:t>
            </w:r>
          </w:p>
          <w:p w14:paraId="0C71E65B"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504" w:type="dxa"/>
          </w:tcPr>
          <w:p w14:paraId="089ED7A6"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iCs/>
              </w:rPr>
              <w:t>- Article 21 reporting</w:t>
            </w:r>
          </w:p>
        </w:tc>
        <w:tc>
          <w:tcPr>
            <w:tcW w:w="2371" w:type="dxa"/>
          </w:tcPr>
          <w:p w14:paraId="50C3C3AF" w14:textId="77777777" w:rsidR="00914E5C" w:rsidRPr="00C56B34" w:rsidRDefault="00914E5C" w:rsidP="00567037">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914E5C" w:rsidRPr="00C56B34" w14:paraId="468C4E25" w14:textId="77777777" w:rsidTr="00567037">
        <w:tc>
          <w:tcPr>
            <w:tcW w:w="2830" w:type="dxa"/>
          </w:tcPr>
          <w:p w14:paraId="3577D767"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D10. Process indicator for Article 12</w:t>
            </w:r>
          </w:p>
        </w:tc>
        <w:tc>
          <w:tcPr>
            <w:tcW w:w="5245" w:type="dxa"/>
          </w:tcPr>
          <w:p w14:paraId="518F4E14"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Style w:val="dn"/>
                <w:rFonts w:asciiTheme="majorBidi" w:eastAsia="Roboto" w:hAnsiTheme="majorBidi" w:cstheme="majorBidi"/>
              </w:rPr>
              <w:t>Number of parties that have developed the inventory of contaminated sites</w:t>
            </w:r>
          </w:p>
        </w:tc>
        <w:tc>
          <w:tcPr>
            <w:tcW w:w="2504" w:type="dxa"/>
          </w:tcPr>
          <w:p w14:paraId="01B33B66"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Fonts w:asciiTheme="majorBidi" w:hAnsiTheme="majorBidi" w:cstheme="majorBidi"/>
                <w:iCs/>
              </w:rPr>
              <w:t>- Article 21 reporting</w:t>
            </w:r>
          </w:p>
        </w:tc>
        <w:tc>
          <w:tcPr>
            <w:tcW w:w="2371" w:type="dxa"/>
          </w:tcPr>
          <w:p w14:paraId="53FA5B45"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914E5C" w:rsidRPr="00C56B34" w14:paraId="06243E18" w14:textId="77777777" w:rsidTr="00567037">
        <w:tc>
          <w:tcPr>
            <w:tcW w:w="2830" w:type="dxa"/>
            <w:shd w:val="clear" w:color="auto" w:fill="D9D9D9" w:themeFill="background1" w:themeFillShade="D9"/>
          </w:tcPr>
          <w:p w14:paraId="0F9EB763" w14:textId="77777777" w:rsidR="00914E5C" w:rsidRPr="00075314" w:rsidRDefault="00914E5C" w:rsidP="00567037">
            <w:pPr>
              <w:rPr>
                <w:rFonts w:asciiTheme="majorBidi" w:hAnsiTheme="majorBidi" w:cstheme="majorBidi"/>
              </w:rPr>
            </w:pPr>
            <w:r w:rsidRPr="00075314">
              <w:rPr>
                <w:rFonts w:asciiTheme="majorBidi" w:hAnsiTheme="majorBidi" w:cstheme="majorBidi"/>
                <w:b/>
                <w:bCs/>
              </w:rPr>
              <w:t>Notes</w:t>
            </w:r>
          </w:p>
        </w:tc>
        <w:tc>
          <w:tcPr>
            <w:tcW w:w="10120" w:type="dxa"/>
            <w:gridSpan w:val="3"/>
          </w:tcPr>
          <w:p w14:paraId="007C3EE8" w14:textId="42A5E9CB" w:rsidR="00914E5C" w:rsidRDefault="00075314" w:rsidP="0025348A">
            <w:pPr>
              <w:pStyle w:val="ListParagraph"/>
              <w:numPr>
                <w:ilvl w:val="0"/>
                <w:numId w:val="34"/>
              </w:numPr>
              <w:tabs>
                <w:tab w:val="clear" w:pos="1247"/>
                <w:tab w:val="left" w:pos="1248"/>
                <w:tab w:val="left" w:pos="1872"/>
              </w:tabs>
              <w:rPr>
                <w:rFonts w:asciiTheme="majorBidi" w:eastAsia="Times New Roman" w:hAnsiTheme="majorBidi" w:cstheme="majorBidi"/>
              </w:rPr>
            </w:pPr>
            <w:r w:rsidRPr="00075314">
              <w:rPr>
                <w:rFonts w:asciiTheme="majorBidi" w:eastAsia="Times New Roman" w:hAnsiTheme="majorBidi" w:cstheme="majorBidi"/>
              </w:rPr>
              <w:t>The indicator</w:t>
            </w:r>
            <w:r>
              <w:rPr>
                <w:rFonts w:asciiTheme="majorBidi" w:eastAsia="Times New Roman" w:hAnsiTheme="majorBidi" w:cstheme="majorBidi"/>
              </w:rPr>
              <w:t>s for Article 8 and 9, are</w:t>
            </w:r>
            <w:r w:rsidRPr="00075314">
              <w:rPr>
                <w:rFonts w:asciiTheme="majorBidi" w:eastAsia="Times New Roman" w:hAnsiTheme="majorBidi" w:cstheme="majorBidi"/>
              </w:rPr>
              <w:t xml:space="preserve"> to be read with the relevant monitoring indicator</w:t>
            </w:r>
            <w:r w:rsidR="009939AC">
              <w:rPr>
                <w:rFonts w:asciiTheme="majorBidi" w:eastAsia="Times New Roman" w:hAnsiTheme="majorBidi" w:cstheme="majorBidi"/>
              </w:rPr>
              <w:t>s</w:t>
            </w:r>
            <w:r w:rsidRPr="00075314">
              <w:rPr>
                <w:rFonts w:asciiTheme="majorBidi" w:eastAsia="Times New Roman" w:hAnsiTheme="majorBidi" w:cstheme="majorBidi"/>
              </w:rPr>
              <w:t xml:space="preserve"> indicated in Table </w:t>
            </w:r>
            <w:r w:rsidR="00930E4D">
              <w:rPr>
                <w:rFonts w:asciiTheme="majorBidi" w:eastAsia="Times New Roman" w:hAnsiTheme="majorBidi" w:cstheme="majorBidi"/>
              </w:rPr>
              <w:t>4</w:t>
            </w:r>
            <w:r w:rsidRPr="00075314">
              <w:rPr>
                <w:rFonts w:asciiTheme="majorBidi" w:eastAsia="Times New Roman" w:hAnsiTheme="majorBidi" w:cstheme="majorBidi"/>
              </w:rPr>
              <w:t>, paragraph 52.</w:t>
            </w:r>
          </w:p>
          <w:p w14:paraId="56EE118D" w14:textId="38C88AA9" w:rsidR="00FA267C" w:rsidRPr="00075314" w:rsidRDefault="00FA267C" w:rsidP="00FA267C">
            <w:pPr>
              <w:pStyle w:val="ListParagraph"/>
              <w:ind w:left="360"/>
              <w:rPr>
                <w:rFonts w:asciiTheme="majorBidi" w:eastAsia="Times New Roman" w:hAnsiTheme="majorBidi" w:cstheme="majorBidi"/>
              </w:rPr>
            </w:pPr>
          </w:p>
        </w:tc>
      </w:tr>
    </w:tbl>
    <w:p w14:paraId="376ED977" w14:textId="77777777" w:rsidR="00914E5C" w:rsidRPr="00C56B34" w:rsidRDefault="00914E5C" w:rsidP="00914E5C">
      <w:pPr>
        <w:spacing w:after="0"/>
        <w:rPr>
          <w:rFonts w:asciiTheme="majorBidi" w:hAnsiTheme="majorBidi" w:cstheme="majorBidi"/>
        </w:rPr>
      </w:pPr>
    </w:p>
    <w:tbl>
      <w:tblPr>
        <w:tblStyle w:val="TableGrid"/>
        <w:tblW w:w="0" w:type="auto"/>
        <w:tblLook w:val="04A0" w:firstRow="1" w:lastRow="0" w:firstColumn="1" w:lastColumn="0" w:noHBand="0" w:noVBand="1"/>
      </w:tblPr>
      <w:tblGrid>
        <w:gridCol w:w="2830"/>
        <w:gridCol w:w="5245"/>
        <w:gridCol w:w="2535"/>
        <w:gridCol w:w="2340"/>
      </w:tblGrid>
      <w:tr w:rsidR="00914E5C" w:rsidRPr="00C56B34" w14:paraId="0A91A250" w14:textId="77777777" w:rsidTr="002B0296">
        <w:tc>
          <w:tcPr>
            <w:tcW w:w="8075" w:type="dxa"/>
            <w:gridSpan w:val="2"/>
            <w:shd w:val="clear" w:color="auto" w:fill="D9D9D9" w:themeFill="background1" w:themeFillShade="D9"/>
          </w:tcPr>
          <w:p w14:paraId="32996D4B"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Fonts w:asciiTheme="majorBidi" w:eastAsia="Roboto" w:hAnsiTheme="majorBidi" w:cstheme="majorBidi"/>
                <w:b/>
                <w:sz w:val="22"/>
                <w:szCs w:val="22"/>
              </w:rPr>
            </w:pPr>
            <w:r w:rsidRPr="00C56B34">
              <w:rPr>
                <w:rStyle w:val="dn"/>
                <w:rFonts w:asciiTheme="majorBidi" w:eastAsia="Roboto" w:hAnsiTheme="majorBidi" w:cstheme="majorBidi"/>
                <w:b/>
                <w:sz w:val="22"/>
                <w:szCs w:val="22"/>
              </w:rPr>
              <w:t>E: Support Cluster of Articles: Financial resources and mechanism (Article 13), and Capacity-building, technical assistance and technology transfer (Article 14)</w:t>
            </w:r>
          </w:p>
        </w:tc>
        <w:tc>
          <w:tcPr>
            <w:tcW w:w="2535" w:type="dxa"/>
            <w:shd w:val="clear" w:color="auto" w:fill="D9D9D9" w:themeFill="background1" w:themeFillShade="D9"/>
          </w:tcPr>
          <w:p w14:paraId="43029F87"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Style w:val="dn"/>
                <w:rFonts w:asciiTheme="majorBidi" w:eastAsia="Roboto" w:hAnsiTheme="majorBidi" w:cstheme="majorBidi"/>
                <w:b/>
                <w:sz w:val="22"/>
                <w:szCs w:val="22"/>
              </w:rPr>
            </w:pPr>
            <w:r w:rsidRPr="00C56B34">
              <w:rPr>
                <w:rFonts w:asciiTheme="majorBidi" w:hAnsiTheme="majorBidi" w:cstheme="majorBidi"/>
                <w:b/>
                <w:bCs/>
                <w:sz w:val="22"/>
                <w:szCs w:val="22"/>
              </w:rPr>
              <w:t>Source of information on indicator</w:t>
            </w:r>
          </w:p>
        </w:tc>
        <w:tc>
          <w:tcPr>
            <w:tcW w:w="2340" w:type="dxa"/>
            <w:shd w:val="clear" w:color="auto" w:fill="D9D9D9" w:themeFill="background1" w:themeFillShade="D9"/>
          </w:tcPr>
          <w:p w14:paraId="56AECA3E"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Style w:val="dn"/>
                <w:rFonts w:asciiTheme="majorBidi" w:eastAsia="Roboto" w:hAnsiTheme="majorBidi" w:cstheme="majorBidi"/>
                <w:b/>
                <w:sz w:val="22"/>
                <w:szCs w:val="22"/>
              </w:rPr>
            </w:pPr>
            <w:r w:rsidRPr="00C56B34">
              <w:rPr>
                <w:rFonts w:asciiTheme="majorBidi" w:hAnsiTheme="majorBidi" w:cstheme="majorBidi"/>
                <w:b/>
                <w:bCs/>
                <w:sz w:val="22"/>
                <w:szCs w:val="22"/>
              </w:rPr>
              <w:t>Baseline for the indicator</w:t>
            </w:r>
          </w:p>
        </w:tc>
      </w:tr>
      <w:tr w:rsidR="00914E5C" w:rsidRPr="00C56B34" w14:paraId="71F72134" w14:textId="77777777" w:rsidTr="002B0296">
        <w:tc>
          <w:tcPr>
            <w:tcW w:w="2830" w:type="dxa"/>
            <w:shd w:val="clear" w:color="auto" w:fill="D9D9D9" w:themeFill="background1" w:themeFillShade="D9"/>
          </w:tcPr>
          <w:p w14:paraId="100C9F39" w14:textId="77777777" w:rsidR="00914E5C" w:rsidRPr="00C56B34" w:rsidRDefault="00914E5C" w:rsidP="00567037">
            <w:pPr>
              <w:rPr>
                <w:rFonts w:asciiTheme="majorBidi" w:hAnsiTheme="majorBidi" w:cstheme="majorBidi"/>
                <w:b/>
              </w:rPr>
            </w:pPr>
            <w:r w:rsidRPr="00C56B34">
              <w:rPr>
                <w:rFonts w:asciiTheme="majorBidi" w:hAnsiTheme="majorBidi" w:cstheme="majorBidi"/>
                <w:b/>
              </w:rPr>
              <w:t>Article 13</w:t>
            </w:r>
          </w:p>
        </w:tc>
        <w:tc>
          <w:tcPr>
            <w:tcW w:w="5245" w:type="dxa"/>
            <w:shd w:val="clear" w:color="auto" w:fill="D9D9D9" w:themeFill="background1" w:themeFillShade="D9"/>
          </w:tcPr>
          <w:p w14:paraId="4F44FE1C" w14:textId="77777777" w:rsidR="00914E5C" w:rsidRPr="00C56B34" w:rsidRDefault="00914E5C" w:rsidP="00567037">
            <w:pPr>
              <w:rPr>
                <w:rFonts w:asciiTheme="majorBidi" w:hAnsiTheme="majorBidi" w:cstheme="majorBidi"/>
              </w:rPr>
            </w:pPr>
          </w:p>
        </w:tc>
        <w:tc>
          <w:tcPr>
            <w:tcW w:w="2535" w:type="dxa"/>
            <w:shd w:val="clear" w:color="auto" w:fill="D9D9D9" w:themeFill="background1" w:themeFillShade="D9"/>
          </w:tcPr>
          <w:p w14:paraId="24D55F0D" w14:textId="77777777" w:rsidR="00914E5C" w:rsidRPr="00C56B34" w:rsidRDefault="00914E5C" w:rsidP="00567037">
            <w:pPr>
              <w:rPr>
                <w:rFonts w:asciiTheme="majorBidi" w:hAnsiTheme="majorBidi" w:cstheme="majorBidi"/>
              </w:rPr>
            </w:pPr>
          </w:p>
        </w:tc>
        <w:tc>
          <w:tcPr>
            <w:tcW w:w="2340" w:type="dxa"/>
            <w:shd w:val="clear" w:color="auto" w:fill="D9D9D9" w:themeFill="background1" w:themeFillShade="D9"/>
          </w:tcPr>
          <w:p w14:paraId="28AC3843" w14:textId="77777777" w:rsidR="00914E5C" w:rsidRPr="00C56B34" w:rsidRDefault="00914E5C" w:rsidP="00567037">
            <w:pPr>
              <w:rPr>
                <w:rFonts w:asciiTheme="majorBidi" w:hAnsiTheme="majorBidi" w:cstheme="majorBidi"/>
              </w:rPr>
            </w:pPr>
          </w:p>
        </w:tc>
      </w:tr>
      <w:tr w:rsidR="00914E5C" w:rsidRPr="00C56B34" w14:paraId="770224F5" w14:textId="77777777" w:rsidTr="00567037">
        <w:tc>
          <w:tcPr>
            <w:tcW w:w="2830" w:type="dxa"/>
          </w:tcPr>
          <w:p w14:paraId="30C1B0F1" w14:textId="77777777" w:rsidR="00914E5C" w:rsidRPr="00C56B34" w:rsidRDefault="00914E5C" w:rsidP="00567037">
            <w:pPr>
              <w:rPr>
                <w:rFonts w:asciiTheme="majorBidi" w:hAnsiTheme="majorBidi" w:cstheme="majorBidi"/>
              </w:rPr>
            </w:pPr>
            <w:r w:rsidRPr="00C56B34">
              <w:rPr>
                <w:rFonts w:asciiTheme="majorBidi" w:hAnsiTheme="majorBidi" w:cstheme="majorBidi"/>
              </w:rPr>
              <w:t xml:space="preserve">E1. </w:t>
            </w:r>
            <w:r w:rsidRPr="00C56B34">
              <w:rPr>
                <w:rStyle w:val="dn"/>
                <w:rFonts w:asciiTheme="majorBidi" w:eastAsia="Roboto" w:hAnsiTheme="majorBidi" w:cstheme="majorBidi"/>
              </w:rPr>
              <w:t>Process indicator for Article 13</w:t>
            </w:r>
          </w:p>
        </w:tc>
        <w:tc>
          <w:tcPr>
            <w:tcW w:w="5245" w:type="dxa"/>
          </w:tcPr>
          <w:p w14:paraId="11ADDA81"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Style w:val="dn"/>
                <w:rFonts w:asciiTheme="majorBidi" w:eastAsia="Roboto" w:hAnsiTheme="majorBidi" w:cstheme="majorBidi"/>
              </w:rPr>
              <w:t xml:space="preserve">Number of Parties: </w:t>
            </w:r>
          </w:p>
          <w:p w14:paraId="55A44F3E" w14:textId="77777777" w:rsidR="00914E5C" w:rsidRPr="00C56B34" w:rsidRDefault="00914E5C" w:rsidP="0025348A">
            <w:pPr>
              <w:pStyle w:val="ListParagraph"/>
              <w:numPr>
                <w:ilvl w:val="0"/>
                <w:numId w:val="28"/>
              </w:numPr>
              <w:tabs>
                <w:tab w:val="clear" w:pos="1814"/>
                <w:tab w:val="left" w:pos="1163"/>
                <w:tab w:val="left" w:pos="1815"/>
              </w:tabs>
              <w:rPr>
                <w:rStyle w:val="dn"/>
                <w:rFonts w:asciiTheme="majorBidi" w:eastAsia="Roboto" w:hAnsiTheme="majorBidi" w:cstheme="majorBidi"/>
              </w:rPr>
            </w:pPr>
            <w:r w:rsidRPr="00C56B34">
              <w:rPr>
                <w:rStyle w:val="dn"/>
                <w:rFonts w:asciiTheme="majorBidi" w:eastAsia="Roboto" w:hAnsiTheme="majorBidi" w:cstheme="majorBidi"/>
              </w:rPr>
              <w:t>that have contributed to the financial mechanism referred to in paragraph 5 of Article 13</w:t>
            </w:r>
          </w:p>
          <w:p w14:paraId="1B80E933" w14:textId="77777777" w:rsidR="00914E5C" w:rsidRPr="00C56B34" w:rsidRDefault="00914E5C" w:rsidP="0025348A">
            <w:pPr>
              <w:pStyle w:val="ListParagraph"/>
              <w:numPr>
                <w:ilvl w:val="0"/>
                <w:numId w:val="28"/>
              </w:numPr>
              <w:tabs>
                <w:tab w:val="clear" w:pos="1814"/>
                <w:tab w:val="left" w:pos="1163"/>
                <w:tab w:val="left" w:pos="1815"/>
              </w:tabs>
              <w:rPr>
                <w:rStyle w:val="dn"/>
                <w:rFonts w:asciiTheme="majorBidi" w:eastAsia="Roboto" w:hAnsiTheme="majorBidi" w:cstheme="majorBidi"/>
              </w:rPr>
            </w:pPr>
            <w:r w:rsidRPr="00C56B34">
              <w:rPr>
                <w:rStyle w:val="dn"/>
                <w:rFonts w:asciiTheme="majorBidi" w:eastAsia="Roboto" w:hAnsiTheme="majorBidi" w:cstheme="majorBidi"/>
              </w:rPr>
              <w:t>that have received GEF resources</w:t>
            </w:r>
          </w:p>
          <w:p w14:paraId="3B7EFDAE" w14:textId="77777777" w:rsidR="00914E5C" w:rsidRPr="00C56B34" w:rsidRDefault="00914E5C" w:rsidP="0025348A">
            <w:pPr>
              <w:pStyle w:val="ListParagraph"/>
              <w:numPr>
                <w:ilvl w:val="0"/>
                <w:numId w:val="28"/>
              </w:numPr>
              <w:tabs>
                <w:tab w:val="clear" w:pos="1814"/>
                <w:tab w:val="left" w:pos="1163"/>
                <w:tab w:val="left" w:pos="1815"/>
              </w:tabs>
              <w:rPr>
                <w:rStyle w:val="dn"/>
                <w:rFonts w:asciiTheme="majorBidi" w:eastAsia="Roboto" w:hAnsiTheme="majorBidi" w:cstheme="majorBidi"/>
              </w:rPr>
            </w:pPr>
            <w:r w:rsidRPr="00C56B34">
              <w:rPr>
                <w:rStyle w:val="dn"/>
                <w:rFonts w:asciiTheme="majorBidi" w:eastAsia="Roboto" w:hAnsiTheme="majorBidi" w:cstheme="majorBidi"/>
              </w:rPr>
              <w:t>that have received SIP resources</w:t>
            </w:r>
          </w:p>
          <w:p w14:paraId="11D6BFE0" w14:textId="77777777" w:rsidR="00914E5C" w:rsidRPr="00C56B34" w:rsidRDefault="00914E5C" w:rsidP="0025348A">
            <w:pPr>
              <w:pStyle w:val="ListParagraph"/>
              <w:numPr>
                <w:ilvl w:val="0"/>
                <w:numId w:val="28"/>
              </w:numPr>
              <w:tabs>
                <w:tab w:val="clear" w:pos="1814"/>
                <w:tab w:val="left" w:pos="1163"/>
                <w:tab w:val="left" w:pos="1815"/>
              </w:tabs>
              <w:rPr>
                <w:rStyle w:val="dn"/>
                <w:rFonts w:asciiTheme="majorBidi" w:eastAsia="Roboto" w:hAnsiTheme="majorBidi" w:cstheme="majorBidi"/>
              </w:rPr>
            </w:pPr>
            <w:r w:rsidRPr="00C56B34">
              <w:rPr>
                <w:rStyle w:val="dn"/>
                <w:rFonts w:asciiTheme="majorBidi" w:eastAsia="Roboto" w:hAnsiTheme="majorBidi" w:cstheme="majorBidi"/>
              </w:rPr>
              <w:t>that have mobilised national resources for implementing the Convention</w:t>
            </w:r>
          </w:p>
          <w:p w14:paraId="768BA8AC" w14:textId="77777777" w:rsidR="00914E5C" w:rsidRPr="00C56B34" w:rsidRDefault="00914E5C" w:rsidP="00567037">
            <w:pPr>
              <w:rPr>
                <w:rFonts w:asciiTheme="majorBidi" w:hAnsiTheme="majorBidi" w:cstheme="majorBidi"/>
              </w:rPr>
            </w:pPr>
          </w:p>
        </w:tc>
        <w:tc>
          <w:tcPr>
            <w:tcW w:w="2535" w:type="dxa"/>
          </w:tcPr>
          <w:p w14:paraId="66D2C671"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Fonts w:asciiTheme="majorBidi" w:hAnsiTheme="majorBidi" w:cstheme="majorBidi"/>
                <w:iCs/>
              </w:rPr>
              <w:t>- Article 21 reporting</w:t>
            </w:r>
          </w:p>
        </w:tc>
        <w:tc>
          <w:tcPr>
            <w:tcW w:w="2340" w:type="dxa"/>
          </w:tcPr>
          <w:p w14:paraId="3F13D5E9"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914E5C" w:rsidRPr="00C56B34" w14:paraId="643E2912" w14:textId="77777777" w:rsidTr="00567037">
        <w:tc>
          <w:tcPr>
            <w:tcW w:w="2830" w:type="dxa"/>
          </w:tcPr>
          <w:p w14:paraId="2850B8A0" w14:textId="77777777" w:rsidR="00914E5C" w:rsidRPr="00C56B34" w:rsidRDefault="00914E5C" w:rsidP="00567037">
            <w:pPr>
              <w:rPr>
                <w:rFonts w:asciiTheme="majorBidi" w:hAnsiTheme="majorBidi" w:cstheme="majorBidi"/>
              </w:rPr>
            </w:pPr>
            <w:r w:rsidRPr="00C56B34">
              <w:rPr>
                <w:rFonts w:asciiTheme="majorBidi" w:hAnsiTheme="majorBidi" w:cstheme="majorBidi"/>
              </w:rPr>
              <w:t xml:space="preserve">E2. </w:t>
            </w:r>
            <w:r w:rsidRPr="00C56B34">
              <w:rPr>
                <w:rStyle w:val="dn"/>
                <w:rFonts w:asciiTheme="majorBidi" w:eastAsia="Roboto" w:hAnsiTheme="majorBidi" w:cstheme="majorBidi"/>
              </w:rPr>
              <w:t>Process indicator for Article 13</w:t>
            </w:r>
          </w:p>
        </w:tc>
        <w:tc>
          <w:tcPr>
            <w:tcW w:w="5245" w:type="dxa"/>
          </w:tcPr>
          <w:p w14:paraId="3BC7A213"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Style w:val="dn"/>
                <w:rFonts w:asciiTheme="majorBidi" w:eastAsia="Roboto" w:hAnsiTheme="majorBidi" w:cstheme="majorBidi"/>
              </w:rPr>
              <w:t xml:space="preserve">Amount of resources provided by: </w:t>
            </w:r>
          </w:p>
          <w:p w14:paraId="74A18578" w14:textId="77777777" w:rsidR="00914E5C" w:rsidRPr="00C56B34" w:rsidRDefault="00914E5C" w:rsidP="0025348A">
            <w:pPr>
              <w:pStyle w:val="ListParagraph"/>
              <w:numPr>
                <w:ilvl w:val="0"/>
                <w:numId w:val="29"/>
              </w:numPr>
              <w:tabs>
                <w:tab w:val="clear" w:pos="1247"/>
                <w:tab w:val="left" w:pos="1163"/>
                <w:tab w:val="left" w:pos="1248"/>
              </w:tabs>
              <w:rPr>
                <w:rStyle w:val="dn"/>
                <w:rFonts w:asciiTheme="majorBidi" w:eastAsia="Roboto" w:hAnsiTheme="majorBidi" w:cstheme="majorBidi"/>
              </w:rPr>
            </w:pPr>
            <w:r w:rsidRPr="00C56B34">
              <w:rPr>
                <w:rStyle w:val="dn"/>
                <w:rFonts w:asciiTheme="majorBidi" w:eastAsia="Roboto" w:hAnsiTheme="majorBidi" w:cstheme="majorBidi"/>
              </w:rPr>
              <w:t>Global Environment Facility</w:t>
            </w:r>
          </w:p>
          <w:p w14:paraId="738A533D" w14:textId="77777777" w:rsidR="00914E5C" w:rsidRPr="00C56B34" w:rsidRDefault="00914E5C" w:rsidP="0025348A">
            <w:pPr>
              <w:pStyle w:val="ListParagraph"/>
              <w:numPr>
                <w:ilvl w:val="0"/>
                <w:numId w:val="29"/>
              </w:numPr>
              <w:tabs>
                <w:tab w:val="clear" w:pos="1247"/>
                <w:tab w:val="left" w:pos="1163"/>
                <w:tab w:val="left" w:pos="1248"/>
              </w:tabs>
              <w:rPr>
                <w:rStyle w:val="dn"/>
                <w:rFonts w:asciiTheme="majorBidi" w:eastAsia="Roboto" w:hAnsiTheme="majorBidi" w:cstheme="majorBidi"/>
              </w:rPr>
            </w:pPr>
            <w:r w:rsidRPr="00C56B34">
              <w:rPr>
                <w:rStyle w:val="dn"/>
                <w:rFonts w:asciiTheme="majorBidi" w:eastAsia="Roboto" w:hAnsiTheme="majorBidi" w:cstheme="majorBidi"/>
              </w:rPr>
              <w:t>Specific International Programme</w:t>
            </w:r>
          </w:p>
          <w:p w14:paraId="1CA834BD" w14:textId="77777777" w:rsidR="00914E5C" w:rsidRPr="00C56B34" w:rsidRDefault="00914E5C" w:rsidP="0025348A">
            <w:pPr>
              <w:pStyle w:val="ListParagraph"/>
              <w:numPr>
                <w:ilvl w:val="0"/>
                <w:numId w:val="29"/>
              </w:numPr>
              <w:tabs>
                <w:tab w:val="clear" w:pos="1247"/>
                <w:tab w:val="left" w:pos="1163"/>
                <w:tab w:val="left" w:pos="1248"/>
              </w:tabs>
              <w:rPr>
                <w:rFonts w:asciiTheme="majorBidi" w:eastAsia="Roboto" w:hAnsiTheme="majorBidi" w:cstheme="majorBidi"/>
              </w:rPr>
            </w:pPr>
            <w:r w:rsidRPr="00C56B34">
              <w:rPr>
                <w:rStyle w:val="dn"/>
                <w:rFonts w:asciiTheme="majorBidi" w:eastAsia="Roboto" w:hAnsiTheme="majorBidi" w:cstheme="majorBidi"/>
              </w:rPr>
              <w:t xml:space="preserve">Bilateral support </w:t>
            </w:r>
          </w:p>
        </w:tc>
        <w:tc>
          <w:tcPr>
            <w:tcW w:w="2535" w:type="dxa"/>
          </w:tcPr>
          <w:p w14:paraId="7BFBE796"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Fonts w:asciiTheme="majorBidi" w:hAnsiTheme="majorBidi" w:cstheme="majorBidi"/>
                <w:iCs/>
              </w:rPr>
              <w:t>- Article 21 reporting</w:t>
            </w:r>
          </w:p>
        </w:tc>
        <w:tc>
          <w:tcPr>
            <w:tcW w:w="2340" w:type="dxa"/>
          </w:tcPr>
          <w:p w14:paraId="09F056CA" w14:textId="77777777" w:rsidR="00914E5C" w:rsidRPr="00C56B34"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914E5C" w:rsidRPr="00C56B34" w14:paraId="774637E3" w14:textId="77777777" w:rsidTr="00567037">
        <w:tc>
          <w:tcPr>
            <w:tcW w:w="2830" w:type="dxa"/>
          </w:tcPr>
          <w:p w14:paraId="3FBA7F64"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E3. Additional Process indictor for Article 13</w:t>
            </w:r>
          </w:p>
        </w:tc>
        <w:tc>
          <w:tcPr>
            <w:tcW w:w="5245" w:type="dxa"/>
          </w:tcPr>
          <w:p w14:paraId="70B5EFB9"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Number of recommendations from the financial review reflected in the GEF/SIP policy documents</w:t>
            </w:r>
          </w:p>
        </w:tc>
        <w:tc>
          <w:tcPr>
            <w:tcW w:w="2535" w:type="dxa"/>
          </w:tcPr>
          <w:p w14:paraId="0EBA8897" w14:textId="0437B7ED" w:rsidR="00914E5C" w:rsidRPr="00C56B34" w:rsidRDefault="00E10354" w:rsidP="00567037">
            <w:pPr>
              <w:pBdr>
                <w:top w:val="nil"/>
                <w:left w:val="nil"/>
                <w:bottom w:val="nil"/>
                <w:right w:val="nil"/>
                <w:between w:val="nil"/>
                <w:bar w:val="nil"/>
              </w:pBdr>
              <w:rPr>
                <w:rStyle w:val="dn"/>
                <w:rFonts w:asciiTheme="majorBidi" w:eastAsia="Roboto" w:hAnsiTheme="majorBidi" w:cstheme="majorBidi"/>
              </w:rPr>
            </w:pPr>
            <w:r>
              <w:rPr>
                <w:rStyle w:val="dn"/>
                <w:rFonts w:asciiTheme="majorBidi" w:eastAsia="Roboto" w:hAnsiTheme="majorBidi" w:cstheme="majorBidi"/>
              </w:rPr>
              <w:t>- Information from policy documents</w:t>
            </w:r>
          </w:p>
        </w:tc>
        <w:tc>
          <w:tcPr>
            <w:tcW w:w="2340" w:type="dxa"/>
          </w:tcPr>
          <w:p w14:paraId="2516D06A" w14:textId="084D08B1" w:rsidR="00914E5C" w:rsidRPr="00C56B34" w:rsidRDefault="00E10354" w:rsidP="00567037">
            <w:pPr>
              <w:pBdr>
                <w:top w:val="nil"/>
                <w:left w:val="nil"/>
                <w:bottom w:val="nil"/>
                <w:right w:val="nil"/>
                <w:between w:val="nil"/>
                <w:bar w:val="nil"/>
              </w:pBdr>
              <w:rPr>
                <w:rStyle w:val="dn"/>
                <w:rFonts w:asciiTheme="majorBidi" w:eastAsia="Roboto" w:hAnsiTheme="majorBidi" w:cstheme="majorBidi"/>
              </w:rPr>
            </w:pPr>
            <w:r>
              <w:rPr>
                <w:rStyle w:val="dn"/>
                <w:rFonts w:asciiTheme="majorBidi" w:eastAsia="Roboto" w:hAnsiTheme="majorBidi" w:cstheme="majorBidi"/>
              </w:rPr>
              <w:t>Baseline: zero</w:t>
            </w:r>
          </w:p>
        </w:tc>
      </w:tr>
      <w:tr w:rsidR="00914E5C" w:rsidRPr="00C56B34" w14:paraId="353EF625" w14:textId="77777777" w:rsidTr="002B0296">
        <w:tc>
          <w:tcPr>
            <w:tcW w:w="2830" w:type="dxa"/>
            <w:shd w:val="clear" w:color="auto" w:fill="D9D9D9" w:themeFill="background1" w:themeFillShade="D9"/>
          </w:tcPr>
          <w:p w14:paraId="5BDB074F"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b/>
              </w:rPr>
            </w:pPr>
            <w:r w:rsidRPr="00C56B34">
              <w:rPr>
                <w:rFonts w:asciiTheme="majorBidi" w:hAnsiTheme="majorBidi" w:cstheme="majorBidi"/>
                <w:b/>
              </w:rPr>
              <w:t>Article 14</w:t>
            </w:r>
          </w:p>
        </w:tc>
        <w:tc>
          <w:tcPr>
            <w:tcW w:w="5245" w:type="dxa"/>
            <w:shd w:val="clear" w:color="auto" w:fill="D9D9D9" w:themeFill="background1" w:themeFillShade="D9"/>
          </w:tcPr>
          <w:p w14:paraId="7CB447AC"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535" w:type="dxa"/>
            <w:shd w:val="clear" w:color="auto" w:fill="D9D9D9" w:themeFill="background1" w:themeFillShade="D9"/>
          </w:tcPr>
          <w:p w14:paraId="2B2E99DB"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340" w:type="dxa"/>
            <w:shd w:val="clear" w:color="auto" w:fill="D9D9D9" w:themeFill="background1" w:themeFillShade="D9"/>
          </w:tcPr>
          <w:p w14:paraId="35D13084" w14:textId="77777777" w:rsidR="00914E5C" w:rsidRPr="00C56B34"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r>
      <w:tr w:rsidR="00914E5C" w:rsidRPr="004D2147" w14:paraId="08081448" w14:textId="77777777" w:rsidTr="00567037">
        <w:tc>
          <w:tcPr>
            <w:tcW w:w="2830" w:type="dxa"/>
          </w:tcPr>
          <w:p w14:paraId="4B75BA24" w14:textId="77777777" w:rsidR="00914E5C" w:rsidRPr="004D2147" w:rsidRDefault="00914E5C" w:rsidP="00567037">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4D2147">
              <w:rPr>
                <w:rFonts w:asciiTheme="majorBidi" w:hAnsiTheme="majorBidi" w:cstheme="majorBidi"/>
              </w:rPr>
              <w:t>E4. Process indicator for Article 14</w:t>
            </w:r>
          </w:p>
        </w:tc>
        <w:tc>
          <w:tcPr>
            <w:tcW w:w="5245" w:type="dxa"/>
          </w:tcPr>
          <w:p w14:paraId="7E72C29A" w14:textId="77777777" w:rsidR="00914E5C" w:rsidRPr="004D2147"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4D2147">
              <w:rPr>
                <w:rStyle w:val="dn"/>
                <w:rFonts w:asciiTheme="majorBidi" w:eastAsia="Roboto" w:hAnsiTheme="majorBidi" w:cstheme="majorBidi"/>
              </w:rPr>
              <w:t>Number of Parties:</w:t>
            </w:r>
          </w:p>
          <w:p w14:paraId="13A091BF" w14:textId="77777777" w:rsidR="00914E5C" w:rsidRPr="004D2147" w:rsidRDefault="00914E5C" w:rsidP="0025348A">
            <w:pPr>
              <w:pStyle w:val="ListParagraph"/>
              <w:numPr>
                <w:ilvl w:val="0"/>
                <w:numId w:val="30"/>
              </w:numPr>
              <w:tabs>
                <w:tab w:val="left" w:pos="1163"/>
              </w:tabs>
              <w:rPr>
                <w:rStyle w:val="dn"/>
                <w:rFonts w:asciiTheme="majorBidi" w:eastAsia="Roboto" w:hAnsiTheme="majorBidi" w:cstheme="majorBidi"/>
              </w:rPr>
            </w:pPr>
            <w:r w:rsidRPr="004D2147">
              <w:rPr>
                <w:rStyle w:val="dn"/>
                <w:rFonts w:asciiTheme="majorBidi" w:eastAsia="Roboto" w:hAnsiTheme="majorBidi" w:cstheme="majorBidi"/>
              </w:rPr>
              <w:t>that have cooperated for providing capacity building and technical assistance to another party</w:t>
            </w:r>
          </w:p>
          <w:p w14:paraId="12041359" w14:textId="77777777" w:rsidR="00914E5C" w:rsidRPr="004D2147" w:rsidRDefault="00914E5C" w:rsidP="0025348A">
            <w:pPr>
              <w:pStyle w:val="ListParagraph"/>
              <w:numPr>
                <w:ilvl w:val="0"/>
                <w:numId w:val="30"/>
              </w:numPr>
              <w:tabs>
                <w:tab w:val="left" w:pos="1163"/>
              </w:tabs>
              <w:rPr>
                <w:rStyle w:val="dn"/>
                <w:rFonts w:asciiTheme="majorBidi" w:eastAsia="Roboto" w:hAnsiTheme="majorBidi" w:cstheme="majorBidi"/>
              </w:rPr>
            </w:pPr>
            <w:r w:rsidRPr="004D2147">
              <w:rPr>
                <w:rStyle w:val="dn"/>
                <w:rFonts w:asciiTheme="majorBidi" w:eastAsia="Roboto" w:hAnsiTheme="majorBidi" w:cstheme="majorBidi"/>
              </w:rPr>
              <w:lastRenderedPageBreak/>
              <w:t>that have requested technical assistance</w:t>
            </w:r>
          </w:p>
          <w:p w14:paraId="4166F155" w14:textId="77777777" w:rsidR="00914E5C" w:rsidRPr="004D2147" w:rsidRDefault="00914E5C" w:rsidP="0025348A">
            <w:pPr>
              <w:pStyle w:val="ListParagraph"/>
              <w:numPr>
                <w:ilvl w:val="0"/>
                <w:numId w:val="30"/>
              </w:numPr>
              <w:tabs>
                <w:tab w:val="left" w:pos="1163"/>
              </w:tabs>
              <w:rPr>
                <w:rStyle w:val="dn"/>
                <w:rFonts w:asciiTheme="majorBidi" w:eastAsia="Roboto" w:hAnsiTheme="majorBidi" w:cstheme="majorBidi"/>
              </w:rPr>
            </w:pPr>
            <w:r w:rsidRPr="004D2147">
              <w:rPr>
                <w:rStyle w:val="dn"/>
                <w:rFonts w:asciiTheme="majorBidi" w:eastAsia="Roboto" w:hAnsiTheme="majorBidi" w:cstheme="majorBidi"/>
              </w:rPr>
              <w:t>that have received capacity building or technical assistance</w:t>
            </w:r>
          </w:p>
          <w:p w14:paraId="254525F8" w14:textId="77777777" w:rsidR="00914E5C" w:rsidRPr="004D2147" w:rsidRDefault="00914E5C" w:rsidP="0025348A">
            <w:pPr>
              <w:pStyle w:val="ListParagraph"/>
              <w:numPr>
                <w:ilvl w:val="0"/>
                <w:numId w:val="30"/>
              </w:numPr>
              <w:tabs>
                <w:tab w:val="left" w:pos="1163"/>
              </w:tabs>
              <w:rPr>
                <w:rStyle w:val="dn"/>
                <w:rFonts w:asciiTheme="majorBidi" w:eastAsia="Roboto" w:hAnsiTheme="majorBidi" w:cstheme="majorBidi"/>
              </w:rPr>
            </w:pPr>
            <w:r w:rsidRPr="004D2147">
              <w:rPr>
                <w:rStyle w:val="dn"/>
                <w:rFonts w:asciiTheme="majorBidi" w:eastAsia="Roboto" w:hAnsiTheme="majorBidi" w:cstheme="majorBidi"/>
              </w:rPr>
              <w:t xml:space="preserve">that have promoted or facilitated technology transfer </w:t>
            </w:r>
          </w:p>
        </w:tc>
        <w:tc>
          <w:tcPr>
            <w:tcW w:w="2535" w:type="dxa"/>
          </w:tcPr>
          <w:p w14:paraId="68CE57A2" w14:textId="77777777" w:rsidR="00914E5C" w:rsidRPr="004D2147"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4D2147">
              <w:rPr>
                <w:rFonts w:asciiTheme="majorBidi" w:hAnsiTheme="majorBidi" w:cstheme="majorBidi"/>
                <w:iCs/>
              </w:rPr>
              <w:lastRenderedPageBreak/>
              <w:t>- Article 21 reporting</w:t>
            </w:r>
          </w:p>
        </w:tc>
        <w:tc>
          <w:tcPr>
            <w:tcW w:w="2340" w:type="dxa"/>
          </w:tcPr>
          <w:p w14:paraId="4F04D910" w14:textId="77777777" w:rsidR="00914E5C" w:rsidRPr="004D2147" w:rsidRDefault="00914E5C" w:rsidP="00567037">
            <w:pPr>
              <w:pBdr>
                <w:top w:val="nil"/>
                <w:left w:val="nil"/>
                <w:bottom w:val="nil"/>
                <w:right w:val="nil"/>
                <w:between w:val="nil"/>
                <w:bar w:val="nil"/>
              </w:pBdr>
              <w:tabs>
                <w:tab w:val="left" w:pos="1163"/>
              </w:tabs>
              <w:rPr>
                <w:rStyle w:val="dn"/>
                <w:rFonts w:asciiTheme="majorBidi" w:eastAsia="Roboto" w:hAnsiTheme="majorBidi" w:cstheme="majorBidi"/>
              </w:rPr>
            </w:pPr>
            <w:r w:rsidRPr="004D2147">
              <w:rPr>
                <w:rFonts w:asciiTheme="majorBidi" w:hAnsiTheme="majorBidi" w:cstheme="majorBidi"/>
              </w:rPr>
              <w:t>Baseline number in the first evaluation</w:t>
            </w:r>
          </w:p>
        </w:tc>
      </w:tr>
      <w:tr w:rsidR="00914E5C" w:rsidRPr="00C56B34" w14:paraId="179F89DA" w14:textId="77777777" w:rsidTr="00567037">
        <w:tc>
          <w:tcPr>
            <w:tcW w:w="2830" w:type="dxa"/>
            <w:shd w:val="clear" w:color="auto" w:fill="D9D9D9" w:themeFill="background1" w:themeFillShade="D9"/>
          </w:tcPr>
          <w:p w14:paraId="38FEBCFD" w14:textId="77777777" w:rsidR="00914E5C" w:rsidRPr="004D2147" w:rsidRDefault="00914E5C" w:rsidP="00567037">
            <w:pPr>
              <w:rPr>
                <w:rFonts w:asciiTheme="majorBidi" w:hAnsiTheme="majorBidi" w:cstheme="majorBidi"/>
                <w:b/>
                <w:bCs/>
              </w:rPr>
            </w:pPr>
            <w:r w:rsidRPr="004D2147">
              <w:rPr>
                <w:rFonts w:asciiTheme="majorBidi" w:hAnsiTheme="majorBidi" w:cstheme="majorBidi"/>
                <w:b/>
                <w:bCs/>
              </w:rPr>
              <w:t>Notes</w:t>
            </w:r>
          </w:p>
        </w:tc>
        <w:tc>
          <w:tcPr>
            <w:tcW w:w="10120" w:type="dxa"/>
            <w:gridSpan w:val="3"/>
          </w:tcPr>
          <w:p w14:paraId="3A2ED5CD" w14:textId="77777777" w:rsidR="00914E5C" w:rsidRDefault="004D2147" w:rsidP="0025348A">
            <w:pPr>
              <w:pStyle w:val="ListParagraph"/>
              <w:numPr>
                <w:ilvl w:val="0"/>
                <w:numId w:val="34"/>
              </w:numPr>
              <w:tabs>
                <w:tab w:val="clear" w:pos="1247"/>
                <w:tab w:val="left" w:pos="1248"/>
                <w:tab w:val="left" w:pos="1872"/>
              </w:tabs>
              <w:rPr>
                <w:rFonts w:asciiTheme="majorBidi" w:eastAsia="Times New Roman" w:hAnsiTheme="majorBidi" w:cstheme="majorBidi"/>
              </w:rPr>
            </w:pPr>
            <w:r w:rsidRPr="004D2147">
              <w:rPr>
                <w:rFonts w:asciiTheme="majorBidi" w:eastAsia="Times New Roman" w:hAnsiTheme="majorBidi" w:cstheme="majorBidi"/>
              </w:rPr>
              <w:t xml:space="preserve">The cycle of review of the Financial Mechanism may well not align with the effectiveness evaluation cycle. </w:t>
            </w:r>
          </w:p>
          <w:p w14:paraId="1FA4FD8B" w14:textId="12469E2D" w:rsidR="00FA267C" w:rsidRPr="004D2147" w:rsidRDefault="00FA267C" w:rsidP="00FA267C">
            <w:pPr>
              <w:pStyle w:val="ListParagraph"/>
              <w:ind w:left="360"/>
              <w:rPr>
                <w:rFonts w:asciiTheme="majorBidi" w:eastAsia="Times New Roman" w:hAnsiTheme="majorBidi" w:cstheme="majorBidi"/>
              </w:rPr>
            </w:pPr>
          </w:p>
        </w:tc>
      </w:tr>
    </w:tbl>
    <w:p w14:paraId="5E782731" w14:textId="77777777" w:rsidR="00914E5C" w:rsidRPr="00C56B34" w:rsidRDefault="00914E5C" w:rsidP="00914E5C">
      <w:pPr>
        <w:spacing w:after="0"/>
        <w:rPr>
          <w:rFonts w:asciiTheme="majorBidi" w:hAnsiTheme="majorBidi" w:cstheme="majorBidi"/>
        </w:rPr>
      </w:pPr>
    </w:p>
    <w:tbl>
      <w:tblPr>
        <w:tblStyle w:val="TableGrid"/>
        <w:tblW w:w="0" w:type="auto"/>
        <w:tblLook w:val="04A0" w:firstRow="1" w:lastRow="0" w:firstColumn="1" w:lastColumn="0" w:noHBand="0" w:noVBand="1"/>
      </w:tblPr>
      <w:tblGrid>
        <w:gridCol w:w="2830"/>
        <w:gridCol w:w="5313"/>
        <w:gridCol w:w="2403"/>
        <w:gridCol w:w="2404"/>
      </w:tblGrid>
      <w:tr w:rsidR="00914E5C" w:rsidRPr="00C56B34" w14:paraId="39CB2C8A" w14:textId="77777777" w:rsidTr="002B0296">
        <w:tc>
          <w:tcPr>
            <w:tcW w:w="8143" w:type="dxa"/>
            <w:gridSpan w:val="2"/>
            <w:shd w:val="clear" w:color="auto" w:fill="D9D9D9" w:themeFill="background1" w:themeFillShade="D9"/>
          </w:tcPr>
          <w:p w14:paraId="42846914" w14:textId="77777777" w:rsidR="00914E5C" w:rsidRPr="00C56B34" w:rsidRDefault="00914E5C" w:rsidP="00567037">
            <w:pPr>
              <w:rPr>
                <w:rFonts w:asciiTheme="majorBidi" w:hAnsiTheme="majorBidi" w:cstheme="majorBidi"/>
                <w:b/>
                <w:bCs/>
              </w:rPr>
            </w:pPr>
            <w:r w:rsidRPr="00C56B34">
              <w:rPr>
                <w:rStyle w:val="dn"/>
                <w:rFonts w:asciiTheme="majorBidi" w:eastAsia="Roboto" w:hAnsiTheme="majorBidi" w:cstheme="majorBidi"/>
                <w:b/>
              </w:rPr>
              <w:t>F: Minamata Convention Article 15: Implementation and Compliance Committee</w:t>
            </w:r>
          </w:p>
        </w:tc>
        <w:tc>
          <w:tcPr>
            <w:tcW w:w="2403" w:type="dxa"/>
            <w:shd w:val="clear" w:color="auto" w:fill="D9D9D9" w:themeFill="background1" w:themeFillShade="D9"/>
          </w:tcPr>
          <w:p w14:paraId="6CBFFBC8" w14:textId="77777777" w:rsidR="00914E5C" w:rsidRPr="00C56B34" w:rsidRDefault="00914E5C" w:rsidP="00567037">
            <w:pPr>
              <w:rPr>
                <w:rStyle w:val="dn"/>
                <w:rFonts w:asciiTheme="majorBidi" w:eastAsia="Roboto" w:hAnsiTheme="majorBidi" w:cstheme="majorBidi"/>
                <w:b/>
              </w:rPr>
            </w:pPr>
            <w:r w:rsidRPr="00C56B34">
              <w:rPr>
                <w:rFonts w:asciiTheme="majorBidi" w:hAnsiTheme="majorBidi" w:cstheme="majorBidi"/>
                <w:b/>
                <w:bCs/>
              </w:rPr>
              <w:t>Source of information on indicator</w:t>
            </w:r>
          </w:p>
        </w:tc>
        <w:tc>
          <w:tcPr>
            <w:tcW w:w="2404" w:type="dxa"/>
            <w:shd w:val="clear" w:color="auto" w:fill="D9D9D9" w:themeFill="background1" w:themeFillShade="D9"/>
          </w:tcPr>
          <w:p w14:paraId="1C2B077E" w14:textId="77777777" w:rsidR="00914E5C" w:rsidRPr="00C56B34" w:rsidRDefault="00914E5C" w:rsidP="00567037">
            <w:pPr>
              <w:rPr>
                <w:rStyle w:val="dn"/>
                <w:rFonts w:asciiTheme="majorBidi" w:eastAsia="Roboto" w:hAnsiTheme="majorBidi" w:cstheme="majorBidi"/>
                <w:b/>
              </w:rPr>
            </w:pPr>
            <w:r w:rsidRPr="00C56B34">
              <w:rPr>
                <w:rFonts w:asciiTheme="majorBidi" w:hAnsiTheme="majorBidi" w:cstheme="majorBidi"/>
                <w:b/>
                <w:bCs/>
              </w:rPr>
              <w:t>Baseline for the indicator</w:t>
            </w:r>
          </w:p>
        </w:tc>
      </w:tr>
      <w:tr w:rsidR="00914E5C" w:rsidRPr="00C56B34" w14:paraId="171AACEA" w14:textId="77777777" w:rsidTr="00567037">
        <w:tc>
          <w:tcPr>
            <w:tcW w:w="2830" w:type="dxa"/>
          </w:tcPr>
          <w:p w14:paraId="427873B6" w14:textId="77777777" w:rsidR="00914E5C" w:rsidRPr="00C56B34" w:rsidRDefault="00914E5C" w:rsidP="00567037">
            <w:pPr>
              <w:rPr>
                <w:rFonts w:asciiTheme="majorBidi" w:hAnsiTheme="majorBidi" w:cstheme="majorBidi"/>
              </w:rPr>
            </w:pPr>
            <w:r w:rsidRPr="00C56B34">
              <w:rPr>
                <w:rFonts w:asciiTheme="majorBidi" w:hAnsiTheme="majorBidi" w:cstheme="majorBidi"/>
              </w:rPr>
              <w:t>F1. Process indicator</w:t>
            </w:r>
          </w:p>
        </w:tc>
        <w:tc>
          <w:tcPr>
            <w:tcW w:w="5313" w:type="dxa"/>
          </w:tcPr>
          <w:p w14:paraId="21FBF532" w14:textId="04AA9E0D" w:rsidR="00914E5C" w:rsidRPr="00C56B34" w:rsidRDefault="00914E5C" w:rsidP="00567037">
            <w:pPr>
              <w:rPr>
                <w:rFonts w:asciiTheme="majorBidi" w:hAnsiTheme="majorBidi" w:cstheme="majorBidi"/>
              </w:rPr>
            </w:pPr>
            <w:r w:rsidRPr="00C56B34">
              <w:rPr>
                <w:rFonts w:asciiTheme="majorBidi" w:hAnsiTheme="majorBidi" w:cstheme="majorBidi"/>
              </w:rPr>
              <w:t>Proportion of issues that the Committee was able to resolve</w:t>
            </w:r>
            <w:r w:rsidR="001A63E8">
              <w:rPr>
                <w:rFonts w:asciiTheme="majorBidi" w:hAnsiTheme="majorBidi" w:cstheme="majorBidi"/>
              </w:rPr>
              <w:t>, including indications of systemic issues, if any</w:t>
            </w:r>
          </w:p>
        </w:tc>
        <w:tc>
          <w:tcPr>
            <w:tcW w:w="2403" w:type="dxa"/>
          </w:tcPr>
          <w:p w14:paraId="59FA3E1A" w14:textId="6B6D6609" w:rsidR="00914E5C" w:rsidRPr="00C56B34" w:rsidRDefault="001A63E8" w:rsidP="00567037">
            <w:pPr>
              <w:rPr>
                <w:rFonts w:asciiTheme="majorBidi" w:hAnsiTheme="majorBidi" w:cstheme="majorBidi"/>
              </w:rPr>
            </w:pPr>
            <w:r>
              <w:rPr>
                <w:rFonts w:asciiTheme="majorBidi" w:hAnsiTheme="majorBidi" w:cstheme="majorBidi"/>
              </w:rPr>
              <w:t>- ICC report, as referred to in Art 21</w:t>
            </w:r>
          </w:p>
        </w:tc>
        <w:tc>
          <w:tcPr>
            <w:tcW w:w="2404" w:type="dxa"/>
          </w:tcPr>
          <w:p w14:paraId="702D5B76" w14:textId="77777777" w:rsidR="00914E5C" w:rsidRPr="00C56B34" w:rsidRDefault="00914E5C" w:rsidP="00567037">
            <w:pPr>
              <w:rPr>
                <w:rFonts w:asciiTheme="majorBidi" w:hAnsiTheme="majorBidi" w:cstheme="majorBidi"/>
              </w:rPr>
            </w:pPr>
            <w:r w:rsidRPr="00C56B34">
              <w:rPr>
                <w:rFonts w:asciiTheme="majorBidi" w:hAnsiTheme="majorBidi" w:cstheme="majorBidi"/>
              </w:rPr>
              <w:t>Baseline number in the first evaluation</w:t>
            </w:r>
          </w:p>
        </w:tc>
      </w:tr>
      <w:tr w:rsidR="00914E5C" w:rsidRPr="00C56B34" w14:paraId="18501774" w14:textId="77777777" w:rsidTr="00567037">
        <w:tc>
          <w:tcPr>
            <w:tcW w:w="2830" w:type="dxa"/>
            <w:shd w:val="clear" w:color="auto" w:fill="D9D9D9" w:themeFill="background1" w:themeFillShade="D9"/>
          </w:tcPr>
          <w:p w14:paraId="756847F9" w14:textId="77777777" w:rsidR="00914E5C" w:rsidRPr="00C56B34" w:rsidRDefault="00914E5C" w:rsidP="00567037">
            <w:pPr>
              <w:rPr>
                <w:rFonts w:asciiTheme="majorBidi" w:hAnsiTheme="majorBidi" w:cstheme="majorBidi"/>
                <w:b/>
                <w:bCs/>
              </w:rPr>
            </w:pPr>
            <w:r w:rsidRPr="00C56B34">
              <w:rPr>
                <w:rFonts w:asciiTheme="majorBidi" w:hAnsiTheme="majorBidi" w:cstheme="majorBidi"/>
                <w:b/>
                <w:bCs/>
              </w:rPr>
              <w:t>Notes</w:t>
            </w:r>
          </w:p>
        </w:tc>
        <w:tc>
          <w:tcPr>
            <w:tcW w:w="10120" w:type="dxa"/>
            <w:gridSpan w:val="3"/>
          </w:tcPr>
          <w:p w14:paraId="62A6C78B" w14:textId="77777777" w:rsidR="00914E5C" w:rsidRDefault="001A63E8" w:rsidP="0025348A">
            <w:pPr>
              <w:pStyle w:val="ListParagraph"/>
              <w:numPr>
                <w:ilvl w:val="0"/>
                <w:numId w:val="34"/>
              </w:numPr>
              <w:tabs>
                <w:tab w:val="clear" w:pos="1247"/>
                <w:tab w:val="left" w:pos="1248"/>
                <w:tab w:val="left" w:pos="1872"/>
              </w:tabs>
              <w:rPr>
                <w:rFonts w:asciiTheme="majorBidi" w:eastAsia="Times New Roman" w:hAnsiTheme="majorBidi" w:cstheme="majorBidi"/>
              </w:rPr>
            </w:pPr>
            <w:r>
              <w:rPr>
                <w:rFonts w:asciiTheme="majorBidi" w:eastAsia="Times New Roman" w:hAnsiTheme="majorBidi" w:cstheme="majorBidi"/>
              </w:rPr>
              <w:t>The expert group could not complete its deliberations in the indicator, as the ICC had not yet finalised its terms of reference. Their terms of reference are to be considered by COP3.</w:t>
            </w:r>
          </w:p>
          <w:p w14:paraId="3C9E19C9" w14:textId="0C48DF2F" w:rsidR="00280B7B" w:rsidRPr="001A63E8" w:rsidRDefault="00280B7B" w:rsidP="00280B7B">
            <w:pPr>
              <w:pStyle w:val="ListParagraph"/>
              <w:ind w:left="360"/>
              <w:rPr>
                <w:rFonts w:asciiTheme="majorBidi" w:eastAsia="Times New Roman" w:hAnsiTheme="majorBidi" w:cstheme="majorBidi"/>
              </w:rPr>
            </w:pPr>
          </w:p>
        </w:tc>
      </w:tr>
    </w:tbl>
    <w:p w14:paraId="53A0720A" w14:textId="77777777" w:rsidR="00914E5C" w:rsidRPr="00C56B34" w:rsidRDefault="00914E5C" w:rsidP="00914E5C">
      <w:pPr>
        <w:spacing w:after="0"/>
        <w:rPr>
          <w:rFonts w:asciiTheme="majorBidi" w:hAnsiTheme="majorBidi" w:cstheme="majorBidi"/>
        </w:rPr>
      </w:pPr>
    </w:p>
    <w:tbl>
      <w:tblPr>
        <w:tblStyle w:val="TableGrid"/>
        <w:tblW w:w="0" w:type="auto"/>
        <w:tblLook w:val="04A0" w:firstRow="1" w:lastRow="0" w:firstColumn="1" w:lastColumn="0" w:noHBand="0" w:noVBand="1"/>
      </w:tblPr>
      <w:tblGrid>
        <w:gridCol w:w="2830"/>
        <w:gridCol w:w="5245"/>
        <w:gridCol w:w="2501"/>
        <w:gridCol w:w="2374"/>
      </w:tblGrid>
      <w:tr w:rsidR="00914E5C" w:rsidRPr="00C56B34" w14:paraId="244FCDB4" w14:textId="77777777" w:rsidTr="002B0296">
        <w:tc>
          <w:tcPr>
            <w:tcW w:w="8075" w:type="dxa"/>
            <w:gridSpan w:val="2"/>
            <w:shd w:val="clear" w:color="auto" w:fill="D9D9D9" w:themeFill="background1" w:themeFillShade="D9"/>
          </w:tcPr>
          <w:p w14:paraId="4D43CC9D" w14:textId="34D1F7FC" w:rsidR="00914E5C" w:rsidRPr="00C56B34" w:rsidRDefault="00914E5C" w:rsidP="00567037">
            <w:pPr>
              <w:rPr>
                <w:rFonts w:asciiTheme="majorBidi" w:eastAsia="Roboto" w:hAnsiTheme="majorBidi" w:cstheme="majorBidi"/>
                <w:b/>
                <w:lang w:eastAsia="en-US"/>
              </w:rPr>
            </w:pPr>
            <w:r w:rsidRPr="00C56B34">
              <w:rPr>
                <w:rStyle w:val="dn"/>
                <w:rFonts w:asciiTheme="majorBidi" w:eastAsia="Roboto" w:hAnsiTheme="majorBidi" w:cstheme="majorBidi"/>
                <w:b/>
              </w:rPr>
              <w:t>G: Minamata Convention Article 16: Health aspects</w:t>
            </w:r>
            <w:r w:rsidR="006D61BA">
              <w:rPr>
                <w:rStyle w:val="dn"/>
                <w:rFonts w:asciiTheme="majorBidi" w:eastAsia="Roboto" w:hAnsiTheme="majorBidi" w:cstheme="majorBidi"/>
                <w:b/>
              </w:rPr>
              <w:t xml:space="preserve"> </w:t>
            </w:r>
            <w:r w:rsidR="006D61BA">
              <w:rPr>
                <w:rStyle w:val="dn"/>
                <w:rFonts w:eastAsia="Roboto"/>
                <w:b/>
              </w:rPr>
              <w:t>**</w:t>
            </w:r>
          </w:p>
        </w:tc>
        <w:tc>
          <w:tcPr>
            <w:tcW w:w="2501" w:type="dxa"/>
            <w:shd w:val="clear" w:color="auto" w:fill="D9D9D9" w:themeFill="background1" w:themeFillShade="D9"/>
          </w:tcPr>
          <w:p w14:paraId="3D0D7ADA" w14:textId="77777777" w:rsidR="00914E5C" w:rsidRPr="00C56B34" w:rsidRDefault="00914E5C" w:rsidP="00567037">
            <w:pPr>
              <w:rPr>
                <w:rStyle w:val="dn"/>
                <w:rFonts w:asciiTheme="majorBidi" w:eastAsia="Roboto" w:hAnsiTheme="majorBidi" w:cstheme="majorBidi"/>
                <w:b/>
              </w:rPr>
            </w:pPr>
            <w:r w:rsidRPr="00C56B34">
              <w:rPr>
                <w:rFonts w:asciiTheme="majorBidi" w:hAnsiTheme="majorBidi" w:cstheme="majorBidi"/>
                <w:b/>
                <w:bCs/>
              </w:rPr>
              <w:t>Source of information on indicator</w:t>
            </w:r>
          </w:p>
        </w:tc>
        <w:tc>
          <w:tcPr>
            <w:tcW w:w="2374" w:type="dxa"/>
            <w:shd w:val="clear" w:color="auto" w:fill="D9D9D9" w:themeFill="background1" w:themeFillShade="D9"/>
          </w:tcPr>
          <w:p w14:paraId="492ED28A" w14:textId="77777777" w:rsidR="00914E5C" w:rsidRPr="00C56B34" w:rsidRDefault="00914E5C" w:rsidP="00567037">
            <w:pPr>
              <w:rPr>
                <w:rStyle w:val="dn"/>
                <w:rFonts w:asciiTheme="majorBidi" w:eastAsia="Roboto" w:hAnsiTheme="majorBidi" w:cstheme="majorBidi"/>
                <w:b/>
              </w:rPr>
            </w:pPr>
            <w:r w:rsidRPr="00C56B34">
              <w:rPr>
                <w:rFonts w:asciiTheme="majorBidi" w:hAnsiTheme="majorBidi" w:cstheme="majorBidi"/>
                <w:b/>
                <w:bCs/>
              </w:rPr>
              <w:t>Baseline for the indicator</w:t>
            </w:r>
          </w:p>
        </w:tc>
      </w:tr>
      <w:tr w:rsidR="00914E5C" w:rsidRPr="00C56B34" w14:paraId="6AED4EDB" w14:textId="77777777" w:rsidTr="00567037">
        <w:tc>
          <w:tcPr>
            <w:tcW w:w="2830" w:type="dxa"/>
          </w:tcPr>
          <w:p w14:paraId="24933681" w14:textId="77777777" w:rsidR="00914E5C" w:rsidRPr="00C56B34" w:rsidRDefault="00914E5C" w:rsidP="00567037">
            <w:pPr>
              <w:rPr>
                <w:rFonts w:asciiTheme="majorBidi" w:hAnsiTheme="majorBidi" w:cstheme="majorBidi"/>
              </w:rPr>
            </w:pPr>
            <w:r w:rsidRPr="00C56B34">
              <w:rPr>
                <w:rFonts w:asciiTheme="majorBidi" w:hAnsiTheme="majorBidi" w:cstheme="majorBidi"/>
              </w:rPr>
              <w:t>G1. Monitoring indicator</w:t>
            </w:r>
          </w:p>
        </w:tc>
        <w:tc>
          <w:tcPr>
            <w:tcW w:w="5245" w:type="dxa"/>
          </w:tcPr>
          <w:p w14:paraId="3E9EAA9C" w14:textId="77777777" w:rsidR="00914E5C" w:rsidRPr="00C56B34" w:rsidRDefault="00914E5C" w:rsidP="00567037">
            <w:pPr>
              <w:rPr>
                <w:rFonts w:asciiTheme="majorBidi" w:hAnsiTheme="majorBidi" w:cstheme="majorBidi"/>
              </w:rPr>
            </w:pPr>
            <w:r w:rsidRPr="00C56B34">
              <w:rPr>
                <w:rFonts w:asciiTheme="majorBidi" w:hAnsiTheme="majorBidi" w:cstheme="majorBidi"/>
              </w:rPr>
              <w:t>Mercury levels in selected human populations (as defined by the monitoring arrangements)</w:t>
            </w:r>
          </w:p>
        </w:tc>
        <w:tc>
          <w:tcPr>
            <w:tcW w:w="2501" w:type="dxa"/>
          </w:tcPr>
          <w:p w14:paraId="680401E7" w14:textId="055D08BD" w:rsidR="00914E5C" w:rsidRPr="00C56B34" w:rsidRDefault="00F95A8A" w:rsidP="00567037">
            <w:pPr>
              <w:rPr>
                <w:rFonts w:asciiTheme="majorBidi" w:hAnsiTheme="majorBidi" w:cstheme="majorBidi"/>
              </w:rPr>
            </w:pPr>
            <w:r>
              <w:rPr>
                <w:rFonts w:asciiTheme="majorBidi" w:hAnsiTheme="majorBidi" w:cstheme="majorBidi"/>
              </w:rPr>
              <w:t xml:space="preserve">- </w:t>
            </w:r>
            <w:r w:rsidR="005A38D6">
              <w:rPr>
                <w:rFonts w:asciiTheme="majorBidi" w:hAnsiTheme="majorBidi" w:cstheme="majorBidi"/>
              </w:rPr>
              <w:t>Existing</w:t>
            </w:r>
            <w:r>
              <w:rPr>
                <w:rFonts w:asciiTheme="majorBidi" w:hAnsiTheme="majorBidi" w:cstheme="majorBidi"/>
              </w:rPr>
              <w:t xml:space="preserve"> monitoring data and activities</w:t>
            </w:r>
          </w:p>
        </w:tc>
        <w:tc>
          <w:tcPr>
            <w:tcW w:w="2374" w:type="dxa"/>
          </w:tcPr>
          <w:p w14:paraId="7CC9F5F2" w14:textId="11599DC6" w:rsidR="00914E5C" w:rsidRPr="00C56B34" w:rsidRDefault="005A38D6" w:rsidP="00567037">
            <w:pPr>
              <w:rPr>
                <w:rFonts w:asciiTheme="majorBidi" w:hAnsiTheme="majorBidi" w:cstheme="majorBidi"/>
              </w:rPr>
            </w:pPr>
            <w:r w:rsidRPr="00C56B34">
              <w:rPr>
                <w:rFonts w:asciiTheme="majorBidi" w:hAnsiTheme="majorBidi" w:cstheme="majorBidi"/>
              </w:rPr>
              <w:t>Baseline number in the first evaluation</w:t>
            </w:r>
          </w:p>
        </w:tc>
      </w:tr>
      <w:tr w:rsidR="00914E5C" w:rsidRPr="00C56B34" w14:paraId="00061B31" w14:textId="77777777" w:rsidTr="00567037">
        <w:tc>
          <w:tcPr>
            <w:tcW w:w="2830" w:type="dxa"/>
          </w:tcPr>
          <w:p w14:paraId="2CF710D6" w14:textId="77777777" w:rsidR="00914E5C" w:rsidRPr="00C56B34" w:rsidRDefault="00914E5C" w:rsidP="00567037">
            <w:pPr>
              <w:rPr>
                <w:rFonts w:asciiTheme="majorBidi" w:hAnsiTheme="majorBidi" w:cstheme="majorBidi"/>
              </w:rPr>
            </w:pPr>
            <w:r w:rsidRPr="00C56B34">
              <w:rPr>
                <w:rFonts w:asciiTheme="majorBidi" w:hAnsiTheme="majorBidi" w:cstheme="majorBidi"/>
              </w:rPr>
              <w:t>G2. Process indicator</w:t>
            </w:r>
          </w:p>
        </w:tc>
        <w:tc>
          <w:tcPr>
            <w:tcW w:w="5245" w:type="dxa"/>
          </w:tcPr>
          <w:p w14:paraId="1D4D9D2A" w14:textId="77777777" w:rsidR="00914E5C" w:rsidRPr="006D61BA" w:rsidRDefault="00914E5C" w:rsidP="00567037">
            <w:pPr>
              <w:rPr>
                <w:rFonts w:asciiTheme="majorBidi" w:hAnsiTheme="majorBidi" w:cstheme="majorBidi"/>
              </w:rPr>
            </w:pPr>
            <w:r w:rsidRPr="006D61BA">
              <w:rPr>
                <w:rFonts w:asciiTheme="majorBidi" w:hAnsiTheme="majorBidi" w:cstheme="majorBidi"/>
              </w:rPr>
              <w:t>Number of parties that have taken measures, such as fish advisories, to provide information to the public on exposure to mercury in accordance with paragraph 1 of article 16</w:t>
            </w:r>
          </w:p>
        </w:tc>
        <w:tc>
          <w:tcPr>
            <w:tcW w:w="2501" w:type="dxa"/>
          </w:tcPr>
          <w:p w14:paraId="4593094F" w14:textId="77777777" w:rsidR="00914E5C" w:rsidRPr="00C56B34" w:rsidRDefault="00914E5C" w:rsidP="00567037">
            <w:pPr>
              <w:rPr>
                <w:rFonts w:asciiTheme="majorBidi" w:hAnsiTheme="majorBidi" w:cstheme="majorBidi"/>
              </w:rPr>
            </w:pPr>
            <w:r w:rsidRPr="00C56B34">
              <w:rPr>
                <w:rFonts w:asciiTheme="majorBidi" w:hAnsiTheme="majorBidi" w:cstheme="majorBidi"/>
                <w:iCs/>
              </w:rPr>
              <w:t>- Article 21 reporting</w:t>
            </w:r>
          </w:p>
        </w:tc>
        <w:tc>
          <w:tcPr>
            <w:tcW w:w="2374" w:type="dxa"/>
          </w:tcPr>
          <w:p w14:paraId="34D8E641" w14:textId="77777777" w:rsidR="00914E5C" w:rsidRPr="00C56B34" w:rsidRDefault="00914E5C" w:rsidP="00567037">
            <w:pPr>
              <w:rPr>
                <w:rFonts w:asciiTheme="majorBidi" w:hAnsiTheme="majorBidi" w:cstheme="majorBidi"/>
              </w:rPr>
            </w:pPr>
            <w:r w:rsidRPr="00C56B34">
              <w:rPr>
                <w:rFonts w:asciiTheme="majorBidi" w:hAnsiTheme="majorBidi" w:cstheme="majorBidi"/>
              </w:rPr>
              <w:t>Baseline number in the first evaluation</w:t>
            </w:r>
          </w:p>
        </w:tc>
      </w:tr>
      <w:tr w:rsidR="00914E5C" w:rsidRPr="00C56B34" w14:paraId="124CE5C5" w14:textId="77777777" w:rsidTr="00567037">
        <w:tc>
          <w:tcPr>
            <w:tcW w:w="2830" w:type="dxa"/>
          </w:tcPr>
          <w:p w14:paraId="054DD689" w14:textId="77777777" w:rsidR="00914E5C" w:rsidRPr="00C56B34" w:rsidRDefault="00914E5C" w:rsidP="00567037">
            <w:pPr>
              <w:rPr>
                <w:rFonts w:asciiTheme="majorBidi" w:hAnsiTheme="majorBidi" w:cstheme="majorBidi"/>
              </w:rPr>
            </w:pPr>
            <w:r w:rsidRPr="00C56B34">
              <w:rPr>
                <w:rFonts w:asciiTheme="majorBidi" w:hAnsiTheme="majorBidi" w:cstheme="majorBidi"/>
              </w:rPr>
              <w:t>G3. Process indicator</w:t>
            </w:r>
          </w:p>
        </w:tc>
        <w:tc>
          <w:tcPr>
            <w:tcW w:w="5245" w:type="dxa"/>
          </w:tcPr>
          <w:p w14:paraId="162BEDEF" w14:textId="77777777" w:rsidR="00914E5C" w:rsidRPr="006D61BA" w:rsidRDefault="00914E5C" w:rsidP="00567037">
            <w:pPr>
              <w:rPr>
                <w:rFonts w:asciiTheme="majorBidi" w:hAnsiTheme="majorBidi" w:cstheme="majorBidi"/>
              </w:rPr>
            </w:pPr>
            <w:r w:rsidRPr="006D61BA">
              <w:rPr>
                <w:rFonts w:asciiTheme="majorBidi" w:hAnsiTheme="majorBidi" w:cstheme="majorBidi"/>
              </w:rPr>
              <w:t>Number of parties that have taken measures to protect human health in accordance with article 16</w:t>
            </w:r>
          </w:p>
        </w:tc>
        <w:tc>
          <w:tcPr>
            <w:tcW w:w="2501" w:type="dxa"/>
          </w:tcPr>
          <w:p w14:paraId="0B5C5F3A" w14:textId="77777777" w:rsidR="00914E5C" w:rsidRDefault="008B46F2" w:rsidP="00567037">
            <w:pPr>
              <w:rPr>
                <w:rFonts w:asciiTheme="majorBidi" w:hAnsiTheme="majorBidi" w:cstheme="majorBidi"/>
                <w:iCs/>
              </w:rPr>
            </w:pPr>
            <w:r w:rsidRPr="00C56B34">
              <w:rPr>
                <w:rFonts w:asciiTheme="majorBidi" w:hAnsiTheme="majorBidi" w:cstheme="majorBidi"/>
                <w:iCs/>
              </w:rPr>
              <w:t>- Article 21 reporting</w:t>
            </w:r>
          </w:p>
          <w:p w14:paraId="2E53B8BE" w14:textId="4B7BBF15" w:rsidR="00AC4D96" w:rsidRPr="00C56B34" w:rsidRDefault="00AC4D96" w:rsidP="00567037">
            <w:pPr>
              <w:rPr>
                <w:rFonts w:asciiTheme="majorBidi" w:hAnsiTheme="majorBidi" w:cstheme="majorBidi"/>
              </w:rPr>
            </w:pPr>
            <w:r>
              <w:rPr>
                <w:rFonts w:asciiTheme="majorBidi" w:hAnsiTheme="majorBidi" w:cstheme="majorBidi"/>
                <w:iCs/>
              </w:rPr>
              <w:t>- Submissions to the secretariat</w:t>
            </w:r>
          </w:p>
        </w:tc>
        <w:tc>
          <w:tcPr>
            <w:tcW w:w="2374" w:type="dxa"/>
          </w:tcPr>
          <w:p w14:paraId="5CE32D47" w14:textId="0D6BC943" w:rsidR="00914E5C" w:rsidRPr="00C56B34" w:rsidRDefault="008B46F2" w:rsidP="00567037">
            <w:pPr>
              <w:rPr>
                <w:rFonts w:asciiTheme="majorBidi" w:hAnsiTheme="majorBidi" w:cstheme="majorBidi"/>
              </w:rPr>
            </w:pPr>
            <w:r w:rsidRPr="00C56B34">
              <w:rPr>
                <w:rFonts w:asciiTheme="majorBidi" w:hAnsiTheme="majorBidi" w:cstheme="majorBidi"/>
              </w:rPr>
              <w:t>Baseline number in the first evaluation</w:t>
            </w:r>
          </w:p>
        </w:tc>
      </w:tr>
      <w:tr w:rsidR="00914E5C" w:rsidRPr="00C56B34" w14:paraId="531945B9" w14:textId="77777777" w:rsidTr="00567037">
        <w:tc>
          <w:tcPr>
            <w:tcW w:w="2830" w:type="dxa"/>
            <w:shd w:val="clear" w:color="auto" w:fill="D9D9D9" w:themeFill="background1" w:themeFillShade="D9"/>
          </w:tcPr>
          <w:p w14:paraId="2B177C67" w14:textId="77777777" w:rsidR="00914E5C" w:rsidRPr="00C56B34" w:rsidRDefault="00914E5C" w:rsidP="00567037">
            <w:pPr>
              <w:rPr>
                <w:rFonts w:asciiTheme="majorBidi" w:hAnsiTheme="majorBidi" w:cstheme="majorBidi"/>
                <w:b/>
                <w:bCs/>
                <w:highlight w:val="yellow"/>
              </w:rPr>
            </w:pPr>
            <w:r w:rsidRPr="00C56B34">
              <w:rPr>
                <w:rFonts w:asciiTheme="majorBidi" w:hAnsiTheme="majorBidi" w:cstheme="majorBidi"/>
                <w:b/>
                <w:bCs/>
              </w:rPr>
              <w:t>Notes</w:t>
            </w:r>
          </w:p>
        </w:tc>
        <w:tc>
          <w:tcPr>
            <w:tcW w:w="10120" w:type="dxa"/>
            <w:gridSpan w:val="3"/>
          </w:tcPr>
          <w:p w14:paraId="14F342D9" w14:textId="6D43A2F4" w:rsidR="00914E5C" w:rsidRDefault="006D61BA" w:rsidP="0025348A">
            <w:pPr>
              <w:pStyle w:val="ListParagraph"/>
              <w:numPr>
                <w:ilvl w:val="0"/>
                <w:numId w:val="34"/>
              </w:numPr>
              <w:tabs>
                <w:tab w:val="clear" w:pos="1247"/>
                <w:tab w:val="left" w:pos="1248"/>
                <w:tab w:val="left" w:pos="1872"/>
              </w:tabs>
              <w:rPr>
                <w:rFonts w:asciiTheme="majorBidi" w:eastAsia="Times New Roman" w:hAnsiTheme="majorBidi" w:cstheme="majorBidi"/>
              </w:rPr>
            </w:pPr>
            <w:r w:rsidRPr="006D61BA">
              <w:rPr>
                <w:rFonts w:asciiTheme="majorBidi" w:eastAsia="Times New Roman" w:hAnsiTheme="majorBidi" w:cstheme="majorBidi"/>
              </w:rPr>
              <w:t>The indicator for Article 1</w:t>
            </w:r>
            <w:r>
              <w:rPr>
                <w:rFonts w:asciiTheme="majorBidi" w:eastAsia="Times New Roman" w:hAnsiTheme="majorBidi" w:cstheme="majorBidi"/>
              </w:rPr>
              <w:t>6</w:t>
            </w:r>
            <w:r w:rsidRPr="006D61BA">
              <w:rPr>
                <w:rFonts w:asciiTheme="majorBidi" w:eastAsia="Times New Roman" w:hAnsiTheme="majorBidi" w:cstheme="majorBidi"/>
              </w:rPr>
              <w:t xml:space="preserve"> is to be read with the relevant monitoring indicator</w:t>
            </w:r>
            <w:r w:rsidR="00AC4D96">
              <w:rPr>
                <w:rFonts w:asciiTheme="majorBidi" w:eastAsia="Times New Roman" w:hAnsiTheme="majorBidi" w:cstheme="majorBidi"/>
              </w:rPr>
              <w:t>s</w:t>
            </w:r>
            <w:r w:rsidRPr="006D61BA">
              <w:rPr>
                <w:rFonts w:asciiTheme="majorBidi" w:eastAsia="Times New Roman" w:hAnsiTheme="majorBidi" w:cstheme="majorBidi"/>
              </w:rPr>
              <w:t xml:space="preserve"> indicated in Table </w:t>
            </w:r>
            <w:r w:rsidR="00930E4D">
              <w:rPr>
                <w:rFonts w:asciiTheme="majorBidi" w:eastAsia="Times New Roman" w:hAnsiTheme="majorBidi" w:cstheme="majorBidi"/>
              </w:rPr>
              <w:t>4</w:t>
            </w:r>
            <w:r w:rsidRPr="006D61BA">
              <w:rPr>
                <w:rFonts w:asciiTheme="majorBidi" w:eastAsia="Times New Roman" w:hAnsiTheme="majorBidi" w:cstheme="majorBidi"/>
              </w:rPr>
              <w:t>, paragraph 52.</w:t>
            </w:r>
          </w:p>
          <w:p w14:paraId="4DBBF333" w14:textId="77777777" w:rsidR="008B46F2" w:rsidRDefault="008B46F2" w:rsidP="0025348A">
            <w:pPr>
              <w:pStyle w:val="ListParagraph"/>
              <w:numPr>
                <w:ilvl w:val="0"/>
                <w:numId w:val="34"/>
              </w:numPr>
              <w:tabs>
                <w:tab w:val="clear" w:pos="1247"/>
                <w:tab w:val="left" w:pos="1248"/>
                <w:tab w:val="left" w:pos="1872"/>
              </w:tabs>
              <w:rPr>
                <w:rFonts w:asciiTheme="majorBidi" w:eastAsia="Times New Roman" w:hAnsiTheme="majorBidi" w:cstheme="majorBidi"/>
              </w:rPr>
            </w:pPr>
            <w:r>
              <w:rPr>
                <w:rFonts w:asciiTheme="majorBidi" w:eastAsia="Times New Roman" w:hAnsiTheme="majorBidi" w:cstheme="majorBidi"/>
              </w:rPr>
              <w:t xml:space="preserve">Mercury levels in biota also to be considered. </w:t>
            </w:r>
          </w:p>
          <w:p w14:paraId="3F0C39FC" w14:textId="70D2455D" w:rsidR="00280B7B" w:rsidRPr="006D61BA" w:rsidRDefault="00280B7B" w:rsidP="00280B7B">
            <w:pPr>
              <w:pStyle w:val="ListParagraph"/>
              <w:ind w:left="360"/>
              <w:rPr>
                <w:rFonts w:asciiTheme="majorBidi" w:eastAsia="Times New Roman" w:hAnsiTheme="majorBidi" w:cstheme="majorBidi"/>
              </w:rPr>
            </w:pPr>
          </w:p>
        </w:tc>
      </w:tr>
    </w:tbl>
    <w:p w14:paraId="0B94A77F" w14:textId="77777777" w:rsidR="00914E5C" w:rsidRPr="00C56B34" w:rsidRDefault="00914E5C" w:rsidP="00914E5C">
      <w:pPr>
        <w:spacing w:after="0"/>
        <w:rPr>
          <w:rFonts w:asciiTheme="majorBidi" w:hAnsiTheme="majorBidi" w:cstheme="majorBidi"/>
        </w:rPr>
      </w:pPr>
    </w:p>
    <w:tbl>
      <w:tblPr>
        <w:tblStyle w:val="TableGrid"/>
        <w:tblW w:w="0" w:type="auto"/>
        <w:tblLook w:val="04A0" w:firstRow="1" w:lastRow="0" w:firstColumn="1" w:lastColumn="0" w:noHBand="0" w:noVBand="1"/>
      </w:tblPr>
      <w:tblGrid>
        <w:gridCol w:w="2830"/>
        <w:gridCol w:w="5245"/>
        <w:gridCol w:w="2521"/>
        <w:gridCol w:w="2354"/>
      </w:tblGrid>
      <w:tr w:rsidR="00914E5C" w:rsidRPr="00C56B34" w14:paraId="3B15C378" w14:textId="77777777" w:rsidTr="002B0296">
        <w:tc>
          <w:tcPr>
            <w:tcW w:w="8075" w:type="dxa"/>
            <w:gridSpan w:val="2"/>
            <w:shd w:val="clear" w:color="auto" w:fill="D9D9D9" w:themeFill="background1" w:themeFillShade="D9"/>
          </w:tcPr>
          <w:p w14:paraId="60EA6C15"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Fonts w:asciiTheme="majorBidi" w:eastAsia="Roboto" w:hAnsiTheme="majorBidi" w:cstheme="majorBidi"/>
                <w:b/>
                <w:sz w:val="22"/>
                <w:szCs w:val="22"/>
              </w:rPr>
            </w:pPr>
            <w:r w:rsidRPr="00C56B34">
              <w:rPr>
                <w:rStyle w:val="dn"/>
                <w:rFonts w:asciiTheme="majorBidi" w:eastAsia="Roboto" w:hAnsiTheme="majorBidi" w:cstheme="majorBidi"/>
                <w:b/>
                <w:sz w:val="22"/>
                <w:szCs w:val="22"/>
              </w:rPr>
              <w:t xml:space="preserve">H: Information and Research Cluster of Articles: Information exchange (Article 17), Public information, awareness and education (Article 18), Research, development and monitoring (Article 19)  </w:t>
            </w:r>
          </w:p>
        </w:tc>
        <w:tc>
          <w:tcPr>
            <w:tcW w:w="2521" w:type="dxa"/>
            <w:shd w:val="clear" w:color="auto" w:fill="D9D9D9" w:themeFill="background1" w:themeFillShade="D9"/>
          </w:tcPr>
          <w:p w14:paraId="1C413D45"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Style w:val="dn"/>
                <w:rFonts w:asciiTheme="majorBidi" w:eastAsia="Roboto" w:hAnsiTheme="majorBidi" w:cstheme="majorBidi"/>
                <w:b/>
                <w:sz w:val="22"/>
                <w:szCs w:val="22"/>
              </w:rPr>
            </w:pPr>
            <w:r w:rsidRPr="00C56B34">
              <w:rPr>
                <w:rFonts w:asciiTheme="majorBidi" w:hAnsiTheme="majorBidi" w:cstheme="majorBidi"/>
                <w:b/>
                <w:bCs/>
                <w:sz w:val="22"/>
                <w:szCs w:val="22"/>
              </w:rPr>
              <w:t>Source of information on indicator</w:t>
            </w:r>
          </w:p>
        </w:tc>
        <w:tc>
          <w:tcPr>
            <w:tcW w:w="2354" w:type="dxa"/>
            <w:shd w:val="clear" w:color="auto" w:fill="D9D9D9" w:themeFill="background1" w:themeFillShade="D9"/>
          </w:tcPr>
          <w:p w14:paraId="0DD8392A"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Style w:val="dn"/>
                <w:rFonts w:asciiTheme="majorBidi" w:eastAsia="Roboto" w:hAnsiTheme="majorBidi" w:cstheme="majorBidi"/>
                <w:b/>
                <w:sz w:val="22"/>
                <w:szCs w:val="22"/>
              </w:rPr>
            </w:pPr>
            <w:r w:rsidRPr="00C56B34">
              <w:rPr>
                <w:rFonts w:asciiTheme="majorBidi" w:hAnsiTheme="majorBidi" w:cstheme="majorBidi"/>
                <w:b/>
                <w:bCs/>
                <w:sz w:val="22"/>
                <w:szCs w:val="22"/>
              </w:rPr>
              <w:t>Baseline for the indicator</w:t>
            </w:r>
          </w:p>
        </w:tc>
      </w:tr>
      <w:tr w:rsidR="00914E5C" w:rsidRPr="00C56B34" w14:paraId="4A220C25" w14:textId="77777777" w:rsidTr="002B0296">
        <w:tc>
          <w:tcPr>
            <w:tcW w:w="2830" w:type="dxa"/>
            <w:shd w:val="clear" w:color="auto" w:fill="D9D9D9" w:themeFill="background1" w:themeFillShade="D9"/>
          </w:tcPr>
          <w:p w14:paraId="4CF8A9CF" w14:textId="77777777" w:rsidR="00914E5C" w:rsidRPr="00C56B34" w:rsidRDefault="00914E5C" w:rsidP="00567037">
            <w:pPr>
              <w:rPr>
                <w:rFonts w:asciiTheme="majorBidi" w:hAnsiTheme="majorBidi" w:cstheme="majorBidi"/>
                <w:b/>
              </w:rPr>
            </w:pPr>
            <w:r w:rsidRPr="00C56B34">
              <w:rPr>
                <w:rFonts w:asciiTheme="majorBidi" w:hAnsiTheme="majorBidi" w:cstheme="majorBidi"/>
                <w:b/>
              </w:rPr>
              <w:t>Article 17</w:t>
            </w:r>
          </w:p>
        </w:tc>
        <w:tc>
          <w:tcPr>
            <w:tcW w:w="5245" w:type="dxa"/>
            <w:shd w:val="clear" w:color="auto" w:fill="D9D9D9" w:themeFill="background1" w:themeFillShade="D9"/>
          </w:tcPr>
          <w:p w14:paraId="7A975485" w14:textId="77777777" w:rsidR="00914E5C" w:rsidRPr="00C56B34" w:rsidRDefault="00914E5C" w:rsidP="00567037">
            <w:pPr>
              <w:rPr>
                <w:rFonts w:asciiTheme="majorBidi" w:hAnsiTheme="majorBidi" w:cstheme="majorBidi"/>
              </w:rPr>
            </w:pPr>
          </w:p>
        </w:tc>
        <w:tc>
          <w:tcPr>
            <w:tcW w:w="2521" w:type="dxa"/>
            <w:shd w:val="clear" w:color="auto" w:fill="D9D9D9" w:themeFill="background1" w:themeFillShade="D9"/>
          </w:tcPr>
          <w:p w14:paraId="1A9268DB" w14:textId="77777777" w:rsidR="00914E5C" w:rsidRPr="00C56B34" w:rsidRDefault="00914E5C" w:rsidP="00567037">
            <w:pPr>
              <w:rPr>
                <w:rFonts w:asciiTheme="majorBidi" w:hAnsiTheme="majorBidi" w:cstheme="majorBidi"/>
              </w:rPr>
            </w:pPr>
          </w:p>
        </w:tc>
        <w:tc>
          <w:tcPr>
            <w:tcW w:w="2354" w:type="dxa"/>
            <w:shd w:val="clear" w:color="auto" w:fill="D9D9D9" w:themeFill="background1" w:themeFillShade="D9"/>
          </w:tcPr>
          <w:p w14:paraId="7DCD5AD1" w14:textId="77777777" w:rsidR="00914E5C" w:rsidRPr="00C56B34" w:rsidRDefault="00914E5C" w:rsidP="00567037">
            <w:pPr>
              <w:rPr>
                <w:rFonts w:asciiTheme="majorBidi" w:hAnsiTheme="majorBidi" w:cstheme="majorBidi"/>
              </w:rPr>
            </w:pPr>
          </w:p>
        </w:tc>
      </w:tr>
      <w:tr w:rsidR="00AC4D96" w:rsidRPr="00C56B34" w14:paraId="6E647FB2" w14:textId="77777777" w:rsidTr="00567037">
        <w:tc>
          <w:tcPr>
            <w:tcW w:w="2830" w:type="dxa"/>
          </w:tcPr>
          <w:p w14:paraId="1738C9FA" w14:textId="77777777" w:rsidR="00AC4D96" w:rsidRPr="00C56B34" w:rsidRDefault="00AC4D96" w:rsidP="00AC4D96">
            <w:pPr>
              <w:rPr>
                <w:rFonts w:asciiTheme="majorBidi" w:hAnsiTheme="majorBidi" w:cstheme="majorBidi"/>
              </w:rPr>
            </w:pPr>
            <w:r w:rsidRPr="00C56B34">
              <w:rPr>
                <w:rFonts w:asciiTheme="majorBidi" w:hAnsiTheme="majorBidi" w:cstheme="majorBidi"/>
              </w:rPr>
              <w:t xml:space="preserve">H1. </w:t>
            </w:r>
            <w:r w:rsidRPr="00C56B34">
              <w:rPr>
                <w:rStyle w:val="dn"/>
                <w:rFonts w:asciiTheme="majorBidi" w:eastAsia="Roboto" w:hAnsiTheme="majorBidi" w:cstheme="majorBidi"/>
              </w:rPr>
              <w:t>Process indicator for Article 17</w:t>
            </w:r>
          </w:p>
        </w:tc>
        <w:tc>
          <w:tcPr>
            <w:tcW w:w="5245" w:type="dxa"/>
          </w:tcPr>
          <w:p w14:paraId="78A929D3" w14:textId="77777777" w:rsidR="00AC4D96" w:rsidRPr="00C56B34" w:rsidRDefault="00AC4D96" w:rsidP="00AC4D96">
            <w:pPr>
              <w:pBdr>
                <w:top w:val="nil"/>
                <w:left w:val="nil"/>
                <w:bottom w:val="nil"/>
                <w:right w:val="nil"/>
                <w:between w:val="nil"/>
                <w:bar w:val="nil"/>
              </w:pBdr>
              <w:rPr>
                <w:rFonts w:asciiTheme="majorBidi" w:eastAsia="Roboto" w:hAnsiTheme="majorBidi" w:cstheme="majorBidi"/>
              </w:rPr>
            </w:pPr>
            <w:r w:rsidRPr="00C56B34">
              <w:rPr>
                <w:rStyle w:val="dn"/>
                <w:rFonts w:asciiTheme="majorBidi" w:eastAsia="Roboto" w:hAnsiTheme="majorBidi" w:cstheme="majorBidi"/>
              </w:rPr>
              <w:t>Number of parties with designated national focal points</w:t>
            </w:r>
          </w:p>
          <w:p w14:paraId="0CB671BA"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p>
        </w:tc>
        <w:tc>
          <w:tcPr>
            <w:tcW w:w="2521" w:type="dxa"/>
          </w:tcPr>
          <w:p w14:paraId="4E35999A" w14:textId="07AD3396" w:rsidR="00AC4D96" w:rsidRPr="00C56B34" w:rsidRDefault="00AC4D96" w:rsidP="00AC4D96">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iCs/>
              </w:rPr>
              <w:t>- Article 21 reporting</w:t>
            </w:r>
          </w:p>
        </w:tc>
        <w:tc>
          <w:tcPr>
            <w:tcW w:w="2354" w:type="dxa"/>
          </w:tcPr>
          <w:p w14:paraId="79528926" w14:textId="77777777" w:rsidR="00AC4D96" w:rsidRPr="00C56B34" w:rsidRDefault="00AC4D96" w:rsidP="00AC4D96">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AC4D96" w:rsidRPr="00C56B34" w14:paraId="1568D252" w14:textId="77777777" w:rsidTr="00567037">
        <w:tc>
          <w:tcPr>
            <w:tcW w:w="2830" w:type="dxa"/>
          </w:tcPr>
          <w:p w14:paraId="2083CA79" w14:textId="77777777" w:rsidR="00AC4D96" w:rsidRPr="00C56B34" w:rsidRDefault="00AC4D96" w:rsidP="00AC4D96">
            <w:pPr>
              <w:rPr>
                <w:rFonts w:asciiTheme="majorBidi" w:hAnsiTheme="majorBidi" w:cstheme="majorBidi"/>
              </w:rPr>
            </w:pPr>
            <w:r w:rsidRPr="00C56B34">
              <w:rPr>
                <w:rFonts w:asciiTheme="majorBidi" w:hAnsiTheme="majorBidi" w:cstheme="majorBidi"/>
              </w:rPr>
              <w:t xml:space="preserve">H2. </w:t>
            </w:r>
            <w:r w:rsidRPr="00C56B34">
              <w:rPr>
                <w:rStyle w:val="dn"/>
                <w:rFonts w:asciiTheme="majorBidi" w:eastAsia="Roboto" w:hAnsiTheme="majorBidi" w:cstheme="majorBidi"/>
              </w:rPr>
              <w:t>Process indicator for Article 17</w:t>
            </w:r>
          </w:p>
        </w:tc>
        <w:tc>
          <w:tcPr>
            <w:tcW w:w="5245" w:type="dxa"/>
          </w:tcPr>
          <w:p w14:paraId="7AFB52B4" w14:textId="77777777" w:rsidR="00AC4D96" w:rsidRPr="00C56B34" w:rsidRDefault="00AC4D96" w:rsidP="00AC4D96">
            <w:pPr>
              <w:pBdr>
                <w:top w:val="nil"/>
                <w:left w:val="nil"/>
                <w:bottom w:val="nil"/>
                <w:right w:val="nil"/>
                <w:between w:val="nil"/>
                <w:bar w:val="nil"/>
              </w:pBdr>
              <w:rPr>
                <w:rFonts w:asciiTheme="majorBidi" w:eastAsia="Roboto" w:hAnsiTheme="majorBidi" w:cstheme="majorBidi"/>
              </w:rPr>
            </w:pPr>
            <w:r w:rsidRPr="00C56B34">
              <w:rPr>
                <w:rStyle w:val="dn"/>
                <w:rFonts w:asciiTheme="majorBidi" w:eastAsia="Roboto" w:hAnsiTheme="majorBidi" w:cstheme="majorBidi"/>
              </w:rPr>
              <w:t xml:space="preserve">Number of parties that have established information exchange mechanisms related to mercury </w:t>
            </w:r>
          </w:p>
        </w:tc>
        <w:tc>
          <w:tcPr>
            <w:tcW w:w="2521" w:type="dxa"/>
          </w:tcPr>
          <w:p w14:paraId="16A0BFED" w14:textId="3FE10ABC" w:rsidR="00AC4D96" w:rsidRPr="00C56B34" w:rsidRDefault="00AC4D96" w:rsidP="00AC4D96">
            <w:pPr>
              <w:pBdr>
                <w:top w:val="nil"/>
                <w:left w:val="nil"/>
                <w:bottom w:val="nil"/>
                <w:right w:val="nil"/>
                <w:between w:val="nil"/>
                <w:bar w:val="nil"/>
              </w:pBdr>
              <w:rPr>
                <w:rStyle w:val="dn"/>
                <w:rFonts w:asciiTheme="majorBidi" w:eastAsia="Roboto" w:hAnsiTheme="majorBidi" w:cstheme="majorBidi"/>
              </w:rPr>
            </w:pPr>
            <w:r>
              <w:rPr>
                <w:rFonts w:asciiTheme="majorBidi" w:hAnsiTheme="majorBidi" w:cstheme="majorBidi"/>
                <w:iCs/>
              </w:rPr>
              <w:t>- Submissions to the secretariat</w:t>
            </w:r>
          </w:p>
        </w:tc>
        <w:tc>
          <w:tcPr>
            <w:tcW w:w="2354" w:type="dxa"/>
          </w:tcPr>
          <w:p w14:paraId="2FEF9661" w14:textId="77777777" w:rsidR="00AC4D96" w:rsidRPr="00C56B34" w:rsidRDefault="00AC4D96" w:rsidP="00AC4D96">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AC4D96" w:rsidRPr="00C56B34" w14:paraId="0DA587F4" w14:textId="77777777" w:rsidTr="002B0296">
        <w:tc>
          <w:tcPr>
            <w:tcW w:w="2830" w:type="dxa"/>
            <w:shd w:val="clear" w:color="auto" w:fill="D9D9D9" w:themeFill="background1" w:themeFillShade="D9"/>
          </w:tcPr>
          <w:p w14:paraId="71594769"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b/>
              </w:rPr>
            </w:pPr>
            <w:r w:rsidRPr="00C56B34">
              <w:rPr>
                <w:rFonts w:asciiTheme="majorBidi" w:hAnsiTheme="majorBidi" w:cstheme="majorBidi"/>
                <w:b/>
              </w:rPr>
              <w:t>Article 18</w:t>
            </w:r>
          </w:p>
        </w:tc>
        <w:tc>
          <w:tcPr>
            <w:tcW w:w="5245" w:type="dxa"/>
            <w:shd w:val="clear" w:color="auto" w:fill="D9D9D9" w:themeFill="background1" w:themeFillShade="D9"/>
          </w:tcPr>
          <w:p w14:paraId="09158D1F"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521" w:type="dxa"/>
            <w:shd w:val="clear" w:color="auto" w:fill="D9D9D9" w:themeFill="background1" w:themeFillShade="D9"/>
          </w:tcPr>
          <w:p w14:paraId="1AD3890C"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354" w:type="dxa"/>
            <w:shd w:val="clear" w:color="auto" w:fill="D9D9D9" w:themeFill="background1" w:themeFillShade="D9"/>
          </w:tcPr>
          <w:p w14:paraId="403D6056"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r>
      <w:tr w:rsidR="00AC4D96" w:rsidRPr="00C56B34" w14:paraId="303A9786" w14:textId="77777777" w:rsidTr="00567037">
        <w:tc>
          <w:tcPr>
            <w:tcW w:w="2830" w:type="dxa"/>
          </w:tcPr>
          <w:p w14:paraId="225D64C6"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lastRenderedPageBreak/>
              <w:t>H3. Process indicator for Article 18</w:t>
            </w:r>
          </w:p>
        </w:tc>
        <w:tc>
          <w:tcPr>
            <w:tcW w:w="5245" w:type="dxa"/>
          </w:tcPr>
          <w:p w14:paraId="73EFBE31" w14:textId="77777777" w:rsidR="00AC4D96" w:rsidRPr="00C56B34" w:rsidRDefault="00AC4D96" w:rsidP="00AC4D96">
            <w:pPr>
              <w:pBdr>
                <w:top w:val="nil"/>
                <w:left w:val="nil"/>
                <w:bottom w:val="nil"/>
                <w:right w:val="nil"/>
                <w:between w:val="nil"/>
                <w:bar w:val="nil"/>
              </w:pBdr>
              <w:rPr>
                <w:rFonts w:asciiTheme="majorBidi" w:eastAsia="Roboto" w:hAnsiTheme="majorBidi" w:cstheme="majorBidi"/>
              </w:rPr>
            </w:pPr>
            <w:r w:rsidRPr="00C56B34">
              <w:rPr>
                <w:rStyle w:val="dn"/>
                <w:rFonts w:asciiTheme="majorBidi" w:eastAsia="Roboto" w:hAnsiTheme="majorBidi" w:cstheme="majorBidi"/>
              </w:rPr>
              <w:t>Number of parties that have taken measures to implement article 18</w:t>
            </w:r>
          </w:p>
          <w:p w14:paraId="4F605BD4"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Style w:val="dn"/>
                <w:rFonts w:asciiTheme="majorBidi" w:eastAsia="Roboto" w:hAnsiTheme="majorBidi" w:cstheme="majorBidi"/>
              </w:rPr>
              <w:t xml:space="preserve"> </w:t>
            </w:r>
          </w:p>
        </w:tc>
        <w:tc>
          <w:tcPr>
            <w:tcW w:w="2521" w:type="dxa"/>
          </w:tcPr>
          <w:p w14:paraId="3EAFC1F0" w14:textId="77777777" w:rsidR="00AC4D96" w:rsidRPr="00C56B34" w:rsidRDefault="00AC4D96" w:rsidP="00AC4D96">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iCs/>
              </w:rPr>
              <w:t>- Article 21 reporting</w:t>
            </w:r>
          </w:p>
        </w:tc>
        <w:tc>
          <w:tcPr>
            <w:tcW w:w="2354" w:type="dxa"/>
          </w:tcPr>
          <w:p w14:paraId="77AFD991" w14:textId="77777777" w:rsidR="00AC4D96" w:rsidRPr="00C56B34" w:rsidRDefault="00AC4D96" w:rsidP="00AC4D96">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AC4D96" w:rsidRPr="00C56B34" w14:paraId="5501B7E1" w14:textId="77777777" w:rsidTr="00567037">
        <w:tc>
          <w:tcPr>
            <w:tcW w:w="2830" w:type="dxa"/>
          </w:tcPr>
          <w:p w14:paraId="52D3AF4B"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H4. Process indicator for Article 18</w:t>
            </w:r>
          </w:p>
        </w:tc>
        <w:tc>
          <w:tcPr>
            <w:tcW w:w="5245" w:type="dxa"/>
          </w:tcPr>
          <w:p w14:paraId="1DF8B241" w14:textId="77777777" w:rsidR="00AC4D96" w:rsidRPr="00C56B34" w:rsidRDefault="00AC4D96" w:rsidP="00AC4D96">
            <w:pPr>
              <w:pBdr>
                <w:top w:val="nil"/>
                <w:left w:val="nil"/>
                <w:bottom w:val="nil"/>
                <w:right w:val="nil"/>
                <w:between w:val="nil"/>
                <w:bar w:val="nil"/>
              </w:pBdr>
              <w:rPr>
                <w:rFonts w:asciiTheme="majorBidi" w:eastAsia="Roboto" w:hAnsiTheme="majorBidi" w:cstheme="majorBidi"/>
              </w:rPr>
            </w:pPr>
            <w:r w:rsidRPr="00C56B34">
              <w:rPr>
                <w:rStyle w:val="dn"/>
                <w:rFonts w:asciiTheme="majorBidi" w:eastAsia="Roboto" w:hAnsiTheme="majorBidi" w:cstheme="majorBidi"/>
              </w:rPr>
              <w:t>Average number of measures under paragraph 1 of Article 18 that are being implemented by parties</w:t>
            </w:r>
          </w:p>
          <w:p w14:paraId="68DB3191"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521" w:type="dxa"/>
          </w:tcPr>
          <w:p w14:paraId="3C096C3B" w14:textId="20410534" w:rsidR="00AC4D96" w:rsidRPr="00C56B34" w:rsidRDefault="008F1339" w:rsidP="00AC4D96">
            <w:pPr>
              <w:pBdr>
                <w:top w:val="nil"/>
                <w:left w:val="nil"/>
                <w:bottom w:val="nil"/>
                <w:right w:val="nil"/>
                <w:between w:val="nil"/>
                <w:bar w:val="nil"/>
              </w:pBdr>
              <w:rPr>
                <w:rStyle w:val="dn"/>
                <w:rFonts w:asciiTheme="majorBidi" w:eastAsia="Roboto" w:hAnsiTheme="majorBidi" w:cstheme="majorBidi"/>
              </w:rPr>
            </w:pPr>
            <w:r>
              <w:rPr>
                <w:rStyle w:val="dn"/>
                <w:rFonts w:asciiTheme="majorBidi" w:eastAsia="Roboto" w:hAnsiTheme="majorBidi" w:cstheme="majorBidi"/>
              </w:rPr>
              <w:t>-</w:t>
            </w:r>
            <w:r>
              <w:rPr>
                <w:rStyle w:val="dn"/>
                <w:rFonts w:eastAsia="Roboto"/>
              </w:rPr>
              <w:t xml:space="preserve"> Derived from Article 21 reporting</w:t>
            </w:r>
          </w:p>
        </w:tc>
        <w:tc>
          <w:tcPr>
            <w:tcW w:w="2354" w:type="dxa"/>
          </w:tcPr>
          <w:p w14:paraId="5089E421" w14:textId="77777777" w:rsidR="00AC4D96" w:rsidRPr="00C56B34" w:rsidRDefault="00AC4D96" w:rsidP="00AC4D96">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AC4D96" w:rsidRPr="00C56B34" w14:paraId="07473F6D" w14:textId="77777777" w:rsidTr="00567037">
        <w:tc>
          <w:tcPr>
            <w:tcW w:w="2830" w:type="dxa"/>
          </w:tcPr>
          <w:p w14:paraId="3DF8102D"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H5. Process indicator for Article 18</w:t>
            </w:r>
          </w:p>
        </w:tc>
        <w:tc>
          <w:tcPr>
            <w:tcW w:w="5245" w:type="dxa"/>
          </w:tcPr>
          <w:p w14:paraId="7091553A" w14:textId="77777777" w:rsidR="00AC4D96" w:rsidRPr="00C56B34" w:rsidRDefault="00AC4D96" w:rsidP="00AC4D96">
            <w:pPr>
              <w:pBdr>
                <w:top w:val="nil"/>
                <w:left w:val="nil"/>
                <w:bottom w:val="nil"/>
                <w:right w:val="nil"/>
                <w:between w:val="nil"/>
                <w:bar w:val="nil"/>
              </w:pBdr>
              <w:rPr>
                <w:rFonts w:asciiTheme="majorBidi" w:eastAsia="Roboto" w:hAnsiTheme="majorBidi" w:cstheme="majorBidi"/>
              </w:rPr>
            </w:pPr>
            <w:r w:rsidRPr="00C56B34">
              <w:rPr>
                <w:rStyle w:val="dn"/>
                <w:rFonts w:asciiTheme="majorBidi" w:eastAsia="Roboto" w:hAnsiTheme="majorBidi" w:cstheme="majorBidi"/>
              </w:rPr>
              <w:t>Number of parties that have public information on mercury levels in air, humans and biota</w:t>
            </w:r>
          </w:p>
          <w:p w14:paraId="127F8BD5"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521" w:type="dxa"/>
          </w:tcPr>
          <w:p w14:paraId="4224244C" w14:textId="77777777" w:rsidR="00AC4D96" w:rsidRPr="00C56B34" w:rsidRDefault="00AC4D96" w:rsidP="00AC4D96">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iCs/>
              </w:rPr>
              <w:t>- Article 21 reporting</w:t>
            </w:r>
          </w:p>
        </w:tc>
        <w:tc>
          <w:tcPr>
            <w:tcW w:w="2354" w:type="dxa"/>
          </w:tcPr>
          <w:p w14:paraId="7F91611B" w14:textId="77777777" w:rsidR="00AC4D96" w:rsidRPr="00C56B34" w:rsidRDefault="00AC4D96" w:rsidP="00AC4D96">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AC4D96" w:rsidRPr="00C56B34" w14:paraId="2A822421" w14:textId="77777777" w:rsidTr="00567037">
        <w:tc>
          <w:tcPr>
            <w:tcW w:w="2830" w:type="dxa"/>
          </w:tcPr>
          <w:p w14:paraId="5358DA64"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H6.  Process indicator for Article 18</w:t>
            </w:r>
          </w:p>
        </w:tc>
        <w:tc>
          <w:tcPr>
            <w:tcW w:w="5245" w:type="dxa"/>
          </w:tcPr>
          <w:p w14:paraId="12BF0519"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Style w:val="dn"/>
                <w:rFonts w:asciiTheme="majorBidi" w:eastAsia="Roboto" w:hAnsiTheme="majorBidi" w:cstheme="majorBidi"/>
              </w:rPr>
              <w:t>Number of parties undertaking risk communication relating to mercury consumption</w:t>
            </w:r>
          </w:p>
        </w:tc>
        <w:tc>
          <w:tcPr>
            <w:tcW w:w="2521" w:type="dxa"/>
          </w:tcPr>
          <w:p w14:paraId="45335098"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Fonts w:asciiTheme="majorBidi" w:hAnsiTheme="majorBidi" w:cstheme="majorBidi"/>
                <w:iCs/>
              </w:rPr>
              <w:t>- Article 21 reporting</w:t>
            </w:r>
          </w:p>
        </w:tc>
        <w:tc>
          <w:tcPr>
            <w:tcW w:w="2354" w:type="dxa"/>
          </w:tcPr>
          <w:p w14:paraId="5CA7C01E"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AC4D96" w:rsidRPr="00C56B34" w14:paraId="0C2561C3" w14:textId="77777777" w:rsidTr="00150A5C">
        <w:tc>
          <w:tcPr>
            <w:tcW w:w="2830" w:type="dxa"/>
            <w:shd w:val="clear" w:color="auto" w:fill="D9D9D9" w:themeFill="background1" w:themeFillShade="D9"/>
          </w:tcPr>
          <w:p w14:paraId="5DB0C8AC"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b/>
                <w:bCs/>
              </w:rPr>
            </w:pPr>
            <w:r w:rsidRPr="00C56B34">
              <w:rPr>
                <w:rFonts w:asciiTheme="majorBidi" w:hAnsiTheme="majorBidi" w:cstheme="majorBidi"/>
                <w:b/>
                <w:bCs/>
              </w:rPr>
              <w:t>Article 19</w:t>
            </w:r>
          </w:p>
        </w:tc>
        <w:tc>
          <w:tcPr>
            <w:tcW w:w="5245" w:type="dxa"/>
            <w:shd w:val="clear" w:color="auto" w:fill="D9D9D9" w:themeFill="background1" w:themeFillShade="D9"/>
          </w:tcPr>
          <w:p w14:paraId="620F61A6"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521" w:type="dxa"/>
            <w:shd w:val="clear" w:color="auto" w:fill="D9D9D9" w:themeFill="background1" w:themeFillShade="D9"/>
          </w:tcPr>
          <w:p w14:paraId="0321FE1E"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354" w:type="dxa"/>
            <w:shd w:val="clear" w:color="auto" w:fill="D9D9D9" w:themeFill="background1" w:themeFillShade="D9"/>
          </w:tcPr>
          <w:p w14:paraId="4A1E6C16"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r>
      <w:tr w:rsidR="00AC4D96" w:rsidRPr="00C56B34" w14:paraId="222D222C" w14:textId="77777777" w:rsidTr="00567037">
        <w:tc>
          <w:tcPr>
            <w:tcW w:w="2830" w:type="dxa"/>
          </w:tcPr>
          <w:p w14:paraId="11243130" w14:textId="77777777" w:rsidR="00AC4D96" w:rsidRPr="00C56B34"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sidRPr="00C56B34">
              <w:rPr>
                <w:rFonts w:asciiTheme="majorBidi" w:hAnsiTheme="majorBidi" w:cstheme="majorBidi"/>
              </w:rPr>
              <w:t>H7. Process indicator for Article 19</w:t>
            </w:r>
          </w:p>
        </w:tc>
        <w:tc>
          <w:tcPr>
            <w:tcW w:w="5245" w:type="dxa"/>
          </w:tcPr>
          <w:p w14:paraId="347FAC85" w14:textId="77777777" w:rsidR="00AC4D96" w:rsidRPr="00D73813" w:rsidRDefault="00AC4D96" w:rsidP="00AC4D96">
            <w:pPr>
              <w:pBdr>
                <w:top w:val="nil"/>
                <w:left w:val="nil"/>
                <w:bottom w:val="nil"/>
                <w:right w:val="nil"/>
                <w:between w:val="nil"/>
                <w:bar w:val="nil"/>
              </w:pBdr>
              <w:rPr>
                <w:rFonts w:asciiTheme="majorBidi" w:eastAsia="Roboto" w:hAnsiTheme="majorBidi" w:cstheme="majorBidi"/>
              </w:rPr>
            </w:pPr>
            <w:r w:rsidRPr="00D73813">
              <w:rPr>
                <w:rStyle w:val="dn"/>
                <w:rFonts w:asciiTheme="majorBidi" w:eastAsia="Roboto" w:hAnsiTheme="majorBidi" w:cstheme="majorBidi"/>
              </w:rPr>
              <w:t xml:space="preserve">Number of parties that have undertaken research, development and monitoring in accordance with paragraph 1 of article 19 </w:t>
            </w:r>
          </w:p>
          <w:p w14:paraId="210A38FE" w14:textId="77777777" w:rsidR="00AC4D96" w:rsidRPr="00D73813" w:rsidRDefault="00AC4D96" w:rsidP="00AC4D96">
            <w:pPr>
              <w:pBdr>
                <w:top w:val="nil"/>
                <w:left w:val="nil"/>
                <w:bottom w:val="nil"/>
                <w:right w:val="nil"/>
                <w:between w:val="nil"/>
                <w:bar w:val="nil"/>
              </w:pBdr>
              <w:tabs>
                <w:tab w:val="left" w:pos="1163"/>
                <w:tab w:val="left" w:pos="1247"/>
                <w:tab w:val="left" w:pos="1814"/>
                <w:tab w:val="left" w:pos="2381"/>
                <w:tab w:val="left" w:pos="2948"/>
                <w:tab w:val="left" w:pos="3515"/>
              </w:tabs>
              <w:rPr>
                <w:rStyle w:val="dn"/>
                <w:rFonts w:asciiTheme="majorBidi" w:eastAsia="Roboto" w:hAnsiTheme="majorBidi" w:cstheme="majorBidi"/>
              </w:rPr>
            </w:pPr>
          </w:p>
        </w:tc>
        <w:tc>
          <w:tcPr>
            <w:tcW w:w="2521" w:type="dxa"/>
          </w:tcPr>
          <w:p w14:paraId="2039377A" w14:textId="77777777" w:rsidR="00AC4D96" w:rsidRPr="00C56B34" w:rsidRDefault="00AC4D96" w:rsidP="00AC4D96">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iCs/>
              </w:rPr>
              <w:t>- Article 21 reporting</w:t>
            </w:r>
          </w:p>
        </w:tc>
        <w:tc>
          <w:tcPr>
            <w:tcW w:w="2354" w:type="dxa"/>
          </w:tcPr>
          <w:p w14:paraId="4E11F692" w14:textId="77777777" w:rsidR="00AC4D96" w:rsidRPr="00C56B34" w:rsidRDefault="00AC4D96" w:rsidP="00AC4D96">
            <w:pPr>
              <w:pBdr>
                <w:top w:val="nil"/>
                <w:left w:val="nil"/>
                <w:bottom w:val="nil"/>
                <w:right w:val="nil"/>
                <w:between w:val="nil"/>
                <w:bar w:val="nil"/>
              </w:pBdr>
              <w:rPr>
                <w:rStyle w:val="dn"/>
                <w:rFonts w:asciiTheme="majorBidi" w:eastAsia="Roboto" w:hAnsiTheme="majorBidi" w:cstheme="majorBidi"/>
              </w:rPr>
            </w:pPr>
            <w:r w:rsidRPr="00C56B34">
              <w:rPr>
                <w:rFonts w:asciiTheme="majorBidi" w:hAnsiTheme="majorBidi" w:cstheme="majorBidi"/>
              </w:rPr>
              <w:t>Baseline number in the first evaluation</w:t>
            </w:r>
          </w:p>
        </w:tc>
      </w:tr>
      <w:tr w:rsidR="00DB2543" w:rsidRPr="00C56B34" w14:paraId="73B856F1" w14:textId="77777777" w:rsidTr="00567037">
        <w:tc>
          <w:tcPr>
            <w:tcW w:w="2830" w:type="dxa"/>
          </w:tcPr>
          <w:p w14:paraId="55FBFAC4" w14:textId="5C6310AA" w:rsidR="00DB2543" w:rsidRPr="00C56B34" w:rsidRDefault="00DB2543" w:rsidP="00AC4D96">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Pr>
                <w:rFonts w:asciiTheme="majorBidi" w:hAnsiTheme="majorBidi" w:cstheme="majorBidi"/>
              </w:rPr>
              <w:t>H8. Process indicator for Article 19</w:t>
            </w:r>
          </w:p>
        </w:tc>
        <w:tc>
          <w:tcPr>
            <w:tcW w:w="5245" w:type="dxa"/>
          </w:tcPr>
          <w:p w14:paraId="3ED003B3" w14:textId="5638B532" w:rsidR="00DB2543" w:rsidRPr="00D73813" w:rsidRDefault="00DB2543" w:rsidP="00AC4D96">
            <w:pPr>
              <w:pBdr>
                <w:top w:val="nil"/>
                <w:left w:val="nil"/>
                <w:bottom w:val="nil"/>
                <w:right w:val="nil"/>
                <w:between w:val="nil"/>
                <w:bar w:val="nil"/>
              </w:pBdr>
              <w:rPr>
                <w:rStyle w:val="dn"/>
                <w:rFonts w:asciiTheme="majorBidi" w:eastAsia="Roboto" w:hAnsiTheme="majorBidi" w:cstheme="majorBidi"/>
              </w:rPr>
            </w:pPr>
            <w:r>
              <w:rPr>
                <w:rStyle w:val="dn"/>
                <w:rFonts w:asciiTheme="majorBidi" w:eastAsia="Roboto" w:hAnsiTheme="majorBidi" w:cstheme="majorBidi"/>
              </w:rPr>
              <w:t>N</w:t>
            </w:r>
            <w:r>
              <w:rPr>
                <w:rStyle w:val="dn"/>
                <w:rFonts w:eastAsia="Roboto"/>
              </w:rPr>
              <w:t>umber of parties contributing data and knowledge to integrated assessments</w:t>
            </w:r>
          </w:p>
        </w:tc>
        <w:tc>
          <w:tcPr>
            <w:tcW w:w="2521" w:type="dxa"/>
          </w:tcPr>
          <w:p w14:paraId="4D2AC357" w14:textId="01C53355" w:rsidR="00DB2543" w:rsidRPr="00C56B34" w:rsidRDefault="00DB2543" w:rsidP="00AC4D96">
            <w:pPr>
              <w:pBdr>
                <w:top w:val="nil"/>
                <w:left w:val="nil"/>
                <w:bottom w:val="nil"/>
                <w:right w:val="nil"/>
                <w:between w:val="nil"/>
                <w:bar w:val="nil"/>
              </w:pBdr>
              <w:rPr>
                <w:rFonts w:asciiTheme="majorBidi" w:hAnsiTheme="majorBidi" w:cstheme="majorBidi"/>
                <w:iCs/>
              </w:rPr>
            </w:pPr>
            <w:r>
              <w:rPr>
                <w:rFonts w:asciiTheme="majorBidi" w:hAnsiTheme="majorBidi" w:cstheme="majorBidi"/>
                <w:iCs/>
              </w:rPr>
              <w:t>- Existing monitoring networks, databases, scientific data and literature</w:t>
            </w:r>
          </w:p>
        </w:tc>
        <w:tc>
          <w:tcPr>
            <w:tcW w:w="2354" w:type="dxa"/>
          </w:tcPr>
          <w:p w14:paraId="7C94CE39" w14:textId="4196AE2E" w:rsidR="00DB2543" w:rsidRPr="00C56B34" w:rsidRDefault="00DB2543" w:rsidP="00AC4D96">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number in the first evaluation</w:t>
            </w:r>
          </w:p>
        </w:tc>
      </w:tr>
      <w:tr w:rsidR="00DB2543" w:rsidRPr="00C56B34" w14:paraId="61136432" w14:textId="77777777" w:rsidTr="00567037">
        <w:tc>
          <w:tcPr>
            <w:tcW w:w="2830" w:type="dxa"/>
          </w:tcPr>
          <w:p w14:paraId="68860A45" w14:textId="352CBCAE" w:rsidR="00DB2543" w:rsidRDefault="00DB2543" w:rsidP="00AC4D96">
            <w:pPr>
              <w:pBdr>
                <w:top w:val="nil"/>
                <w:left w:val="nil"/>
                <w:bottom w:val="nil"/>
                <w:right w:val="nil"/>
                <w:between w:val="nil"/>
                <w:bar w:val="nil"/>
              </w:pBdr>
              <w:tabs>
                <w:tab w:val="left" w:pos="1163"/>
                <w:tab w:val="left" w:pos="1247"/>
                <w:tab w:val="left" w:pos="1814"/>
                <w:tab w:val="left" w:pos="2381"/>
                <w:tab w:val="left" w:pos="2948"/>
                <w:tab w:val="left" w:pos="3515"/>
              </w:tabs>
              <w:rPr>
                <w:rFonts w:asciiTheme="majorBidi" w:hAnsiTheme="majorBidi" w:cstheme="majorBidi"/>
              </w:rPr>
            </w:pPr>
            <w:r>
              <w:rPr>
                <w:rFonts w:asciiTheme="majorBidi" w:hAnsiTheme="majorBidi" w:cstheme="majorBidi"/>
              </w:rPr>
              <w:t xml:space="preserve">H9. Additional process indicator for Article 19 </w:t>
            </w:r>
          </w:p>
        </w:tc>
        <w:tc>
          <w:tcPr>
            <w:tcW w:w="5245" w:type="dxa"/>
          </w:tcPr>
          <w:p w14:paraId="7944E868" w14:textId="600BD308" w:rsidR="00DB2543" w:rsidRDefault="00DB2543" w:rsidP="00AC4D96">
            <w:pPr>
              <w:pBdr>
                <w:top w:val="nil"/>
                <w:left w:val="nil"/>
                <w:bottom w:val="nil"/>
                <w:right w:val="nil"/>
                <w:between w:val="nil"/>
                <w:bar w:val="nil"/>
              </w:pBdr>
              <w:rPr>
                <w:rStyle w:val="dn"/>
                <w:rFonts w:asciiTheme="majorBidi" w:eastAsia="Roboto" w:hAnsiTheme="majorBidi" w:cstheme="majorBidi"/>
              </w:rPr>
            </w:pPr>
            <w:r>
              <w:rPr>
                <w:rStyle w:val="dn"/>
                <w:rFonts w:asciiTheme="majorBidi" w:eastAsia="Roboto" w:hAnsiTheme="majorBidi" w:cstheme="majorBidi"/>
              </w:rPr>
              <w:t>N</w:t>
            </w:r>
            <w:r>
              <w:rPr>
                <w:rStyle w:val="dn"/>
                <w:rFonts w:eastAsia="Roboto"/>
              </w:rPr>
              <w:t>umber of regions contributing to a regional dataset</w:t>
            </w:r>
          </w:p>
        </w:tc>
        <w:tc>
          <w:tcPr>
            <w:tcW w:w="2521" w:type="dxa"/>
          </w:tcPr>
          <w:p w14:paraId="6394DAD6" w14:textId="65B63570" w:rsidR="00DB2543" w:rsidRDefault="00DB2543" w:rsidP="00AC4D96">
            <w:pPr>
              <w:pBdr>
                <w:top w:val="nil"/>
                <w:left w:val="nil"/>
                <w:bottom w:val="nil"/>
                <w:right w:val="nil"/>
                <w:between w:val="nil"/>
                <w:bar w:val="nil"/>
              </w:pBdr>
              <w:rPr>
                <w:rFonts w:asciiTheme="majorBidi" w:hAnsiTheme="majorBidi" w:cstheme="majorBidi"/>
                <w:iCs/>
              </w:rPr>
            </w:pPr>
            <w:r>
              <w:rPr>
                <w:rFonts w:asciiTheme="majorBidi" w:hAnsiTheme="majorBidi" w:cstheme="majorBidi"/>
                <w:iCs/>
              </w:rPr>
              <w:t>- Existing monitoring networks, databases, scientific data and literature</w:t>
            </w:r>
          </w:p>
        </w:tc>
        <w:tc>
          <w:tcPr>
            <w:tcW w:w="2354" w:type="dxa"/>
          </w:tcPr>
          <w:p w14:paraId="609C23B9" w14:textId="75BF106D" w:rsidR="00DB2543" w:rsidRPr="00C56B34" w:rsidRDefault="00DB2543" w:rsidP="00AC4D96">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number in the first evaluation</w:t>
            </w:r>
          </w:p>
        </w:tc>
      </w:tr>
      <w:tr w:rsidR="00AC4D96" w:rsidRPr="00C56B34" w14:paraId="62E85923" w14:textId="77777777" w:rsidTr="00567037">
        <w:tc>
          <w:tcPr>
            <w:tcW w:w="2830" w:type="dxa"/>
            <w:shd w:val="clear" w:color="auto" w:fill="D9D9D9" w:themeFill="background1" w:themeFillShade="D9"/>
          </w:tcPr>
          <w:p w14:paraId="3884B160" w14:textId="77777777" w:rsidR="00AC4D96" w:rsidRPr="00C56B34" w:rsidRDefault="00AC4D96" w:rsidP="00AC4D96">
            <w:pPr>
              <w:rPr>
                <w:rFonts w:asciiTheme="majorBidi" w:hAnsiTheme="majorBidi" w:cstheme="majorBidi"/>
                <w:b/>
                <w:bCs/>
                <w:highlight w:val="yellow"/>
              </w:rPr>
            </w:pPr>
            <w:r w:rsidRPr="00C56B34">
              <w:rPr>
                <w:rFonts w:asciiTheme="majorBidi" w:hAnsiTheme="majorBidi" w:cstheme="majorBidi"/>
                <w:b/>
                <w:bCs/>
              </w:rPr>
              <w:t>Notes</w:t>
            </w:r>
          </w:p>
        </w:tc>
        <w:tc>
          <w:tcPr>
            <w:tcW w:w="10120" w:type="dxa"/>
            <w:gridSpan w:val="3"/>
          </w:tcPr>
          <w:p w14:paraId="5838454D" w14:textId="77777777" w:rsidR="00AC4D96" w:rsidRDefault="00D73813" w:rsidP="0025348A">
            <w:pPr>
              <w:pStyle w:val="ListParagraph"/>
              <w:numPr>
                <w:ilvl w:val="0"/>
                <w:numId w:val="36"/>
              </w:numPr>
              <w:tabs>
                <w:tab w:val="clear" w:pos="1247"/>
              </w:tabs>
              <w:rPr>
                <w:rFonts w:asciiTheme="majorBidi" w:eastAsia="Times New Roman" w:hAnsiTheme="majorBidi" w:cstheme="majorBidi"/>
              </w:rPr>
            </w:pPr>
            <w:r>
              <w:rPr>
                <w:rFonts w:asciiTheme="majorBidi" w:eastAsia="Times New Roman" w:hAnsiTheme="majorBidi" w:cstheme="majorBidi"/>
              </w:rPr>
              <w:t xml:space="preserve">Submissions to the Secretariat that supplement article 21 reporting. </w:t>
            </w:r>
          </w:p>
          <w:p w14:paraId="55957CFA" w14:textId="24291C88" w:rsidR="00FA267C" w:rsidRPr="00D73813" w:rsidRDefault="00FA267C" w:rsidP="00FA267C">
            <w:pPr>
              <w:pStyle w:val="ListParagraph"/>
              <w:ind w:left="360"/>
              <w:rPr>
                <w:rFonts w:asciiTheme="majorBidi" w:eastAsia="Times New Roman" w:hAnsiTheme="majorBidi" w:cstheme="majorBidi"/>
              </w:rPr>
            </w:pPr>
          </w:p>
        </w:tc>
      </w:tr>
    </w:tbl>
    <w:p w14:paraId="06B07726" w14:textId="77777777" w:rsidR="00914E5C" w:rsidRPr="00C56B34" w:rsidRDefault="00914E5C" w:rsidP="00914E5C">
      <w:pPr>
        <w:spacing w:after="0"/>
        <w:rPr>
          <w:rFonts w:asciiTheme="majorBidi" w:hAnsiTheme="majorBidi" w:cstheme="majorBidi"/>
        </w:rPr>
      </w:pPr>
    </w:p>
    <w:tbl>
      <w:tblPr>
        <w:tblStyle w:val="TableGrid"/>
        <w:tblW w:w="12895" w:type="dxa"/>
        <w:tblLook w:val="04A0" w:firstRow="1" w:lastRow="0" w:firstColumn="1" w:lastColumn="0" w:noHBand="0" w:noVBand="1"/>
      </w:tblPr>
      <w:tblGrid>
        <w:gridCol w:w="2807"/>
        <w:gridCol w:w="5268"/>
        <w:gridCol w:w="2551"/>
        <w:gridCol w:w="2269"/>
      </w:tblGrid>
      <w:tr w:rsidR="00914E5C" w:rsidRPr="00C56B34" w14:paraId="2B9D90DC" w14:textId="77777777" w:rsidTr="006E1DA8">
        <w:tc>
          <w:tcPr>
            <w:tcW w:w="8075" w:type="dxa"/>
            <w:gridSpan w:val="2"/>
            <w:shd w:val="clear" w:color="auto" w:fill="D9D9D9" w:themeFill="background1" w:themeFillShade="D9"/>
          </w:tcPr>
          <w:p w14:paraId="3AD7A1B4" w14:textId="3B194B4D" w:rsidR="00914E5C" w:rsidRPr="00C56B34" w:rsidRDefault="00914E5C" w:rsidP="00567037">
            <w:pPr>
              <w:rPr>
                <w:rFonts w:asciiTheme="majorBidi" w:eastAsia="Roboto" w:hAnsiTheme="majorBidi" w:cstheme="majorBidi"/>
                <w:b/>
                <w:lang w:eastAsia="en-US"/>
              </w:rPr>
            </w:pPr>
            <w:r w:rsidRPr="00CD7809">
              <w:rPr>
                <w:rStyle w:val="dn"/>
                <w:rFonts w:asciiTheme="majorBidi" w:eastAsia="Roboto" w:hAnsiTheme="majorBidi" w:cstheme="majorBidi"/>
                <w:b/>
              </w:rPr>
              <w:t>I: Minamata Convention Article 2</w:t>
            </w:r>
            <w:r w:rsidR="00A663FF" w:rsidRPr="00CD7809">
              <w:rPr>
                <w:rStyle w:val="dn"/>
                <w:rFonts w:asciiTheme="majorBidi" w:eastAsia="Roboto" w:hAnsiTheme="majorBidi" w:cstheme="majorBidi"/>
                <w:b/>
              </w:rPr>
              <w:t>0</w:t>
            </w:r>
            <w:r w:rsidRPr="00CD7809">
              <w:rPr>
                <w:rStyle w:val="dn"/>
                <w:rFonts w:asciiTheme="majorBidi" w:eastAsia="Roboto" w:hAnsiTheme="majorBidi" w:cstheme="majorBidi"/>
                <w:b/>
              </w:rPr>
              <w:t xml:space="preserve">: </w:t>
            </w:r>
            <w:r w:rsidR="00A663FF" w:rsidRPr="00CD7809">
              <w:rPr>
                <w:rStyle w:val="dn"/>
                <w:rFonts w:asciiTheme="majorBidi" w:eastAsia="Roboto" w:hAnsiTheme="majorBidi" w:cstheme="majorBidi"/>
                <w:b/>
              </w:rPr>
              <w:t>Implementation Plans</w:t>
            </w:r>
          </w:p>
        </w:tc>
        <w:tc>
          <w:tcPr>
            <w:tcW w:w="2551" w:type="dxa"/>
            <w:shd w:val="clear" w:color="auto" w:fill="D9D9D9" w:themeFill="background1" w:themeFillShade="D9"/>
          </w:tcPr>
          <w:p w14:paraId="7D63595E"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Fonts w:asciiTheme="majorBidi" w:hAnsiTheme="majorBidi" w:cstheme="majorBidi"/>
                <w:bCs/>
                <w:sz w:val="22"/>
                <w:szCs w:val="22"/>
              </w:rPr>
            </w:pPr>
            <w:r w:rsidRPr="00C56B34">
              <w:rPr>
                <w:rFonts w:asciiTheme="majorBidi" w:hAnsiTheme="majorBidi" w:cstheme="majorBidi"/>
                <w:b/>
                <w:bCs/>
                <w:sz w:val="22"/>
                <w:szCs w:val="22"/>
              </w:rPr>
              <w:t>Source of information on indicator</w:t>
            </w:r>
          </w:p>
        </w:tc>
        <w:tc>
          <w:tcPr>
            <w:tcW w:w="2269" w:type="dxa"/>
            <w:shd w:val="clear" w:color="auto" w:fill="D9D9D9" w:themeFill="background1" w:themeFillShade="D9"/>
          </w:tcPr>
          <w:p w14:paraId="67686953"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Fonts w:asciiTheme="majorBidi" w:hAnsiTheme="majorBidi" w:cstheme="majorBidi"/>
                <w:bCs/>
                <w:sz w:val="22"/>
                <w:szCs w:val="22"/>
              </w:rPr>
            </w:pPr>
            <w:r w:rsidRPr="00C56B34">
              <w:rPr>
                <w:rFonts w:asciiTheme="majorBidi" w:hAnsiTheme="majorBidi" w:cstheme="majorBidi"/>
                <w:b/>
                <w:bCs/>
                <w:sz w:val="22"/>
                <w:szCs w:val="22"/>
              </w:rPr>
              <w:t>Baseline for the indicator</w:t>
            </w:r>
          </w:p>
        </w:tc>
      </w:tr>
      <w:tr w:rsidR="00914E5C" w:rsidRPr="00C56B34" w14:paraId="3AFA8504" w14:textId="77777777" w:rsidTr="00567037">
        <w:tc>
          <w:tcPr>
            <w:tcW w:w="2807" w:type="dxa"/>
          </w:tcPr>
          <w:p w14:paraId="56CB1D7D" w14:textId="77777777" w:rsidR="00914E5C" w:rsidRPr="00C56B34" w:rsidRDefault="00914E5C" w:rsidP="00567037">
            <w:pPr>
              <w:rPr>
                <w:rFonts w:asciiTheme="majorBidi" w:hAnsiTheme="majorBidi" w:cstheme="majorBidi"/>
              </w:rPr>
            </w:pPr>
            <w:r w:rsidRPr="00C56B34">
              <w:rPr>
                <w:rFonts w:asciiTheme="majorBidi" w:hAnsiTheme="majorBidi" w:cstheme="majorBidi"/>
              </w:rPr>
              <w:t>I1. Process indicator</w:t>
            </w:r>
          </w:p>
        </w:tc>
        <w:tc>
          <w:tcPr>
            <w:tcW w:w="5268" w:type="dxa"/>
          </w:tcPr>
          <w:p w14:paraId="49372EE2" w14:textId="44D4FF7D" w:rsidR="00914E5C" w:rsidRPr="00C56B34" w:rsidRDefault="00A663FF" w:rsidP="00567037">
            <w:pPr>
              <w:pBdr>
                <w:top w:val="nil"/>
                <w:left w:val="nil"/>
                <w:bottom w:val="nil"/>
                <w:right w:val="nil"/>
                <w:between w:val="nil"/>
                <w:bar w:val="nil"/>
              </w:pBdr>
              <w:rPr>
                <w:rFonts w:asciiTheme="majorBidi" w:eastAsia="Roboto" w:hAnsiTheme="majorBidi" w:cstheme="majorBidi"/>
              </w:rPr>
            </w:pPr>
            <w:r>
              <w:rPr>
                <w:rStyle w:val="dn"/>
                <w:rFonts w:eastAsia="Roboto"/>
              </w:rPr>
              <w:t>Number of parties submitting implementation plans</w:t>
            </w:r>
          </w:p>
          <w:p w14:paraId="650E7236" w14:textId="77777777" w:rsidR="00914E5C" w:rsidRPr="00C56B34" w:rsidRDefault="00914E5C" w:rsidP="00567037">
            <w:pPr>
              <w:rPr>
                <w:rFonts w:asciiTheme="majorBidi" w:hAnsiTheme="majorBidi" w:cstheme="majorBidi"/>
              </w:rPr>
            </w:pPr>
          </w:p>
        </w:tc>
        <w:tc>
          <w:tcPr>
            <w:tcW w:w="2551" w:type="dxa"/>
          </w:tcPr>
          <w:p w14:paraId="764060D9" w14:textId="531DBFDD" w:rsidR="00914E5C" w:rsidRPr="00A663FF" w:rsidRDefault="00A663FF" w:rsidP="00A663FF">
            <w:pPr>
              <w:ind w:right="-1295"/>
              <w:rPr>
                <w:iCs/>
              </w:rPr>
            </w:pPr>
            <w:r>
              <w:rPr>
                <w:iCs/>
              </w:rPr>
              <w:t xml:space="preserve">- </w:t>
            </w:r>
            <w:r w:rsidR="00CD7809">
              <w:rPr>
                <w:iCs/>
              </w:rPr>
              <w:t>S</w:t>
            </w:r>
            <w:r w:rsidRPr="00A663FF">
              <w:rPr>
                <w:iCs/>
              </w:rPr>
              <w:t>ecretariat report to the COP on national submissions</w:t>
            </w:r>
          </w:p>
        </w:tc>
        <w:tc>
          <w:tcPr>
            <w:tcW w:w="2269" w:type="dxa"/>
          </w:tcPr>
          <w:p w14:paraId="1ED05FDE" w14:textId="77777777" w:rsidR="00914E5C" w:rsidRPr="00C56B34" w:rsidRDefault="00914E5C" w:rsidP="00567037">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zero</w:t>
            </w:r>
          </w:p>
        </w:tc>
      </w:tr>
      <w:tr w:rsidR="00CD7809" w:rsidRPr="00C56B34" w14:paraId="0EFABE83" w14:textId="77777777" w:rsidTr="00C10CD1">
        <w:tc>
          <w:tcPr>
            <w:tcW w:w="2807" w:type="dxa"/>
            <w:shd w:val="clear" w:color="auto" w:fill="D9D9D9" w:themeFill="background1" w:themeFillShade="D9"/>
          </w:tcPr>
          <w:p w14:paraId="60A622E8" w14:textId="77777777" w:rsidR="00CD7809" w:rsidRPr="00C56B34" w:rsidRDefault="00CD7809" w:rsidP="00567037">
            <w:pPr>
              <w:rPr>
                <w:rFonts w:asciiTheme="majorBidi" w:hAnsiTheme="majorBidi" w:cstheme="majorBidi"/>
                <w:b/>
                <w:bCs/>
              </w:rPr>
            </w:pPr>
            <w:r w:rsidRPr="00C56B34">
              <w:rPr>
                <w:rFonts w:asciiTheme="majorBidi" w:hAnsiTheme="majorBidi" w:cstheme="majorBidi"/>
                <w:b/>
                <w:bCs/>
              </w:rPr>
              <w:t>Notes</w:t>
            </w:r>
          </w:p>
        </w:tc>
        <w:tc>
          <w:tcPr>
            <w:tcW w:w="10088" w:type="dxa"/>
            <w:gridSpan w:val="3"/>
          </w:tcPr>
          <w:p w14:paraId="7A5E37EA" w14:textId="77777777" w:rsidR="00CD7809" w:rsidRDefault="00CD7809" w:rsidP="0025348A">
            <w:pPr>
              <w:pStyle w:val="ListParagraph"/>
              <w:numPr>
                <w:ilvl w:val="0"/>
                <w:numId w:val="37"/>
              </w:numPr>
              <w:tabs>
                <w:tab w:val="clear" w:pos="1247"/>
              </w:tabs>
              <w:rPr>
                <w:rStyle w:val="dn"/>
                <w:rFonts w:eastAsia="Roboto" w:cs="Times New Roman"/>
              </w:rPr>
            </w:pPr>
            <w:r w:rsidRPr="009C59C3">
              <w:rPr>
                <w:rStyle w:val="dn"/>
                <w:rFonts w:eastAsia="Roboto" w:cs="Times New Roman"/>
              </w:rPr>
              <w:t>Parties do not have the obligation to prepare implementation plans. Some Parties found it useful to prepare such a plan nevertheless, and submit it to the Secretariat.</w:t>
            </w:r>
          </w:p>
          <w:p w14:paraId="79D58275" w14:textId="02365B6E" w:rsidR="00280B7B" w:rsidRPr="009C59C3" w:rsidRDefault="00280B7B" w:rsidP="00280B7B">
            <w:pPr>
              <w:pStyle w:val="ListParagraph"/>
              <w:rPr>
                <w:rStyle w:val="dn"/>
                <w:rFonts w:eastAsia="Roboto" w:cs="Times New Roman"/>
              </w:rPr>
            </w:pPr>
          </w:p>
        </w:tc>
      </w:tr>
    </w:tbl>
    <w:p w14:paraId="446B72BE" w14:textId="77777777" w:rsidR="00914E5C" w:rsidRPr="00C56B34" w:rsidRDefault="00914E5C" w:rsidP="00914E5C">
      <w:pPr>
        <w:spacing w:after="0"/>
        <w:rPr>
          <w:rFonts w:asciiTheme="majorBidi" w:hAnsiTheme="majorBidi" w:cstheme="majorBidi"/>
        </w:rPr>
      </w:pPr>
    </w:p>
    <w:tbl>
      <w:tblPr>
        <w:tblStyle w:val="TableGrid"/>
        <w:tblW w:w="12895" w:type="dxa"/>
        <w:tblLook w:val="04A0" w:firstRow="1" w:lastRow="0" w:firstColumn="1" w:lastColumn="0" w:noHBand="0" w:noVBand="1"/>
      </w:tblPr>
      <w:tblGrid>
        <w:gridCol w:w="2807"/>
        <w:gridCol w:w="5268"/>
        <w:gridCol w:w="2551"/>
        <w:gridCol w:w="2269"/>
      </w:tblGrid>
      <w:tr w:rsidR="00914E5C" w:rsidRPr="00C56B34" w14:paraId="5EC7572E" w14:textId="77777777" w:rsidTr="006E1DA8">
        <w:tc>
          <w:tcPr>
            <w:tcW w:w="8075" w:type="dxa"/>
            <w:gridSpan w:val="2"/>
            <w:shd w:val="clear" w:color="auto" w:fill="D9D9D9" w:themeFill="background1" w:themeFillShade="D9"/>
          </w:tcPr>
          <w:p w14:paraId="691DC3FA" w14:textId="77777777" w:rsidR="00914E5C" w:rsidRPr="00C56B34" w:rsidRDefault="00914E5C" w:rsidP="00567037">
            <w:pPr>
              <w:rPr>
                <w:rFonts w:asciiTheme="majorBidi" w:eastAsia="Roboto" w:hAnsiTheme="majorBidi" w:cstheme="majorBidi"/>
                <w:b/>
                <w:lang w:eastAsia="en-US"/>
              </w:rPr>
            </w:pPr>
            <w:r w:rsidRPr="00C56B34">
              <w:rPr>
                <w:rStyle w:val="dn"/>
                <w:rFonts w:asciiTheme="majorBidi" w:eastAsia="Roboto" w:hAnsiTheme="majorBidi" w:cstheme="majorBidi"/>
                <w:b/>
              </w:rPr>
              <w:t>J: Minamata Convention Article 21: Reporting</w:t>
            </w:r>
          </w:p>
        </w:tc>
        <w:tc>
          <w:tcPr>
            <w:tcW w:w="2551" w:type="dxa"/>
            <w:shd w:val="clear" w:color="auto" w:fill="D9D9D9" w:themeFill="background1" w:themeFillShade="D9"/>
          </w:tcPr>
          <w:p w14:paraId="35F44FAC"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Fonts w:asciiTheme="majorBidi" w:hAnsiTheme="majorBidi" w:cstheme="majorBidi"/>
                <w:bCs/>
                <w:sz w:val="22"/>
                <w:szCs w:val="22"/>
              </w:rPr>
            </w:pPr>
            <w:r w:rsidRPr="00C56B34">
              <w:rPr>
                <w:rFonts w:asciiTheme="majorBidi" w:hAnsiTheme="majorBidi" w:cstheme="majorBidi"/>
                <w:b/>
                <w:bCs/>
                <w:sz w:val="22"/>
                <w:szCs w:val="22"/>
              </w:rPr>
              <w:t>Source of information on indicator</w:t>
            </w:r>
          </w:p>
        </w:tc>
        <w:tc>
          <w:tcPr>
            <w:tcW w:w="2269" w:type="dxa"/>
            <w:shd w:val="clear" w:color="auto" w:fill="D9D9D9" w:themeFill="background1" w:themeFillShade="D9"/>
          </w:tcPr>
          <w:p w14:paraId="78A14B01" w14:textId="77777777" w:rsidR="00914E5C" w:rsidRPr="00C56B34" w:rsidRDefault="00914E5C" w:rsidP="00567037">
            <w:pPr>
              <w:pStyle w:val="Normal-pool"/>
              <w:tabs>
                <w:tab w:val="clear" w:pos="1247"/>
                <w:tab w:val="clear" w:pos="1814"/>
                <w:tab w:val="clear" w:pos="2381"/>
                <w:tab w:val="clear" w:pos="2948"/>
                <w:tab w:val="clear" w:pos="3515"/>
                <w:tab w:val="clear" w:pos="4082"/>
              </w:tabs>
              <w:spacing w:after="120"/>
              <w:rPr>
                <w:rFonts w:asciiTheme="majorBidi" w:hAnsiTheme="majorBidi" w:cstheme="majorBidi"/>
                <w:bCs/>
                <w:sz w:val="22"/>
                <w:szCs w:val="22"/>
              </w:rPr>
            </w:pPr>
            <w:r w:rsidRPr="00C56B34">
              <w:rPr>
                <w:rFonts w:asciiTheme="majorBidi" w:hAnsiTheme="majorBidi" w:cstheme="majorBidi"/>
                <w:b/>
                <w:bCs/>
                <w:sz w:val="22"/>
                <w:szCs w:val="22"/>
              </w:rPr>
              <w:t>Baseline for the indicator</w:t>
            </w:r>
          </w:p>
        </w:tc>
      </w:tr>
      <w:tr w:rsidR="00B1440A" w:rsidRPr="00C56B34" w14:paraId="38FCE8A8" w14:textId="77777777" w:rsidTr="00567037">
        <w:tc>
          <w:tcPr>
            <w:tcW w:w="2807" w:type="dxa"/>
          </w:tcPr>
          <w:p w14:paraId="20685641" w14:textId="77777777" w:rsidR="00B1440A" w:rsidRPr="00C56B34" w:rsidRDefault="00B1440A" w:rsidP="00B1440A">
            <w:pPr>
              <w:rPr>
                <w:rFonts w:asciiTheme="majorBidi" w:hAnsiTheme="majorBidi" w:cstheme="majorBidi"/>
              </w:rPr>
            </w:pPr>
            <w:r w:rsidRPr="00C56B34">
              <w:rPr>
                <w:rFonts w:asciiTheme="majorBidi" w:hAnsiTheme="majorBidi" w:cstheme="majorBidi"/>
              </w:rPr>
              <w:t>J1. Process indicator</w:t>
            </w:r>
          </w:p>
        </w:tc>
        <w:tc>
          <w:tcPr>
            <w:tcW w:w="5268" w:type="dxa"/>
          </w:tcPr>
          <w:p w14:paraId="5DC1CD95" w14:textId="77777777" w:rsidR="00B1440A" w:rsidRPr="00C56B34" w:rsidRDefault="00B1440A" w:rsidP="00B1440A">
            <w:pPr>
              <w:pBdr>
                <w:top w:val="nil"/>
                <w:left w:val="nil"/>
                <w:bottom w:val="nil"/>
                <w:right w:val="nil"/>
                <w:between w:val="nil"/>
                <w:bar w:val="nil"/>
              </w:pBdr>
              <w:rPr>
                <w:rFonts w:asciiTheme="majorBidi" w:eastAsia="Roboto" w:hAnsiTheme="majorBidi" w:cstheme="majorBidi"/>
              </w:rPr>
            </w:pPr>
            <w:r w:rsidRPr="00C56B34">
              <w:rPr>
                <w:rStyle w:val="dn"/>
                <w:rFonts w:asciiTheme="majorBidi" w:eastAsia="Roboto" w:hAnsiTheme="majorBidi" w:cstheme="majorBidi"/>
              </w:rPr>
              <w:t>Proportion of parties reporting on time</w:t>
            </w:r>
          </w:p>
          <w:p w14:paraId="6EF8C264" w14:textId="77777777" w:rsidR="00B1440A" w:rsidRPr="00C56B34" w:rsidRDefault="00B1440A" w:rsidP="00B1440A">
            <w:pPr>
              <w:rPr>
                <w:rFonts w:asciiTheme="majorBidi" w:hAnsiTheme="majorBidi" w:cstheme="majorBidi"/>
              </w:rPr>
            </w:pPr>
          </w:p>
        </w:tc>
        <w:tc>
          <w:tcPr>
            <w:tcW w:w="2551" w:type="dxa"/>
          </w:tcPr>
          <w:p w14:paraId="58465A6E" w14:textId="2F37C5F7" w:rsidR="00B1440A" w:rsidRPr="00C56B34" w:rsidRDefault="00B1440A" w:rsidP="00B1440A">
            <w:pPr>
              <w:pBdr>
                <w:top w:val="nil"/>
                <w:left w:val="nil"/>
                <w:bottom w:val="nil"/>
                <w:right w:val="nil"/>
                <w:between w:val="nil"/>
                <w:bar w:val="nil"/>
              </w:pBdr>
              <w:ind w:right="-1295"/>
              <w:rPr>
                <w:rStyle w:val="dn"/>
                <w:rFonts w:asciiTheme="majorBidi" w:eastAsia="Roboto" w:hAnsiTheme="majorBidi" w:cstheme="majorBidi"/>
              </w:rPr>
            </w:pPr>
            <w:r w:rsidRPr="00C56B34">
              <w:rPr>
                <w:rFonts w:asciiTheme="majorBidi" w:hAnsiTheme="majorBidi" w:cstheme="majorBidi"/>
                <w:iCs/>
              </w:rPr>
              <w:t>- Article 21 reporting</w:t>
            </w:r>
          </w:p>
        </w:tc>
        <w:tc>
          <w:tcPr>
            <w:tcW w:w="2269" w:type="dxa"/>
          </w:tcPr>
          <w:p w14:paraId="1E082194" w14:textId="77777777" w:rsidR="00B1440A" w:rsidRPr="00C56B34" w:rsidRDefault="00B1440A" w:rsidP="00B1440A">
            <w:pPr>
              <w:pBdr>
                <w:top w:val="nil"/>
                <w:left w:val="nil"/>
                <w:bottom w:val="nil"/>
                <w:right w:val="nil"/>
                <w:between w:val="nil"/>
                <w:bar w:val="nil"/>
              </w:pBdr>
              <w:rPr>
                <w:rFonts w:asciiTheme="majorBidi" w:hAnsiTheme="majorBidi" w:cstheme="majorBidi"/>
              </w:rPr>
            </w:pPr>
            <w:r w:rsidRPr="00C56B34">
              <w:rPr>
                <w:rFonts w:asciiTheme="majorBidi" w:hAnsiTheme="majorBidi" w:cstheme="majorBidi"/>
              </w:rPr>
              <w:t>Baseline: % of the first submission on time</w:t>
            </w:r>
          </w:p>
        </w:tc>
      </w:tr>
      <w:tr w:rsidR="00B1440A" w:rsidRPr="00C56B34" w14:paraId="6E559065" w14:textId="77777777" w:rsidTr="00567037">
        <w:tc>
          <w:tcPr>
            <w:tcW w:w="2807" w:type="dxa"/>
          </w:tcPr>
          <w:p w14:paraId="59765038" w14:textId="77777777" w:rsidR="00B1440A" w:rsidRPr="00C56B34" w:rsidRDefault="00B1440A" w:rsidP="00B1440A">
            <w:pPr>
              <w:rPr>
                <w:rFonts w:asciiTheme="majorBidi" w:hAnsiTheme="majorBidi" w:cstheme="majorBidi"/>
              </w:rPr>
            </w:pPr>
            <w:r w:rsidRPr="00C56B34">
              <w:rPr>
                <w:rFonts w:asciiTheme="majorBidi" w:hAnsiTheme="majorBidi" w:cstheme="majorBidi"/>
              </w:rPr>
              <w:t>J2. Process indicator</w:t>
            </w:r>
          </w:p>
        </w:tc>
        <w:tc>
          <w:tcPr>
            <w:tcW w:w="5268" w:type="dxa"/>
          </w:tcPr>
          <w:p w14:paraId="2AF0505B" w14:textId="77777777" w:rsidR="00B1440A" w:rsidRPr="00C56B34" w:rsidRDefault="00B1440A" w:rsidP="00B1440A">
            <w:pPr>
              <w:rPr>
                <w:rFonts w:asciiTheme="majorBidi" w:hAnsiTheme="majorBidi" w:cstheme="majorBidi"/>
              </w:rPr>
            </w:pPr>
            <w:r w:rsidRPr="00C56B34">
              <w:rPr>
                <w:rStyle w:val="dn"/>
                <w:rFonts w:asciiTheme="majorBidi" w:eastAsia="Roboto" w:hAnsiTheme="majorBidi" w:cstheme="majorBidi"/>
              </w:rPr>
              <w:t>Proportion of parties indicating that information is not available for specific questions</w:t>
            </w:r>
          </w:p>
        </w:tc>
        <w:tc>
          <w:tcPr>
            <w:tcW w:w="2551" w:type="dxa"/>
          </w:tcPr>
          <w:p w14:paraId="60478EFE" w14:textId="0A26DC3F" w:rsidR="00B1440A" w:rsidRPr="00C56B34" w:rsidRDefault="00B1440A" w:rsidP="00B1440A">
            <w:pPr>
              <w:ind w:right="-1295"/>
              <w:rPr>
                <w:rStyle w:val="dn"/>
                <w:rFonts w:asciiTheme="majorBidi" w:eastAsia="Roboto" w:hAnsiTheme="majorBidi" w:cstheme="majorBidi"/>
              </w:rPr>
            </w:pPr>
            <w:r w:rsidRPr="00C56B34">
              <w:rPr>
                <w:rFonts w:asciiTheme="majorBidi" w:hAnsiTheme="majorBidi" w:cstheme="majorBidi"/>
                <w:iCs/>
              </w:rPr>
              <w:t>- Article 21 reporting</w:t>
            </w:r>
          </w:p>
        </w:tc>
        <w:tc>
          <w:tcPr>
            <w:tcW w:w="2269" w:type="dxa"/>
          </w:tcPr>
          <w:p w14:paraId="3445A19B" w14:textId="77777777" w:rsidR="00B1440A" w:rsidRPr="00C56B34" w:rsidRDefault="00B1440A" w:rsidP="00B1440A">
            <w:pPr>
              <w:rPr>
                <w:rFonts w:asciiTheme="majorBidi" w:hAnsiTheme="majorBidi" w:cstheme="majorBidi"/>
              </w:rPr>
            </w:pPr>
            <w:r w:rsidRPr="00C56B34">
              <w:rPr>
                <w:rFonts w:asciiTheme="majorBidi" w:hAnsiTheme="majorBidi" w:cstheme="majorBidi"/>
              </w:rPr>
              <w:t>Baseline: % not available in the first reports</w:t>
            </w:r>
          </w:p>
        </w:tc>
      </w:tr>
      <w:tr w:rsidR="00046355" w:rsidRPr="00C56B34" w14:paraId="5300A01E" w14:textId="77777777" w:rsidTr="00C10CD1">
        <w:tc>
          <w:tcPr>
            <w:tcW w:w="2807" w:type="dxa"/>
            <w:shd w:val="clear" w:color="auto" w:fill="D9D9D9" w:themeFill="background1" w:themeFillShade="D9"/>
          </w:tcPr>
          <w:p w14:paraId="639171C5" w14:textId="77777777" w:rsidR="00046355" w:rsidRPr="00C56B34" w:rsidRDefault="00046355" w:rsidP="00B1440A">
            <w:pPr>
              <w:rPr>
                <w:rFonts w:asciiTheme="majorBidi" w:hAnsiTheme="majorBidi" w:cstheme="majorBidi"/>
                <w:b/>
                <w:bCs/>
              </w:rPr>
            </w:pPr>
            <w:r w:rsidRPr="00C56B34">
              <w:rPr>
                <w:rFonts w:asciiTheme="majorBidi" w:hAnsiTheme="majorBidi" w:cstheme="majorBidi"/>
                <w:b/>
                <w:bCs/>
              </w:rPr>
              <w:lastRenderedPageBreak/>
              <w:t>Notes</w:t>
            </w:r>
          </w:p>
        </w:tc>
        <w:tc>
          <w:tcPr>
            <w:tcW w:w="10088" w:type="dxa"/>
            <w:gridSpan w:val="3"/>
          </w:tcPr>
          <w:p w14:paraId="6D926E0F" w14:textId="77777777" w:rsidR="00046355" w:rsidRPr="00046355" w:rsidRDefault="00046355" w:rsidP="0025348A">
            <w:pPr>
              <w:pStyle w:val="ListParagraph"/>
              <w:numPr>
                <w:ilvl w:val="0"/>
                <w:numId w:val="37"/>
              </w:numPr>
              <w:tabs>
                <w:tab w:val="clear" w:pos="1247"/>
              </w:tabs>
              <w:rPr>
                <w:rFonts w:asciiTheme="majorBidi" w:eastAsia="Times New Roman" w:hAnsiTheme="majorBidi" w:cstheme="majorBidi"/>
              </w:rPr>
            </w:pPr>
            <w:r w:rsidRPr="00046355">
              <w:rPr>
                <w:rFonts w:asciiTheme="majorBidi" w:eastAsia="Times New Roman" w:hAnsiTheme="majorBidi" w:cstheme="majorBidi"/>
              </w:rPr>
              <w:t>Parties are to report every two years.</w:t>
            </w:r>
          </w:p>
          <w:p w14:paraId="270DAF08" w14:textId="1E84F407" w:rsidR="00046355" w:rsidRPr="00C56B34" w:rsidRDefault="00046355" w:rsidP="00B1440A">
            <w:pPr>
              <w:rPr>
                <w:rFonts w:asciiTheme="majorBidi" w:hAnsiTheme="majorBidi" w:cstheme="majorBidi"/>
              </w:rPr>
            </w:pPr>
          </w:p>
        </w:tc>
      </w:tr>
    </w:tbl>
    <w:p w14:paraId="5A0B9369" w14:textId="77777777" w:rsidR="00914E5C" w:rsidRPr="00C56B34" w:rsidRDefault="00914E5C" w:rsidP="00914E5C">
      <w:pPr>
        <w:spacing w:after="0"/>
        <w:rPr>
          <w:rFonts w:asciiTheme="majorBidi" w:hAnsiTheme="majorBidi" w:cstheme="majorBidi"/>
        </w:rPr>
      </w:pPr>
    </w:p>
    <w:tbl>
      <w:tblPr>
        <w:tblStyle w:val="TableGrid"/>
        <w:tblW w:w="0" w:type="auto"/>
        <w:tblLook w:val="04A0" w:firstRow="1" w:lastRow="0" w:firstColumn="1" w:lastColumn="0" w:noHBand="0" w:noVBand="1"/>
      </w:tblPr>
      <w:tblGrid>
        <w:gridCol w:w="2778"/>
        <w:gridCol w:w="5297"/>
        <w:gridCol w:w="2437"/>
        <w:gridCol w:w="2438"/>
      </w:tblGrid>
      <w:tr w:rsidR="00914E5C" w:rsidRPr="00C56B34" w14:paraId="27116B5D" w14:textId="77777777" w:rsidTr="006E1DA8">
        <w:tc>
          <w:tcPr>
            <w:tcW w:w="8075" w:type="dxa"/>
            <w:gridSpan w:val="2"/>
            <w:shd w:val="clear" w:color="auto" w:fill="D9D9D9" w:themeFill="background1" w:themeFillShade="D9"/>
          </w:tcPr>
          <w:p w14:paraId="09230E4C" w14:textId="77777777" w:rsidR="00914E5C" w:rsidRPr="00C56B34" w:rsidRDefault="00914E5C" w:rsidP="00567037">
            <w:pPr>
              <w:rPr>
                <w:rFonts w:asciiTheme="majorBidi" w:eastAsia="Roboto" w:hAnsiTheme="majorBidi" w:cstheme="majorBidi"/>
                <w:b/>
                <w:lang w:eastAsia="en-US"/>
              </w:rPr>
            </w:pPr>
            <w:r w:rsidRPr="00C56B34">
              <w:rPr>
                <w:rStyle w:val="dn"/>
                <w:rFonts w:asciiTheme="majorBidi" w:eastAsia="Roboto" w:hAnsiTheme="majorBidi" w:cstheme="majorBidi"/>
                <w:b/>
              </w:rPr>
              <w:t>K: Minamata Convention Article 22: Effectiveness evaluation</w:t>
            </w:r>
          </w:p>
        </w:tc>
        <w:tc>
          <w:tcPr>
            <w:tcW w:w="2437" w:type="dxa"/>
            <w:shd w:val="clear" w:color="auto" w:fill="D9D9D9" w:themeFill="background1" w:themeFillShade="D9"/>
          </w:tcPr>
          <w:p w14:paraId="20E82359" w14:textId="77777777" w:rsidR="00914E5C" w:rsidRPr="00C56B34" w:rsidRDefault="00914E5C" w:rsidP="00567037">
            <w:pPr>
              <w:rPr>
                <w:rStyle w:val="dn"/>
                <w:rFonts w:asciiTheme="majorBidi" w:eastAsia="Roboto" w:hAnsiTheme="majorBidi" w:cstheme="majorBidi"/>
                <w:b/>
              </w:rPr>
            </w:pPr>
            <w:r w:rsidRPr="00C56B34">
              <w:rPr>
                <w:rFonts w:asciiTheme="majorBidi" w:hAnsiTheme="majorBidi" w:cstheme="majorBidi"/>
                <w:b/>
                <w:bCs/>
              </w:rPr>
              <w:t>Source of information on indicator</w:t>
            </w:r>
          </w:p>
        </w:tc>
        <w:tc>
          <w:tcPr>
            <w:tcW w:w="2438" w:type="dxa"/>
            <w:shd w:val="clear" w:color="auto" w:fill="D9D9D9" w:themeFill="background1" w:themeFillShade="D9"/>
          </w:tcPr>
          <w:p w14:paraId="04A0C77B" w14:textId="77777777" w:rsidR="00914E5C" w:rsidRPr="00C56B34" w:rsidRDefault="00914E5C" w:rsidP="00567037">
            <w:pPr>
              <w:rPr>
                <w:rStyle w:val="dn"/>
                <w:rFonts w:asciiTheme="majorBidi" w:eastAsia="Roboto" w:hAnsiTheme="majorBidi" w:cstheme="majorBidi"/>
                <w:b/>
              </w:rPr>
            </w:pPr>
            <w:r w:rsidRPr="00C56B34">
              <w:rPr>
                <w:rFonts w:asciiTheme="majorBidi" w:hAnsiTheme="majorBidi" w:cstheme="majorBidi"/>
                <w:b/>
                <w:bCs/>
              </w:rPr>
              <w:t>Baseline for the indicator</w:t>
            </w:r>
          </w:p>
        </w:tc>
      </w:tr>
      <w:tr w:rsidR="00914E5C" w:rsidRPr="00C56B34" w14:paraId="25EFDA36" w14:textId="77777777" w:rsidTr="00567037">
        <w:tc>
          <w:tcPr>
            <w:tcW w:w="2778" w:type="dxa"/>
          </w:tcPr>
          <w:p w14:paraId="625092AB" w14:textId="77777777" w:rsidR="00914E5C" w:rsidRPr="00C56B34" w:rsidRDefault="00914E5C" w:rsidP="00567037">
            <w:pPr>
              <w:rPr>
                <w:rFonts w:asciiTheme="majorBidi" w:hAnsiTheme="majorBidi" w:cstheme="majorBidi"/>
              </w:rPr>
            </w:pPr>
            <w:r w:rsidRPr="00C56B34">
              <w:rPr>
                <w:rFonts w:asciiTheme="majorBidi" w:hAnsiTheme="majorBidi" w:cstheme="majorBidi"/>
              </w:rPr>
              <w:t>K1. Process indicator</w:t>
            </w:r>
          </w:p>
        </w:tc>
        <w:tc>
          <w:tcPr>
            <w:tcW w:w="5297" w:type="dxa"/>
          </w:tcPr>
          <w:p w14:paraId="481799B0" w14:textId="77777777" w:rsidR="00914E5C" w:rsidRPr="00C56B34" w:rsidRDefault="00914E5C" w:rsidP="00567037">
            <w:pPr>
              <w:rPr>
                <w:rFonts w:asciiTheme="majorBidi" w:hAnsiTheme="majorBidi" w:cstheme="majorBidi"/>
              </w:rPr>
            </w:pPr>
            <w:r w:rsidRPr="00C56B34">
              <w:rPr>
                <w:rStyle w:val="dn"/>
                <w:rFonts w:asciiTheme="majorBidi" w:eastAsia="Roboto" w:hAnsiTheme="majorBidi" w:cstheme="majorBidi"/>
              </w:rPr>
              <w:t>Evidence of implementation of recommendations from effectiveness evaluation through decisions and actions of the Conference of the Parties</w:t>
            </w:r>
          </w:p>
        </w:tc>
        <w:tc>
          <w:tcPr>
            <w:tcW w:w="2437" w:type="dxa"/>
          </w:tcPr>
          <w:p w14:paraId="4C6FE089" w14:textId="77777777" w:rsidR="00914E5C" w:rsidRPr="00C56B34" w:rsidRDefault="00914E5C" w:rsidP="00567037">
            <w:pPr>
              <w:rPr>
                <w:rStyle w:val="dn"/>
                <w:rFonts w:asciiTheme="majorBidi" w:eastAsia="Roboto" w:hAnsiTheme="majorBidi" w:cstheme="majorBidi"/>
              </w:rPr>
            </w:pPr>
            <w:r w:rsidRPr="00C56B34">
              <w:rPr>
                <w:rStyle w:val="dn"/>
                <w:rFonts w:asciiTheme="majorBidi" w:eastAsia="Roboto" w:hAnsiTheme="majorBidi" w:cstheme="majorBidi"/>
              </w:rPr>
              <w:t>- COP report</w:t>
            </w:r>
          </w:p>
        </w:tc>
        <w:tc>
          <w:tcPr>
            <w:tcW w:w="2438" w:type="dxa"/>
          </w:tcPr>
          <w:p w14:paraId="7B05BB50" w14:textId="77777777" w:rsidR="00914E5C" w:rsidRPr="00C56B34" w:rsidRDefault="00914E5C" w:rsidP="00567037">
            <w:pPr>
              <w:rPr>
                <w:rStyle w:val="dn"/>
                <w:rFonts w:asciiTheme="majorBidi" w:eastAsia="Roboto" w:hAnsiTheme="majorBidi" w:cstheme="majorBidi"/>
              </w:rPr>
            </w:pPr>
            <w:r w:rsidRPr="00C56B34">
              <w:rPr>
                <w:rStyle w:val="dn"/>
                <w:rFonts w:asciiTheme="majorBidi" w:eastAsia="Roboto" w:hAnsiTheme="majorBidi" w:cstheme="majorBidi"/>
              </w:rPr>
              <w:t>Ba</w:t>
            </w:r>
            <w:r w:rsidRPr="00C56B34">
              <w:rPr>
                <w:rFonts w:asciiTheme="majorBidi" w:hAnsiTheme="majorBidi" w:cstheme="majorBidi"/>
              </w:rPr>
              <w:t>s</w:t>
            </w:r>
            <w:r w:rsidRPr="00C56B34">
              <w:rPr>
                <w:rStyle w:val="dn"/>
                <w:rFonts w:asciiTheme="majorBidi" w:eastAsia="Roboto" w:hAnsiTheme="majorBidi" w:cstheme="majorBidi"/>
              </w:rPr>
              <w:t>eline: zero</w:t>
            </w:r>
          </w:p>
        </w:tc>
      </w:tr>
      <w:tr w:rsidR="00914E5C" w:rsidRPr="00C56B34" w14:paraId="32334BFE" w14:textId="77777777" w:rsidTr="00567037">
        <w:tc>
          <w:tcPr>
            <w:tcW w:w="2778" w:type="dxa"/>
            <w:shd w:val="clear" w:color="auto" w:fill="D9D9D9" w:themeFill="background1" w:themeFillShade="D9"/>
          </w:tcPr>
          <w:p w14:paraId="7D92FDB0" w14:textId="77777777" w:rsidR="00914E5C" w:rsidRPr="00C56B34" w:rsidRDefault="00914E5C" w:rsidP="00567037">
            <w:pPr>
              <w:rPr>
                <w:rFonts w:asciiTheme="majorBidi" w:hAnsiTheme="majorBidi" w:cstheme="majorBidi"/>
                <w:b/>
                <w:bCs/>
              </w:rPr>
            </w:pPr>
            <w:r w:rsidRPr="00C56B34">
              <w:rPr>
                <w:rFonts w:asciiTheme="majorBidi" w:hAnsiTheme="majorBidi" w:cstheme="majorBidi"/>
                <w:b/>
                <w:bCs/>
              </w:rPr>
              <w:t>Notes</w:t>
            </w:r>
          </w:p>
        </w:tc>
        <w:tc>
          <w:tcPr>
            <w:tcW w:w="10172" w:type="dxa"/>
            <w:gridSpan w:val="3"/>
          </w:tcPr>
          <w:p w14:paraId="6D2ECE3F" w14:textId="77FB429C" w:rsidR="00B1440A" w:rsidRDefault="00914E5C" w:rsidP="0025348A">
            <w:pPr>
              <w:pStyle w:val="ListParagraph"/>
              <w:numPr>
                <w:ilvl w:val="0"/>
                <w:numId w:val="37"/>
              </w:numPr>
              <w:tabs>
                <w:tab w:val="clear" w:pos="1247"/>
              </w:tabs>
              <w:rPr>
                <w:rFonts w:asciiTheme="majorBidi" w:eastAsia="Times New Roman" w:hAnsiTheme="majorBidi" w:cstheme="majorBidi"/>
              </w:rPr>
            </w:pPr>
            <w:r w:rsidRPr="00B1440A">
              <w:rPr>
                <w:rFonts w:asciiTheme="majorBidi" w:eastAsia="Times New Roman" w:hAnsiTheme="majorBidi" w:cstheme="majorBidi"/>
              </w:rPr>
              <w:t xml:space="preserve">This article </w:t>
            </w:r>
            <w:r w:rsidR="00A7734F">
              <w:rPr>
                <w:rFonts w:asciiTheme="majorBidi" w:eastAsia="Times New Roman" w:hAnsiTheme="majorBidi" w:cstheme="majorBidi"/>
              </w:rPr>
              <w:t>will</w:t>
            </w:r>
            <w:r w:rsidRPr="00B1440A">
              <w:rPr>
                <w:rFonts w:asciiTheme="majorBidi" w:eastAsia="Times New Roman" w:hAnsiTheme="majorBidi" w:cstheme="majorBidi"/>
              </w:rPr>
              <w:t xml:space="preserve"> not be evaluated in the first evaluation</w:t>
            </w:r>
            <w:r w:rsidR="00B1440A" w:rsidRPr="00B1440A">
              <w:rPr>
                <w:rFonts w:asciiTheme="majorBidi" w:eastAsia="Times New Roman" w:hAnsiTheme="majorBidi" w:cstheme="majorBidi"/>
              </w:rPr>
              <w:t>.</w:t>
            </w:r>
          </w:p>
          <w:p w14:paraId="0B1B525C" w14:textId="2F5BBB57" w:rsidR="00B1440A" w:rsidRPr="00B1440A" w:rsidRDefault="00B1440A" w:rsidP="00B1440A">
            <w:pPr>
              <w:pStyle w:val="ListParagraph"/>
              <w:ind w:left="360"/>
              <w:rPr>
                <w:rFonts w:asciiTheme="majorBidi" w:eastAsia="Times New Roman" w:hAnsiTheme="majorBidi" w:cstheme="majorBidi"/>
              </w:rPr>
            </w:pPr>
          </w:p>
        </w:tc>
      </w:tr>
    </w:tbl>
    <w:p w14:paraId="74F72E6E" w14:textId="77777777" w:rsidR="00914E5C" w:rsidRPr="00C56B34" w:rsidRDefault="00914E5C" w:rsidP="00914E5C">
      <w:pPr>
        <w:pStyle w:val="Normal-pool"/>
        <w:tabs>
          <w:tab w:val="clear" w:pos="1247"/>
          <w:tab w:val="clear" w:pos="1814"/>
          <w:tab w:val="clear" w:pos="2381"/>
          <w:tab w:val="clear" w:pos="2948"/>
          <w:tab w:val="clear" w:pos="3515"/>
          <w:tab w:val="clear" w:pos="4082"/>
        </w:tabs>
        <w:spacing w:after="120"/>
        <w:rPr>
          <w:rFonts w:asciiTheme="majorBidi" w:hAnsiTheme="majorBidi" w:cstheme="majorBidi"/>
          <w:sz w:val="22"/>
          <w:szCs w:val="22"/>
        </w:rPr>
      </w:pPr>
    </w:p>
    <w:p w14:paraId="7235EB68" w14:textId="77777777" w:rsidR="00483331" w:rsidRPr="00DB0D34" w:rsidRDefault="00483331" w:rsidP="00914E5C">
      <w:pPr>
        <w:pStyle w:val="ListParagraph"/>
        <w:spacing w:after="160"/>
        <w:rPr>
          <w:rFonts w:asciiTheme="majorBidi" w:hAnsiTheme="majorBidi" w:cstheme="majorBidi"/>
          <w:color w:val="auto"/>
          <w:sz w:val="24"/>
          <w:szCs w:val="24"/>
          <w:lang w:val="en-GB"/>
        </w:rPr>
      </w:pPr>
    </w:p>
    <w:p w14:paraId="54C2F7A9" w14:textId="60F7A9E3" w:rsidR="00A728F8" w:rsidRPr="00AA0E9C" w:rsidRDefault="001E7384" w:rsidP="00AA0E9C">
      <w:pPr>
        <w:rPr>
          <w:rFonts w:asciiTheme="majorBidi" w:eastAsia="Arial Unicode MS" w:hAnsiTheme="majorBidi" w:cstheme="majorBidi"/>
          <w:color w:val="000000"/>
          <w:sz w:val="24"/>
          <w:szCs w:val="24"/>
          <w:u w:color="000000"/>
          <w:bdr w:val="nil"/>
        </w:rPr>
      </w:pPr>
      <w:r>
        <w:rPr>
          <w:rFonts w:asciiTheme="majorBidi" w:hAnsiTheme="majorBidi" w:cstheme="majorBidi"/>
          <w:sz w:val="24"/>
          <w:szCs w:val="24"/>
        </w:rPr>
        <w:br w:type="page"/>
      </w:r>
    </w:p>
    <w:p w14:paraId="0E7A6B17" w14:textId="77777777" w:rsidR="00567037" w:rsidRDefault="00567037" w:rsidP="00A728F8">
      <w:pPr>
        <w:pStyle w:val="Normal-pool"/>
        <w:tabs>
          <w:tab w:val="clear" w:pos="1247"/>
          <w:tab w:val="clear" w:pos="1814"/>
          <w:tab w:val="clear" w:pos="2381"/>
          <w:tab w:val="clear" w:pos="2948"/>
          <w:tab w:val="clear" w:pos="3515"/>
        </w:tabs>
        <w:spacing w:after="160"/>
        <w:rPr>
          <w:rFonts w:asciiTheme="majorBidi" w:hAnsiTheme="majorBidi" w:cstheme="majorBidi"/>
          <w:b/>
          <w:bCs/>
          <w:sz w:val="24"/>
          <w:szCs w:val="24"/>
        </w:rPr>
        <w:sectPr w:rsidR="00567037" w:rsidSect="009171DA">
          <w:pgSz w:w="15840" w:h="12240" w:orient="landscape"/>
          <w:pgMar w:top="1440" w:right="1440" w:bottom="1440" w:left="1440" w:header="709" w:footer="709" w:gutter="0"/>
          <w:lnNumType w:countBy="1" w:restart="continuous"/>
          <w:cols w:space="708"/>
          <w:docGrid w:linePitch="360"/>
        </w:sectPr>
      </w:pPr>
    </w:p>
    <w:p w14:paraId="088B6446" w14:textId="632B481D" w:rsidR="003E69A4" w:rsidRPr="00A728F8" w:rsidRDefault="009548C4" w:rsidP="00A728F8">
      <w:pPr>
        <w:pStyle w:val="Normal-pool"/>
        <w:tabs>
          <w:tab w:val="clear" w:pos="1247"/>
          <w:tab w:val="clear" w:pos="1814"/>
          <w:tab w:val="clear" w:pos="2381"/>
          <w:tab w:val="clear" w:pos="2948"/>
          <w:tab w:val="clear" w:pos="3515"/>
        </w:tabs>
        <w:spacing w:after="160"/>
        <w:rPr>
          <w:rFonts w:asciiTheme="majorBidi" w:hAnsiTheme="majorBidi" w:cstheme="majorBidi"/>
          <w:sz w:val="24"/>
          <w:szCs w:val="24"/>
          <w:lang w:val="en-GB"/>
        </w:rPr>
      </w:pPr>
      <w:r>
        <w:rPr>
          <w:rFonts w:asciiTheme="majorBidi" w:hAnsiTheme="majorBidi" w:cstheme="majorBidi"/>
          <w:b/>
          <w:bCs/>
          <w:sz w:val="24"/>
          <w:szCs w:val="24"/>
        </w:rPr>
        <w:lastRenderedPageBreak/>
        <w:t>3</w:t>
      </w:r>
      <w:r w:rsidRPr="00FC73F5">
        <w:rPr>
          <w:rFonts w:asciiTheme="majorBidi" w:hAnsiTheme="majorBidi" w:cstheme="majorBidi"/>
          <w:b/>
          <w:bCs/>
          <w:sz w:val="24"/>
          <w:szCs w:val="24"/>
          <w:lang w:val="en-GB"/>
        </w:rPr>
        <w:t xml:space="preserve">. </w:t>
      </w:r>
      <w:r w:rsidR="00A728F8">
        <w:rPr>
          <w:rFonts w:asciiTheme="majorBidi" w:hAnsiTheme="majorBidi" w:cstheme="majorBidi"/>
          <w:b/>
          <w:bCs/>
          <w:sz w:val="24"/>
          <w:szCs w:val="24"/>
          <w:lang w:val="en-GB"/>
        </w:rPr>
        <w:t>Data sources</w:t>
      </w:r>
    </w:p>
    <w:p w14:paraId="2F2F2119" w14:textId="08963FB9" w:rsidR="008D397D" w:rsidRPr="00FC73F5" w:rsidRDefault="008D397D" w:rsidP="008D397D">
      <w:pPr>
        <w:pStyle w:val="ListParagraph"/>
        <w:numPr>
          <w:ilvl w:val="0"/>
          <w:numId w:val="1"/>
        </w:numPr>
        <w:rPr>
          <w:rFonts w:asciiTheme="majorBidi" w:hAnsiTheme="majorBidi" w:cstheme="majorBidi"/>
          <w:sz w:val="24"/>
          <w:szCs w:val="24"/>
          <w:lang w:val="en-GB"/>
        </w:rPr>
      </w:pPr>
      <w:r w:rsidRPr="00FC73F5">
        <w:rPr>
          <w:rFonts w:asciiTheme="majorBidi" w:hAnsiTheme="majorBidi" w:cstheme="majorBidi"/>
          <w:sz w:val="24"/>
          <w:szCs w:val="24"/>
          <w:lang w:val="en-GB"/>
        </w:rPr>
        <w:t xml:space="preserve">The </w:t>
      </w:r>
      <w:r w:rsidRPr="006836D1">
        <w:rPr>
          <w:rFonts w:asciiTheme="majorBidi" w:hAnsiTheme="majorBidi" w:cstheme="majorBidi"/>
          <w:sz w:val="24"/>
          <w:szCs w:val="24"/>
          <w:lang w:val="en-GB"/>
        </w:rPr>
        <w:t>availability</w:t>
      </w:r>
      <w:r w:rsidRPr="00FC73F5">
        <w:rPr>
          <w:rFonts w:asciiTheme="majorBidi" w:hAnsiTheme="majorBidi" w:cstheme="majorBidi"/>
          <w:sz w:val="24"/>
          <w:szCs w:val="24"/>
          <w:lang w:val="en-GB"/>
        </w:rPr>
        <w:t xml:space="preserve"> of </w:t>
      </w:r>
      <w:r w:rsidR="00A728F8">
        <w:rPr>
          <w:rFonts w:asciiTheme="majorBidi" w:hAnsiTheme="majorBidi" w:cstheme="majorBidi"/>
          <w:sz w:val="24"/>
          <w:szCs w:val="24"/>
          <w:lang w:val="en-GB"/>
        </w:rPr>
        <w:t xml:space="preserve">information sources from which to derive these indicators, as well as supplementary </w:t>
      </w:r>
      <w:r w:rsidRPr="00FC73F5">
        <w:rPr>
          <w:rFonts w:asciiTheme="majorBidi" w:hAnsiTheme="majorBidi" w:cstheme="majorBidi"/>
          <w:sz w:val="24"/>
          <w:szCs w:val="24"/>
          <w:lang w:val="en-GB"/>
        </w:rPr>
        <w:t>relevant and comparable scientific, environmental, technical, financial and economic information on which to base the effectiveness evaluation</w:t>
      </w:r>
      <w:r w:rsidR="00E67CD1">
        <w:rPr>
          <w:rFonts w:asciiTheme="majorBidi" w:hAnsiTheme="majorBidi" w:cstheme="majorBidi"/>
          <w:sz w:val="24"/>
          <w:szCs w:val="24"/>
          <w:lang w:val="en-GB"/>
        </w:rPr>
        <w:t>,</w:t>
      </w:r>
      <w:r w:rsidRPr="00FC73F5">
        <w:rPr>
          <w:rFonts w:asciiTheme="majorBidi" w:hAnsiTheme="majorBidi" w:cstheme="majorBidi"/>
          <w:sz w:val="24"/>
          <w:szCs w:val="24"/>
          <w:lang w:val="en-GB"/>
        </w:rPr>
        <w:t xml:space="preserve"> is driven by a number of factors. </w:t>
      </w:r>
    </w:p>
    <w:p w14:paraId="3E1585BD" w14:textId="77777777" w:rsidR="008D397D" w:rsidRPr="00FC73F5" w:rsidRDefault="008D397D" w:rsidP="008D397D">
      <w:pPr>
        <w:pStyle w:val="ListParagraph"/>
        <w:rPr>
          <w:rFonts w:asciiTheme="majorBidi" w:hAnsiTheme="majorBidi" w:cstheme="majorBidi"/>
          <w:sz w:val="24"/>
          <w:szCs w:val="24"/>
          <w:lang w:val="en-GB"/>
        </w:rPr>
      </w:pPr>
    </w:p>
    <w:p w14:paraId="5AB86C57" w14:textId="37390DAC" w:rsidR="008D397D" w:rsidRPr="00FC73F5" w:rsidRDefault="008D397D" w:rsidP="008D397D">
      <w:pPr>
        <w:pStyle w:val="ListParagraph"/>
        <w:numPr>
          <w:ilvl w:val="0"/>
          <w:numId w:val="1"/>
        </w:numPr>
        <w:rPr>
          <w:rFonts w:asciiTheme="majorBidi" w:hAnsiTheme="majorBidi" w:cstheme="majorBidi"/>
          <w:sz w:val="24"/>
          <w:szCs w:val="24"/>
          <w:lang w:val="en-GB"/>
        </w:rPr>
      </w:pPr>
      <w:r w:rsidRPr="00FC73F5">
        <w:rPr>
          <w:rFonts w:asciiTheme="majorBidi" w:hAnsiTheme="majorBidi" w:cstheme="majorBidi"/>
          <w:sz w:val="24"/>
          <w:szCs w:val="24"/>
          <w:lang w:val="en-GB"/>
        </w:rPr>
        <w:t xml:space="preserve">First, different articles of the Convention have </w:t>
      </w:r>
      <w:r w:rsidRPr="006836D1">
        <w:rPr>
          <w:rFonts w:asciiTheme="majorBidi" w:hAnsiTheme="majorBidi" w:cstheme="majorBidi"/>
          <w:sz w:val="24"/>
          <w:szCs w:val="24"/>
          <w:lang w:val="en-GB"/>
        </w:rPr>
        <w:t>different time lines</w:t>
      </w:r>
      <w:r w:rsidRPr="00FC73F5">
        <w:rPr>
          <w:rFonts w:asciiTheme="majorBidi" w:hAnsiTheme="majorBidi" w:cstheme="majorBidi"/>
          <w:sz w:val="24"/>
          <w:szCs w:val="24"/>
          <w:lang w:val="en-GB"/>
        </w:rPr>
        <w:t xml:space="preserve"> for implementation. Some of these deadlines fall within the first cycle of effectiveness evaluation (2017-2023), but </w:t>
      </w:r>
      <w:r w:rsidR="00A728F8">
        <w:rPr>
          <w:rFonts w:asciiTheme="majorBidi" w:hAnsiTheme="majorBidi" w:cstheme="majorBidi"/>
          <w:sz w:val="24"/>
          <w:szCs w:val="24"/>
          <w:lang w:val="en-GB"/>
        </w:rPr>
        <w:t>some do not</w:t>
      </w:r>
      <w:r w:rsidRPr="00FC73F5">
        <w:rPr>
          <w:rFonts w:asciiTheme="majorBidi" w:hAnsiTheme="majorBidi" w:cstheme="majorBidi"/>
          <w:sz w:val="24"/>
          <w:szCs w:val="24"/>
          <w:lang w:val="en-GB"/>
        </w:rPr>
        <w:t xml:space="preserve">. Moreover, even if a measure is implemented within the deadline, evidence of its impact and therefore effectiveness may not be available for some time or not directly measurable. This presents some challenges on how to attribute effect. Table </w:t>
      </w:r>
      <w:r w:rsidR="00930E4D">
        <w:rPr>
          <w:rFonts w:asciiTheme="majorBidi" w:hAnsiTheme="majorBidi" w:cstheme="majorBidi"/>
          <w:sz w:val="24"/>
          <w:szCs w:val="24"/>
          <w:lang w:val="en-GB"/>
        </w:rPr>
        <w:t xml:space="preserve">3 below </w:t>
      </w:r>
      <w:r w:rsidRPr="00FC73F5">
        <w:rPr>
          <w:rFonts w:asciiTheme="majorBidi" w:hAnsiTheme="majorBidi" w:cstheme="majorBidi"/>
          <w:sz w:val="24"/>
          <w:szCs w:val="24"/>
          <w:lang w:val="en-GB"/>
        </w:rPr>
        <w:t>gives a short overview of phase-out dates and time-bound articles of the Minamata Convention and their time lines.</w:t>
      </w:r>
    </w:p>
    <w:p w14:paraId="702126C9" w14:textId="77777777" w:rsidR="008D397D" w:rsidRPr="00FC73F5" w:rsidRDefault="008D397D" w:rsidP="008D397D">
      <w:pPr>
        <w:rPr>
          <w:rFonts w:asciiTheme="majorBidi" w:hAnsiTheme="majorBidi" w:cstheme="majorBidi"/>
        </w:rPr>
      </w:pPr>
    </w:p>
    <w:tbl>
      <w:tblPr>
        <w:tblStyle w:val="TableGrid"/>
        <w:tblW w:w="0" w:type="auto"/>
        <w:tblInd w:w="-5" w:type="dxa"/>
        <w:tblLook w:val="04A0" w:firstRow="1" w:lastRow="0" w:firstColumn="1" w:lastColumn="0" w:noHBand="0" w:noVBand="1"/>
      </w:tblPr>
      <w:tblGrid>
        <w:gridCol w:w="709"/>
        <w:gridCol w:w="1418"/>
        <w:gridCol w:w="7049"/>
      </w:tblGrid>
      <w:tr w:rsidR="008D397D" w:rsidRPr="00FC73F5" w14:paraId="3B0FF0AB" w14:textId="77777777" w:rsidTr="00A728F8">
        <w:tc>
          <w:tcPr>
            <w:tcW w:w="9176" w:type="dxa"/>
            <w:gridSpan w:val="3"/>
            <w:shd w:val="clear" w:color="auto" w:fill="D9D9D9" w:themeFill="background1" w:themeFillShade="D9"/>
          </w:tcPr>
          <w:p w14:paraId="42D9DD6A" w14:textId="012B0F08"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b/>
                <w:sz w:val="22"/>
                <w:szCs w:val="22"/>
              </w:rPr>
            </w:pPr>
            <w:r w:rsidRPr="00FC73F5">
              <w:rPr>
                <w:rFonts w:asciiTheme="majorBidi" w:hAnsiTheme="majorBidi" w:cstheme="majorBidi"/>
                <w:b/>
                <w:sz w:val="22"/>
                <w:szCs w:val="22"/>
              </w:rPr>
              <w:t>Table</w:t>
            </w:r>
            <w:r w:rsidR="00930E4D">
              <w:rPr>
                <w:rFonts w:asciiTheme="majorBidi" w:hAnsiTheme="majorBidi" w:cstheme="majorBidi"/>
                <w:b/>
                <w:sz w:val="22"/>
                <w:szCs w:val="22"/>
              </w:rPr>
              <w:t xml:space="preserve"> 3: </w:t>
            </w:r>
            <w:r w:rsidR="00A728F8">
              <w:rPr>
                <w:rFonts w:asciiTheme="majorBidi" w:hAnsiTheme="majorBidi" w:cstheme="majorBidi"/>
                <w:b/>
                <w:sz w:val="22"/>
                <w:szCs w:val="22"/>
              </w:rPr>
              <w:t xml:space="preserve"> </w:t>
            </w:r>
            <w:r w:rsidR="00930E4D">
              <w:rPr>
                <w:rFonts w:asciiTheme="majorBidi" w:hAnsiTheme="majorBidi" w:cstheme="majorBidi"/>
                <w:b/>
                <w:sz w:val="22"/>
                <w:szCs w:val="22"/>
              </w:rPr>
              <w:t xml:space="preserve">Minamata Convention </w:t>
            </w:r>
            <w:r w:rsidR="00A728F8">
              <w:rPr>
                <w:rFonts w:asciiTheme="majorBidi" w:hAnsiTheme="majorBidi" w:cstheme="majorBidi"/>
                <w:b/>
                <w:sz w:val="22"/>
                <w:szCs w:val="22"/>
              </w:rPr>
              <w:t>Timelines</w:t>
            </w:r>
          </w:p>
        </w:tc>
      </w:tr>
      <w:tr w:rsidR="008D397D" w:rsidRPr="00FC73F5" w14:paraId="54CA2963" w14:textId="77777777" w:rsidTr="00BD49CE">
        <w:tc>
          <w:tcPr>
            <w:tcW w:w="709" w:type="dxa"/>
            <w:shd w:val="clear" w:color="auto" w:fill="D9D9D9" w:themeFill="background1" w:themeFillShade="D9"/>
          </w:tcPr>
          <w:p w14:paraId="6D909CB2"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b/>
                <w:sz w:val="22"/>
                <w:szCs w:val="22"/>
              </w:rPr>
            </w:pPr>
            <w:r w:rsidRPr="00FC73F5">
              <w:rPr>
                <w:rFonts w:asciiTheme="majorBidi" w:hAnsiTheme="majorBidi" w:cstheme="majorBidi"/>
                <w:b/>
                <w:sz w:val="22"/>
                <w:szCs w:val="22"/>
              </w:rPr>
              <w:t>Date</w:t>
            </w:r>
          </w:p>
        </w:tc>
        <w:tc>
          <w:tcPr>
            <w:tcW w:w="1418" w:type="dxa"/>
            <w:shd w:val="clear" w:color="auto" w:fill="D9D9D9" w:themeFill="background1" w:themeFillShade="D9"/>
          </w:tcPr>
          <w:p w14:paraId="5FD84AEE"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b/>
                <w:sz w:val="22"/>
                <w:szCs w:val="22"/>
              </w:rPr>
            </w:pPr>
            <w:r w:rsidRPr="00FC73F5">
              <w:rPr>
                <w:rFonts w:asciiTheme="majorBidi" w:hAnsiTheme="majorBidi" w:cstheme="majorBidi"/>
                <w:b/>
                <w:sz w:val="22"/>
                <w:szCs w:val="22"/>
              </w:rPr>
              <w:t>Article</w:t>
            </w:r>
          </w:p>
        </w:tc>
        <w:tc>
          <w:tcPr>
            <w:tcW w:w="7049" w:type="dxa"/>
            <w:shd w:val="clear" w:color="auto" w:fill="D9D9D9" w:themeFill="background1" w:themeFillShade="D9"/>
          </w:tcPr>
          <w:p w14:paraId="07BF6674"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b/>
                <w:sz w:val="22"/>
                <w:szCs w:val="22"/>
              </w:rPr>
            </w:pPr>
            <w:r w:rsidRPr="00FC73F5">
              <w:rPr>
                <w:rFonts w:asciiTheme="majorBidi" w:hAnsiTheme="majorBidi" w:cstheme="majorBidi"/>
                <w:b/>
                <w:sz w:val="22"/>
                <w:szCs w:val="22"/>
              </w:rPr>
              <w:t>Description</w:t>
            </w:r>
          </w:p>
        </w:tc>
      </w:tr>
      <w:tr w:rsidR="008D397D" w:rsidRPr="00FC73F5" w14:paraId="3ED0BC2E" w14:textId="77777777" w:rsidTr="00BD49CE">
        <w:tc>
          <w:tcPr>
            <w:tcW w:w="709" w:type="dxa"/>
          </w:tcPr>
          <w:p w14:paraId="6AA28C1C"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2018</w:t>
            </w:r>
          </w:p>
        </w:tc>
        <w:tc>
          <w:tcPr>
            <w:tcW w:w="1418" w:type="dxa"/>
          </w:tcPr>
          <w:p w14:paraId="78E60382"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5, para 2, Annex B</w:t>
            </w:r>
          </w:p>
        </w:tc>
        <w:tc>
          <w:tcPr>
            <w:tcW w:w="7049" w:type="dxa"/>
          </w:tcPr>
          <w:p w14:paraId="2B217D4D" w14:textId="01D592E3"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Acetaldehyde production in which mercury or mercury compounds are used as a catalyst</w:t>
            </w:r>
            <w:r w:rsidR="003D4E39">
              <w:rPr>
                <w:rFonts w:asciiTheme="majorBidi" w:hAnsiTheme="majorBidi" w:cstheme="majorBidi"/>
                <w:sz w:val="22"/>
                <w:szCs w:val="22"/>
              </w:rPr>
              <w:t xml:space="preserve"> to be phased out</w:t>
            </w:r>
          </w:p>
        </w:tc>
      </w:tr>
      <w:tr w:rsidR="008D397D" w:rsidRPr="00FC73F5" w14:paraId="17C44C57" w14:textId="77777777" w:rsidTr="00BD49CE">
        <w:tc>
          <w:tcPr>
            <w:tcW w:w="709" w:type="dxa"/>
            <w:vMerge w:val="restart"/>
          </w:tcPr>
          <w:p w14:paraId="68CFF5F1"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2020</w:t>
            </w:r>
          </w:p>
          <w:p w14:paraId="0D1B1876" w14:textId="77777777" w:rsidR="008D397D" w:rsidRPr="00FC73F5" w:rsidRDefault="008D397D" w:rsidP="00CD4A10">
            <w:pPr>
              <w:pStyle w:val="Brdtext"/>
              <w:tabs>
                <w:tab w:val="left" w:pos="624"/>
                <w:tab w:val="left" w:pos="1134"/>
                <w:tab w:val="left" w:pos="3119"/>
              </w:tabs>
              <w:spacing w:after="120"/>
              <w:rPr>
                <w:rFonts w:asciiTheme="majorBidi" w:hAnsiTheme="majorBidi" w:cstheme="majorBidi"/>
                <w:sz w:val="22"/>
                <w:szCs w:val="22"/>
              </w:rPr>
            </w:pPr>
          </w:p>
        </w:tc>
        <w:tc>
          <w:tcPr>
            <w:tcW w:w="1418" w:type="dxa"/>
          </w:tcPr>
          <w:p w14:paraId="63862EA6"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4, para 1, Annex A</w:t>
            </w:r>
          </w:p>
        </w:tc>
        <w:tc>
          <w:tcPr>
            <w:tcW w:w="7049" w:type="dxa"/>
          </w:tcPr>
          <w:p w14:paraId="2DB87098"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 xml:space="preserve">Manufacture, import or export of various mercury-added products shall not be allowed (including of batteries, switches and relays, compact and linear fluorescent lamps, high pressure mercury vapour lamps, cold cathode fluorescent lamps and external electrode fluorescent lamps for electronic displays, cosmetics, pesticides and topical antiseptics, as well as barometers, hygrometers, manometers, thermometers and sphygmomanometers) </w:t>
            </w:r>
          </w:p>
        </w:tc>
      </w:tr>
      <w:tr w:rsidR="008D397D" w:rsidRPr="00FC73F5" w14:paraId="740284B2" w14:textId="77777777" w:rsidTr="00BD49CE">
        <w:tc>
          <w:tcPr>
            <w:tcW w:w="709" w:type="dxa"/>
            <w:vMerge/>
          </w:tcPr>
          <w:p w14:paraId="60B16644"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p>
        </w:tc>
        <w:tc>
          <w:tcPr>
            <w:tcW w:w="1418" w:type="dxa"/>
            <w:vMerge w:val="restart"/>
          </w:tcPr>
          <w:p w14:paraId="10AD358B"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5, para 3, Annex B</w:t>
            </w:r>
          </w:p>
        </w:tc>
        <w:tc>
          <w:tcPr>
            <w:tcW w:w="7049" w:type="dxa"/>
          </w:tcPr>
          <w:p w14:paraId="5FEBCC1E" w14:textId="7970CA8E"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In vinyl chloride monomer production</w:t>
            </w:r>
            <w:r w:rsidR="003D4E39">
              <w:rPr>
                <w:rFonts w:asciiTheme="majorBidi" w:hAnsiTheme="majorBidi" w:cstheme="majorBidi"/>
                <w:sz w:val="22"/>
                <w:szCs w:val="22"/>
              </w:rPr>
              <w:t>,</w:t>
            </w:r>
            <w:r w:rsidRPr="00FC73F5">
              <w:rPr>
                <w:rFonts w:asciiTheme="majorBidi" w:hAnsiTheme="majorBidi" w:cstheme="majorBidi"/>
                <w:sz w:val="22"/>
                <w:szCs w:val="22"/>
              </w:rPr>
              <w:t xml:space="preserve"> reduce the use of mercury in terms of per unit production by 50 per cent by the 2020 against 2010 use.</w:t>
            </w:r>
          </w:p>
        </w:tc>
      </w:tr>
      <w:tr w:rsidR="008D397D" w:rsidRPr="00FC73F5" w14:paraId="7387437C" w14:textId="77777777" w:rsidTr="00BD49CE">
        <w:tc>
          <w:tcPr>
            <w:tcW w:w="709" w:type="dxa"/>
            <w:vMerge/>
          </w:tcPr>
          <w:p w14:paraId="1FA98CCA"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p>
        </w:tc>
        <w:tc>
          <w:tcPr>
            <w:tcW w:w="1418" w:type="dxa"/>
            <w:vMerge/>
          </w:tcPr>
          <w:p w14:paraId="468AD90E"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p>
        </w:tc>
        <w:tc>
          <w:tcPr>
            <w:tcW w:w="7049" w:type="dxa"/>
          </w:tcPr>
          <w:p w14:paraId="57B5C65A"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For sodium or potassium methylate or ethylate reduce emissions and releases in terms of per unit production by 50 per cent by 2020 compared to 2010</w:t>
            </w:r>
          </w:p>
        </w:tc>
      </w:tr>
      <w:tr w:rsidR="008D397D" w:rsidRPr="00FC73F5" w14:paraId="2F2A9A62" w14:textId="77777777" w:rsidTr="00BD49CE">
        <w:tc>
          <w:tcPr>
            <w:tcW w:w="709" w:type="dxa"/>
          </w:tcPr>
          <w:p w14:paraId="2734CF41"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2025</w:t>
            </w:r>
          </w:p>
        </w:tc>
        <w:tc>
          <w:tcPr>
            <w:tcW w:w="1418" w:type="dxa"/>
          </w:tcPr>
          <w:p w14:paraId="2FFFB6F9"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5, para 2, Annex B</w:t>
            </w:r>
          </w:p>
        </w:tc>
        <w:tc>
          <w:tcPr>
            <w:tcW w:w="7049" w:type="dxa"/>
          </w:tcPr>
          <w:p w14:paraId="001B3771" w14:textId="129DC61D"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Chlor-alkali production</w:t>
            </w:r>
            <w:r w:rsidR="003D4E39">
              <w:rPr>
                <w:rFonts w:asciiTheme="majorBidi" w:hAnsiTheme="majorBidi" w:cstheme="majorBidi"/>
                <w:sz w:val="22"/>
                <w:szCs w:val="22"/>
              </w:rPr>
              <w:t xml:space="preserve"> to be phased out</w:t>
            </w:r>
          </w:p>
        </w:tc>
      </w:tr>
      <w:tr w:rsidR="008D397D" w:rsidRPr="00FC73F5" w14:paraId="024C506D" w14:textId="77777777" w:rsidTr="00BD49CE">
        <w:tc>
          <w:tcPr>
            <w:tcW w:w="709" w:type="dxa"/>
          </w:tcPr>
          <w:p w14:paraId="10715B27"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2027</w:t>
            </w:r>
          </w:p>
        </w:tc>
        <w:tc>
          <w:tcPr>
            <w:tcW w:w="1418" w:type="dxa"/>
          </w:tcPr>
          <w:p w14:paraId="67C295D9"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5, para 3, Annex B</w:t>
            </w:r>
          </w:p>
        </w:tc>
        <w:tc>
          <w:tcPr>
            <w:tcW w:w="7049" w:type="dxa"/>
          </w:tcPr>
          <w:p w14:paraId="2EFB85E4" w14:textId="4EEF0A6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For sodium or potassium methylate or ethylate, reduce the use of mercury aiming at phase</w:t>
            </w:r>
            <w:r w:rsidR="003D4E39">
              <w:rPr>
                <w:rFonts w:asciiTheme="majorBidi" w:hAnsiTheme="majorBidi" w:cstheme="majorBidi"/>
                <w:sz w:val="22"/>
                <w:szCs w:val="22"/>
              </w:rPr>
              <w:t>-</w:t>
            </w:r>
            <w:r w:rsidRPr="00FC73F5">
              <w:rPr>
                <w:rFonts w:asciiTheme="majorBidi" w:hAnsiTheme="majorBidi" w:cstheme="majorBidi"/>
                <w:sz w:val="22"/>
                <w:szCs w:val="22"/>
              </w:rPr>
              <w:t>out of its use as fast as possible and within 10 years of entry into force of the Convention</w:t>
            </w:r>
          </w:p>
        </w:tc>
      </w:tr>
      <w:tr w:rsidR="008D397D" w:rsidRPr="00FC73F5" w14:paraId="7D75A0C4" w14:textId="77777777" w:rsidTr="00BD49CE">
        <w:tc>
          <w:tcPr>
            <w:tcW w:w="709" w:type="dxa"/>
          </w:tcPr>
          <w:p w14:paraId="44B61BD9"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2035</w:t>
            </w:r>
          </w:p>
        </w:tc>
        <w:tc>
          <w:tcPr>
            <w:tcW w:w="1418" w:type="dxa"/>
          </w:tcPr>
          <w:p w14:paraId="19571ACB"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3, para 4</w:t>
            </w:r>
          </w:p>
        </w:tc>
        <w:tc>
          <w:tcPr>
            <w:tcW w:w="7049" w:type="dxa"/>
          </w:tcPr>
          <w:p w14:paraId="3DABA8C0"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Primary mining of mercury that was conducted within a Party’s territory at the date of entry, is to cease 15 years after that date</w:t>
            </w:r>
          </w:p>
        </w:tc>
      </w:tr>
      <w:tr w:rsidR="008D397D" w:rsidRPr="00FC73F5" w14:paraId="5D49BD70" w14:textId="77777777" w:rsidTr="00BD49CE">
        <w:tc>
          <w:tcPr>
            <w:tcW w:w="709" w:type="dxa"/>
            <w:vMerge w:val="restart"/>
          </w:tcPr>
          <w:p w14:paraId="24A5894C" w14:textId="4EB2F538" w:rsidR="008D397D" w:rsidRPr="00FC73F5" w:rsidRDefault="00A8500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Pr>
                <w:rFonts w:asciiTheme="majorBidi" w:hAnsiTheme="majorBidi" w:cstheme="majorBidi"/>
                <w:sz w:val="22"/>
                <w:szCs w:val="22"/>
              </w:rPr>
              <w:t>2020</w:t>
            </w:r>
          </w:p>
        </w:tc>
        <w:tc>
          <w:tcPr>
            <w:tcW w:w="1418" w:type="dxa"/>
          </w:tcPr>
          <w:p w14:paraId="7D90F974"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5</w:t>
            </w:r>
          </w:p>
        </w:tc>
        <w:tc>
          <w:tcPr>
            <w:tcW w:w="7049" w:type="dxa"/>
          </w:tcPr>
          <w:p w14:paraId="3DBED6F8" w14:textId="436EF0BA"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Submit to the secretariat information on the number and types of facilities covered under Anne</w:t>
            </w:r>
            <w:r w:rsidR="003D4E39">
              <w:rPr>
                <w:rFonts w:asciiTheme="majorBidi" w:hAnsiTheme="majorBidi" w:cstheme="majorBidi"/>
                <w:sz w:val="22"/>
                <w:szCs w:val="22"/>
              </w:rPr>
              <w:t>x</w:t>
            </w:r>
            <w:r w:rsidRPr="00FC73F5">
              <w:rPr>
                <w:rFonts w:asciiTheme="majorBidi" w:hAnsiTheme="majorBidi" w:cstheme="majorBidi"/>
                <w:sz w:val="22"/>
                <w:szCs w:val="22"/>
              </w:rPr>
              <w:t xml:space="preserve"> B, and the amount of mercury or mercury compounds used</w:t>
            </w:r>
          </w:p>
        </w:tc>
      </w:tr>
      <w:tr w:rsidR="008D397D" w:rsidRPr="00FC73F5" w14:paraId="0643318E" w14:textId="77777777" w:rsidTr="00BD49CE">
        <w:tc>
          <w:tcPr>
            <w:tcW w:w="709" w:type="dxa"/>
            <w:vMerge/>
          </w:tcPr>
          <w:p w14:paraId="70F54741"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p>
        </w:tc>
        <w:tc>
          <w:tcPr>
            <w:tcW w:w="1418" w:type="dxa"/>
          </w:tcPr>
          <w:p w14:paraId="0CBB7317"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7</w:t>
            </w:r>
          </w:p>
        </w:tc>
        <w:tc>
          <w:tcPr>
            <w:tcW w:w="7049" w:type="dxa"/>
          </w:tcPr>
          <w:p w14:paraId="0E3AF12E" w14:textId="521B1634"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Submit NAP to secretariat</w:t>
            </w:r>
            <w:r w:rsidR="003D4E39">
              <w:rPr>
                <w:rFonts w:asciiTheme="majorBidi" w:hAnsiTheme="majorBidi" w:cstheme="majorBidi"/>
                <w:sz w:val="22"/>
                <w:szCs w:val="22"/>
              </w:rPr>
              <w:t xml:space="preserve"> if developed</w:t>
            </w:r>
          </w:p>
        </w:tc>
      </w:tr>
      <w:tr w:rsidR="008D397D" w:rsidRPr="00FC73F5" w14:paraId="44C6CAC5" w14:textId="77777777" w:rsidTr="00BD49CE">
        <w:tc>
          <w:tcPr>
            <w:tcW w:w="709" w:type="dxa"/>
            <w:vMerge/>
          </w:tcPr>
          <w:p w14:paraId="5AD0BEC5"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p>
        </w:tc>
        <w:tc>
          <w:tcPr>
            <w:tcW w:w="1418" w:type="dxa"/>
          </w:tcPr>
          <w:p w14:paraId="15336F86"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9</w:t>
            </w:r>
          </w:p>
        </w:tc>
        <w:tc>
          <w:tcPr>
            <w:tcW w:w="7049" w:type="dxa"/>
          </w:tcPr>
          <w:p w14:paraId="714A26FE"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Identify relevant point source categories</w:t>
            </w:r>
          </w:p>
        </w:tc>
      </w:tr>
      <w:tr w:rsidR="008D397D" w:rsidRPr="00FC73F5" w14:paraId="7735C440" w14:textId="77777777" w:rsidTr="00BD49CE">
        <w:tc>
          <w:tcPr>
            <w:tcW w:w="709" w:type="dxa"/>
          </w:tcPr>
          <w:p w14:paraId="195DC202" w14:textId="29736CBE" w:rsidR="008D397D" w:rsidRPr="00FC73F5" w:rsidRDefault="00A8500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Pr>
                <w:rFonts w:asciiTheme="majorBidi" w:hAnsiTheme="majorBidi" w:cstheme="majorBidi"/>
                <w:sz w:val="22"/>
                <w:szCs w:val="22"/>
              </w:rPr>
              <w:t>2021</w:t>
            </w:r>
          </w:p>
        </w:tc>
        <w:tc>
          <w:tcPr>
            <w:tcW w:w="1418" w:type="dxa"/>
          </w:tcPr>
          <w:p w14:paraId="3CE8836B"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8 and 9</w:t>
            </w:r>
          </w:p>
        </w:tc>
        <w:tc>
          <w:tcPr>
            <w:tcW w:w="7049" w:type="dxa"/>
          </w:tcPr>
          <w:p w14:paraId="3F067EA8"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Submit National Implementation Plan if one has been developed</w:t>
            </w:r>
          </w:p>
        </w:tc>
      </w:tr>
      <w:tr w:rsidR="008D397D" w:rsidRPr="00FC73F5" w14:paraId="0013F438" w14:textId="77777777" w:rsidTr="00BD49CE">
        <w:tc>
          <w:tcPr>
            <w:tcW w:w="709" w:type="dxa"/>
            <w:vMerge w:val="restart"/>
          </w:tcPr>
          <w:p w14:paraId="64B6C78E" w14:textId="36D829AC" w:rsidR="008D397D" w:rsidRPr="00FC73F5" w:rsidRDefault="00A8500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Pr>
                <w:rFonts w:asciiTheme="majorBidi" w:hAnsiTheme="majorBidi" w:cstheme="majorBidi"/>
                <w:sz w:val="22"/>
                <w:szCs w:val="22"/>
              </w:rPr>
              <w:lastRenderedPageBreak/>
              <w:t>2022</w:t>
            </w:r>
          </w:p>
        </w:tc>
        <w:tc>
          <w:tcPr>
            <w:tcW w:w="1418" w:type="dxa"/>
          </w:tcPr>
          <w:p w14:paraId="5312799D"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8</w:t>
            </w:r>
          </w:p>
        </w:tc>
        <w:tc>
          <w:tcPr>
            <w:tcW w:w="7049" w:type="dxa"/>
          </w:tcPr>
          <w:p w14:paraId="06D04C83"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Require BAT/BEP for new facilities</w:t>
            </w:r>
          </w:p>
        </w:tc>
      </w:tr>
      <w:tr w:rsidR="008D397D" w:rsidRPr="00FC73F5" w14:paraId="11A92A7D" w14:textId="77777777" w:rsidTr="00BD49CE">
        <w:tc>
          <w:tcPr>
            <w:tcW w:w="709" w:type="dxa"/>
            <w:vMerge/>
          </w:tcPr>
          <w:p w14:paraId="188CA56B"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p>
        </w:tc>
        <w:tc>
          <w:tcPr>
            <w:tcW w:w="1418" w:type="dxa"/>
          </w:tcPr>
          <w:p w14:paraId="66B2BFA1"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8</w:t>
            </w:r>
          </w:p>
        </w:tc>
        <w:tc>
          <w:tcPr>
            <w:tcW w:w="7049" w:type="dxa"/>
          </w:tcPr>
          <w:p w14:paraId="726E6F1A"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Develop and maintain an inventory of emissions sources</w:t>
            </w:r>
          </w:p>
        </w:tc>
      </w:tr>
      <w:tr w:rsidR="008D397D" w:rsidRPr="00FC73F5" w14:paraId="3ADFF7E3" w14:textId="77777777" w:rsidTr="00BD49CE">
        <w:tc>
          <w:tcPr>
            <w:tcW w:w="709" w:type="dxa"/>
            <w:vMerge/>
          </w:tcPr>
          <w:p w14:paraId="21CFC292"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p>
        </w:tc>
        <w:tc>
          <w:tcPr>
            <w:tcW w:w="1418" w:type="dxa"/>
          </w:tcPr>
          <w:p w14:paraId="3A68279E"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9</w:t>
            </w:r>
          </w:p>
        </w:tc>
        <w:tc>
          <w:tcPr>
            <w:tcW w:w="7049" w:type="dxa"/>
          </w:tcPr>
          <w:p w14:paraId="48C4A44D"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Develop and maintain an inventory of release sources</w:t>
            </w:r>
          </w:p>
        </w:tc>
      </w:tr>
      <w:tr w:rsidR="008D397D" w:rsidRPr="00FC73F5" w14:paraId="368326E1" w14:textId="77777777" w:rsidTr="00BD49CE">
        <w:tc>
          <w:tcPr>
            <w:tcW w:w="709" w:type="dxa"/>
          </w:tcPr>
          <w:p w14:paraId="3D35981B" w14:textId="1C1D0DD1" w:rsidR="008D397D" w:rsidRPr="00FC73F5" w:rsidRDefault="00A8500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Pr>
                <w:rFonts w:asciiTheme="majorBidi" w:hAnsiTheme="majorBidi" w:cstheme="majorBidi"/>
                <w:sz w:val="22"/>
                <w:szCs w:val="22"/>
              </w:rPr>
              <w:t>2017</w:t>
            </w:r>
          </w:p>
        </w:tc>
        <w:tc>
          <w:tcPr>
            <w:tcW w:w="1418" w:type="dxa"/>
          </w:tcPr>
          <w:p w14:paraId="4C191914"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Art 8</w:t>
            </w:r>
          </w:p>
        </w:tc>
        <w:tc>
          <w:tcPr>
            <w:tcW w:w="7049" w:type="dxa"/>
          </w:tcPr>
          <w:p w14:paraId="79E3E2DD" w14:textId="77777777" w:rsidR="008D397D" w:rsidRPr="00FC73F5" w:rsidRDefault="008D397D" w:rsidP="00CD4A10">
            <w:pPr>
              <w:pStyle w:val="Brdtext"/>
              <w:pBdr>
                <w:top w:val="none" w:sz="0" w:space="0" w:color="auto"/>
                <w:left w:val="none" w:sz="0" w:space="0" w:color="auto"/>
                <w:bottom w:val="none" w:sz="0" w:space="0" w:color="auto"/>
                <w:right w:val="none" w:sz="0" w:space="0" w:color="auto"/>
                <w:bar w:val="none" w:sz="0" w:color="auto"/>
              </w:pBdr>
              <w:tabs>
                <w:tab w:val="clear" w:pos="1814"/>
                <w:tab w:val="left" w:pos="624"/>
                <w:tab w:val="left" w:pos="1134"/>
                <w:tab w:val="left" w:pos="3119"/>
              </w:tabs>
              <w:spacing w:after="120"/>
              <w:rPr>
                <w:rFonts w:asciiTheme="majorBidi" w:hAnsiTheme="majorBidi" w:cstheme="majorBidi"/>
                <w:sz w:val="22"/>
                <w:szCs w:val="22"/>
              </w:rPr>
            </w:pPr>
            <w:r w:rsidRPr="00FC73F5">
              <w:rPr>
                <w:rFonts w:asciiTheme="majorBidi" w:hAnsiTheme="majorBidi" w:cstheme="majorBidi"/>
                <w:sz w:val="22"/>
                <w:szCs w:val="22"/>
              </w:rPr>
              <w:t>Require measures for control on existing facilities</w:t>
            </w:r>
          </w:p>
        </w:tc>
      </w:tr>
    </w:tbl>
    <w:p w14:paraId="60776379" w14:textId="77777777" w:rsidR="008D397D" w:rsidRPr="00FC73F5" w:rsidRDefault="008D397D" w:rsidP="008D397D">
      <w:pPr>
        <w:rPr>
          <w:rFonts w:asciiTheme="majorBidi" w:hAnsiTheme="majorBidi" w:cstheme="majorBidi"/>
          <w:sz w:val="24"/>
          <w:szCs w:val="24"/>
        </w:rPr>
      </w:pPr>
    </w:p>
    <w:p w14:paraId="5F2FFBB6" w14:textId="3A16E198" w:rsidR="008D397D" w:rsidRDefault="008D397D" w:rsidP="00E17CE5">
      <w:pPr>
        <w:pStyle w:val="ListParagraph"/>
        <w:numPr>
          <w:ilvl w:val="0"/>
          <w:numId w:val="1"/>
        </w:numPr>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Second, various </w:t>
      </w:r>
      <w:r w:rsidR="002F1A0B">
        <w:rPr>
          <w:rFonts w:asciiTheme="majorBidi" w:hAnsiTheme="majorBidi" w:cstheme="majorBidi"/>
          <w:sz w:val="24"/>
          <w:szCs w:val="24"/>
          <w:lang w:val="en-GB"/>
        </w:rPr>
        <w:t xml:space="preserve">important </w:t>
      </w:r>
      <w:r w:rsidRPr="00FC73F5">
        <w:rPr>
          <w:rFonts w:asciiTheme="majorBidi" w:hAnsiTheme="majorBidi" w:cstheme="majorBidi"/>
          <w:sz w:val="24"/>
          <w:szCs w:val="24"/>
          <w:lang w:val="en-GB"/>
        </w:rPr>
        <w:t>identified data sets and information sources</w:t>
      </w:r>
      <w:r w:rsidR="002F1A0B">
        <w:rPr>
          <w:rFonts w:asciiTheme="majorBidi" w:hAnsiTheme="majorBidi" w:cstheme="majorBidi"/>
          <w:sz w:val="24"/>
          <w:szCs w:val="24"/>
          <w:lang w:val="en-GB"/>
        </w:rPr>
        <w:t xml:space="preserve"> that have been produced in the past are not required under the Convention, and thus the production of similar reports in the future is not assured or governed by Convention requirements. These include </w:t>
      </w:r>
      <w:r w:rsidRPr="00FC73F5">
        <w:rPr>
          <w:rFonts w:asciiTheme="majorBidi" w:hAnsiTheme="majorBidi" w:cstheme="majorBidi"/>
          <w:sz w:val="24"/>
          <w:szCs w:val="24"/>
          <w:lang w:val="en-GB"/>
        </w:rPr>
        <w:t xml:space="preserve">Minamata Initial Assessment, </w:t>
      </w:r>
      <w:r w:rsidR="00AB745C">
        <w:rPr>
          <w:rFonts w:asciiTheme="majorBidi" w:hAnsiTheme="majorBidi" w:cstheme="majorBidi"/>
          <w:sz w:val="24"/>
          <w:szCs w:val="24"/>
          <w:lang w:val="en-GB"/>
        </w:rPr>
        <w:t xml:space="preserve">as well as the Global </w:t>
      </w:r>
      <w:r w:rsidRPr="00FC73F5">
        <w:rPr>
          <w:rFonts w:asciiTheme="majorBidi" w:hAnsiTheme="majorBidi" w:cstheme="majorBidi"/>
          <w:sz w:val="24"/>
          <w:szCs w:val="24"/>
          <w:lang w:val="en-GB"/>
        </w:rPr>
        <w:t xml:space="preserve">Mercury Assessment </w:t>
      </w:r>
      <w:r w:rsidR="00AB745C">
        <w:rPr>
          <w:rFonts w:asciiTheme="majorBidi" w:hAnsiTheme="majorBidi" w:cstheme="majorBidi"/>
          <w:sz w:val="24"/>
          <w:szCs w:val="24"/>
          <w:lang w:val="en-GB"/>
        </w:rPr>
        <w:t xml:space="preserve">(produced </w:t>
      </w:r>
      <w:r w:rsidRPr="00FC73F5">
        <w:rPr>
          <w:rFonts w:asciiTheme="majorBidi" w:hAnsiTheme="majorBidi" w:cstheme="majorBidi"/>
          <w:sz w:val="24"/>
          <w:szCs w:val="24"/>
          <w:lang w:val="en-GB"/>
        </w:rPr>
        <w:t xml:space="preserve">2002, 2008, 2013 and 2018), </w:t>
      </w:r>
      <w:r w:rsidR="00AB745C">
        <w:rPr>
          <w:rFonts w:asciiTheme="majorBidi" w:hAnsiTheme="majorBidi" w:cstheme="majorBidi"/>
          <w:sz w:val="24"/>
          <w:szCs w:val="24"/>
          <w:lang w:val="en-GB"/>
        </w:rPr>
        <w:t xml:space="preserve">and the reports on </w:t>
      </w:r>
      <w:r w:rsidRPr="00FC73F5">
        <w:rPr>
          <w:rFonts w:asciiTheme="majorBidi" w:hAnsiTheme="majorBidi" w:cstheme="majorBidi"/>
          <w:sz w:val="24"/>
          <w:szCs w:val="24"/>
          <w:lang w:val="en-GB"/>
        </w:rPr>
        <w:t xml:space="preserve">Global Mercury: Supply, Demand and Trade </w:t>
      </w:r>
      <w:r w:rsidR="00AB745C">
        <w:rPr>
          <w:rFonts w:asciiTheme="majorBidi" w:hAnsiTheme="majorBidi" w:cstheme="majorBidi"/>
          <w:sz w:val="24"/>
          <w:szCs w:val="24"/>
          <w:lang w:val="en-GB"/>
        </w:rPr>
        <w:t>(</w:t>
      </w:r>
      <w:r w:rsidR="00A8500D">
        <w:rPr>
          <w:rFonts w:asciiTheme="majorBidi" w:hAnsiTheme="majorBidi" w:cstheme="majorBidi"/>
          <w:sz w:val="24"/>
          <w:szCs w:val="24"/>
          <w:lang w:val="en-GB"/>
        </w:rPr>
        <w:t>2006 and</w:t>
      </w:r>
      <w:r w:rsidR="00AB745C">
        <w:rPr>
          <w:rFonts w:asciiTheme="majorBidi" w:hAnsiTheme="majorBidi" w:cstheme="majorBidi"/>
          <w:sz w:val="24"/>
          <w:szCs w:val="24"/>
          <w:lang w:val="en-GB"/>
        </w:rPr>
        <w:t xml:space="preserve"> </w:t>
      </w:r>
      <w:r w:rsidRPr="00FC73F5">
        <w:rPr>
          <w:rFonts w:asciiTheme="majorBidi" w:hAnsiTheme="majorBidi" w:cstheme="majorBidi"/>
          <w:sz w:val="24"/>
          <w:szCs w:val="24"/>
          <w:lang w:val="en-GB"/>
        </w:rPr>
        <w:t>2017).</w:t>
      </w:r>
    </w:p>
    <w:p w14:paraId="4ED85E64" w14:textId="47BE9197" w:rsidR="008D397D" w:rsidRPr="00E17CE5" w:rsidRDefault="00E17CE5" w:rsidP="00E17CE5">
      <w:pPr>
        <w:pStyle w:val="ListParagraph"/>
        <w:numPr>
          <w:ilvl w:val="0"/>
          <w:numId w:val="1"/>
        </w:numPr>
        <w:spacing w:after="160"/>
        <w:rPr>
          <w:rFonts w:asciiTheme="majorBidi" w:hAnsiTheme="majorBidi" w:cstheme="majorBidi"/>
          <w:sz w:val="24"/>
          <w:szCs w:val="24"/>
          <w:lang w:val="en-GB"/>
        </w:rPr>
      </w:pPr>
      <w:r>
        <w:rPr>
          <w:rFonts w:asciiTheme="majorBidi" w:hAnsiTheme="majorBidi" w:cstheme="majorBidi"/>
          <w:sz w:val="24"/>
          <w:szCs w:val="24"/>
          <w:lang w:val="en-GB"/>
        </w:rPr>
        <w:t xml:space="preserve">Third, some information sources differ in frequency. The </w:t>
      </w:r>
      <w:r w:rsidR="00AB745C" w:rsidRPr="00E17CE5">
        <w:rPr>
          <w:rFonts w:asciiTheme="majorBidi" w:hAnsiTheme="majorBidi" w:cstheme="majorBidi"/>
          <w:sz w:val="24"/>
          <w:szCs w:val="24"/>
        </w:rPr>
        <w:t xml:space="preserve">ASGM National Action Plans due 3 years after the entry into force of the Convention </w:t>
      </w:r>
      <w:r>
        <w:rPr>
          <w:rFonts w:asciiTheme="majorBidi" w:hAnsiTheme="majorBidi" w:cstheme="majorBidi"/>
          <w:sz w:val="24"/>
          <w:szCs w:val="24"/>
        </w:rPr>
        <w:t>for that party (or three years after its declaration to the Secretariat that it has more than insignificant ASGM</w:t>
      </w:r>
      <w:r w:rsidR="006836D1">
        <w:rPr>
          <w:rFonts w:asciiTheme="majorBidi" w:hAnsiTheme="majorBidi" w:cstheme="majorBidi"/>
          <w:sz w:val="24"/>
          <w:szCs w:val="24"/>
        </w:rPr>
        <w:t>) and</w:t>
      </w:r>
      <w:r>
        <w:rPr>
          <w:rFonts w:asciiTheme="majorBidi" w:hAnsiTheme="majorBidi" w:cstheme="majorBidi"/>
          <w:sz w:val="24"/>
          <w:szCs w:val="24"/>
        </w:rPr>
        <w:t xml:space="preserve"> must be reviewed every three years thereafter. The </w:t>
      </w:r>
      <w:r w:rsidR="00AB745C" w:rsidRPr="00E17CE5">
        <w:rPr>
          <w:rFonts w:asciiTheme="majorBidi" w:hAnsiTheme="majorBidi" w:cstheme="majorBidi"/>
          <w:sz w:val="24"/>
          <w:szCs w:val="24"/>
        </w:rPr>
        <w:t xml:space="preserve">regular reports </w:t>
      </w:r>
      <w:r>
        <w:rPr>
          <w:rFonts w:asciiTheme="majorBidi" w:hAnsiTheme="majorBidi" w:cstheme="majorBidi"/>
          <w:sz w:val="24"/>
          <w:szCs w:val="24"/>
        </w:rPr>
        <w:t xml:space="preserve">under Article 21 are to be completed every two years for specified questions, with </w:t>
      </w:r>
      <w:r w:rsidR="00AB745C" w:rsidRPr="00E17CE5">
        <w:rPr>
          <w:rFonts w:asciiTheme="majorBidi" w:hAnsiTheme="majorBidi" w:cstheme="majorBidi"/>
          <w:sz w:val="24"/>
          <w:szCs w:val="24"/>
        </w:rPr>
        <w:t xml:space="preserve">the first short reports due at the end of 2019, and the first full reports </w:t>
      </w:r>
      <w:r>
        <w:rPr>
          <w:rFonts w:asciiTheme="majorBidi" w:hAnsiTheme="majorBidi" w:cstheme="majorBidi"/>
          <w:sz w:val="24"/>
          <w:szCs w:val="24"/>
        </w:rPr>
        <w:t>that respond to all reporting requirements due at the end of</w:t>
      </w:r>
      <w:r w:rsidR="00AB745C" w:rsidRPr="00E17CE5">
        <w:rPr>
          <w:rFonts w:asciiTheme="majorBidi" w:hAnsiTheme="majorBidi" w:cstheme="majorBidi"/>
          <w:sz w:val="24"/>
          <w:szCs w:val="24"/>
        </w:rPr>
        <w:t xml:space="preserve"> 2021. </w:t>
      </w:r>
    </w:p>
    <w:p w14:paraId="5DAA0408" w14:textId="0B8E1657" w:rsidR="008D397D" w:rsidRPr="00FC73F5" w:rsidRDefault="00E17CE5" w:rsidP="008D397D">
      <w:pPr>
        <w:pStyle w:val="ListParagraph"/>
        <w:numPr>
          <w:ilvl w:val="0"/>
          <w:numId w:val="1"/>
        </w:numPr>
        <w:rPr>
          <w:rFonts w:asciiTheme="majorBidi" w:hAnsiTheme="majorBidi" w:cstheme="majorBidi"/>
          <w:sz w:val="24"/>
          <w:szCs w:val="24"/>
          <w:lang w:val="en-GB"/>
        </w:rPr>
      </w:pPr>
      <w:r>
        <w:rPr>
          <w:rFonts w:asciiTheme="majorBidi" w:hAnsiTheme="majorBidi" w:cstheme="majorBidi"/>
          <w:sz w:val="24"/>
          <w:szCs w:val="24"/>
          <w:lang w:val="en-GB"/>
        </w:rPr>
        <w:t>Last</w:t>
      </w:r>
      <w:r w:rsidR="008D397D" w:rsidRPr="00FC73F5">
        <w:rPr>
          <w:rFonts w:asciiTheme="majorBidi" w:hAnsiTheme="majorBidi" w:cstheme="majorBidi"/>
          <w:sz w:val="24"/>
          <w:szCs w:val="24"/>
          <w:lang w:val="en-GB"/>
        </w:rPr>
        <w:t xml:space="preserve">, is the consideration of the availability of </w:t>
      </w:r>
      <w:r w:rsidR="008D397D" w:rsidRPr="006836D1">
        <w:rPr>
          <w:rFonts w:asciiTheme="majorBidi" w:hAnsiTheme="majorBidi" w:cstheme="majorBidi"/>
          <w:sz w:val="24"/>
          <w:szCs w:val="24"/>
          <w:lang w:val="en-GB"/>
        </w:rPr>
        <w:t>relevant and comparable scientific and environmental monitoring data.</w:t>
      </w:r>
      <w:r w:rsidR="008D397D" w:rsidRPr="00FC73F5">
        <w:rPr>
          <w:rFonts w:asciiTheme="majorBidi" w:hAnsiTheme="majorBidi" w:cstheme="majorBidi"/>
          <w:sz w:val="24"/>
          <w:szCs w:val="24"/>
          <w:lang w:val="en-GB"/>
        </w:rPr>
        <w:t xml:space="preserve"> On the one hand, mercury is one of the longest studied chemicals. On the other hand, in considering the available monitoring information and available data on mercury and mercury compounds</w:t>
      </w:r>
      <w:r>
        <w:rPr>
          <w:rFonts w:asciiTheme="majorBidi" w:hAnsiTheme="majorBidi" w:cstheme="majorBidi"/>
          <w:sz w:val="24"/>
          <w:szCs w:val="24"/>
          <w:lang w:val="en-GB"/>
        </w:rPr>
        <w:t xml:space="preserve">, the ad hoc technical expert group noted that </w:t>
      </w:r>
      <w:r w:rsidR="008D397D" w:rsidRPr="00FC73F5">
        <w:rPr>
          <w:rFonts w:asciiTheme="majorBidi" w:hAnsiTheme="majorBidi" w:cstheme="majorBidi"/>
          <w:sz w:val="24"/>
          <w:szCs w:val="24"/>
          <w:lang w:val="en-GB"/>
        </w:rPr>
        <w:t xml:space="preserve">not all data and matrices are suitable for direct comparison or analysis at the global level, and </w:t>
      </w:r>
      <w:r w:rsidR="008D397D" w:rsidRPr="006836D1">
        <w:rPr>
          <w:rFonts w:asciiTheme="majorBidi" w:hAnsiTheme="majorBidi" w:cstheme="majorBidi"/>
          <w:sz w:val="24"/>
          <w:szCs w:val="24"/>
          <w:lang w:val="en-GB"/>
        </w:rPr>
        <w:t>modelling</w:t>
      </w:r>
      <w:r w:rsidR="008D397D" w:rsidRPr="00FC73F5">
        <w:rPr>
          <w:rFonts w:asciiTheme="majorBidi" w:hAnsiTheme="majorBidi" w:cstheme="majorBidi"/>
          <w:sz w:val="24"/>
          <w:szCs w:val="24"/>
          <w:lang w:val="en-GB"/>
        </w:rPr>
        <w:t xml:space="preserve"> </w:t>
      </w:r>
      <w:r>
        <w:rPr>
          <w:rFonts w:asciiTheme="majorBidi" w:hAnsiTheme="majorBidi" w:cstheme="majorBidi"/>
          <w:sz w:val="24"/>
          <w:szCs w:val="24"/>
          <w:lang w:val="en-GB"/>
        </w:rPr>
        <w:t>will be</w:t>
      </w:r>
      <w:r w:rsidR="008D397D" w:rsidRPr="00FC73F5">
        <w:rPr>
          <w:rFonts w:asciiTheme="majorBidi" w:hAnsiTheme="majorBidi" w:cstheme="majorBidi"/>
          <w:sz w:val="24"/>
          <w:szCs w:val="24"/>
          <w:lang w:val="en-GB"/>
        </w:rPr>
        <w:t xml:space="preserve"> critical to shape our fuller understanding of the presence of mercury and its trends in our environment</w:t>
      </w:r>
      <w:r>
        <w:rPr>
          <w:rFonts w:asciiTheme="majorBidi" w:hAnsiTheme="majorBidi" w:cstheme="majorBidi"/>
          <w:sz w:val="24"/>
          <w:szCs w:val="24"/>
          <w:lang w:val="en-GB"/>
        </w:rPr>
        <w:t xml:space="preserve">, as well as to attribute changes in mercury levels to Convention measures. </w:t>
      </w:r>
    </w:p>
    <w:p w14:paraId="5E69A1B6" w14:textId="77777777" w:rsidR="008D397D" w:rsidRPr="00FC73F5" w:rsidRDefault="008D397D" w:rsidP="008D397D">
      <w:pPr>
        <w:pStyle w:val="ListParagraph"/>
        <w:rPr>
          <w:rFonts w:asciiTheme="majorBidi" w:hAnsiTheme="majorBidi" w:cstheme="majorBidi"/>
          <w:sz w:val="24"/>
          <w:szCs w:val="24"/>
          <w:lang w:val="en-GB"/>
        </w:rPr>
      </w:pPr>
    </w:p>
    <w:p w14:paraId="156DB828" w14:textId="5DF50577" w:rsidR="008D397D" w:rsidRPr="00DA2887" w:rsidRDefault="008D397D" w:rsidP="008D397D">
      <w:pPr>
        <w:pStyle w:val="Text"/>
        <w:numPr>
          <w:ilvl w:val="0"/>
          <w:numId w:val="1"/>
        </w:numPr>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color w:val="000000" w:themeColor="text1"/>
          <w:sz w:val="24"/>
          <w:szCs w:val="24"/>
          <w:lang w:val="en-GB"/>
        </w:rPr>
      </w:pPr>
      <w:r w:rsidRPr="00DA2887">
        <w:rPr>
          <w:rFonts w:asciiTheme="majorBidi" w:hAnsiTheme="majorBidi" w:cstheme="majorBidi"/>
          <w:sz w:val="24"/>
          <w:szCs w:val="24"/>
          <w:lang w:val="en-GB"/>
        </w:rPr>
        <w:t>The current mercury monitoring arrangements and modelling frameworks are outlined in more detail in Annex I on Technical Information on Monitoring</w:t>
      </w:r>
      <w:r w:rsidR="006823BA">
        <w:rPr>
          <w:rFonts w:asciiTheme="majorBidi" w:hAnsiTheme="majorBidi" w:cstheme="majorBidi"/>
          <w:sz w:val="24"/>
          <w:szCs w:val="24"/>
          <w:lang w:val="en-GB"/>
        </w:rPr>
        <w:t xml:space="preserve"> and Annex 3 on the Global Monitoring Arrangements</w:t>
      </w:r>
      <w:r w:rsidRPr="00DA2887">
        <w:rPr>
          <w:rFonts w:asciiTheme="majorBidi" w:hAnsiTheme="majorBidi" w:cstheme="majorBidi"/>
          <w:sz w:val="24"/>
          <w:szCs w:val="24"/>
          <w:lang w:val="en-GB"/>
        </w:rPr>
        <w:t xml:space="preserve">. </w:t>
      </w:r>
      <w:r w:rsidR="002739E2">
        <w:rPr>
          <w:rFonts w:asciiTheme="majorBidi" w:hAnsiTheme="majorBidi" w:cstheme="majorBidi"/>
          <w:sz w:val="24"/>
          <w:szCs w:val="24"/>
          <w:lang w:val="en-GB"/>
        </w:rPr>
        <w:t>T</w:t>
      </w:r>
      <w:r w:rsidRPr="00DA2887">
        <w:rPr>
          <w:rFonts w:asciiTheme="majorBidi" w:hAnsiTheme="majorBidi" w:cstheme="majorBidi"/>
          <w:sz w:val="24"/>
          <w:szCs w:val="24"/>
          <w:lang w:val="en-GB"/>
        </w:rPr>
        <w:t>able</w:t>
      </w:r>
      <w:r w:rsidR="002739E2">
        <w:rPr>
          <w:rFonts w:asciiTheme="majorBidi" w:hAnsiTheme="majorBidi" w:cstheme="majorBidi"/>
          <w:sz w:val="24"/>
          <w:szCs w:val="24"/>
          <w:lang w:val="en-GB"/>
        </w:rPr>
        <w:t xml:space="preserve"> </w:t>
      </w:r>
      <w:r w:rsidR="006823BA">
        <w:rPr>
          <w:rFonts w:asciiTheme="majorBidi" w:hAnsiTheme="majorBidi" w:cstheme="majorBidi"/>
          <w:sz w:val="24"/>
          <w:szCs w:val="24"/>
          <w:lang w:val="en-GB"/>
        </w:rPr>
        <w:t>4</w:t>
      </w:r>
      <w:r w:rsidRPr="00DA2887">
        <w:rPr>
          <w:rFonts w:asciiTheme="majorBidi" w:hAnsiTheme="majorBidi" w:cstheme="majorBidi"/>
          <w:sz w:val="24"/>
          <w:szCs w:val="24"/>
          <w:lang w:val="en-GB"/>
        </w:rPr>
        <w:t xml:space="preserve"> below given an indicative overview of </w:t>
      </w:r>
      <w:r w:rsidR="00DA2887">
        <w:rPr>
          <w:rFonts w:asciiTheme="majorBidi" w:hAnsiTheme="majorBidi" w:cstheme="majorBidi"/>
          <w:sz w:val="24"/>
          <w:szCs w:val="24"/>
          <w:lang w:val="en-GB"/>
        </w:rPr>
        <w:t>selected monitoring indicators and how they can contribute to the overall effectiveness evaluation.</w:t>
      </w:r>
      <w:r w:rsidR="006823BA">
        <w:rPr>
          <w:rFonts w:asciiTheme="majorBidi" w:hAnsiTheme="majorBidi" w:cstheme="majorBidi"/>
          <w:sz w:val="24"/>
          <w:szCs w:val="24"/>
          <w:lang w:val="en-GB"/>
        </w:rPr>
        <w:t xml:space="preserve"> They are to be read in complement with the indicators presented in Table 2 in paragraph </w:t>
      </w:r>
      <w:r w:rsidR="00DB6ECC">
        <w:rPr>
          <w:rFonts w:asciiTheme="majorBidi" w:hAnsiTheme="majorBidi" w:cstheme="majorBidi"/>
          <w:sz w:val="24"/>
          <w:szCs w:val="24"/>
          <w:lang w:val="en-GB"/>
        </w:rPr>
        <w:t>46</w:t>
      </w:r>
      <w:r w:rsidR="006823BA">
        <w:rPr>
          <w:rFonts w:asciiTheme="majorBidi" w:hAnsiTheme="majorBidi" w:cstheme="majorBidi"/>
          <w:sz w:val="24"/>
          <w:szCs w:val="24"/>
          <w:lang w:val="en-GB"/>
        </w:rPr>
        <w:t>:</w:t>
      </w:r>
    </w:p>
    <w:p w14:paraId="2D3EA5BB" w14:textId="208A4114" w:rsidR="008D397D" w:rsidRDefault="008D397D" w:rsidP="008D397D">
      <w:pPr>
        <w:pStyle w:val="TextA"/>
        <w:spacing w:after="0" w:line="240" w:lineRule="auto"/>
        <w:rPr>
          <w:rFonts w:asciiTheme="majorBidi" w:eastAsia="Times New Roman" w:hAnsiTheme="majorBidi" w:cstheme="majorBidi"/>
          <w:b/>
          <w:bCs/>
          <w:sz w:val="24"/>
          <w:szCs w:val="24"/>
          <w:lang w:val="en-GB"/>
        </w:rPr>
      </w:pPr>
      <w:bookmarkStart w:id="3" w:name="_Hlk15486676"/>
    </w:p>
    <w:p w14:paraId="72EF5522" w14:textId="77777777" w:rsidR="0072242B" w:rsidRPr="00FC73F5" w:rsidRDefault="0072242B" w:rsidP="008D397D">
      <w:pPr>
        <w:pStyle w:val="TextA"/>
        <w:spacing w:after="0" w:line="240" w:lineRule="auto"/>
        <w:rPr>
          <w:rFonts w:asciiTheme="majorBidi" w:eastAsia="Times New Roman" w:hAnsiTheme="majorBidi" w:cstheme="majorBidi"/>
          <w:b/>
          <w:bCs/>
          <w:sz w:val="24"/>
          <w:szCs w:val="24"/>
          <w:lang w:val="en-GB"/>
        </w:rPr>
      </w:pPr>
    </w:p>
    <w:tbl>
      <w:tblPr>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88"/>
        <w:gridCol w:w="4253"/>
        <w:gridCol w:w="3118"/>
      </w:tblGrid>
      <w:tr w:rsidR="002D7126" w:rsidRPr="00FC73F5" w14:paraId="23090F9E" w14:textId="77777777" w:rsidTr="00106FBD">
        <w:trPr>
          <w:trHeight w:val="530"/>
        </w:trPr>
        <w:tc>
          <w:tcPr>
            <w:tcW w:w="895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20C9A3FC" w14:textId="34F6C1FA" w:rsidR="002D7126" w:rsidRPr="001E114C" w:rsidRDefault="002D7126" w:rsidP="00CD4A10">
            <w:pPr>
              <w:pStyle w:val="Brdtext"/>
              <w:pBdr>
                <w:top w:val="nil"/>
                <w:left w:val="nil"/>
                <w:bottom w:val="nil"/>
                <w:right w:val="nil"/>
                <w:between w:val="nil"/>
                <w:bar w:val="nil"/>
              </w:pBdr>
              <w:tabs>
                <w:tab w:val="clear" w:pos="1814"/>
                <w:tab w:val="left" w:pos="624"/>
                <w:tab w:val="left" w:pos="1134"/>
                <w:tab w:val="left" w:pos="3119"/>
              </w:tabs>
              <w:spacing w:after="120"/>
              <w:rPr>
                <w:rFonts w:asciiTheme="majorBidi" w:hAnsiTheme="majorBidi" w:cstheme="majorBidi"/>
                <w:b/>
                <w:sz w:val="22"/>
                <w:szCs w:val="22"/>
              </w:rPr>
            </w:pPr>
            <w:r w:rsidRPr="00C10CD1">
              <w:rPr>
                <w:rFonts w:asciiTheme="majorBidi" w:hAnsiTheme="majorBidi" w:cstheme="majorBidi"/>
                <w:b/>
                <w:sz w:val="22"/>
                <w:szCs w:val="22"/>
              </w:rPr>
              <w:t xml:space="preserve">Table </w:t>
            </w:r>
            <w:r w:rsidR="00C10CD1" w:rsidRPr="00C10CD1">
              <w:rPr>
                <w:rFonts w:asciiTheme="majorBidi" w:hAnsiTheme="majorBidi" w:cstheme="majorBidi"/>
                <w:b/>
                <w:sz w:val="22"/>
                <w:szCs w:val="22"/>
              </w:rPr>
              <w:t>4</w:t>
            </w:r>
            <w:r w:rsidRPr="00C10CD1">
              <w:rPr>
                <w:rFonts w:asciiTheme="majorBidi" w:hAnsiTheme="majorBidi" w:cstheme="majorBidi"/>
                <w:b/>
                <w:sz w:val="22"/>
                <w:szCs w:val="22"/>
              </w:rPr>
              <w:t>: Monitoring indicators by media</w:t>
            </w:r>
          </w:p>
        </w:tc>
      </w:tr>
      <w:tr w:rsidR="002D7126" w:rsidRPr="00FC73F5" w14:paraId="666A2DDA" w14:textId="77777777" w:rsidTr="002D7126">
        <w:trPr>
          <w:trHeight w:val="530"/>
        </w:trPr>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8C0051E" w14:textId="02561473" w:rsidR="002D7126" w:rsidRPr="001E114C" w:rsidRDefault="002D7126" w:rsidP="002D7126">
            <w:pPr>
              <w:pStyle w:val="Brdtext"/>
              <w:pBdr>
                <w:top w:val="nil"/>
                <w:left w:val="nil"/>
                <w:bottom w:val="nil"/>
                <w:right w:val="nil"/>
                <w:between w:val="nil"/>
                <w:bar w:val="nil"/>
              </w:pBdr>
              <w:tabs>
                <w:tab w:val="clear" w:pos="1814"/>
                <w:tab w:val="left" w:pos="624"/>
                <w:tab w:val="left" w:pos="1134"/>
                <w:tab w:val="left" w:pos="3119"/>
              </w:tabs>
              <w:spacing w:after="120"/>
              <w:rPr>
                <w:rFonts w:asciiTheme="majorBidi" w:hAnsiTheme="majorBidi" w:cstheme="majorBidi"/>
                <w:b/>
                <w:sz w:val="22"/>
                <w:szCs w:val="22"/>
              </w:rPr>
            </w:pPr>
            <w:r w:rsidRPr="001E114C">
              <w:rPr>
                <w:rFonts w:asciiTheme="majorBidi" w:hAnsiTheme="majorBidi" w:cstheme="majorBidi"/>
                <w:b/>
                <w:sz w:val="22"/>
                <w:szCs w:val="22"/>
              </w:rPr>
              <w:t>Overall media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991344D" w14:textId="7009E9EA" w:rsidR="002D7126" w:rsidRPr="001E114C" w:rsidRDefault="007545CE" w:rsidP="002D7126">
            <w:pPr>
              <w:pStyle w:val="Brdtext"/>
              <w:pBdr>
                <w:top w:val="nil"/>
                <w:left w:val="nil"/>
                <w:bottom w:val="nil"/>
                <w:right w:val="nil"/>
                <w:between w:val="nil"/>
                <w:bar w:val="nil"/>
              </w:pBdr>
              <w:tabs>
                <w:tab w:val="clear" w:pos="1814"/>
                <w:tab w:val="left" w:pos="624"/>
                <w:tab w:val="left" w:pos="1134"/>
                <w:tab w:val="left" w:pos="3119"/>
              </w:tabs>
              <w:spacing w:after="120"/>
              <w:rPr>
                <w:rFonts w:asciiTheme="majorBidi" w:hAnsiTheme="majorBidi" w:cstheme="majorBidi"/>
                <w:b/>
                <w:sz w:val="22"/>
                <w:szCs w:val="22"/>
              </w:rPr>
            </w:pPr>
            <w:r w:rsidRPr="001E114C">
              <w:rPr>
                <w:rFonts w:asciiTheme="majorBidi" w:hAnsiTheme="majorBidi" w:cstheme="majorBidi"/>
                <w:b/>
                <w:sz w:val="22"/>
                <w:szCs w:val="22"/>
              </w:rPr>
              <w:t>Indicator</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2905719" w14:textId="362026E6" w:rsidR="002D7126" w:rsidRPr="00C57220" w:rsidRDefault="002D7126" w:rsidP="002D7126">
            <w:pPr>
              <w:pStyle w:val="Brdtext"/>
              <w:pBdr>
                <w:top w:val="nil"/>
                <w:left w:val="nil"/>
                <w:bottom w:val="nil"/>
                <w:right w:val="nil"/>
                <w:between w:val="nil"/>
                <w:bar w:val="nil"/>
              </w:pBdr>
              <w:tabs>
                <w:tab w:val="clear" w:pos="1814"/>
                <w:tab w:val="left" w:pos="624"/>
                <w:tab w:val="left" w:pos="1134"/>
                <w:tab w:val="left" w:pos="3119"/>
              </w:tabs>
              <w:spacing w:after="120"/>
              <w:rPr>
                <w:rFonts w:asciiTheme="majorBidi" w:hAnsiTheme="majorBidi" w:cstheme="majorBidi"/>
                <w:b/>
                <w:sz w:val="22"/>
                <w:szCs w:val="22"/>
              </w:rPr>
            </w:pPr>
            <w:r w:rsidRPr="00C57220">
              <w:rPr>
                <w:rFonts w:asciiTheme="majorBidi" w:hAnsiTheme="majorBidi" w:cstheme="majorBidi"/>
                <w:b/>
                <w:sz w:val="22"/>
                <w:szCs w:val="22"/>
              </w:rPr>
              <w:t>Source of info</w:t>
            </w:r>
          </w:p>
        </w:tc>
      </w:tr>
      <w:tr w:rsidR="002D7126" w:rsidRPr="00FC73F5" w14:paraId="6B0F6E8E" w14:textId="77777777" w:rsidTr="007545CE">
        <w:trPr>
          <w:trHeight w:val="270"/>
        </w:trPr>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DA8F55E" w14:textId="4A50A7ED" w:rsidR="002D7126" w:rsidRPr="001E114C" w:rsidRDefault="002D7126" w:rsidP="00CD4A10">
            <w:pPr>
              <w:pStyle w:val="Brdtext"/>
              <w:pBdr>
                <w:top w:val="nil"/>
                <w:left w:val="nil"/>
                <w:bottom w:val="nil"/>
                <w:right w:val="nil"/>
                <w:between w:val="nil"/>
                <w:bar w:val="nil"/>
              </w:pBdr>
              <w:tabs>
                <w:tab w:val="clear" w:pos="1814"/>
                <w:tab w:val="left" w:pos="624"/>
                <w:tab w:val="left" w:pos="1134"/>
                <w:tab w:val="left" w:pos="3119"/>
              </w:tabs>
              <w:spacing w:after="120"/>
              <w:rPr>
                <w:rFonts w:asciiTheme="majorBidi" w:hAnsiTheme="majorBidi" w:cstheme="majorBidi"/>
                <w:b/>
                <w:sz w:val="22"/>
                <w:szCs w:val="22"/>
              </w:rPr>
            </w:pPr>
            <w:r w:rsidRPr="001E114C">
              <w:rPr>
                <w:rFonts w:asciiTheme="majorBidi" w:hAnsiTheme="majorBidi" w:cstheme="majorBidi"/>
                <w:b/>
                <w:sz w:val="22"/>
                <w:szCs w:val="22"/>
              </w:rPr>
              <w:t>1. Air</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5D9F03D" w14:textId="4C0823A4" w:rsidR="002D7126" w:rsidRPr="001E114C" w:rsidRDefault="007545CE" w:rsidP="00CD4A10">
            <w:pPr>
              <w:pStyle w:val="Brdtext"/>
              <w:pBdr>
                <w:top w:val="nil"/>
                <w:left w:val="nil"/>
                <w:bottom w:val="nil"/>
                <w:right w:val="nil"/>
                <w:between w:val="nil"/>
                <w:bar w:val="nil"/>
              </w:pBdr>
              <w:tabs>
                <w:tab w:val="clear" w:pos="1814"/>
                <w:tab w:val="left" w:pos="624"/>
                <w:tab w:val="left" w:pos="1134"/>
                <w:tab w:val="left" w:pos="3119"/>
              </w:tabs>
              <w:spacing w:after="120"/>
              <w:rPr>
                <w:rFonts w:asciiTheme="majorBidi" w:hAnsiTheme="majorBidi" w:cstheme="majorBidi"/>
                <w:bCs/>
                <w:sz w:val="22"/>
                <w:szCs w:val="22"/>
              </w:rPr>
            </w:pPr>
            <w:r w:rsidRPr="001E114C">
              <w:rPr>
                <w:rFonts w:asciiTheme="majorBidi" w:hAnsiTheme="majorBidi" w:cstheme="majorBidi"/>
                <w:bCs/>
                <w:sz w:val="22"/>
                <w:szCs w:val="22"/>
              </w:rPr>
              <w:t xml:space="preserve">M1. Total gaseous </w:t>
            </w:r>
            <w:r w:rsidR="00934875" w:rsidRPr="001E114C">
              <w:rPr>
                <w:rFonts w:asciiTheme="majorBidi" w:hAnsiTheme="majorBidi" w:cstheme="majorBidi"/>
                <w:bCs/>
                <w:sz w:val="22"/>
                <w:szCs w:val="22"/>
              </w:rPr>
              <w:t>mercury</w:t>
            </w:r>
            <w:r w:rsidR="00F650CE" w:rsidRPr="001E114C">
              <w:rPr>
                <w:rFonts w:asciiTheme="majorBidi" w:hAnsiTheme="majorBidi" w:cstheme="majorBidi"/>
                <w:bCs/>
                <w:sz w:val="22"/>
                <w:szCs w:val="22"/>
              </w:rPr>
              <w:t>/gaseous elemental mercury</w:t>
            </w:r>
            <w:r w:rsidR="00934875" w:rsidRPr="001E114C">
              <w:rPr>
                <w:rFonts w:asciiTheme="majorBidi" w:hAnsiTheme="majorBidi" w:cstheme="majorBidi"/>
                <w:bCs/>
                <w:sz w:val="22"/>
                <w:szCs w:val="22"/>
              </w:rPr>
              <w:t xml:space="preserve"> in the </w:t>
            </w:r>
            <w:r w:rsidR="00F650CE" w:rsidRPr="001E114C">
              <w:rPr>
                <w:rFonts w:asciiTheme="majorBidi" w:hAnsiTheme="majorBidi" w:cstheme="majorBidi"/>
                <w:bCs/>
                <w:sz w:val="22"/>
                <w:szCs w:val="22"/>
              </w:rPr>
              <w:t>ambient air</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4E22CE0" w14:textId="7ED6E0AC" w:rsidR="002D7126" w:rsidRPr="00C57220" w:rsidRDefault="007545CE" w:rsidP="00CD4A10">
            <w:pPr>
              <w:pStyle w:val="Brdtext"/>
              <w:pBdr>
                <w:top w:val="nil"/>
                <w:left w:val="nil"/>
                <w:bottom w:val="nil"/>
                <w:right w:val="nil"/>
                <w:between w:val="nil"/>
                <w:bar w:val="nil"/>
              </w:pBdr>
              <w:tabs>
                <w:tab w:val="clear" w:pos="1814"/>
                <w:tab w:val="left" w:pos="624"/>
                <w:tab w:val="left" w:pos="1134"/>
                <w:tab w:val="left" w:pos="3119"/>
              </w:tabs>
              <w:spacing w:after="120"/>
              <w:rPr>
                <w:rFonts w:asciiTheme="majorBidi" w:hAnsiTheme="majorBidi" w:cstheme="majorBidi"/>
                <w:bCs/>
                <w:sz w:val="22"/>
                <w:szCs w:val="22"/>
              </w:rPr>
            </w:pPr>
            <w:r w:rsidRPr="00C57220">
              <w:rPr>
                <w:rFonts w:asciiTheme="majorBidi" w:hAnsiTheme="majorBidi" w:cstheme="majorBidi"/>
              </w:rPr>
              <w:t xml:space="preserve">Existing/expanded </w:t>
            </w:r>
            <w:r w:rsidR="00150D97">
              <w:rPr>
                <w:rFonts w:asciiTheme="majorBidi" w:hAnsiTheme="majorBidi" w:cstheme="majorBidi"/>
              </w:rPr>
              <w:t xml:space="preserve">monitoring activities and </w:t>
            </w:r>
            <w:r w:rsidRPr="00C57220">
              <w:rPr>
                <w:rFonts w:asciiTheme="majorBidi" w:hAnsiTheme="majorBidi" w:cstheme="majorBidi"/>
              </w:rPr>
              <w:t>networks</w:t>
            </w:r>
          </w:p>
        </w:tc>
      </w:tr>
      <w:tr w:rsidR="007545CE" w:rsidRPr="00FC73F5" w14:paraId="7064BDBE" w14:textId="77777777" w:rsidTr="002D7126">
        <w:trPr>
          <w:trHeight w:val="410"/>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13E2A" w14:textId="77777777" w:rsidR="007545CE" w:rsidRPr="001E114C" w:rsidRDefault="007545CE" w:rsidP="007545CE">
            <w:pPr>
              <w:rPr>
                <w:rFonts w:asciiTheme="majorBidi" w:hAnsiTheme="majorBidi" w:cstheme="majorBidi"/>
                <w: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A9F69" w14:textId="0E09DEDC" w:rsidR="007545CE" w:rsidRPr="001E114C" w:rsidRDefault="007545CE" w:rsidP="007545CE">
            <w:pPr>
              <w:pStyle w:val="TextA"/>
              <w:spacing w:after="0" w:line="240" w:lineRule="auto"/>
              <w:rPr>
                <w:rFonts w:asciiTheme="majorBidi" w:hAnsiTheme="majorBidi" w:cstheme="majorBidi"/>
                <w:lang w:val="en-GB"/>
              </w:rPr>
            </w:pPr>
            <w:r w:rsidRPr="001E114C">
              <w:rPr>
                <w:rFonts w:asciiTheme="majorBidi" w:hAnsiTheme="majorBidi" w:cstheme="majorBidi"/>
                <w:lang w:val="en-GB"/>
              </w:rPr>
              <w:t xml:space="preserve">M2. </w:t>
            </w:r>
            <w:r w:rsidR="00F650CE" w:rsidRPr="001E114C">
              <w:rPr>
                <w:rFonts w:asciiTheme="majorBidi" w:hAnsiTheme="majorBidi" w:cstheme="majorBidi"/>
                <w:lang w:val="en-GB"/>
              </w:rPr>
              <w:t xml:space="preserve">Mercury level </w:t>
            </w:r>
            <w:r w:rsidR="00150D97">
              <w:rPr>
                <w:rFonts w:asciiTheme="majorBidi" w:hAnsiTheme="majorBidi" w:cstheme="majorBidi"/>
                <w:lang w:val="en-GB"/>
              </w:rPr>
              <w:t xml:space="preserve">in </w:t>
            </w:r>
            <w:r w:rsidR="00F650CE" w:rsidRPr="001E114C">
              <w:rPr>
                <w:rFonts w:asciiTheme="majorBidi" w:hAnsiTheme="majorBidi" w:cstheme="majorBidi"/>
                <w:lang w:val="en-GB"/>
              </w:rPr>
              <w:t>precipitation</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243ED" w14:textId="4C6ABB64" w:rsidR="007545CE" w:rsidRPr="00C57220" w:rsidRDefault="00150D97" w:rsidP="007545CE">
            <w:pPr>
              <w:pStyle w:val="TextA"/>
              <w:spacing w:after="0" w:line="240" w:lineRule="auto"/>
              <w:rPr>
                <w:rFonts w:asciiTheme="majorBidi" w:hAnsiTheme="majorBidi" w:cstheme="majorBidi"/>
                <w:lang w:val="en-GB"/>
              </w:rPr>
            </w:pPr>
            <w:r w:rsidRPr="00C57220">
              <w:rPr>
                <w:rFonts w:asciiTheme="majorBidi" w:hAnsiTheme="majorBidi" w:cstheme="majorBidi"/>
              </w:rPr>
              <w:t xml:space="preserve">Existing/expanded </w:t>
            </w:r>
            <w:r>
              <w:rPr>
                <w:rFonts w:asciiTheme="majorBidi" w:hAnsiTheme="majorBidi" w:cstheme="majorBidi"/>
              </w:rPr>
              <w:t xml:space="preserve">monitoring activities and </w:t>
            </w:r>
            <w:r w:rsidRPr="00C57220">
              <w:rPr>
                <w:rFonts w:asciiTheme="majorBidi" w:hAnsiTheme="majorBidi" w:cstheme="majorBidi"/>
              </w:rPr>
              <w:t>networks</w:t>
            </w:r>
          </w:p>
        </w:tc>
      </w:tr>
      <w:tr w:rsidR="007545CE" w:rsidRPr="00FC73F5" w14:paraId="1EBFD862" w14:textId="77777777" w:rsidTr="0072242B">
        <w:trPr>
          <w:trHeight w:val="270"/>
        </w:trPr>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057F625" w14:textId="34119C52" w:rsidR="007545CE" w:rsidRPr="001E114C" w:rsidRDefault="0072242B" w:rsidP="007545CE">
            <w:pPr>
              <w:pStyle w:val="TextA"/>
              <w:spacing w:after="0" w:line="240" w:lineRule="auto"/>
              <w:rPr>
                <w:rFonts w:asciiTheme="majorBidi" w:hAnsiTheme="majorBidi" w:cstheme="majorBidi"/>
                <w:b/>
                <w:lang w:val="en-GB"/>
              </w:rPr>
            </w:pPr>
            <w:r w:rsidRPr="001E114C">
              <w:rPr>
                <w:rFonts w:asciiTheme="majorBidi" w:hAnsiTheme="majorBidi" w:cstheme="majorBidi"/>
                <w:b/>
                <w:lang w:val="en-GB"/>
              </w:rPr>
              <w:t xml:space="preserve">2. </w:t>
            </w:r>
            <w:r w:rsidR="007545CE" w:rsidRPr="001E114C">
              <w:rPr>
                <w:rFonts w:asciiTheme="majorBidi" w:hAnsiTheme="majorBidi" w:cstheme="majorBidi"/>
                <w:b/>
                <w:lang w:val="en-GB"/>
              </w:rPr>
              <w:t>Human</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98AB679" w14:textId="15AAC4D0" w:rsidR="007545CE" w:rsidRPr="001E114C" w:rsidRDefault="0072242B" w:rsidP="007545CE">
            <w:pPr>
              <w:rPr>
                <w:rFonts w:asciiTheme="majorBidi" w:hAnsiTheme="majorBidi" w:cstheme="majorBidi"/>
              </w:rPr>
            </w:pPr>
            <w:r w:rsidRPr="001E114C">
              <w:rPr>
                <w:rFonts w:asciiTheme="majorBidi" w:hAnsiTheme="majorBidi" w:cstheme="majorBidi"/>
              </w:rPr>
              <w:t xml:space="preserve">M3. </w:t>
            </w:r>
            <w:r w:rsidR="00150D97">
              <w:rPr>
                <w:rFonts w:asciiTheme="majorBidi" w:hAnsiTheme="majorBidi" w:cstheme="majorBidi"/>
              </w:rPr>
              <w:t>Mercury level in h</w:t>
            </w:r>
            <w:r w:rsidR="00F650CE" w:rsidRPr="001E114C">
              <w:rPr>
                <w:rFonts w:asciiTheme="majorBidi" w:hAnsiTheme="majorBidi" w:cstheme="majorBidi"/>
              </w:rPr>
              <w:t>air as primary matrix</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986E8F2" w14:textId="3AC2154E" w:rsidR="007545CE" w:rsidRPr="00C57220" w:rsidRDefault="00150D97" w:rsidP="007545CE">
            <w:pPr>
              <w:rPr>
                <w:rFonts w:asciiTheme="majorBidi" w:hAnsiTheme="majorBidi" w:cstheme="majorBidi"/>
              </w:rPr>
            </w:pPr>
            <w:r>
              <w:rPr>
                <w:rFonts w:asciiTheme="majorBidi" w:hAnsiTheme="majorBidi" w:cstheme="majorBidi"/>
              </w:rPr>
              <w:t>Epidemiological studies by Parties</w:t>
            </w:r>
          </w:p>
        </w:tc>
      </w:tr>
      <w:tr w:rsidR="007545CE" w:rsidRPr="00FC73F5" w14:paraId="26AB3A39" w14:textId="77777777" w:rsidTr="0072242B">
        <w:trPr>
          <w:trHeight w:val="270"/>
        </w:trPr>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50EF28A" w14:textId="77777777" w:rsidR="007545CE" w:rsidRPr="001E114C" w:rsidRDefault="007545CE" w:rsidP="007545CE">
            <w:pPr>
              <w:pStyle w:val="TextA"/>
              <w:spacing w:after="0" w:line="240" w:lineRule="auto"/>
              <w:rPr>
                <w:rFonts w:asciiTheme="majorBidi" w:hAnsiTheme="majorBidi" w:cstheme="majorBidi"/>
                <w:b/>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97B8C20" w14:textId="3413270C" w:rsidR="007545CE" w:rsidRPr="001E114C" w:rsidRDefault="0072242B" w:rsidP="007545CE">
            <w:pPr>
              <w:rPr>
                <w:rFonts w:asciiTheme="majorBidi" w:hAnsiTheme="majorBidi" w:cstheme="majorBidi"/>
              </w:rPr>
            </w:pPr>
            <w:r w:rsidRPr="001E114C">
              <w:rPr>
                <w:rFonts w:asciiTheme="majorBidi" w:hAnsiTheme="majorBidi" w:cstheme="majorBidi"/>
              </w:rPr>
              <w:t xml:space="preserve">M4. </w:t>
            </w:r>
            <w:r w:rsidR="00150D97">
              <w:rPr>
                <w:rFonts w:asciiTheme="majorBidi" w:hAnsiTheme="majorBidi" w:cstheme="majorBidi"/>
              </w:rPr>
              <w:t>Mercury level in b</w:t>
            </w:r>
            <w:r w:rsidR="007545CE" w:rsidRPr="001E114C">
              <w:rPr>
                <w:rFonts w:asciiTheme="majorBidi" w:hAnsiTheme="majorBidi" w:cstheme="majorBidi"/>
              </w:rPr>
              <w:t>lood</w:t>
            </w:r>
            <w:r w:rsidR="00F650CE" w:rsidRPr="001E114C">
              <w:rPr>
                <w:rFonts w:asciiTheme="majorBidi" w:hAnsiTheme="majorBidi" w:cstheme="majorBidi"/>
              </w:rPr>
              <w:t xml:space="preserve"> as alternative</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46FACAB" w14:textId="77777777" w:rsidR="007545CE" w:rsidRPr="00C57220" w:rsidRDefault="007545CE" w:rsidP="0072242B">
            <w:pPr>
              <w:pStyle w:val="TextA"/>
              <w:spacing w:after="0" w:line="240" w:lineRule="auto"/>
              <w:rPr>
                <w:rFonts w:asciiTheme="majorBidi" w:hAnsiTheme="majorBidi" w:cstheme="majorBidi"/>
                <w:lang w:val="en-GB"/>
              </w:rPr>
            </w:pPr>
            <w:r w:rsidRPr="00C57220">
              <w:rPr>
                <w:rFonts w:asciiTheme="majorBidi" w:hAnsiTheme="majorBidi" w:cstheme="majorBidi"/>
                <w:lang w:val="en-GB"/>
              </w:rPr>
              <w:t>International and national biomonitoring programme</w:t>
            </w:r>
          </w:p>
          <w:p w14:paraId="63BB61FE" w14:textId="6B3FD4EA" w:rsidR="007545CE" w:rsidRPr="00C57220" w:rsidRDefault="007545CE" w:rsidP="007545CE">
            <w:pPr>
              <w:rPr>
                <w:rFonts w:asciiTheme="majorBidi" w:hAnsiTheme="majorBidi" w:cstheme="majorBidi"/>
              </w:rPr>
            </w:pPr>
            <w:r w:rsidRPr="00C57220">
              <w:rPr>
                <w:rFonts w:asciiTheme="majorBidi" w:hAnsiTheme="majorBidi" w:cstheme="majorBidi"/>
              </w:rPr>
              <w:t xml:space="preserve">Longitudinal birth cohort and cross-sectional studies </w:t>
            </w:r>
          </w:p>
        </w:tc>
      </w:tr>
      <w:tr w:rsidR="0072242B" w:rsidRPr="00FC73F5" w14:paraId="3556E4AC" w14:textId="77777777" w:rsidTr="0072242B">
        <w:trPr>
          <w:trHeight w:val="270"/>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E3065" w14:textId="078F83CF" w:rsidR="0072242B" w:rsidRPr="001E114C" w:rsidRDefault="0072242B" w:rsidP="0072242B">
            <w:pPr>
              <w:rPr>
                <w:rFonts w:asciiTheme="majorBidi" w:hAnsiTheme="majorBidi" w:cstheme="majorBidi"/>
                <w:b/>
              </w:rPr>
            </w:pPr>
            <w:r w:rsidRPr="001E114C">
              <w:rPr>
                <w:rFonts w:asciiTheme="majorBidi" w:hAnsiTheme="majorBidi" w:cstheme="majorBidi"/>
                <w:b/>
              </w:rPr>
              <w:t>3. Biota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36D35" w14:textId="46E17B25" w:rsidR="0072242B" w:rsidRPr="001E114C" w:rsidRDefault="0072242B" w:rsidP="0072242B">
            <w:pPr>
              <w:pStyle w:val="TextA"/>
              <w:spacing w:after="0" w:line="240" w:lineRule="auto"/>
              <w:rPr>
                <w:rFonts w:asciiTheme="majorBidi" w:hAnsiTheme="majorBidi" w:cstheme="majorBidi"/>
                <w:lang w:val="en-GB"/>
              </w:rPr>
            </w:pPr>
            <w:r w:rsidRPr="001E114C">
              <w:rPr>
                <w:rFonts w:asciiTheme="majorBidi" w:hAnsiTheme="majorBidi" w:cstheme="majorBidi"/>
                <w:lang w:val="en-GB"/>
              </w:rPr>
              <w:t>M6.</w:t>
            </w:r>
            <w:r w:rsidR="00F650CE" w:rsidRPr="001E114C">
              <w:rPr>
                <w:rFonts w:asciiTheme="majorBidi" w:hAnsiTheme="majorBidi" w:cstheme="majorBidi"/>
                <w:lang w:val="en-GB"/>
              </w:rPr>
              <w:t xml:space="preserve"> Mercury levels in biota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9B823" w14:textId="4E4F21A7" w:rsidR="0072242B" w:rsidRPr="00C57220" w:rsidRDefault="00F650CE" w:rsidP="0072242B">
            <w:pPr>
              <w:pStyle w:val="TextA"/>
              <w:spacing w:after="0" w:line="240" w:lineRule="auto"/>
              <w:rPr>
                <w:rFonts w:asciiTheme="majorBidi" w:hAnsiTheme="majorBidi" w:cstheme="majorBidi"/>
                <w:lang w:val="en-GB"/>
              </w:rPr>
            </w:pPr>
            <w:r w:rsidRPr="00C57220">
              <w:rPr>
                <w:rFonts w:asciiTheme="majorBidi" w:hAnsiTheme="majorBidi" w:cstheme="majorBidi"/>
                <w:lang w:val="en-GB"/>
              </w:rPr>
              <w:t>Continental network</w:t>
            </w:r>
          </w:p>
          <w:p w14:paraId="05414DEB" w14:textId="3D4ABD59" w:rsidR="00F650CE" w:rsidRPr="00C57220" w:rsidRDefault="00F650CE" w:rsidP="0072242B">
            <w:pPr>
              <w:pStyle w:val="TextA"/>
              <w:spacing w:after="0" w:line="240" w:lineRule="auto"/>
              <w:rPr>
                <w:rFonts w:asciiTheme="majorBidi" w:hAnsiTheme="majorBidi" w:cstheme="majorBidi"/>
                <w:lang w:val="en-GB"/>
              </w:rPr>
            </w:pPr>
          </w:p>
        </w:tc>
      </w:tr>
      <w:tr w:rsidR="0072242B" w:rsidRPr="00FC73F5" w14:paraId="72C6FA8F" w14:textId="77777777" w:rsidTr="0072242B">
        <w:trPr>
          <w:trHeight w:val="270"/>
        </w:trPr>
        <w:tc>
          <w:tcPr>
            <w:tcW w:w="158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17C6811" w14:textId="77777777" w:rsidR="0072242B" w:rsidRPr="001E114C" w:rsidRDefault="0072242B" w:rsidP="0072242B">
            <w:pPr>
              <w:rPr>
                <w:rFonts w:asciiTheme="majorBidi" w:hAnsiTheme="majorBidi" w:cstheme="majorBidi"/>
                <w:b/>
              </w:rPr>
            </w:pPr>
          </w:p>
        </w:tc>
        <w:tc>
          <w:tcPr>
            <w:tcW w:w="425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CB10CBF" w14:textId="20405BD9" w:rsidR="0072242B" w:rsidRPr="001E114C" w:rsidRDefault="0072242B" w:rsidP="0072242B">
            <w:pPr>
              <w:pStyle w:val="TextA"/>
              <w:spacing w:after="0" w:line="240" w:lineRule="auto"/>
              <w:rPr>
                <w:rFonts w:asciiTheme="majorBidi" w:hAnsiTheme="majorBidi" w:cstheme="majorBidi"/>
                <w:lang w:val="en-GB"/>
              </w:rPr>
            </w:pPr>
            <w:r w:rsidRPr="001E114C">
              <w:rPr>
                <w:rFonts w:asciiTheme="majorBidi" w:hAnsiTheme="majorBidi" w:cstheme="majorBidi"/>
                <w:lang w:val="en-GB"/>
              </w:rPr>
              <w:t>M7.</w:t>
            </w:r>
            <w:r w:rsidR="00D225C5">
              <w:rPr>
                <w:rFonts w:asciiTheme="majorBidi" w:hAnsiTheme="majorBidi" w:cstheme="majorBidi"/>
                <w:lang w:val="en-GB"/>
              </w:rPr>
              <w:t xml:space="preserve"> </w:t>
            </w:r>
            <w:r w:rsidR="00F650CE" w:rsidRPr="001E114C">
              <w:rPr>
                <w:rFonts w:asciiTheme="majorBidi" w:hAnsiTheme="majorBidi" w:cstheme="majorBidi"/>
                <w:lang w:val="en-GB"/>
              </w:rPr>
              <w:t xml:space="preserve">Mercury levels in biota </w:t>
            </w:r>
          </w:p>
        </w:tc>
        <w:tc>
          <w:tcPr>
            <w:tcW w:w="311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F42DA8B" w14:textId="0E8D8C33" w:rsidR="0072242B" w:rsidRPr="00C57220" w:rsidRDefault="00F650CE" w:rsidP="00F650CE">
            <w:pPr>
              <w:pStyle w:val="TextA"/>
              <w:spacing w:after="0" w:line="240" w:lineRule="auto"/>
              <w:rPr>
                <w:rFonts w:asciiTheme="majorBidi" w:hAnsiTheme="majorBidi" w:cstheme="majorBidi"/>
                <w:lang w:val="en-GB"/>
              </w:rPr>
            </w:pPr>
            <w:r w:rsidRPr="00C57220">
              <w:rPr>
                <w:rFonts w:asciiTheme="majorBidi" w:hAnsiTheme="majorBidi" w:cstheme="majorBidi"/>
                <w:lang w:val="en-GB"/>
              </w:rPr>
              <w:t>Oceanic framework</w:t>
            </w:r>
          </w:p>
        </w:tc>
      </w:tr>
      <w:tr w:rsidR="0072242B" w:rsidRPr="00FC73F5" w14:paraId="718D435C" w14:textId="77777777" w:rsidTr="00106FBD">
        <w:trPr>
          <w:trHeight w:val="270"/>
        </w:trPr>
        <w:tc>
          <w:tcPr>
            <w:tcW w:w="8959"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0DA24" w14:textId="03C36E71" w:rsidR="0072242B" w:rsidRPr="00C57220" w:rsidRDefault="001E114C" w:rsidP="0072242B">
            <w:pPr>
              <w:pStyle w:val="TextA"/>
              <w:spacing w:after="0" w:line="240" w:lineRule="auto"/>
              <w:rPr>
                <w:rFonts w:asciiTheme="majorBidi" w:hAnsiTheme="majorBidi" w:cstheme="majorBidi"/>
                <w:bCs/>
                <w:lang w:val="en-GB"/>
              </w:rPr>
            </w:pPr>
            <w:r w:rsidRPr="006D6410">
              <w:rPr>
                <w:rFonts w:asciiTheme="majorBidi" w:hAnsiTheme="majorBidi" w:cstheme="majorBidi"/>
                <w:bCs/>
                <w:i/>
                <w:iCs/>
                <w:lang w:val="en-GB"/>
              </w:rPr>
              <w:t xml:space="preserve">Water as a separate media is included to </w:t>
            </w:r>
            <w:r w:rsidR="00C57220" w:rsidRPr="006D6410">
              <w:rPr>
                <w:rFonts w:asciiTheme="majorBidi" w:hAnsiTheme="majorBidi" w:cstheme="majorBidi"/>
                <w:bCs/>
                <w:i/>
                <w:iCs/>
                <w:lang w:val="en-GB"/>
              </w:rPr>
              <w:t>inform</w:t>
            </w:r>
            <w:r w:rsidRPr="006D6410">
              <w:rPr>
                <w:rFonts w:asciiTheme="majorBidi" w:hAnsiTheme="majorBidi" w:cstheme="majorBidi"/>
                <w:bCs/>
                <w:i/>
                <w:iCs/>
                <w:lang w:val="en-GB"/>
              </w:rPr>
              <w:t xml:space="preserve"> modelling</w:t>
            </w:r>
            <w:r w:rsidR="00C57220" w:rsidRPr="006D6410">
              <w:rPr>
                <w:rFonts w:asciiTheme="majorBidi" w:hAnsiTheme="majorBidi" w:cstheme="majorBidi"/>
                <w:bCs/>
                <w:i/>
                <w:iCs/>
                <w:lang w:val="en-GB"/>
              </w:rPr>
              <w:t xml:space="preserve"> (attribution)</w:t>
            </w:r>
            <w:r w:rsidRPr="006D6410">
              <w:rPr>
                <w:rFonts w:asciiTheme="majorBidi" w:hAnsiTheme="majorBidi" w:cstheme="majorBidi"/>
                <w:bCs/>
                <w:lang w:val="en-GB"/>
              </w:rPr>
              <w:t>.</w:t>
            </w:r>
          </w:p>
        </w:tc>
      </w:tr>
      <w:tr w:rsidR="0072242B" w:rsidRPr="00FC73F5" w14:paraId="7C4B48D3" w14:textId="77777777" w:rsidTr="0072242B">
        <w:trPr>
          <w:trHeight w:val="270"/>
        </w:trPr>
        <w:tc>
          <w:tcPr>
            <w:tcW w:w="158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988C2" w14:textId="57BDD061" w:rsidR="0072242B" w:rsidRPr="00C57220" w:rsidRDefault="0072242B" w:rsidP="0072242B">
            <w:pPr>
              <w:rPr>
                <w:rFonts w:asciiTheme="majorBidi" w:hAnsiTheme="majorBidi" w:cstheme="majorBidi"/>
                <w:b/>
              </w:rPr>
            </w:pPr>
            <w:r w:rsidRPr="00C57220">
              <w:rPr>
                <w:rFonts w:asciiTheme="majorBidi" w:hAnsiTheme="majorBidi" w:cstheme="majorBidi"/>
                <w:b/>
              </w:rPr>
              <w:t>4. Water</w:t>
            </w:r>
          </w:p>
        </w:tc>
        <w:tc>
          <w:tcPr>
            <w:tcW w:w="425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050A5" w14:textId="06D5C30D" w:rsidR="0072242B" w:rsidRPr="00C57220" w:rsidRDefault="00EE0F34" w:rsidP="0072242B">
            <w:pPr>
              <w:pStyle w:val="TextA"/>
              <w:spacing w:after="0" w:line="240" w:lineRule="auto"/>
              <w:rPr>
                <w:rFonts w:asciiTheme="majorBidi" w:hAnsiTheme="majorBidi" w:cstheme="majorBidi"/>
                <w:lang w:val="en-GB"/>
              </w:rPr>
            </w:pPr>
            <w:r w:rsidRPr="00C57220">
              <w:rPr>
                <w:rFonts w:asciiTheme="majorBidi" w:hAnsiTheme="majorBidi" w:cstheme="majorBidi"/>
                <w:lang w:val="en-GB"/>
              </w:rPr>
              <w:t xml:space="preserve">M8. Mercury levels in </w:t>
            </w:r>
            <w:r w:rsidR="00534A6A">
              <w:rPr>
                <w:rFonts w:asciiTheme="majorBidi" w:hAnsiTheme="majorBidi" w:cstheme="majorBidi"/>
                <w:lang w:val="en-GB"/>
              </w:rPr>
              <w:t xml:space="preserve">sea </w:t>
            </w:r>
            <w:r w:rsidRPr="00C57220">
              <w:rPr>
                <w:rFonts w:asciiTheme="majorBidi" w:hAnsiTheme="majorBidi" w:cstheme="majorBidi"/>
                <w:lang w:val="en-GB"/>
              </w:rPr>
              <w:t>water</w:t>
            </w:r>
            <w:r w:rsidR="00534A6A">
              <w:rPr>
                <w:rFonts w:asciiTheme="majorBidi" w:hAnsiTheme="majorBidi" w:cstheme="majorBidi"/>
                <w:lang w:val="en-GB"/>
              </w:rPr>
              <w:t xml:space="preserve"> covering horizontal and vertical distribution</w:t>
            </w:r>
          </w:p>
        </w:tc>
        <w:tc>
          <w:tcPr>
            <w:tcW w:w="311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29F6F" w14:textId="1A9BD3BB" w:rsidR="0072242B" w:rsidRPr="00C57220" w:rsidRDefault="00150D97" w:rsidP="0072242B">
            <w:pPr>
              <w:pStyle w:val="TextA"/>
              <w:spacing w:after="0" w:line="240" w:lineRule="auto"/>
              <w:rPr>
                <w:rFonts w:asciiTheme="majorBidi" w:hAnsiTheme="majorBidi" w:cstheme="majorBidi"/>
                <w:lang w:val="en-GB"/>
              </w:rPr>
            </w:pPr>
            <w:r w:rsidRPr="00C57220">
              <w:rPr>
                <w:rFonts w:asciiTheme="majorBidi" w:hAnsiTheme="majorBidi" w:cstheme="majorBidi"/>
              </w:rPr>
              <w:t xml:space="preserve">Existing/expanded </w:t>
            </w:r>
            <w:r>
              <w:rPr>
                <w:rFonts w:asciiTheme="majorBidi" w:hAnsiTheme="majorBidi" w:cstheme="majorBidi"/>
              </w:rPr>
              <w:t xml:space="preserve">monitoring activities and </w:t>
            </w:r>
            <w:r w:rsidRPr="00C57220">
              <w:rPr>
                <w:rFonts w:asciiTheme="majorBidi" w:hAnsiTheme="majorBidi" w:cstheme="majorBidi"/>
              </w:rPr>
              <w:t>networks</w:t>
            </w:r>
          </w:p>
        </w:tc>
      </w:tr>
      <w:bookmarkEnd w:id="3"/>
    </w:tbl>
    <w:p w14:paraId="69A14104" w14:textId="77777777" w:rsidR="000A0873" w:rsidRPr="00FC73F5" w:rsidRDefault="000A0873" w:rsidP="000A0873">
      <w:pPr>
        <w:pStyle w:val="Normal-pool"/>
        <w:tabs>
          <w:tab w:val="clear" w:pos="1247"/>
          <w:tab w:val="clear" w:pos="1814"/>
          <w:tab w:val="clear" w:pos="2381"/>
          <w:tab w:val="clear" w:pos="2948"/>
          <w:tab w:val="clear" w:pos="3515"/>
        </w:tabs>
        <w:rPr>
          <w:rFonts w:asciiTheme="majorBidi" w:hAnsiTheme="majorBidi" w:cstheme="majorBidi"/>
          <w:sz w:val="24"/>
          <w:szCs w:val="24"/>
          <w:lang w:val="en-GB"/>
        </w:rPr>
      </w:pPr>
    </w:p>
    <w:p w14:paraId="04009C82" w14:textId="2D609E8C" w:rsidR="000A0873" w:rsidRPr="000A0873" w:rsidRDefault="000A0873" w:rsidP="000A0873">
      <w:pPr>
        <w:pStyle w:val="Normal-pool"/>
        <w:tabs>
          <w:tab w:val="clear" w:pos="1247"/>
          <w:tab w:val="clear" w:pos="1814"/>
          <w:tab w:val="clear" w:pos="2381"/>
          <w:tab w:val="clear" w:pos="2948"/>
          <w:tab w:val="clear" w:pos="3515"/>
        </w:tabs>
        <w:spacing w:after="160"/>
        <w:rPr>
          <w:rFonts w:asciiTheme="majorBidi" w:hAnsiTheme="majorBidi" w:cstheme="majorBidi"/>
          <w:b/>
          <w:sz w:val="24"/>
          <w:szCs w:val="24"/>
          <w:lang w:val="en-GB"/>
        </w:rPr>
      </w:pPr>
      <w:r>
        <w:rPr>
          <w:rFonts w:asciiTheme="majorBidi" w:hAnsiTheme="majorBidi" w:cstheme="majorBidi"/>
          <w:b/>
          <w:sz w:val="24"/>
          <w:szCs w:val="24"/>
          <w:lang w:val="en-GB"/>
        </w:rPr>
        <w:t>4</w:t>
      </w:r>
      <w:r w:rsidRPr="00FC73F5">
        <w:rPr>
          <w:rFonts w:asciiTheme="majorBidi" w:hAnsiTheme="majorBidi" w:cstheme="majorBidi"/>
          <w:b/>
          <w:sz w:val="24"/>
          <w:szCs w:val="24"/>
          <w:lang w:val="en-GB"/>
        </w:rPr>
        <w:t xml:space="preserve">. </w:t>
      </w:r>
      <w:r>
        <w:rPr>
          <w:rFonts w:asciiTheme="majorBidi" w:hAnsiTheme="majorBidi" w:cstheme="majorBidi"/>
          <w:b/>
          <w:sz w:val="24"/>
          <w:szCs w:val="24"/>
          <w:lang w:val="en-GB"/>
        </w:rPr>
        <w:t>Use of modelling in the effectiveness evaluation</w:t>
      </w:r>
      <w:r w:rsidRPr="00FC73F5">
        <w:rPr>
          <w:rFonts w:asciiTheme="majorBidi" w:hAnsiTheme="majorBidi" w:cstheme="majorBidi"/>
          <w:b/>
          <w:sz w:val="24"/>
          <w:szCs w:val="24"/>
          <w:lang w:val="en-GB"/>
        </w:rPr>
        <w:t xml:space="preserve"> </w:t>
      </w:r>
    </w:p>
    <w:p w14:paraId="2680EC9D" w14:textId="10F5AAFE" w:rsidR="000A0873" w:rsidRDefault="000A0873" w:rsidP="0038156C">
      <w:pPr>
        <w:pStyle w:val="Text"/>
        <w:numPr>
          <w:ilvl w:val="0"/>
          <w:numId w:val="1"/>
        </w:numPr>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rPr>
          <w:rFonts w:asciiTheme="majorBidi" w:hAnsiTheme="majorBidi" w:cstheme="majorBidi"/>
          <w:color w:val="000000" w:themeColor="text1"/>
          <w:sz w:val="24"/>
          <w:szCs w:val="24"/>
          <w:lang w:val="en-GB"/>
        </w:rPr>
      </w:pPr>
      <w:r w:rsidRPr="00FC73F5">
        <w:rPr>
          <w:rFonts w:asciiTheme="majorBidi" w:hAnsiTheme="majorBidi" w:cstheme="majorBidi"/>
          <w:sz w:val="24"/>
          <w:szCs w:val="24"/>
          <w:lang w:val="en-GB"/>
        </w:rPr>
        <w:t xml:space="preserve">Models </w:t>
      </w:r>
      <w:r w:rsidR="00EF2103">
        <w:rPr>
          <w:rFonts w:asciiTheme="majorBidi" w:hAnsiTheme="majorBidi" w:cstheme="majorBidi"/>
          <w:sz w:val="24"/>
          <w:szCs w:val="24"/>
          <w:lang w:val="en-GB"/>
        </w:rPr>
        <w:t xml:space="preserve">provide for the integration of mechanisms and </w:t>
      </w:r>
      <w:r w:rsidR="000021F7">
        <w:rPr>
          <w:rFonts w:asciiTheme="majorBidi" w:hAnsiTheme="majorBidi" w:cstheme="majorBidi"/>
          <w:sz w:val="24"/>
          <w:szCs w:val="24"/>
          <w:lang w:val="en-GB"/>
        </w:rPr>
        <w:t>observations and</w:t>
      </w:r>
      <w:r w:rsidR="00EF2103">
        <w:rPr>
          <w:rFonts w:asciiTheme="majorBidi" w:hAnsiTheme="majorBidi" w:cstheme="majorBidi"/>
          <w:sz w:val="24"/>
          <w:szCs w:val="24"/>
          <w:lang w:val="en-GB"/>
        </w:rPr>
        <w:t xml:space="preserve"> use that to assess projections for future source apportionment. It can be said, that models therefore </w:t>
      </w:r>
      <w:r w:rsidRPr="00FC73F5">
        <w:rPr>
          <w:rFonts w:asciiTheme="majorBidi" w:hAnsiTheme="majorBidi" w:cstheme="majorBidi"/>
          <w:color w:val="000000" w:themeColor="text1"/>
          <w:sz w:val="24"/>
          <w:szCs w:val="24"/>
          <w:lang w:val="en-GB"/>
        </w:rPr>
        <w:t xml:space="preserve">formalise </w:t>
      </w:r>
      <w:r w:rsidR="00EF2103">
        <w:rPr>
          <w:rFonts w:asciiTheme="majorBidi" w:hAnsiTheme="majorBidi" w:cstheme="majorBidi"/>
          <w:color w:val="000000" w:themeColor="text1"/>
          <w:sz w:val="24"/>
          <w:szCs w:val="24"/>
          <w:lang w:val="en-GB"/>
        </w:rPr>
        <w:t xml:space="preserve">the </w:t>
      </w:r>
      <w:r w:rsidRPr="00FC73F5">
        <w:rPr>
          <w:rFonts w:asciiTheme="majorBidi" w:hAnsiTheme="majorBidi" w:cstheme="majorBidi"/>
          <w:color w:val="000000" w:themeColor="text1"/>
          <w:sz w:val="24"/>
          <w:szCs w:val="24"/>
          <w:lang w:val="en-GB"/>
        </w:rPr>
        <w:t xml:space="preserve">scientific understanding of mechanisms affecting mercury </w:t>
      </w:r>
      <w:r w:rsidR="00EF2103" w:rsidRPr="00FC73F5">
        <w:rPr>
          <w:rFonts w:asciiTheme="majorBidi" w:hAnsiTheme="majorBidi" w:cstheme="majorBidi"/>
          <w:color w:val="000000" w:themeColor="text1"/>
          <w:sz w:val="24"/>
          <w:szCs w:val="24"/>
          <w:lang w:val="en-GB"/>
        </w:rPr>
        <w:t>behaviour</w:t>
      </w:r>
      <w:r w:rsidRPr="00FC73F5">
        <w:rPr>
          <w:rFonts w:asciiTheme="majorBidi" w:hAnsiTheme="majorBidi" w:cstheme="majorBidi"/>
          <w:color w:val="000000" w:themeColor="text1"/>
          <w:sz w:val="24"/>
          <w:szCs w:val="24"/>
          <w:lang w:val="en-GB"/>
        </w:rPr>
        <w:t xml:space="preserve">. </w:t>
      </w:r>
      <w:r w:rsidR="0038156C">
        <w:rPr>
          <w:rFonts w:asciiTheme="majorBidi" w:hAnsiTheme="majorBidi" w:cstheme="majorBidi"/>
          <w:color w:val="000000" w:themeColor="text1"/>
          <w:sz w:val="24"/>
          <w:szCs w:val="24"/>
          <w:lang w:val="en-GB"/>
        </w:rPr>
        <w:t>One critical source of models is to provide a</w:t>
      </w:r>
      <w:r w:rsidRPr="00FC73F5">
        <w:rPr>
          <w:rFonts w:asciiTheme="majorBidi" w:hAnsiTheme="majorBidi" w:cstheme="majorBidi"/>
          <w:color w:val="000000" w:themeColor="text1"/>
          <w:sz w:val="24"/>
          <w:szCs w:val="24"/>
          <w:lang w:val="en-GB"/>
        </w:rPr>
        <w:t xml:space="preserve"> tool for linking and spatially/temporally extrapolating </w:t>
      </w:r>
      <w:r w:rsidR="0038156C">
        <w:rPr>
          <w:rFonts w:asciiTheme="majorBidi" w:hAnsiTheme="majorBidi" w:cstheme="majorBidi"/>
          <w:color w:val="000000" w:themeColor="text1"/>
          <w:sz w:val="24"/>
          <w:szCs w:val="24"/>
          <w:lang w:val="en-GB"/>
        </w:rPr>
        <w:t xml:space="preserve">monitoring </w:t>
      </w:r>
      <w:r w:rsidRPr="00FC73F5">
        <w:rPr>
          <w:rFonts w:asciiTheme="majorBidi" w:hAnsiTheme="majorBidi" w:cstheme="majorBidi"/>
          <w:color w:val="000000" w:themeColor="text1"/>
          <w:sz w:val="24"/>
          <w:szCs w:val="24"/>
          <w:lang w:val="en-GB"/>
        </w:rPr>
        <w:t>data collected globally as part of ongoing research programmes, policy activities and data provided by civil society</w:t>
      </w:r>
      <w:r w:rsidR="0038156C">
        <w:rPr>
          <w:rFonts w:asciiTheme="majorBidi" w:hAnsiTheme="majorBidi" w:cstheme="majorBidi"/>
          <w:color w:val="000000" w:themeColor="text1"/>
          <w:sz w:val="24"/>
          <w:szCs w:val="24"/>
          <w:lang w:val="en-GB"/>
        </w:rPr>
        <w:t>, in order to provide a comprehensive picture of the state of mercury pollution globally</w:t>
      </w:r>
      <w:r w:rsidRPr="00FC73F5">
        <w:rPr>
          <w:rFonts w:asciiTheme="majorBidi" w:hAnsiTheme="majorBidi" w:cstheme="majorBidi"/>
          <w:color w:val="000000" w:themeColor="text1"/>
          <w:sz w:val="24"/>
          <w:szCs w:val="24"/>
          <w:lang w:val="en-GB"/>
        </w:rPr>
        <w:t xml:space="preserve">. Moreover, integrating </w:t>
      </w:r>
      <w:r w:rsidR="002E51FE" w:rsidRPr="00B058B2">
        <w:rPr>
          <w:rFonts w:asciiTheme="majorBidi" w:hAnsiTheme="majorBidi" w:cstheme="majorBidi"/>
          <w:color w:val="000000" w:themeColor="text1"/>
          <w:sz w:val="24"/>
          <w:szCs w:val="24"/>
          <w:lang w:val="en-GB"/>
        </w:rPr>
        <w:t>modelling</w:t>
      </w:r>
      <w:r w:rsidRPr="00FC73F5">
        <w:rPr>
          <w:rFonts w:asciiTheme="majorBidi" w:hAnsiTheme="majorBidi" w:cstheme="majorBidi"/>
          <w:color w:val="000000" w:themeColor="text1"/>
          <w:sz w:val="24"/>
          <w:szCs w:val="24"/>
          <w:lang w:val="en-GB"/>
        </w:rPr>
        <w:t xml:space="preserve"> frameworks provide a tool to work across media, i.e. for linking releases of mercury to the atmosphere, land and water to methylmercury in fish and wildlife, as well as exposure of human populations. </w:t>
      </w:r>
    </w:p>
    <w:p w14:paraId="3B01FE27" w14:textId="66D27E83" w:rsidR="000A0873" w:rsidRPr="00B058B2" w:rsidRDefault="0038156C" w:rsidP="00B058B2">
      <w:pPr>
        <w:pStyle w:val="Text"/>
        <w:numPr>
          <w:ilvl w:val="0"/>
          <w:numId w:val="1"/>
        </w:numPr>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 xml:space="preserve">Another critical use of models in effectiveness evaluation is to attribute changes to levels in mercury to Convention measures. </w:t>
      </w:r>
    </w:p>
    <w:p w14:paraId="56800412" w14:textId="7F43DCB0" w:rsidR="000A0873" w:rsidRPr="00FC73F5" w:rsidRDefault="000A0873" w:rsidP="00AE35B5">
      <w:pPr>
        <w:pStyle w:val="Text"/>
        <w:numPr>
          <w:ilvl w:val="0"/>
          <w:numId w:val="1"/>
        </w:numPr>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eastAsia="Helvetica" w:hAnsiTheme="majorBidi" w:cstheme="majorBidi"/>
          <w:color w:val="000000" w:themeColor="text1"/>
          <w:sz w:val="24"/>
          <w:szCs w:val="24"/>
          <w:lang w:val="en-GB"/>
        </w:rPr>
      </w:pPr>
      <w:r w:rsidRPr="00FC73F5">
        <w:rPr>
          <w:rFonts w:asciiTheme="majorBidi" w:hAnsiTheme="majorBidi" w:cstheme="majorBidi"/>
          <w:color w:val="000000" w:themeColor="text1"/>
          <w:sz w:val="24"/>
          <w:szCs w:val="24"/>
          <w:lang w:val="en-GB"/>
        </w:rPr>
        <w:t xml:space="preserve">Models for different </w:t>
      </w:r>
      <w:r w:rsidRPr="00FE3F8F">
        <w:rPr>
          <w:rFonts w:asciiTheme="majorBidi" w:hAnsiTheme="majorBidi" w:cstheme="majorBidi"/>
          <w:color w:val="000000" w:themeColor="text1"/>
          <w:sz w:val="24"/>
          <w:szCs w:val="24"/>
          <w:lang w:val="en-GB"/>
        </w:rPr>
        <w:t xml:space="preserve">media (air, </w:t>
      </w:r>
      <w:r w:rsidR="00694E1A" w:rsidRPr="00FE3F8F">
        <w:rPr>
          <w:rFonts w:asciiTheme="majorBidi" w:hAnsiTheme="majorBidi" w:cstheme="majorBidi"/>
          <w:color w:val="000000" w:themeColor="text1"/>
          <w:sz w:val="24"/>
          <w:szCs w:val="24"/>
          <w:lang w:val="en-GB"/>
        </w:rPr>
        <w:t xml:space="preserve">human, biota, </w:t>
      </w:r>
      <w:r w:rsidRPr="00FE3F8F">
        <w:rPr>
          <w:rFonts w:asciiTheme="majorBidi" w:hAnsiTheme="majorBidi" w:cstheme="majorBidi"/>
          <w:color w:val="000000" w:themeColor="text1"/>
          <w:sz w:val="24"/>
          <w:szCs w:val="24"/>
          <w:lang w:val="en-GB"/>
        </w:rPr>
        <w:t xml:space="preserve">water, </w:t>
      </w:r>
      <w:r w:rsidR="00694E1A" w:rsidRPr="00FE3F8F">
        <w:rPr>
          <w:rFonts w:asciiTheme="majorBidi" w:hAnsiTheme="majorBidi" w:cstheme="majorBidi"/>
          <w:color w:val="000000" w:themeColor="text1"/>
          <w:sz w:val="24"/>
          <w:szCs w:val="24"/>
          <w:lang w:val="en-GB"/>
        </w:rPr>
        <w:t xml:space="preserve">and </w:t>
      </w:r>
      <w:r w:rsidR="006354A6">
        <w:rPr>
          <w:rFonts w:asciiTheme="majorBidi" w:hAnsiTheme="majorBidi" w:cstheme="majorBidi"/>
          <w:color w:val="000000" w:themeColor="text1"/>
          <w:sz w:val="24"/>
          <w:szCs w:val="24"/>
          <w:lang w:val="en-GB"/>
        </w:rPr>
        <w:t>soil</w:t>
      </w:r>
      <w:r w:rsidRPr="00FE3F8F">
        <w:rPr>
          <w:rFonts w:asciiTheme="majorBidi" w:hAnsiTheme="majorBidi" w:cstheme="majorBidi"/>
          <w:color w:val="000000" w:themeColor="text1"/>
          <w:sz w:val="24"/>
          <w:szCs w:val="24"/>
          <w:lang w:val="en-GB"/>
        </w:rPr>
        <w:t>) vary</w:t>
      </w:r>
      <w:r w:rsidRPr="00FC73F5">
        <w:rPr>
          <w:rFonts w:asciiTheme="majorBidi" w:hAnsiTheme="majorBidi" w:cstheme="majorBidi"/>
          <w:color w:val="000000" w:themeColor="text1"/>
          <w:sz w:val="24"/>
          <w:szCs w:val="24"/>
          <w:lang w:val="en-GB"/>
        </w:rPr>
        <w:t xml:space="preserve"> in their ability and state of development. For example, for air and atmosphere, many monitoring groups have developed </w:t>
      </w:r>
      <w:r w:rsidR="00694E1A">
        <w:rPr>
          <w:rFonts w:asciiTheme="majorBidi" w:hAnsiTheme="majorBidi" w:cstheme="majorBidi"/>
          <w:color w:val="000000" w:themeColor="text1"/>
          <w:sz w:val="24"/>
          <w:szCs w:val="24"/>
          <w:lang w:val="en-GB"/>
        </w:rPr>
        <w:t xml:space="preserve">global </w:t>
      </w:r>
      <w:r w:rsidR="002E51FE" w:rsidRPr="00FC73F5">
        <w:rPr>
          <w:rFonts w:asciiTheme="majorBidi" w:hAnsiTheme="majorBidi" w:cstheme="majorBidi"/>
          <w:color w:val="000000" w:themeColor="text1"/>
          <w:sz w:val="24"/>
          <w:szCs w:val="24"/>
          <w:lang w:val="en-GB"/>
        </w:rPr>
        <w:t>modelling</w:t>
      </w:r>
      <w:r w:rsidRPr="00FC73F5">
        <w:rPr>
          <w:rFonts w:asciiTheme="majorBidi" w:hAnsiTheme="majorBidi" w:cstheme="majorBidi"/>
          <w:color w:val="000000" w:themeColor="text1"/>
          <w:sz w:val="24"/>
          <w:szCs w:val="24"/>
          <w:lang w:val="en-GB"/>
        </w:rPr>
        <w:t xml:space="preserve"> tools that can be used to assess the impact of changes in anthropogenic mercury emissions and releases on global atmosphere concentrations, and mercury inputs to terrestrial ecosystems and the ocean. Atmospheric models have been extensively evaluated and can be applied to assess spatial gradients in atmospheric mercury concentrations and deposition, as well as temporal changes. By contrast, models for other media such as land, are still mainly used in research applications. </w:t>
      </w:r>
    </w:p>
    <w:p w14:paraId="08290195" w14:textId="77777777" w:rsidR="000A0873" w:rsidRPr="00FC73F5" w:rsidRDefault="000A0873" w:rsidP="000A0873">
      <w:pPr>
        <w:pStyle w:val="Text"/>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eastAsia="Helvetica" w:hAnsiTheme="majorBidi" w:cstheme="majorBidi"/>
          <w:color w:val="000000" w:themeColor="text1"/>
          <w:sz w:val="24"/>
          <w:szCs w:val="24"/>
          <w:lang w:val="en-GB"/>
        </w:rPr>
      </w:pPr>
    </w:p>
    <w:p w14:paraId="1513144A" w14:textId="4B9FE71F" w:rsidR="000A0873" w:rsidRPr="002E51FE" w:rsidRDefault="000A0873" w:rsidP="002E51FE">
      <w:pPr>
        <w:pStyle w:val="Text"/>
        <w:numPr>
          <w:ilvl w:val="0"/>
          <w:numId w:val="1"/>
        </w:numPr>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rPr>
          <w:rFonts w:asciiTheme="majorBidi" w:eastAsia="Helvetica" w:hAnsiTheme="majorBidi" w:cstheme="majorBidi"/>
          <w:color w:val="000000" w:themeColor="text1"/>
          <w:sz w:val="24"/>
          <w:szCs w:val="24"/>
          <w:lang w:val="en-GB"/>
        </w:rPr>
      </w:pPr>
      <w:r w:rsidRPr="00FC73F5">
        <w:rPr>
          <w:rFonts w:asciiTheme="majorBidi" w:hAnsiTheme="majorBidi" w:cstheme="majorBidi"/>
          <w:color w:val="000000" w:themeColor="text1"/>
          <w:sz w:val="24"/>
          <w:szCs w:val="24"/>
          <w:lang w:val="en-GB"/>
        </w:rPr>
        <w:t xml:space="preserve">To bridge linkages across different media, integrated model frameworks seek to link </w:t>
      </w:r>
      <w:r w:rsidR="002B7BD9">
        <w:rPr>
          <w:rFonts w:asciiTheme="majorBidi" w:hAnsiTheme="majorBidi" w:cstheme="majorBidi"/>
          <w:color w:val="000000" w:themeColor="text1"/>
          <w:sz w:val="24"/>
          <w:szCs w:val="24"/>
          <w:lang w:val="en-GB"/>
        </w:rPr>
        <w:t>various</w:t>
      </w:r>
      <w:r w:rsidRPr="00FC73F5">
        <w:rPr>
          <w:rFonts w:asciiTheme="majorBidi" w:hAnsiTheme="majorBidi" w:cstheme="majorBidi"/>
          <w:color w:val="000000" w:themeColor="text1"/>
          <w:sz w:val="24"/>
          <w:szCs w:val="24"/>
          <w:lang w:val="en-GB"/>
        </w:rPr>
        <w:t xml:space="preserve"> models used for different media. In this way integrated </w:t>
      </w:r>
      <w:r w:rsidR="002E51FE" w:rsidRPr="00FC73F5">
        <w:rPr>
          <w:rFonts w:asciiTheme="majorBidi" w:hAnsiTheme="majorBidi" w:cstheme="majorBidi"/>
          <w:color w:val="000000" w:themeColor="text1"/>
          <w:sz w:val="24"/>
          <w:szCs w:val="24"/>
          <w:lang w:val="en-GB"/>
        </w:rPr>
        <w:t>modelling</w:t>
      </w:r>
      <w:r w:rsidRPr="00FC73F5">
        <w:rPr>
          <w:rFonts w:asciiTheme="majorBidi" w:hAnsiTheme="majorBidi" w:cstheme="majorBidi"/>
          <w:color w:val="000000" w:themeColor="text1"/>
          <w:sz w:val="24"/>
          <w:szCs w:val="24"/>
          <w:lang w:val="en-GB"/>
        </w:rPr>
        <w:t xml:space="preserve"> frameworks </w:t>
      </w:r>
      <w:r w:rsidRPr="00FC73F5">
        <w:rPr>
          <w:rFonts w:asciiTheme="majorBidi" w:hAnsiTheme="majorBidi" w:cstheme="majorBidi"/>
          <w:color w:val="000000" w:themeColor="text1"/>
          <w:sz w:val="24"/>
          <w:szCs w:val="24"/>
          <w:lang w:val="en-GB"/>
        </w:rPr>
        <w:lastRenderedPageBreak/>
        <w:t xml:space="preserve">provide a tool for </w:t>
      </w:r>
      <w:r w:rsidRPr="001E4483">
        <w:rPr>
          <w:rFonts w:asciiTheme="majorBidi" w:hAnsiTheme="majorBidi" w:cstheme="majorBidi"/>
          <w:color w:val="000000" w:themeColor="text1"/>
          <w:sz w:val="24"/>
          <w:szCs w:val="24"/>
          <w:lang w:val="en-GB"/>
        </w:rPr>
        <w:t xml:space="preserve">linking emissions of mercury to the atmosphere and releases to land and water, to methylmercury in fish and wildlife, and to exposure of some fish-consuming human populations. It is to be noted that a difficult link in integrated </w:t>
      </w:r>
      <w:r w:rsidR="00C77DBC" w:rsidRPr="001E4483">
        <w:rPr>
          <w:rFonts w:asciiTheme="majorBidi" w:hAnsiTheme="majorBidi" w:cstheme="majorBidi"/>
          <w:color w:val="000000" w:themeColor="text1"/>
          <w:sz w:val="24"/>
          <w:szCs w:val="24"/>
          <w:lang w:val="en-GB"/>
        </w:rPr>
        <w:t>modelling</w:t>
      </w:r>
      <w:r w:rsidRPr="001E4483">
        <w:rPr>
          <w:rFonts w:asciiTheme="majorBidi" w:hAnsiTheme="majorBidi" w:cstheme="majorBidi"/>
          <w:color w:val="000000" w:themeColor="text1"/>
          <w:sz w:val="24"/>
          <w:szCs w:val="24"/>
          <w:lang w:val="en-GB"/>
        </w:rPr>
        <w:t xml:space="preserve"> frameworks is to human exposure and health outcomes due to the diversity of dietary preferences, food consumption patterns and individual variability in toxicokinetics affecting methylmercury uptake and elimination.</w:t>
      </w:r>
      <w:r w:rsidR="006354A6" w:rsidRPr="001E4483">
        <w:rPr>
          <w:rFonts w:asciiTheme="majorBidi" w:hAnsiTheme="majorBidi" w:cstheme="majorBidi"/>
          <w:color w:val="000000" w:themeColor="text1"/>
          <w:sz w:val="24"/>
          <w:szCs w:val="24"/>
          <w:lang w:val="en-GB"/>
        </w:rPr>
        <w:t xml:space="preserve"> </w:t>
      </w:r>
    </w:p>
    <w:p w14:paraId="07A21ACC" w14:textId="62914208" w:rsidR="000A0873" w:rsidRPr="00C77DBC" w:rsidRDefault="002E51FE" w:rsidP="00C77DBC">
      <w:pPr>
        <w:pStyle w:val="Normal-pool"/>
        <w:numPr>
          <w:ilvl w:val="0"/>
          <w:numId w:val="1"/>
        </w:numPr>
        <w:tabs>
          <w:tab w:val="clear" w:pos="1247"/>
          <w:tab w:val="clear" w:pos="1814"/>
          <w:tab w:val="clear" w:pos="2381"/>
          <w:tab w:val="clear" w:pos="2948"/>
          <w:tab w:val="clear" w:pos="3515"/>
        </w:tabs>
        <w:spacing w:after="120"/>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 xml:space="preserve">In addition to models that describe behaviour of mercury in the environment and </w:t>
      </w:r>
      <w:r w:rsidR="00C77DBC">
        <w:rPr>
          <w:rFonts w:asciiTheme="majorBidi" w:hAnsiTheme="majorBidi" w:cstheme="majorBidi"/>
          <w:color w:val="000000" w:themeColor="text1"/>
          <w:sz w:val="24"/>
          <w:szCs w:val="24"/>
          <w:lang w:val="en-GB"/>
        </w:rPr>
        <w:t>receptors</w:t>
      </w:r>
      <w:r>
        <w:rPr>
          <w:rFonts w:asciiTheme="majorBidi" w:hAnsiTheme="majorBidi" w:cstheme="majorBidi"/>
          <w:color w:val="000000" w:themeColor="text1"/>
          <w:sz w:val="24"/>
          <w:szCs w:val="24"/>
          <w:lang w:val="en-GB"/>
        </w:rPr>
        <w:t xml:space="preserve">, a </w:t>
      </w:r>
      <w:r w:rsidR="000A0873" w:rsidRPr="00FC73F5">
        <w:rPr>
          <w:rFonts w:asciiTheme="majorBidi" w:hAnsiTheme="majorBidi" w:cstheme="majorBidi"/>
          <w:color w:val="000000" w:themeColor="text1"/>
          <w:sz w:val="24"/>
          <w:szCs w:val="24"/>
          <w:lang w:val="en-GB"/>
        </w:rPr>
        <w:t xml:space="preserve">variety of models and quantitative techniques can simulate </w:t>
      </w:r>
      <w:r w:rsidR="000A0873" w:rsidRPr="00B058B2">
        <w:rPr>
          <w:rFonts w:asciiTheme="majorBidi" w:hAnsiTheme="majorBidi" w:cstheme="majorBidi"/>
          <w:color w:val="000000" w:themeColor="text1"/>
          <w:sz w:val="24"/>
          <w:szCs w:val="24"/>
          <w:lang w:val="en-GB"/>
        </w:rPr>
        <w:t xml:space="preserve">socio-economic systems </w:t>
      </w:r>
      <w:r w:rsidR="000A0873" w:rsidRPr="00FC73F5">
        <w:rPr>
          <w:rFonts w:asciiTheme="majorBidi" w:hAnsiTheme="majorBidi" w:cstheme="majorBidi"/>
          <w:color w:val="000000" w:themeColor="text1"/>
          <w:sz w:val="24"/>
          <w:szCs w:val="24"/>
          <w:lang w:val="en-GB"/>
        </w:rPr>
        <w:t xml:space="preserve">to forecast where mercury is present in society and where it might eventually enter the environment. In this way models can be used to develop scenarios that represent baseline and different policy alternatives. Inputs to these models include commercial data (e.g. amount of mercury in products), technological performance, economic information, energy data, demographic information, policy specifications, and institutional analysis. Outputs can include emissions and releases of mercury, and socio-economic parameters. Other types of models that are relevant to understanding socio-economic systems of relevance to mercury include life-cycle analysis, materials flow analysis, input-output, and economic models. </w:t>
      </w:r>
    </w:p>
    <w:p w14:paraId="70EAB94E" w14:textId="4C22DD15" w:rsidR="000A0873" w:rsidRPr="00FC73F5" w:rsidRDefault="000A0873" w:rsidP="00AE35B5">
      <w:pPr>
        <w:pStyle w:val="Text"/>
        <w:numPr>
          <w:ilvl w:val="0"/>
          <w:numId w:val="1"/>
        </w:numPr>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eastAsia="Helvetica" w:hAnsiTheme="majorBidi" w:cstheme="majorBidi"/>
          <w:color w:val="000000" w:themeColor="text1"/>
          <w:sz w:val="24"/>
          <w:szCs w:val="24"/>
          <w:lang w:val="en-GB"/>
        </w:rPr>
      </w:pPr>
      <w:r w:rsidRPr="00FC73F5">
        <w:rPr>
          <w:rFonts w:asciiTheme="majorBidi" w:hAnsiTheme="majorBidi" w:cstheme="majorBidi"/>
          <w:color w:val="000000" w:themeColor="text1"/>
          <w:sz w:val="24"/>
          <w:szCs w:val="24"/>
          <w:lang w:val="en-GB"/>
        </w:rPr>
        <w:t xml:space="preserve">Developing and evaluating integrated models draws on expertise that bridges natural science, social science, and engineering. The components for an integrated </w:t>
      </w:r>
      <w:r w:rsidR="00AE051D" w:rsidRPr="00FC73F5">
        <w:rPr>
          <w:rFonts w:asciiTheme="majorBidi" w:hAnsiTheme="majorBidi" w:cstheme="majorBidi"/>
          <w:color w:val="000000" w:themeColor="text1"/>
          <w:sz w:val="24"/>
          <w:szCs w:val="24"/>
          <w:lang w:val="en-GB"/>
        </w:rPr>
        <w:t>modelling</w:t>
      </w:r>
      <w:r w:rsidRPr="00FC73F5">
        <w:rPr>
          <w:rFonts w:asciiTheme="majorBidi" w:hAnsiTheme="majorBidi" w:cstheme="majorBidi"/>
          <w:color w:val="000000" w:themeColor="text1"/>
          <w:sz w:val="24"/>
          <w:szCs w:val="24"/>
          <w:lang w:val="en-GB"/>
        </w:rPr>
        <w:t xml:space="preserve"> framework are currently undergoing rapid development in the scientific and academic community and should be available for our greater understanding of mercury cycling and its impacts in the near future</w:t>
      </w:r>
      <w:r w:rsidR="00AE051D">
        <w:rPr>
          <w:rFonts w:asciiTheme="majorBidi" w:hAnsiTheme="majorBidi" w:cstheme="majorBidi"/>
          <w:color w:val="000000" w:themeColor="text1"/>
          <w:sz w:val="24"/>
          <w:szCs w:val="24"/>
          <w:lang w:val="en-GB"/>
        </w:rPr>
        <w:t xml:space="preserve">. It is expected such models will </w:t>
      </w:r>
      <w:r w:rsidRPr="00FC73F5">
        <w:rPr>
          <w:rFonts w:asciiTheme="majorBidi" w:hAnsiTheme="majorBidi" w:cstheme="majorBidi"/>
          <w:color w:val="000000" w:themeColor="text1"/>
          <w:sz w:val="24"/>
          <w:szCs w:val="24"/>
          <w:lang w:val="en-GB"/>
        </w:rPr>
        <w:t xml:space="preserve">available by 2023 for policy-relevant analyses. </w:t>
      </w:r>
    </w:p>
    <w:p w14:paraId="391A336A" w14:textId="40FF7D35" w:rsidR="006D27D6" w:rsidRDefault="006D27D6" w:rsidP="009D5BC7">
      <w:pPr>
        <w:pStyle w:val="Normal-pool"/>
        <w:tabs>
          <w:tab w:val="clear" w:pos="1247"/>
          <w:tab w:val="clear" w:pos="1814"/>
          <w:tab w:val="clear" w:pos="2381"/>
          <w:tab w:val="clear" w:pos="2948"/>
          <w:tab w:val="clear" w:pos="3515"/>
        </w:tabs>
        <w:rPr>
          <w:rFonts w:asciiTheme="majorBidi" w:hAnsiTheme="majorBidi" w:cstheme="majorBidi"/>
          <w:sz w:val="24"/>
          <w:szCs w:val="24"/>
          <w:lang w:val="en-GB"/>
        </w:rPr>
      </w:pPr>
    </w:p>
    <w:p w14:paraId="45739336" w14:textId="22FCE1AA" w:rsidR="003109AA" w:rsidRPr="00D8405F" w:rsidRDefault="003109AA" w:rsidP="003109AA">
      <w:pPr>
        <w:spacing w:after="0"/>
        <w:rPr>
          <w:rFonts w:asciiTheme="majorBidi" w:hAnsiTheme="majorBidi" w:cstheme="majorBidi"/>
          <w:b/>
          <w:iCs/>
          <w:sz w:val="24"/>
          <w:szCs w:val="24"/>
          <w:u w:color="4F81BD"/>
        </w:rPr>
      </w:pPr>
      <w:r w:rsidRPr="00D8405F">
        <w:rPr>
          <w:rFonts w:asciiTheme="majorBidi" w:hAnsiTheme="majorBidi" w:cstheme="majorBidi"/>
          <w:b/>
          <w:iCs/>
          <w:sz w:val="24"/>
          <w:szCs w:val="24"/>
          <w:u w:color="4F81BD"/>
        </w:rPr>
        <w:t xml:space="preserve">5. Scientific and </w:t>
      </w:r>
      <w:r w:rsidR="00627F29" w:rsidRPr="00D8405F">
        <w:rPr>
          <w:rFonts w:asciiTheme="majorBidi" w:hAnsiTheme="majorBidi" w:cstheme="majorBidi"/>
          <w:b/>
          <w:iCs/>
          <w:sz w:val="24"/>
          <w:szCs w:val="24"/>
          <w:u w:color="4F81BD"/>
        </w:rPr>
        <w:t>technical</w:t>
      </w:r>
      <w:r w:rsidRPr="00D8405F">
        <w:rPr>
          <w:rFonts w:asciiTheme="majorBidi" w:hAnsiTheme="majorBidi" w:cstheme="majorBidi"/>
          <w:b/>
          <w:iCs/>
          <w:sz w:val="24"/>
          <w:szCs w:val="24"/>
          <w:u w:color="4F81BD"/>
        </w:rPr>
        <w:t xml:space="preserve"> functions</w:t>
      </w:r>
    </w:p>
    <w:p w14:paraId="7DE36052" w14:textId="77777777" w:rsidR="003109AA" w:rsidRPr="00860989" w:rsidRDefault="003109AA" w:rsidP="003109AA">
      <w:pPr>
        <w:spacing w:after="0"/>
        <w:ind w:firstLine="360"/>
        <w:rPr>
          <w:rFonts w:asciiTheme="majorBidi" w:hAnsiTheme="majorBidi" w:cstheme="majorBidi"/>
          <w:iCs/>
          <w:sz w:val="24"/>
          <w:szCs w:val="24"/>
          <w:highlight w:val="yellow"/>
          <w:u w:color="4F81BD"/>
        </w:rPr>
      </w:pPr>
    </w:p>
    <w:p w14:paraId="607EE2F7" w14:textId="77777777" w:rsidR="00627F29" w:rsidRPr="00E16F23" w:rsidRDefault="00627F29" w:rsidP="00627F29">
      <w:pPr>
        <w:pStyle w:val="ListParagraph"/>
        <w:numPr>
          <w:ilvl w:val="0"/>
          <w:numId w:val="1"/>
        </w:numPr>
        <w:spacing w:after="160"/>
        <w:rPr>
          <w:rFonts w:asciiTheme="majorBidi" w:hAnsiTheme="majorBidi" w:cstheme="majorBidi"/>
          <w:sz w:val="24"/>
          <w:szCs w:val="24"/>
          <w:lang w:val="en-GB"/>
        </w:rPr>
      </w:pPr>
      <w:r w:rsidRPr="00B11354">
        <w:rPr>
          <w:rFonts w:asciiTheme="majorBidi" w:hAnsiTheme="majorBidi" w:cstheme="majorBidi"/>
          <w:iCs/>
          <w:sz w:val="24"/>
          <w:szCs w:val="24"/>
          <w:u w:color="4F81BD"/>
          <w:lang w:val="en-GB"/>
        </w:rPr>
        <w:t>The framework foresees two scientific and technical function</w:t>
      </w:r>
      <w:r w:rsidRPr="00B11354">
        <w:rPr>
          <w:rFonts w:asciiTheme="majorBidi" w:hAnsiTheme="majorBidi" w:cstheme="majorBidi"/>
          <w:sz w:val="24"/>
          <w:szCs w:val="24"/>
          <w:lang w:val="en-GB"/>
        </w:rPr>
        <w:t xml:space="preserve">s to performed for the effectiveness evaluation, </w:t>
      </w:r>
      <w:r w:rsidRPr="00D8405F">
        <w:rPr>
          <w:rFonts w:asciiTheme="majorBidi" w:hAnsiTheme="majorBidi" w:cstheme="majorBidi"/>
          <w:sz w:val="24"/>
          <w:szCs w:val="24"/>
          <w:lang w:val="en-GB"/>
        </w:rPr>
        <w:t xml:space="preserve">namely a synthesis function, and an integration function. These function at </w:t>
      </w:r>
      <w:r w:rsidRPr="00E16F23">
        <w:rPr>
          <w:rFonts w:asciiTheme="majorBidi" w:hAnsiTheme="majorBidi" w:cstheme="majorBidi"/>
          <w:sz w:val="24"/>
          <w:szCs w:val="24"/>
          <w:lang w:val="en-GB"/>
        </w:rPr>
        <w:t xml:space="preserve">different levels of the framework. </w:t>
      </w:r>
    </w:p>
    <w:p w14:paraId="7ED60E1F" w14:textId="264D004E" w:rsidR="00627F29" w:rsidRPr="00E16F23" w:rsidRDefault="00627F29" w:rsidP="00627F29">
      <w:pPr>
        <w:pStyle w:val="ListParagraph"/>
        <w:numPr>
          <w:ilvl w:val="1"/>
          <w:numId w:val="1"/>
        </w:numPr>
        <w:spacing w:after="160"/>
        <w:rPr>
          <w:rFonts w:asciiTheme="majorBidi" w:hAnsiTheme="majorBidi" w:cstheme="majorBidi"/>
          <w:sz w:val="24"/>
          <w:szCs w:val="24"/>
          <w:lang w:val="en-GB"/>
        </w:rPr>
      </w:pPr>
      <w:r w:rsidRPr="00E16F23">
        <w:rPr>
          <w:rFonts w:asciiTheme="majorBidi" w:hAnsiTheme="majorBidi" w:cstheme="majorBidi"/>
          <w:b/>
          <w:bCs/>
          <w:sz w:val="24"/>
          <w:szCs w:val="24"/>
          <w:lang w:val="en-GB"/>
        </w:rPr>
        <w:t xml:space="preserve"> </w:t>
      </w:r>
      <w:r w:rsidR="00BE704C" w:rsidRPr="00E16F23">
        <w:rPr>
          <w:rFonts w:asciiTheme="majorBidi" w:hAnsiTheme="majorBidi" w:cstheme="majorBidi"/>
          <w:b/>
          <w:bCs/>
          <w:sz w:val="24"/>
          <w:szCs w:val="24"/>
          <w:lang w:val="en-GB"/>
        </w:rPr>
        <w:t xml:space="preserve"> </w:t>
      </w:r>
      <w:r w:rsidRPr="00E16F23">
        <w:rPr>
          <w:rFonts w:asciiTheme="majorBidi" w:hAnsiTheme="majorBidi" w:cstheme="majorBidi"/>
          <w:b/>
          <w:bCs/>
          <w:sz w:val="24"/>
          <w:szCs w:val="24"/>
          <w:lang w:val="en-GB"/>
        </w:rPr>
        <w:t>Synthesis function:</w:t>
      </w:r>
      <w:r w:rsidRPr="00E16F23">
        <w:rPr>
          <w:rFonts w:asciiTheme="majorBidi" w:hAnsiTheme="majorBidi" w:cstheme="majorBidi"/>
          <w:sz w:val="24"/>
          <w:szCs w:val="24"/>
          <w:lang w:val="en-GB"/>
        </w:rPr>
        <w:t xml:space="preserve"> The first function is to synthesise mercury information collected and compiled by the level 1 to 3 activities. Two streams of information are referred to in this regard: (i) information provided by Parties based on Article 21 reporting, and (ii) information and knowledge that is scientific, peer-reviewed and publicly available. The information is used to respond to the first three policy questions, and the indicators identified, to prepare the four synthesis reports. This function foresees a role for the secretariat, for scientists and experts, and for organisations. This function foresees the production of four synthesis reports, one of which is the Global Monitoring Report</w:t>
      </w:r>
      <w:r w:rsidR="00BE704C" w:rsidRPr="00E16F23">
        <w:rPr>
          <w:rFonts w:asciiTheme="majorBidi" w:hAnsiTheme="majorBidi" w:cstheme="majorBidi"/>
          <w:sz w:val="24"/>
          <w:szCs w:val="24"/>
          <w:lang w:val="en-GB"/>
        </w:rPr>
        <w:t>, for which a specific expert group is foreseen</w:t>
      </w:r>
      <w:r w:rsidRPr="00E16F23">
        <w:rPr>
          <w:rFonts w:asciiTheme="majorBidi" w:hAnsiTheme="majorBidi" w:cstheme="majorBidi"/>
          <w:sz w:val="24"/>
          <w:szCs w:val="24"/>
          <w:lang w:val="en-GB"/>
        </w:rPr>
        <w:t>.</w:t>
      </w:r>
    </w:p>
    <w:p w14:paraId="2778230C" w14:textId="51E77638" w:rsidR="003109AA" w:rsidRPr="00627F29" w:rsidRDefault="00627F29" w:rsidP="00627F29">
      <w:pPr>
        <w:pStyle w:val="ListParagraph"/>
        <w:numPr>
          <w:ilvl w:val="1"/>
          <w:numId w:val="1"/>
        </w:numPr>
        <w:spacing w:after="160"/>
        <w:rPr>
          <w:rFonts w:asciiTheme="majorBidi" w:hAnsiTheme="majorBidi" w:cstheme="majorBidi"/>
          <w:sz w:val="24"/>
          <w:szCs w:val="24"/>
          <w:lang w:val="en-GB"/>
        </w:rPr>
      </w:pPr>
      <w:r w:rsidRPr="00627F29">
        <w:rPr>
          <w:rFonts w:asciiTheme="majorBidi" w:hAnsiTheme="majorBidi" w:cstheme="majorBidi"/>
          <w:b/>
          <w:bCs/>
          <w:sz w:val="24"/>
          <w:szCs w:val="24"/>
          <w:lang w:val="en-GB"/>
        </w:rPr>
        <w:t>Integration function:</w:t>
      </w:r>
      <w:r w:rsidRPr="00627F29">
        <w:rPr>
          <w:rFonts w:asciiTheme="majorBidi" w:hAnsiTheme="majorBidi" w:cstheme="majorBidi"/>
          <w:sz w:val="24"/>
          <w:szCs w:val="24"/>
          <w:lang w:val="en-GB"/>
        </w:rPr>
        <w:t xml:space="preserve"> The second function, which occurs at level 4, is to interpret the information and knowledge collected, compiled and synthesised by the level 1 to 3 activities to interpret the linkages between policy actions, emission reductions and resulting mercury levels, using available data sources, modelling techniques and analytical tools drawn from natural and social sciences. Further this function </w:t>
      </w:r>
      <w:r w:rsidRPr="00627F29">
        <w:rPr>
          <w:rFonts w:asciiTheme="majorBidi" w:hAnsiTheme="majorBidi" w:cstheme="majorBidi"/>
          <w:sz w:val="24"/>
          <w:szCs w:val="24"/>
          <w:lang w:val="en-GB"/>
        </w:rPr>
        <w:lastRenderedPageBreak/>
        <w:t xml:space="preserve">included also the collection of additional non-mercury information for further analysis that will include, but is not limited to, data on socio-economic and demographic information such as global population trends, trade and industry trends, mitigation and adaptation policies, or on technological innovation information such as alternative products, communication and transport technologies. </w:t>
      </w:r>
      <w:r w:rsidRPr="00E16F23">
        <w:rPr>
          <w:rFonts w:asciiTheme="majorBidi" w:hAnsiTheme="majorBidi" w:cstheme="majorBidi"/>
          <w:sz w:val="24"/>
          <w:szCs w:val="24"/>
          <w:lang w:val="en-GB"/>
        </w:rPr>
        <w:t>The intent of this function is to provide an integrative picture through the contextualisation of information for that evaluation cycle of the Convention. The function foresees the production of the Integrated Assessment Report, and the establishment of a specific integrated assessment group of expertise.</w:t>
      </w:r>
    </w:p>
    <w:p w14:paraId="46E558DA" w14:textId="77777777" w:rsidR="003109AA" w:rsidRPr="006D20F0" w:rsidRDefault="003109AA" w:rsidP="00BE704C">
      <w:pPr>
        <w:pStyle w:val="ListParagraph"/>
        <w:numPr>
          <w:ilvl w:val="0"/>
          <w:numId w:val="1"/>
        </w:numPr>
        <w:spacing w:after="160"/>
        <w:rPr>
          <w:rFonts w:asciiTheme="majorBidi" w:hAnsiTheme="majorBidi" w:cstheme="majorBidi"/>
          <w:sz w:val="24"/>
          <w:szCs w:val="24"/>
          <w:lang w:val="en-GB"/>
        </w:rPr>
      </w:pPr>
      <w:r w:rsidRPr="006D20F0">
        <w:rPr>
          <w:rFonts w:asciiTheme="majorBidi" w:hAnsiTheme="majorBidi" w:cstheme="majorBidi"/>
          <w:sz w:val="24"/>
          <w:szCs w:val="24"/>
          <w:lang w:val="en-GB"/>
        </w:rPr>
        <w:t xml:space="preserve"> The framework also differentiates between input from the following two:</w:t>
      </w:r>
    </w:p>
    <w:p w14:paraId="678E86B3" w14:textId="31A5533C" w:rsidR="003109AA" w:rsidRPr="006D20F0" w:rsidRDefault="003109AA" w:rsidP="0025348A">
      <w:pPr>
        <w:pStyle w:val="Text"/>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spacing w:after="160"/>
        <w:rPr>
          <w:rFonts w:asciiTheme="majorBidi" w:hAnsiTheme="majorBidi" w:cstheme="majorBidi"/>
          <w:color w:val="auto"/>
          <w:sz w:val="24"/>
          <w:szCs w:val="24"/>
          <w:lang w:val="en-GB"/>
        </w:rPr>
      </w:pPr>
      <w:r w:rsidRPr="00627F29">
        <w:rPr>
          <w:rFonts w:asciiTheme="majorBidi" w:hAnsiTheme="majorBidi" w:cstheme="majorBidi"/>
          <w:b/>
          <w:bCs/>
          <w:color w:val="auto"/>
          <w:sz w:val="24"/>
          <w:szCs w:val="24"/>
          <w:lang w:val="en-GB"/>
        </w:rPr>
        <w:t>Monitoring:</w:t>
      </w:r>
      <w:r w:rsidRPr="00627F29">
        <w:rPr>
          <w:rFonts w:asciiTheme="majorBidi" w:hAnsiTheme="majorBidi" w:cstheme="majorBidi"/>
          <w:color w:val="auto"/>
          <w:sz w:val="24"/>
          <w:szCs w:val="24"/>
          <w:lang w:val="en-GB"/>
        </w:rPr>
        <w:t xml:space="preserve"> Compiling, assessing and summarizing available monitoring data, per the monitoring arrangements in </w:t>
      </w:r>
      <w:r w:rsidR="00E16F23">
        <w:rPr>
          <w:rFonts w:asciiTheme="majorBidi" w:hAnsiTheme="majorBidi" w:cstheme="majorBidi"/>
          <w:color w:val="auto"/>
          <w:sz w:val="24"/>
          <w:szCs w:val="24"/>
          <w:lang w:val="en-GB"/>
        </w:rPr>
        <w:t>Annex III,</w:t>
      </w:r>
      <w:r w:rsidRPr="00627F29">
        <w:rPr>
          <w:rFonts w:asciiTheme="majorBidi" w:hAnsiTheme="majorBidi" w:cstheme="majorBidi"/>
          <w:color w:val="auto"/>
          <w:sz w:val="24"/>
          <w:szCs w:val="24"/>
          <w:lang w:val="en-GB"/>
        </w:rPr>
        <w:t xml:space="preserve"> to describe the current state of mercury concentrations</w:t>
      </w:r>
      <w:r w:rsidR="00627F29">
        <w:rPr>
          <w:rFonts w:asciiTheme="majorBidi" w:hAnsiTheme="majorBidi" w:cstheme="majorBidi"/>
          <w:color w:val="auto"/>
          <w:sz w:val="24"/>
          <w:szCs w:val="24"/>
          <w:lang w:val="en-GB"/>
        </w:rPr>
        <w:t>,</w:t>
      </w:r>
      <w:r w:rsidRPr="00627F29">
        <w:rPr>
          <w:rFonts w:asciiTheme="majorBidi" w:hAnsiTheme="majorBidi" w:cstheme="majorBidi"/>
          <w:color w:val="auto"/>
          <w:sz w:val="24"/>
          <w:szCs w:val="24"/>
          <w:lang w:val="en-GB"/>
        </w:rPr>
        <w:t xml:space="preserve"> as well as trends in the environment, humans and biota, </w:t>
      </w:r>
      <w:r w:rsidR="00627F29">
        <w:rPr>
          <w:rFonts w:asciiTheme="majorBidi" w:hAnsiTheme="majorBidi" w:cstheme="majorBidi"/>
          <w:color w:val="auto"/>
          <w:sz w:val="24"/>
          <w:szCs w:val="24"/>
          <w:lang w:val="en-GB"/>
        </w:rPr>
        <w:t xml:space="preserve">and </w:t>
      </w:r>
      <w:r w:rsidRPr="00627F29">
        <w:rPr>
          <w:rFonts w:asciiTheme="majorBidi" w:hAnsiTheme="majorBidi" w:cstheme="majorBidi"/>
          <w:color w:val="auto"/>
          <w:sz w:val="24"/>
          <w:szCs w:val="24"/>
          <w:lang w:val="en-GB"/>
        </w:rPr>
        <w:t xml:space="preserve">working with modelling experts as appropriate. The </w:t>
      </w:r>
      <w:r w:rsidR="00627F29">
        <w:rPr>
          <w:rFonts w:asciiTheme="majorBidi" w:hAnsiTheme="majorBidi" w:cstheme="majorBidi"/>
          <w:color w:val="auto"/>
          <w:sz w:val="24"/>
          <w:szCs w:val="24"/>
          <w:lang w:val="en-GB"/>
        </w:rPr>
        <w:t xml:space="preserve">global </w:t>
      </w:r>
      <w:r w:rsidRPr="00627F29">
        <w:rPr>
          <w:rFonts w:asciiTheme="majorBidi" w:hAnsiTheme="majorBidi" w:cstheme="majorBidi"/>
          <w:color w:val="auto"/>
          <w:sz w:val="24"/>
          <w:szCs w:val="24"/>
          <w:lang w:val="en-GB"/>
        </w:rPr>
        <w:t xml:space="preserve">monitoring report developed at </w:t>
      </w:r>
      <w:r w:rsidR="00627F29">
        <w:rPr>
          <w:rFonts w:asciiTheme="majorBidi" w:hAnsiTheme="majorBidi" w:cstheme="majorBidi"/>
          <w:color w:val="auto"/>
          <w:sz w:val="24"/>
          <w:szCs w:val="24"/>
          <w:lang w:val="en-GB"/>
        </w:rPr>
        <w:t>l</w:t>
      </w:r>
      <w:r w:rsidRPr="00627F29">
        <w:rPr>
          <w:rFonts w:asciiTheme="majorBidi" w:hAnsiTheme="majorBidi" w:cstheme="majorBidi"/>
          <w:color w:val="auto"/>
          <w:sz w:val="24"/>
          <w:szCs w:val="24"/>
          <w:lang w:val="en-GB"/>
        </w:rPr>
        <w:t xml:space="preserve">evel 3 will be the input to the integrated assessment at </w:t>
      </w:r>
      <w:r w:rsidR="00627F29">
        <w:rPr>
          <w:rFonts w:asciiTheme="majorBidi" w:hAnsiTheme="majorBidi" w:cstheme="majorBidi"/>
          <w:color w:val="auto"/>
          <w:sz w:val="24"/>
          <w:szCs w:val="24"/>
          <w:lang w:val="en-GB"/>
        </w:rPr>
        <w:t>l</w:t>
      </w:r>
      <w:r w:rsidRPr="00627F29">
        <w:rPr>
          <w:rFonts w:asciiTheme="majorBidi" w:hAnsiTheme="majorBidi" w:cstheme="majorBidi"/>
          <w:color w:val="auto"/>
          <w:sz w:val="24"/>
          <w:szCs w:val="24"/>
          <w:lang w:val="en-GB"/>
        </w:rPr>
        <w:t>evel 4</w:t>
      </w:r>
      <w:r w:rsidR="00627F29">
        <w:rPr>
          <w:rFonts w:asciiTheme="majorBidi" w:hAnsiTheme="majorBidi" w:cstheme="majorBidi"/>
          <w:color w:val="auto"/>
          <w:sz w:val="24"/>
          <w:szCs w:val="24"/>
          <w:lang w:val="en-GB"/>
        </w:rPr>
        <w:t>,</w:t>
      </w:r>
      <w:r w:rsidRPr="00627F29">
        <w:rPr>
          <w:rFonts w:asciiTheme="majorBidi" w:hAnsiTheme="majorBidi" w:cstheme="majorBidi"/>
          <w:color w:val="auto"/>
          <w:sz w:val="24"/>
          <w:szCs w:val="24"/>
          <w:lang w:val="en-GB"/>
        </w:rPr>
        <w:t xml:space="preserve"> and also submitted to the Effectiveness </w:t>
      </w:r>
      <w:r w:rsidRPr="006D20F0">
        <w:rPr>
          <w:rFonts w:asciiTheme="majorBidi" w:hAnsiTheme="majorBidi" w:cstheme="majorBidi"/>
          <w:color w:val="auto"/>
          <w:sz w:val="24"/>
          <w:szCs w:val="24"/>
          <w:lang w:val="en-GB"/>
        </w:rPr>
        <w:t>Evaluation Committee.</w:t>
      </w:r>
    </w:p>
    <w:p w14:paraId="247341F5" w14:textId="7E74AD40" w:rsidR="003109AA" w:rsidRPr="002B4674" w:rsidRDefault="003109AA" w:rsidP="0025348A">
      <w:pPr>
        <w:pStyle w:val="Text"/>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s>
        <w:rPr>
          <w:rFonts w:asciiTheme="majorBidi" w:hAnsiTheme="majorBidi" w:cstheme="majorBidi"/>
          <w:color w:val="auto"/>
          <w:sz w:val="24"/>
          <w:szCs w:val="24"/>
          <w:lang w:val="en-GB"/>
        </w:rPr>
      </w:pPr>
      <w:r w:rsidRPr="006D20F0">
        <w:rPr>
          <w:rFonts w:asciiTheme="majorBidi" w:hAnsiTheme="majorBidi" w:cstheme="majorBidi"/>
          <w:b/>
          <w:bCs/>
          <w:color w:val="auto"/>
          <w:sz w:val="24"/>
          <w:szCs w:val="24"/>
          <w:lang w:val="en-GB"/>
        </w:rPr>
        <w:t>Modelling:</w:t>
      </w:r>
      <w:r w:rsidRPr="006D20F0">
        <w:rPr>
          <w:rFonts w:asciiTheme="majorBidi" w:hAnsiTheme="majorBidi" w:cstheme="majorBidi"/>
          <w:color w:val="auto"/>
          <w:sz w:val="24"/>
          <w:szCs w:val="24"/>
          <w:lang w:val="en-GB"/>
        </w:rPr>
        <w:t xml:space="preserve"> </w:t>
      </w:r>
      <w:r w:rsidR="008274D6" w:rsidRPr="006D20F0">
        <w:rPr>
          <w:rFonts w:asciiTheme="majorBidi" w:hAnsiTheme="majorBidi" w:cstheme="majorBidi"/>
          <w:color w:val="auto"/>
          <w:sz w:val="24"/>
          <w:szCs w:val="24"/>
          <w:lang w:val="en-GB"/>
        </w:rPr>
        <w:t>Analysing</w:t>
      </w:r>
      <w:r w:rsidRPr="006D20F0">
        <w:rPr>
          <w:rFonts w:asciiTheme="majorBidi" w:hAnsiTheme="majorBidi" w:cstheme="majorBidi"/>
          <w:color w:val="auto"/>
          <w:sz w:val="24"/>
          <w:szCs w:val="24"/>
          <w:lang w:val="en-GB"/>
        </w:rPr>
        <w:t xml:space="preserve"> the contribution of emissions and releases covered by the Convention to overall mercury concentrations in the environment, and where possible, in humans and biota. Modelling conducted during </w:t>
      </w:r>
      <w:r w:rsidR="00BE704C" w:rsidRPr="006D20F0">
        <w:rPr>
          <w:rFonts w:asciiTheme="majorBidi" w:hAnsiTheme="majorBidi" w:cstheme="majorBidi"/>
          <w:color w:val="auto"/>
          <w:sz w:val="24"/>
          <w:szCs w:val="24"/>
          <w:lang w:val="en-GB"/>
        </w:rPr>
        <w:t>l</w:t>
      </w:r>
      <w:r w:rsidRPr="006D20F0">
        <w:rPr>
          <w:rFonts w:asciiTheme="majorBidi" w:hAnsiTheme="majorBidi" w:cstheme="majorBidi"/>
          <w:color w:val="auto"/>
          <w:sz w:val="24"/>
          <w:szCs w:val="24"/>
          <w:lang w:val="en-GB"/>
        </w:rPr>
        <w:t xml:space="preserve">evel 4 will estimate future mercury concentrations that reflect the overall impacts of mercury emissions and releases, from legacy emissions and releases to those predicted in the future under various scenarios, based on the reports made available in the effectiveness evaluation process, as well as available relevant socio-economic information. </w:t>
      </w:r>
    </w:p>
    <w:p w14:paraId="7D741987" w14:textId="77777777" w:rsidR="003109AA" w:rsidRPr="00FC73F5" w:rsidRDefault="003109AA" w:rsidP="009D5BC7">
      <w:pPr>
        <w:pStyle w:val="Normal-pool"/>
        <w:tabs>
          <w:tab w:val="clear" w:pos="1247"/>
          <w:tab w:val="clear" w:pos="1814"/>
          <w:tab w:val="clear" w:pos="2381"/>
          <w:tab w:val="clear" w:pos="2948"/>
          <w:tab w:val="clear" w:pos="3515"/>
        </w:tabs>
        <w:rPr>
          <w:rFonts w:asciiTheme="majorBidi" w:hAnsiTheme="majorBidi" w:cstheme="majorBidi"/>
          <w:sz w:val="24"/>
          <w:szCs w:val="24"/>
          <w:lang w:val="en-GB"/>
        </w:rPr>
      </w:pPr>
    </w:p>
    <w:p w14:paraId="73AB537E" w14:textId="6E098AD8" w:rsidR="009D75C6" w:rsidRPr="006D20F0" w:rsidRDefault="003109AA" w:rsidP="000828EF">
      <w:pPr>
        <w:rPr>
          <w:rFonts w:asciiTheme="majorBidi" w:hAnsiTheme="majorBidi" w:cstheme="majorBidi"/>
          <w:b/>
          <w:bCs/>
          <w:sz w:val="24"/>
          <w:szCs w:val="24"/>
        </w:rPr>
      </w:pPr>
      <w:r w:rsidRPr="006D20F0">
        <w:rPr>
          <w:rFonts w:asciiTheme="majorBidi" w:hAnsiTheme="majorBidi" w:cstheme="majorBidi"/>
          <w:b/>
          <w:sz w:val="24"/>
          <w:szCs w:val="24"/>
        </w:rPr>
        <w:t>6</w:t>
      </w:r>
      <w:r w:rsidR="009D75C6" w:rsidRPr="006D20F0">
        <w:rPr>
          <w:rFonts w:asciiTheme="majorBidi" w:hAnsiTheme="majorBidi" w:cstheme="majorBidi"/>
          <w:b/>
          <w:sz w:val="24"/>
          <w:szCs w:val="24"/>
        </w:rPr>
        <w:t>.</w:t>
      </w:r>
      <w:r w:rsidR="00745228" w:rsidRPr="006D20F0">
        <w:rPr>
          <w:rFonts w:asciiTheme="majorBidi" w:hAnsiTheme="majorBidi" w:cstheme="majorBidi"/>
          <w:b/>
          <w:sz w:val="24"/>
          <w:szCs w:val="24"/>
        </w:rPr>
        <w:t xml:space="preserve"> </w:t>
      </w:r>
      <w:r w:rsidR="006D20F0" w:rsidRPr="006D20F0">
        <w:rPr>
          <w:rFonts w:asciiTheme="majorBidi" w:hAnsiTheme="majorBidi" w:cstheme="majorBidi"/>
          <w:b/>
          <w:bCs/>
          <w:sz w:val="24"/>
          <w:szCs w:val="24"/>
        </w:rPr>
        <w:t>Institutional Arrangements for the Effectiveness Evaluation</w:t>
      </w:r>
    </w:p>
    <w:p w14:paraId="108033B2" w14:textId="0A686108" w:rsidR="003109AA" w:rsidRDefault="00745228" w:rsidP="000828EF">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iCs/>
          <w:color w:val="auto"/>
          <w:sz w:val="24"/>
          <w:szCs w:val="24"/>
          <w:u w:color="4F81BD"/>
          <w:lang w:val="en-GB"/>
        </w:rPr>
      </w:pPr>
      <w:r w:rsidRPr="006D20F0">
        <w:rPr>
          <w:rFonts w:asciiTheme="majorBidi" w:hAnsiTheme="majorBidi" w:cstheme="majorBidi"/>
          <w:sz w:val="24"/>
          <w:szCs w:val="24"/>
          <w:lang w:val="en-GB"/>
        </w:rPr>
        <w:t xml:space="preserve">To implement the </w:t>
      </w:r>
      <w:r w:rsidR="00862955" w:rsidRPr="006D20F0">
        <w:rPr>
          <w:rFonts w:asciiTheme="majorBidi" w:hAnsiTheme="majorBidi" w:cstheme="majorBidi"/>
          <w:sz w:val="24"/>
          <w:szCs w:val="24"/>
          <w:lang w:val="en-GB"/>
        </w:rPr>
        <w:t>effectiveness evaluation process</w:t>
      </w:r>
      <w:r w:rsidRPr="006D20F0">
        <w:rPr>
          <w:rFonts w:asciiTheme="majorBidi" w:hAnsiTheme="majorBidi" w:cstheme="majorBidi"/>
          <w:sz w:val="24"/>
          <w:szCs w:val="24"/>
          <w:lang w:val="en-GB"/>
        </w:rPr>
        <w:t xml:space="preserve"> described </w:t>
      </w:r>
      <w:r w:rsidR="00B058B2" w:rsidRPr="006D20F0">
        <w:rPr>
          <w:rFonts w:asciiTheme="majorBidi" w:hAnsiTheme="majorBidi" w:cstheme="majorBidi"/>
          <w:sz w:val="24"/>
          <w:szCs w:val="24"/>
          <w:lang w:val="en-GB"/>
        </w:rPr>
        <w:t>thus far</w:t>
      </w:r>
      <w:r w:rsidRPr="006D20F0">
        <w:rPr>
          <w:rFonts w:asciiTheme="majorBidi" w:hAnsiTheme="majorBidi" w:cstheme="majorBidi"/>
          <w:sz w:val="24"/>
          <w:szCs w:val="24"/>
          <w:lang w:val="en-GB"/>
        </w:rPr>
        <w:t xml:space="preserve">, the framework identifies different entities </w:t>
      </w:r>
      <w:r w:rsidR="009D75C6" w:rsidRPr="006D20F0">
        <w:rPr>
          <w:rFonts w:asciiTheme="majorBidi" w:hAnsiTheme="majorBidi" w:cstheme="majorBidi"/>
          <w:sz w:val="24"/>
          <w:szCs w:val="24"/>
          <w:lang w:val="en-GB"/>
        </w:rPr>
        <w:t xml:space="preserve">that </w:t>
      </w:r>
      <w:r w:rsidRPr="006D20F0">
        <w:rPr>
          <w:rFonts w:asciiTheme="majorBidi" w:hAnsiTheme="majorBidi" w:cstheme="majorBidi"/>
          <w:sz w:val="24"/>
          <w:szCs w:val="24"/>
          <w:lang w:val="en-GB"/>
        </w:rPr>
        <w:t xml:space="preserve">may </w:t>
      </w:r>
      <w:r w:rsidR="00795221" w:rsidRPr="006D20F0">
        <w:rPr>
          <w:rFonts w:asciiTheme="majorBidi" w:hAnsiTheme="majorBidi" w:cstheme="majorBidi"/>
          <w:sz w:val="24"/>
          <w:szCs w:val="24"/>
          <w:lang w:val="en-GB"/>
        </w:rPr>
        <w:t>deliver</w:t>
      </w:r>
      <w:r w:rsidRPr="006D20F0">
        <w:rPr>
          <w:rFonts w:asciiTheme="majorBidi" w:hAnsiTheme="majorBidi" w:cstheme="majorBidi"/>
          <w:sz w:val="24"/>
          <w:szCs w:val="24"/>
          <w:lang w:val="en-GB"/>
        </w:rPr>
        <w:t xml:space="preserve"> the tasks to compile, summarize and integrate data</w:t>
      </w:r>
      <w:r w:rsidR="00795221" w:rsidRPr="006D20F0">
        <w:rPr>
          <w:rFonts w:asciiTheme="majorBidi" w:hAnsiTheme="majorBidi" w:cstheme="majorBidi"/>
          <w:sz w:val="24"/>
          <w:szCs w:val="24"/>
          <w:lang w:val="en-GB"/>
        </w:rPr>
        <w:t xml:space="preserve"> and knowledge</w:t>
      </w:r>
      <w:r w:rsidRPr="006D20F0">
        <w:rPr>
          <w:rFonts w:asciiTheme="majorBidi" w:hAnsiTheme="majorBidi" w:cstheme="majorBidi"/>
          <w:sz w:val="24"/>
          <w:szCs w:val="24"/>
          <w:lang w:val="en-GB"/>
        </w:rPr>
        <w:t xml:space="preserve">, and to perform relevant scientific </w:t>
      </w:r>
      <w:r w:rsidR="009D75C6" w:rsidRPr="006D20F0">
        <w:rPr>
          <w:rFonts w:asciiTheme="majorBidi" w:hAnsiTheme="majorBidi" w:cstheme="majorBidi"/>
          <w:sz w:val="24"/>
          <w:szCs w:val="24"/>
          <w:lang w:val="en-GB"/>
        </w:rPr>
        <w:t xml:space="preserve">and technical </w:t>
      </w:r>
      <w:r w:rsidRPr="006D20F0">
        <w:rPr>
          <w:rFonts w:asciiTheme="majorBidi" w:hAnsiTheme="majorBidi" w:cstheme="majorBidi"/>
          <w:sz w:val="24"/>
          <w:szCs w:val="24"/>
          <w:lang w:val="en-GB"/>
        </w:rPr>
        <w:t xml:space="preserve">analyses. </w:t>
      </w:r>
      <w:r w:rsidR="0099206F">
        <w:rPr>
          <w:rFonts w:asciiTheme="majorBidi" w:hAnsiTheme="majorBidi" w:cstheme="majorBidi"/>
          <w:sz w:val="24"/>
          <w:szCs w:val="24"/>
          <w:lang w:val="en-GB"/>
        </w:rPr>
        <w:t xml:space="preserve">Diagram 2 </w:t>
      </w:r>
      <w:r w:rsidRPr="006D20F0">
        <w:rPr>
          <w:rFonts w:asciiTheme="majorBidi" w:hAnsiTheme="majorBidi" w:cstheme="majorBidi"/>
          <w:sz w:val="24"/>
          <w:szCs w:val="24"/>
          <w:lang w:val="en-GB"/>
        </w:rPr>
        <w:t>below displays the activities, outputs and flow of</w:t>
      </w:r>
      <w:r w:rsidRPr="006D20F0">
        <w:rPr>
          <w:rFonts w:asciiTheme="majorBidi" w:hAnsiTheme="majorBidi" w:cstheme="majorBidi"/>
          <w:iCs/>
          <w:color w:val="auto"/>
          <w:sz w:val="24"/>
          <w:szCs w:val="24"/>
          <w:u w:color="4F81BD"/>
          <w:lang w:val="en-GB"/>
        </w:rPr>
        <w:t xml:space="preserve"> information </w:t>
      </w:r>
      <w:r w:rsidR="00795221" w:rsidRPr="006D20F0">
        <w:rPr>
          <w:rFonts w:asciiTheme="majorBidi" w:hAnsiTheme="majorBidi" w:cstheme="majorBidi"/>
          <w:iCs/>
          <w:color w:val="auto"/>
          <w:sz w:val="24"/>
          <w:szCs w:val="24"/>
          <w:u w:color="4F81BD"/>
          <w:lang w:val="en-GB"/>
        </w:rPr>
        <w:t xml:space="preserve">and knowledge </w:t>
      </w:r>
      <w:r w:rsidRPr="006D20F0">
        <w:rPr>
          <w:rFonts w:asciiTheme="majorBidi" w:hAnsiTheme="majorBidi" w:cstheme="majorBidi"/>
          <w:iCs/>
          <w:color w:val="auto"/>
          <w:sz w:val="24"/>
          <w:szCs w:val="24"/>
          <w:u w:color="4F81BD"/>
          <w:lang w:val="en-GB"/>
        </w:rPr>
        <w:t xml:space="preserve">among entities potentially responsible for these tasks. </w:t>
      </w:r>
    </w:p>
    <w:p w14:paraId="615F35F7" w14:textId="22161F59" w:rsidR="001E4483" w:rsidRPr="000828EF" w:rsidRDefault="001E4483" w:rsidP="001E4483">
      <w:pPr>
        <w:pStyle w:val="Normal-pool"/>
        <w:tabs>
          <w:tab w:val="clear" w:pos="1247"/>
          <w:tab w:val="clear" w:pos="1814"/>
          <w:tab w:val="clear" w:pos="2381"/>
          <w:tab w:val="clear" w:pos="2948"/>
          <w:tab w:val="clear" w:pos="3515"/>
        </w:tabs>
        <w:spacing w:after="160"/>
        <w:ind w:left="-851"/>
        <w:rPr>
          <w:rFonts w:asciiTheme="majorBidi" w:hAnsiTheme="majorBidi" w:cstheme="majorBidi"/>
          <w:iCs/>
          <w:color w:val="auto"/>
          <w:sz w:val="24"/>
          <w:szCs w:val="24"/>
          <w:u w:color="4F81BD"/>
          <w:lang w:val="en-GB"/>
        </w:rPr>
      </w:pPr>
      <w:r>
        <w:rPr>
          <w:rFonts w:asciiTheme="majorBidi" w:hAnsiTheme="majorBidi" w:cstheme="majorBidi"/>
          <w:iCs/>
          <w:noProof/>
          <w:color w:val="auto"/>
          <w:sz w:val="24"/>
          <w:szCs w:val="24"/>
          <w:u w:color="4F81BD"/>
          <w:lang w:val="en-GB"/>
        </w:rPr>
        <w:lastRenderedPageBreak/>
        <w:drawing>
          <wp:inline distT="0" distB="0" distL="0" distR="0" wp14:anchorId="45BD5B32" wp14:editId="20B621E4">
            <wp:extent cx="6962775" cy="8160628"/>
            <wp:effectExtent l="0" t="0" r="0" b="0"/>
            <wp:docPr id="1073741910" name="Picture 107374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0" name="2019 08 01 DraftReport_FOR PUBLIC COMMENT_version 1 Aug.jpg"/>
                    <pic:cNvPicPr/>
                  </pic:nvPicPr>
                  <pic:blipFill>
                    <a:blip r:embed="rId13"/>
                    <a:stretch>
                      <a:fillRect/>
                    </a:stretch>
                  </pic:blipFill>
                  <pic:spPr>
                    <a:xfrm>
                      <a:off x="0" y="0"/>
                      <a:ext cx="6969422" cy="8168418"/>
                    </a:xfrm>
                    <a:prstGeom prst="rect">
                      <a:avLst/>
                    </a:prstGeom>
                  </pic:spPr>
                </pic:pic>
              </a:graphicData>
            </a:graphic>
          </wp:inline>
        </w:drawing>
      </w:r>
    </w:p>
    <w:p w14:paraId="52AE71B9" w14:textId="051B8FA1" w:rsidR="00771EA1" w:rsidRPr="00C37B97" w:rsidRDefault="00771EA1" w:rsidP="00C37B97">
      <w:pPr>
        <w:rPr>
          <w:rFonts w:asciiTheme="majorBidi" w:hAnsiTheme="majorBidi" w:cstheme="majorBidi"/>
          <w:b/>
          <w:iCs/>
          <w:sz w:val="24"/>
          <w:szCs w:val="24"/>
          <w:u w:color="4F81BD"/>
        </w:rPr>
      </w:pPr>
      <w:r w:rsidRPr="00C37B97">
        <w:rPr>
          <w:rFonts w:asciiTheme="majorBidi" w:hAnsiTheme="majorBidi" w:cstheme="majorBidi"/>
          <w:b/>
          <w:iCs/>
          <w:sz w:val="24"/>
          <w:szCs w:val="24"/>
          <w:u w:color="4F81BD"/>
        </w:rPr>
        <w:lastRenderedPageBreak/>
        <w:t>Minamata Convention Secretariat</w:t>
      </w:r>
    </w:p>
    <w:p w14:paraId="094DB03C" w14:textId="6BDD955D" w:rsidR="00771EA1" w:rsidRPr="00B13A01" w:rsidRDefault="00771EA1" w:rsidP="00771EA1">
      <w:pPr>
        <w:pStyle w:val="ListParagraph"/>
        <w:numPr>
          <w:ilvl w:val="0"/>
          <w:numId w:val="1"/>
        </w:numPr>
        <w:spacing w:after="160"/>
        <w:rPr>
          <w:rFonts w:asciiTheme="majorBidi" w:hAnsiTheme="majorBidi" w:cstheme="majorBidi"/>
          <w:iCs/>
          <w:sz w:val="24"/>
          <w:szCs w:val="24"/>
          <w:u w:color="4F81BD"/>
          <w:lang w:val="en-GB"/>
        </w:rPr>
      </w:pPr>
      <w:r w:rsidRPr="009F66F5">
        <w:rPr>
          <w:rFonts w:asciiTheme="majorBidi" w:hAnsiTheme="majorBidi" w:cstheme="majorBidi"/>
          <w:sz w:val="24"/>
          <w:szCs w:val="24"/>
          <w:lang w:val="en-GB"/>
        </w:rPr>
        <w:t>The Secretariat will play a role in collecting, compiling, summarizing and synthesizing available data. The</w:t>
      </w:r>
      <w:r w:rsidRPr="00CF425A">
        <w:rPr>
          <w:rFonts w:asciiTheme="majorBidi" w:hAnsiTheme="majorBidi" w:cstheme="majorBidi"/>
          <w:sz w:val="24"/>
          <w:szCs w:val="24"/>
          <w:lang w:val="en-GB"/>
        </w:rPr>
        <w:t xml:space="preserve"> Secretariat</w:t>
      </w:r>
      <w:r w:rsidRPr="00FC73F5">
        <w:rPr>
          <w:rFonts w:asciiTheme="majorBidi" w:hAnsiTheme="majorBidi" w:cstheme="majorBidi"/>
          <w:sz w:val="24"/>
          <w:szCs w:val="24"/>
          <w:lang w:val="en-GB"/>
        </w:rPr>
        <w:t xml:space="preserve"> already has a role, prescribed by the Convention, to act as the mechanism through which Parties submit reports under Article 21, which in turn will contain references to </w:t>
      </w:r>
      <w:r>
        <w:rPr>
          <w:rFonts w:asciiTheme="majorBidi" w:hAnsiTheme="majorBidi" w:cstheme="majorBidi"/>
          <w:sz w:val="24"/>
          <w:szCs w:val="24"/>
          <w:lang w:val="en-GB"/>
        </w:rPr>
        <w:t xml:space="preserve">progress reports on the NAPs, under Article 7, to </w:t>
      </w:r>
      <w:r w:rsidRPr="00FC73F5">
        <w:rPr>
          <w:rFonts w:asciiTheme="majorBidi" w:hAnsiTheme="majorBidi" w:cstheme="majorBidi"/>
          <w:sz w:val="24"/>
          <w:szCs w:val="24"/>
          <w:lang w:val="en-GB"/>
        </w:rPr>
        <w:t xml:space="preserve">inventories under Articles 8 and 9; </w:t>
      </w:r>
      <w:r>
        <w:rPr>
          <w:rFonts w:asciiTheme="majorBidi" w:hAnsiTheme="majorBidi" w:cstheme="majorBidi"/>
          <w:sz w:val="24"/>
          <w:szCs w:val="24"/>
          <w:lang w:val="en-GB"/>
        </w:rPr>
        <w:t>and</w:t>
      </w:r>
      <w:r w:rsidRPr="00FC73F5">
        <w:rPr>
          <w:rFonts w:asciiTheme="majorBidi" w:hAnsiTheme="majorBidi" w:cstheme="majorBidi"/>
          <w:sz w:val="24"/>
          <w:szCs w:val="24"/>
          <w:lang w:val="en-GB"/>
        </w:rPr>
        <w:t xml:space="preserve"> voluntary NIPs under Article 20. The Secretariat may, as appropriate, be assisted by groups of experts or hired experts, conduct literature reviews, produce datasets for further analysis or organize </w:t>
      </w:r>
      <w:r w:rsidR="00A46899">
        <w:rPr>
          <w:rFonts w:asciiTheme="majorBidi" w:hAnsiTheme="majorBidi" w:cstheme="majorBidi"/>
          <w:sz w:val="24"/>
          <w:szCs w:val="24"/>
          <w:lang w:val="en-GB"/>
        </w:rPr>
        <w:t xml:space="preserve">synthesis and </w:t>
      </w:r>
      <w:r w:rsidRPr="00FC73F5">
        <w:rPr>
          <w:rFonts w:asciiTheme="majorBidi" w:hAnsiTheme="majorBidi" w:cstheme="majorBidi"/>
          <w:sz w:val="24"/>
          <w:szCs w:val="24"/>
          <w:lang w:val="en-GB"/>
        </w:rPr>
        <w:t xml:space="preserve">peer review. </w:t>
      </w:r>
    </w:p>
    <w:p w14:paraId="046EA21A" w14:textId="37F238AC" w:rsidR="00771EA1" w:rsidRPr="00B13A01" w:rsidRDefault="00771EA1" w:rsidP="00771EA1">
      <w:pPr>
        <w:pStyle w:val="ListParagraph"/>
        <w:numPr>
          <w:ilvl w:val="0"/>
          <w:numId w:val="1"/>
        </w:numPr>
        <w:spacing w:after="160"/>
        <w:rPr>
          <w:rFonts w:asciiTheme="majorBidi" w:hAnsiTheme="majorBidi" w:cstheme="majorBidi"/>
          <w:iCs/>
          <w:sz w:val="24"/>
          <w:szCs w:val="24"/>
          <w:u w:color="4F81BD"/>
          <w:lang w:val="en-GB"/>
        </w:rPr>
      </w:pPr>
      <w:r w:rsidRPr="00FC73F5">
        <w:rPr>
          <w:rFonts w:asciiTheme="majorBidi" w:hAnsiTheme="majorBidi" w:cstheme="majorBidi"/>
          <w:sz w:val="24"/>
          <w:szCs w:val="24"/>
          <w:lang w:val="en-GB"/>
        </w:rPr>
        <w:t xml:space="preserve">These datasets will be processed at </w:t>
      </w:r>
      <w:r w:rsidR="00A46899">
        <w:rPr>
          <w:rFonts w:asciiTheme="majorBidi" w:hAnsiTheme="majorBidi" w:cstheme="majorBidi"/>
          <w:sz w:val="24"/>
          <w:szCs w:val="24"/>
          <w:lang w:val="en-GB"/>
        </w:rPr>
        <w:t>l</w:t>
      </w:r>
      <w:r w:rsidRPr="00FC73F5">
        <w:rPr>
          <w:rFonts w:asciiTheme="majorBidi" w:hAnsiTheme="majorBidi" w:cstheme="majorBidi"/>
          <w:sz w:val="24"/>
          <w:szCs w:val="24"/>
          <w:lang w:val="en-GB"/>
        </w:rPr>
        <w:t xml:space="preserve">evel 3 for calculating/ tabulating process and outcome indicators. The Secretariat </w:t>
      </w:r>
      <w:r>
        <w:rPr>
          <w:rFonts w:asciiTheme="majorBidi" w:hAnsiTheme="majorBidi" w:cstheme="majorBidi"/>
          <w:sz w:val="24"/>
          <w:szCs w:val="24"/>
          <w:lang w:val="en-GB"/>
        </w:rPr>
        <w:t>will</w:t>
      </w:r>
      <w:r w:rsidRPr="00FC73F5">
        <w:rPr>
          <w:rFonts w:asciiTheme="majorBidi" w:hAnsiTheme="majorBidi" w:cstheme="majorBidi"/>
          <w:sz w:val="24"/>
          <w:szCs w:val="24"/>
          <w:lang w:val="en-GB"/>
        </w:rPr>
        <w:t xml:space="preserve"> also be</w:t>
      </w:r>
      <w:r>
        <w:rPr>
          <w:rFonts w:asciiTheme="majorBidi" w:hAnsiTheme="majorBidi" w:cstheme="majorBidi"/>
          <w:sz w:val="24"/>
          <w:szCs w:val="24"/>
          <w:lang w:val="en-GB"/>
        </w:rPr>
        <w:t>come</w:t>
      </w:r>
      <w:r w:rsidRPr="00FC73F5">
        <w:rPr>
          <w:rFonts w:asciiTheme="majorBidi" w:hAnsiTheme="majorBidi" w:cstheme="majorBidi"/>
          <w:sz w:val="24"/>
          <w:szCs w:val="24"/>
          <w:lang w:val="en-GB"/>
        </w:rPr>
        <w:t xml:space="preserve"> responsible for facilitating </w:t>
      </w:r>
      <w:r>
        <w:rPr>
          <w:rFonts w:asciiTheme="majorBidi" w:hAnsiTheme="majorBidi" w:cstheme="majorBidi"/>
          <w:sz w:val="24"/>
          <w:szCs w:val="24"/>
          <w:lang w:val="en-GB"/>
        </w:rPr>
        <w:t>synthesis</w:t>
      </w:r>
      <w:r w:rsidRPr="00FC73F5">
        <w:rPr>
          <w:rFonts w:asciiTheme="majorBidi" w:hAnsiTheme="majorBidi" w:cstheme="majorBidi"/>
          <w:sz w:val="24"/>
          <w:szCs w:val="24"/>
          <w:lang w:val="en-GB"/>
        </w:rPr>
        <w:t xml:space="preserve"> reports that combine these indicators with other relevant information, including commissioning external expertise where necessary, as UNEP has done in previous efforts – for example, under the Global Mercury Assessment (2018), the report on Global Mercury Supply, Trade and Demand (2017) and the Global Mercury Waste Assessment (2018). </w:t>
      </w:r>
    </w:p>
    <w:p w14:paraId="234D6AAE" w14:textId="795841DA" w:rsidR="00771EA1" w:rsidRPr="00FC73F5" w:rsidRDefault="00771EA1" w:rsidP="000C56A5">
      <w:pPr>
        <w:pStyle w:val="ListParagraph"/>
        <w:numPr>
          <w:ilvl w:val="0"/>
          <w:numId w:val="1"/>
        </w:numPr>
        <w:spacing w:after="160"/>
        <w:rPr>
          <w:rFonts w:asciiTheme="majorBidi" w:hAnsiTheme="majorBidi" w:cstheme="majorBidi"/>
          <w:iCs/>
          <w:sz w:val="24"/>
          <w:szCs w:val="24"/>
          <w:u w:color="4F81BD"/>
          <w:lang w:val="en-GB"/>
        </w:rPr>
      </w:pPr>
      <w:r w:rsidRPr="00FC73F5">
        <w:rPr>
          <w:rFonts w:asciiTheme="majorBidi" w:hAnsiTheme="majorBidi" w:cstheme="majorBidi"/>
          <w:sz w:val="24"/>
          <w:szCs w:val="24"/>
          <w:lang w:val="en-GB"/>
        </w:rPr>
        <w:t xml:space="preserve">The Secretariat will also compile </w:t>
      </w:r>
      <w:r w:rsidR="00A46899">
        <w:rPr>
          <w:rFonts w:asciiTheme="majorBidi" w:hAnsiTheme="majorBidi" w:cstheme="majorBidi"/>
          <w:sz w:val="24"/>
          <w:szCs w:val="24"/>
          <w:lang w:val="en-GB"/>
        </w:rPr>
        <w:t>summaries and synthesis</w:t>
      </w:r>
      <w:r w:rsidRPr="00FC73F5">
        <w:rPr>
          <w:rFonts w:asciiTheme="majorBidi" w:hAnsiTheme="majorBidi" w:cstheme="majorBidi"/>
          <w:sz w:val="24"/>
          <w:szCs w:val="24"/>
          <w:lang w:val="en-GB"/>
        </w:rPr>
        <w:t xml:space="preserve"> reports resulting from other processes mandated by the Convention, such as reports from the Implementation and Compliance Committee under Article 15, reports from bodies implementing the financial mechanism, the report on the effectiveness of the finance mechanism, required under Article 13, </w:t>
      </w:r>
      <w:r>
        <w:rPr>
          <w:rFonts w:asciiTheme="majorBidi" w:hAnsiTheme="majorBidi" w:cstheme="majorBidi"/>
          <w:sz w:val="24"/>
          <w:szCs w:val="24"/>
          <w:lang w:val="en-GB"/>
        </w:rPr>
        <w:t>paragraph 11</w:t>
      </w:r>
      <w:r w:rsidRPr="00FC73F5">
        <w:rPr>
          <w:rFonts w:asciiTheme="majorBidi" w:hAnsiTheme="majorBidi" w:cstheme="majorBidi"/>
          <w:sz w:val="24"/>
          <w:szCs w:val="24"/>
          <w:lang w:val="en-GB"/>
        </w:rPr>
        <w:t xml:space="preserve"> (which will draw inter alia on reports such as GEF report and the SIP report) and the Secretariat’s report on Capacity Building and Technical Assistance. All </w:t>
      </w:r>
      <w:r>
        <w:rPr>
          <w:rFonts w:asciiTheme="majorBidi" w:hAnsiTheme="majorBidi" w:cstheme="majorBidi"/>
          <w:sz w:val="24"/>
          <w:szCs w:val="24"/>
          <w:lang w:val="en-GB"/>
        </w:rPr>
        <w:t>synthesis reports</w:t>
      </w:r>
      <w:r w:rsidRPr="00FC73F5">
        <w:rPr>
          <w:rFonts w:asciiTheme="majorBidi" w:hAnsiTheme="majorBidi" w:cstheme="majorBidi"/>
          <w:sz w:val="24"/>
          <w:szCs w:val="24"/>
          <w:lang w:val="en-GB"/>
        </w:rPr>
        <w:t xml:space="preserve"> and summary documents will be eventually submitted to the Effectiveness Evaluation Committee as supplementary information for their consideration at </w:t>
      </w:r>
      <w:r w:rsidR="00A46899">
        <w:rPr>
          <w:rFonts w:asciiTheme="majorBidi" w:hAnsiTheme="majorBidi" w:cstheme="majorBidi"/>
          <w:sz w:val="24"/>
          <w:szCs w:val="24"/>
          <w:lang w:val="en-GB"/>
        </w:rPr>
        <w:t>l</w:t>
      </w:r>
      <w:r w:rsidRPr="00FC73F5">
        <w:rPr>
          <w:rFonts w:asciiTheme="majorBidi" w:hAnsiTheme="majorBidi" w:cstheme="majorBidi"/>
          <w:sz w:val="24"/>
          <w:szCs w:val="24"/>
          <w:lang w:val="en-GB"/>
        </w:rPr>
        <w:t xml:space="preserve">evel 5. These reports (and underlying data where needed) will be transmitted for integrated assessment at </w:t>
      </w:r>
      <w:r w:rsidR="00A46899">
        <w:rPr>
          <w:rFonts w:asciiTheme="majorBidi" w:hAnsiTheme="majorBidi" w:cstheme="majorBidi"/>
          <w:sz w:val="24"/>
          <w:szCs w:val="24"/>
          <w:lang w:val="en-GB"/>
        </w:rPr>
        <w:t>l</w:t>
      </w:r>
      <w:r w:rsidRPr="00FC73F5">
        <w:rPr>
          <w:rFonts w:asciiTheme="majorBidi" w:hAnsiTheme="majorBidi" w:cstheme="majorBidi"/>
          <w:sz w:val="24"/>
          <w:szCs w:val="24"/>
          <w:lang w:val="en-GB"/>
        </w:rPr>
        <w:t xml:space="preserve">evel 4. </w:t>
      </w:r>
    </w:p>
    <w:p w14:paraId="48DAE5C7" w14:textId="77777777" w:rsidR="00A46899" w:rsidRDefault="00A46899" w:rsidP="000828EF">
      <w:pPr>
        <w:ind w:firstLine="360"/>
        <w:rPr>
          <w:rFonts w:asciiTheme="majorBidi" w:hAnsiTheme="majorBidi" w:cstheme="majorBidi"/>
          <w:sz w:val="24"/>
          <w:szCs w:val="24"/>
        </w:rPr>
      </w:pPr>
      <w:r w:rsidRPr="006D20F0">
        <w:rPr>
          <w:rFonts w:asciiTheme="majorBidi" w:hAnsiTheme="majorBidi" w:cstheme="majorBidi"/>
          <w:b/>
          <w:bCs/>
          <w:sz w:val="24"/>
          <w:szCs w:val="24"/>
        </w:rPr>
        <w:t>Delivery of the scientific and technical functions</w:t>
      </w:r>
      <w:r w:rsidRPr="00A46899">
        <w:rPr>
          <w:rFonts w:asciiTheme="majorBidi" w:hAnsiTheme="majorBidi" w:cstheme="majorBidi"/>
          <w:sz w:val="24"/>
          <w:szCs w:val="24"/>
        </w:rPr>
        <w:t xml:space="preserve"> </w:t>
      </w:r>
    </w:p>
    <w:p w14:paraId="1B2E6599" w14:textId="1D61B7F5" w:rsidR="00A46899" w:rsidRPr="00A46899" w:rsidRDefault="00A46899" w:rsidP="00A46899">
      <w:pPr>
        <w:pStyle w:val="ListParagraph"/>
        <w:numPr>
          <w:ilvl w:val="0"/>
          <w:numId w:val="1"/>
        </w:numPr>
        <w:rPr>
          <w:rFonts w:asciiTheme="majorBidi" w:hAnsiTheme="majorBidi" w:cstheme="majorBidi"/>
          <w:color w:val="auto"/>
          <w:sz w:val="24"/>
          <w:szCs w:val="24"/>
        </w:rPr>
      </w:pPr>
      <w:r w:rsidRPr="00A46899">
        <w:rPr>
          <w:rFonts w:asciiTheme="majorBidi" w:hAnsiTheme="majorBidi" w:cstheme="majorBidi"/>
          <w:sz w:val="24"/>
          <w:szCs w:val="24"/>
        </w:rPr>
        <w:t xml:space="preserve">The framework puts forward that the scientific and technical functions can be delivered as follows:  </w:t>
      </w:r>
    </w:p>
    <w:p w14:paraId="5DFC51E8" w14:textId="6311DEEA" w:rsidR="00A46899" w:rsidRPr="00B11354" w:rsidRDefault="00A46899" w:rsidP="00A46899">
      <w:pPr>
        <w:pStyle w:val="ListParagraph"/>
        <w:numPr>
          <w:ilvl w:val="1"/>
          <w:numId w:val="1"/>
        </w:numPr>
        <w:spacing w:after="160"/>
        <w:rPr>
          <w:rFonts w:asciiTheme="majorBidi" w:hAnsiTheme="majorBidi" w:cstheme="majorBidi"/>
          <w:color w:val="auto"/>
          <w:sz w:val="24"/>
          <w:szCs w:val="24"/>
          <w:lang w:val="en-GB"/>
        </w:rPr>
      </w:pPr>
      <w:r>
        <w:rPr>
          <w:rFonts w:asciiTheme="majorBidi" w:hAnsiTheme="majorBidi" w:cstheme="majorBidi"/>
          <w:b/>
          <w:sz w:val="24"/>
          <w:szCs w:val="24"/>
          <w:lang w:val="en-GB"/>
        </w:rPr>
        <w:t xml:space="preserve"> </w:t>
      </w:r>
      <w:r w:rsidRPr="00B11354">
        <w:rPr>
          <w:rFonts w:asciiTheme="majorBidi" w:hAnsiTheme="majorBidi" w:cstheme="majorBidi"/>
          <w:b/>
          <w:sz w:val="24"/>
          <w:szCs w:val="24"/>
          <w:lang w:val="en-GB"/>
        </w:rPr>
        <w:t xml:space="preserve">Scientific and Technical </w:t>
      </w:r>
      <w:r w:rsidR="008D5551">
        <w:rPr>
          <w:rFonts w:asciiTheme="majorBidi" w:hAnsiTheme="majorBidi" w:cstheme="majorBidi"/>
          <w:b/>
          <w:sz w:val="24"/>
          <w:szCs w:val="24"/>
          <w:lang w:val="en-GB"/>
        </w:rPr>
        <w:t>Expertise</w:t>
      </w:r>
      <w:r w:rsidRPr="00B11354">
        <w:rPr>
          <w:rFonts w:asciiTheme="majorBidi" w:hAnsiTheme="majorBidi" w:cstheme="majorBidi"/>
          <w:b/>
          <w:bCs/>
          <w:color w:val="auto"/>
          <w:sz w:val="24"/>
          <w:szCs w:val="24"/>
          <w:lang w:val="en-GB"/>
        </w:rPr>
        <w:t>:</w:t>
      </w:r>
      <w:r w:rsidRPr="00B11354">
        <w:rPr>
          <w:rFonts w:asciiTheme="majorBidi" w:hAnsiTheme="majorBidi" w:cstheme="majorBidi"/>
          <w:color w:val="auto"/>
          <w:sz w:val="24"/>
          <w:szCs w:val="24"/>
          <w:lang w:val="en-GB"/>
        </w:rPr>
        <w:t xml:space="preserve"> A scientific and </w:t>
      </w:r>
      <w:r w:rsidR="008D5551">
        <w:rPr>
          <w:rFonts w:asciiTheme="majorBidi" w:hAnsiTheme="majorBidi" w:cstheme="majorBidi"/>
          <w:color w:val="auto"/>
          <w:sz w:val="24"/>
          <w:szCs w:val="24"/>
          <w:lang w:val="en-GB"/>
        </w:rPr>
        <w:t>technical</w:t>
      </w:r>
      <w:r w:rsidRPr="00B11354">
        <w:rPr>
          <w:rFonts w:asciiTheme="majorBidi" w:hAnsiTheme="majorBidi" w:cstheme="majorBidi"/>
          <w:color w:val="auto"/>
          <w:sz w:val="24"/>
          <w:szCs w:val="24"/>
          <w:lang w:val="en-GB"/>
        </w:rPr>
        <w:t xml:space="preserve"> group</w:t>
      </w:r>
      <w:r w:rsidR="008D5551">
        <w:rPr>
          <w:rFonts w:asciiTheme="majorBidi" w:hAnsiTheme="majorBidi" w:cstheme="majorBidi"/>
          <w:color w:val="auto"/>
          <w:sz w:val="24"/>
          <w:szCs w:val="24"/>
          <w:lang w:val="en-GB"/>
        </w:rPr>
        <w:t>ing</w:t>
      </w:r>
      <w:r w:rsidRPr="00B11354">
        <w:rPr>
          <w:rFonts w:asciiTheme="majorBidi" w:hAnsiTheme="majorBidi" w:cstheme="majorBidi"/>
          <w:color w:val="auto"/>
          <w:sz w:val="24"/>
          <w:szCs w:val="24"/>
          <w:lang w:val="en-GB"/>
        </w:rPr>
        <w:t xml:space="preserve"> comprising of individuals with extended expertise on monitoring, scientific and technical assessment, and natural and social sciences and research relevant to mercury, is to deliver the activities of level 1 to 3, to </w:t>
      </w:r>
      <w:r w:rsidRPr="00E16F23">
        <w:rPr>
          <w:rFonts w:asciiTheme="majorBidi" w:hAnsiTheme="majorBidi" w:cstheme="majorBidi"/>
          <w:color w:val="auto"/>
          <w:sz w:val="24"/>
          <w:szCs w:val="24"/>
          <w:lang w:val="en-GB"/>
        </w:rPr>
        <w:t xml:space="preserve">produce the four synthesis reports. </w:t>
      </w:r>
      <w:r w:rsidRPr="00E16F23">
        <w:rPr>
          <w:rFonts w:asciiTheme="majorBidi" w:hAnsiTheme="majorBidi" w:cstheme="majorBidi"/>
          <w:sz w:val="24"/>
          <w:szCs w:val="24"/>
          <w:lang w:val="en-GB"/>
        </w:rPr>
        <w:t xml:space="preserve">For this </w:t>
      </w:r>
      <w:r w:rsidR="006D20F0" w:rsidRPr="00E16F23">
        <w:rPr>
          <w:rFonts w:asciiTheme="majorBidi" w:hAnsiTheme="majorBidi" w:cstheme="majorBidi"/>
          <w:sz w:val="24"/>
          <w:szCs w:val="24"/>
          <w:lang w:val="en-GB"/>
        </w:rPr>
        <w:t>purpose,</w:t>
      </w:r>
      <w:r w:rsidRPr="00E16F23">
        <w:rPr>
          <w:rFonts w:asciiTheme="majorBidi" w:hAnsiTheme="majorBidi" w:cstheme="majorBidi"/>
          <w:sz w:val="24"/>
          <w:szCs w:val="24"/>
          <w:lang w:val="en-GB"/>
        </w:rPr>
        <w:t xml:space="preserve"> there are roles for the secretariat, for scientists and experts, and for organisations. </w:t>
      </w:r>
      <w:r w:rsidRPr="00E16F23">
        <w:rPr>
          <w:rFonts w:asciiTheme="majorBidi" w:hAnsiTheme="majorBidi" w:cstheme="majorBidi"/>
          <w:color w:val="auto"/>
          <w:sz w:val="24"/>
          <w:szCs w:val="24"/>
          <w:lang w:val="en-GB"/>
        </w:rPr>
        <w:t>This group will include a specific group of monitoring and modelling experts to coordinate monitoring and modelling activities that produces the Global Monitoring Report (</w:t>
      </w:r>
      <w:r w:rsidR="00E16F23" w:rsidRPr="00E16F23">
        <w:rPr>
          <w:rFonts w:asciiTheme="majorBidi" w:hAnsiTheme="majorBidi" w:cstheme="majorBidi"/>
          <w:color w:val="auto"/>
          <w:sz w:val="24"/>
          <w:szCs w:val="24"/>
          <w:lang w:val="en-GB"/>
        </w:rPr>
        <w:t>a</w:t>
      </w:r>
      <w:r w:rsidRPr="00E16F23">
        <w:rPr>
          <w:rFonts w:asciiTheme="majorBidi" w:hAnsiTheme="majorBidi" w:cstheme="majorBidi"/>
          <w:color w:val="auto"/>
          <w:sz w:val="24"/>
          <w:szCs w:val="24"/>
          <w:lang w:val="en-GB"/>
        </w:rPr>
        <w:t xml:space="preserve"> synthesis report).</w:t>
      </w:r>
      <w:r w:rsidRPr="00B11354">
        <w:rPr>
          <w:rFonts w:asciiTheme="majorBidi" w:hAnsiTheme="majorBidi" w:cstheme="majorBidi"/>
          <w:color w:val="auto"/>
          <w:sz w:val="24"/>
          <w:szCs w:val="24"/>
          <w:lang w:val="en-GB"/>
        </w:rPr>
        <w:t xml:space="preserve">  </w:t>
      </w:r>
    </w:p>
    <w:p w14:paraId="33DF1B61" w14:textId="050C5892" w:rsidR="00A46899" w:rsidRDefault="00A46899" w:rsidP="00A46899">
      <w:pPr>
        <w:pStyle w:val="ListParagraph"/>
        <w:numPr>
          <w:ilvl w:val="1"/>
          <w:numId w:val="1"/>
        </w:numPr>
        <w:spacing w:after="160"/>
        <w:rPr>
          <w:rFonts w:asciiTheme="majorBidi" w:hAnsiTheme="majorBidi" w:cstheme="majorBidi"/>
          <w:color w:val="auto"/>
          <w:sz w:val="24"/>
          <w:szCs w:val="24"/>
          <w:lang w:val="en-GB"/>
        </w:rPr>
      </w:pPr>
      <w:r w:rsidRPr="00B11354">
        <w:rPr>
          <w:rFonts w:asciiTheme="majorBidi" w:hAnsiTheme="majorBidi" w:cstheme="majorBidi"/>
          <w:b/>
          <w:bCs/>
          <w:color w:val="auto"/>
          <w:sz w:val="24"/>
          <w:szCs w:val="24"/>
          <w:lang w:val="en-GB" w:eastAsia="ja-JP"/>
        </w:rPr>
        <w:t>Integration</w:t>
      </w:r>
      <w:r w:rsidRPr="00B11354">
        <w:rPr>
          <w:rFonts w:asciiTheme="majorBidi" w:hAnsiTheme="majorBidi" w:cstheme="majorBidi"/>
          <w:b/>
          <w:sz w:val="24"/>
          <w:szCs w:val="24"/>
          <w:lang w:val="en-GB"/>
        </w:rPr>
        <w:t xml:space="preserve"> Assessment Group</w:t>
      </w:r>
      <w:r w:rsidRPr="00B11354">
        <w:rPr>
          <w:rFonts w:asciiTheme="majorBidi" w:hAnsiTheme="majorBidi" w:cstheme="majorBidi"/>
          <w:b/>
          <w:bCs/>
          <w:color w:val="auto"/>
          <w:sz w:val="24"/>
          <w:szCs w:val="24"/>
          <w:lang w:val="en-GB" w:eastAsia="ja-JP"/>
        </w:rPr>
        <w:t>:</w:t>
      </w:r>
      <w:r w:rsidRPr="00B11354">
        <w:rPr>
          <w:rFonts w:asciiTheme="majorBidi" w:hAnsiTheme="majorBidi" w:cstheme="majorBidi"/>
          <w:color w:val="auto"/>
          <w:sz w:val="24"/>
          <w:szCs w:val="24"/>
          <w:lang w:val="en-GB" w:eastAsia="ja-JP"/>
        </w:rPr>
        <w:t xml:space="preserve"> A small separate group is required, at level 4, to produce the Integrated Assessment Report for the Effectiveness Evaluation Committee</w:t>
      </w:r>
      <w:r w:rsidRPr="006D20F0">
        <w:rPr>
          <w:rFonts w:asciiTheme="majorBidi" w:hAnsiTheme="majorBidi" w:cstheme="majorBidi"/>
          <w:color w:val="auto"/>
          <w:sz w:val="24"/>
          <w:szCs w:val="24"/>
          <w:lang w:val="en-GB" w:eastAsia="ja-JP"/>
        </w:rPr>
        <w:t xml:space="preserve">. </w:t>
      </w:r>
      <w:r w:rsidR="006D20F0" w:rsidRPr="006D20F0">
        <w:rPr>
          <w:rFonts w:asciiTheme="majorBidi" w:hAnsiTheme="majorBidi" w:cstheme="majorBidi"/>
          <w:color w:val="auto"/>
          <w:sz w:val="24"/>
          <w:szCs w:val="24"/>
          <w:lang w:val="en-GB" w:eastAsia="ja-JP"/>
        </w:rPr>
        <w:t>Specific</w:t>
      </w:r>
      <w:r w:rsidRPr="006D20F0">
        <w:rPr>
          <w:rFonts w:asciiTheme="majorBidi" w:hAnsiTheme="majorBidi" w:cstheme="majorBidi"/>
          <w:color w:val="auto"/>
          <w:sz w:val="24"/>
          <w:szCs w:val="24"/>
          <w:lang w:val="en-GB" w:eastAsia="ja-JP"/>
        </w:rPr>
        <w:t xml:space="preserve"> chapter and section authors led by a chief author</w:t>
      </w:r>
      <w:r w:rsidR="006D20F0" w:rsidRPr="006D20F0">
        <w:rPr>
          <w:rFonts w:asciiTheme="majorBidi" w:hAnsiTheme="majorBidi" w:cstheme="majorBidi"/>
          <w:color w:val="auto"/>
          <w:sz w:val="24"/>
          <w:szCs w:val="24"/>
          <w:lang w:val="en-GB" w:eastAsia="ja-JP"/>
        </w:rPr>
        <w:t xml:space="preserve"> will be identified to comprise this group</w:t>
      </w:r>
      <w:r w:rsidRPr="006D20F0">
        <w:rPr>
          <w:rFonts w:asciiTheme="majorBidi" w:hAnsiTheme="majorBidi" w:cstheme="majorBidi"/>
          <w:color w:val="auto"/>
          <w:sz w:val="24"/>
          <w:szCs w:val="24"/>
          <w:lang w:val="en-GB" w:eastAsia="ja-JP"/>
        </w:rPr>
        <w:t>. The group</w:t>
      </w:r>
      <w:r w:rsidRPr="00B11354">
        <w:rPr>
          <w:rFonts w:asciiTheme="majorBidi" w:hAnsiTheme="majorBidi" w:cstheme="majorBidi"/>
          <w:color w:val="auto"/>
          <w:sz w:val="24"/>
          <w:szCs w:val="24"/>
          <w:lang w:val="en-GB" w:eastAsia="ja-JP"/>
        </w:rPr>
        <w:t xml:space="preserve"> will necessarily be multi-disciplinary </w:t>
      </w:r>
      <w:r w:rsidR="006D20F0">
        <w:rPr>
          <w:rFonts w:asciiTheme="majorBidi" w:hAnsiTheme="majorBidi" w:cstheme="majorBidi"/>
          <w:color w:val="auto"/>
          <w:sz w:val="24"/>
          <w:szCs w:val="24"/>
          <w:lang w:val="en-GB" w:eastAsia="ja-JP"/>
        </w:rPr>
        <w:t xml:space="preserve">in </w:t>
      </w:r>
      <w:r w:rsidRPr="00B11354">
        <w:rPr>
          <w:rFonts w:asciiTheme="majorBidi" w:hAnsiTheme="majorBidi" w:cstheme="majorBidi"/>
          <w:color w:val="auto"/>
          <w:sz w:val="24"/>
          <w:szCs w:val="24"/>
          <w:lang w:val="en-GB" w:eastAsia="ja-JP"/>
        </w:rPr>
        <w:t xml:space="preserve">nature, and authors will be identified according to their most suitable expertise. For attribution functions, the group will include modellers. Additionally, this group will also be supported by communication </w:t>
      </w:r>
      <w:r w:rsidR="006D20F0">
        <w:rPr>
          <w:rFonts w:asciiTheme="majorBidi" w:hAnsiTheme="majorBidi" w:cstheme="majorBidi"/>
          <w:color w:val="auto"/>
          <w:sz w:val="24"/>
          <w:szCs w:val="24"/>
          <w:lang w:val="en-GB" w:eastAsia="ja-JP"/>
        </w:rPr>
        <w:t>expertise</w:t>
      </w:r>
      <w:r w:rsidRPr="00B11354">
        <w:rPr>
          <w:rFonts w:asciiTheme="majorBidi" w:hAnsiTheme="majorBidi" w:cstheme="majorBidi"/>
          <w:color w:val="auto"/>
          <w:sz w:val="24"/>
          <w:szCs w:val="24"/>
          <w:lang w:val="en-GB" w:eastAsia="ja-JP"/>
        </w:rPr>
        <w:t xml:space="preserve"> to ensure the results of </w:t>
      </w:r>
      <w:r w:rsidRPr="00B11354">
        <w:rPr>
          <w:rFonts w:asciiTheme="majorBidi" w:hAnsiTheme="majorBidi" w:cstheme="majorBidi"/>
          <w:color w:val="auto"/>
          <w:sz w:val="24"/>
          <w:szCs w:val="24"/>
          <w:lang w:val="en-GB" w:eastAsia="ja-JP"/>
        </w:rPr>
        <w:lastRenderedPageBreak/>
        <w:t>this integrated assessment are summarised and presented in visual forms (e.g. a dashboard type score table summarising progress).</w:t>
      </w:r>
    </w:p>
    <w:p w14:paraId="214BE592" w14:textId="551CA137" w:rsidR="003109AA" w:rsidRPr="000828EF" w:rsidRDefault="003109AA" w:rsidP="000828EF">
      <w:pPr>
        <w:pStyle w:val="Text"/>
        <w:tabs>
          <w:tab w:val="clear" w:pos="1247"/>
          <w:tab w:val="clear" w:pos="1814"/>
          <w:tab w:val="clear" w:pos="2381"/>
          <w:tab w:val="clear" w:pos="2948"/>
          <w:tab w:val="clear" w:pos="3515"/>
        </w:tabs>
        <w:spacing w:after="160"/>
        <w:ind w:firstLine="360"/>
        <w:rPr>
          <w:rFonts w:asciiTheme="majorBidi" w:hAnsiTheme="majorBidi" w:cstheme="majorBidi"/>
          <w:b/>
          <w:color w:val="auto"/>
          <w:sz w:val="24"/>
          <w:szCs w:val="24"/>
          <w:u w:color="4F81BD"/>
          <w:lang w:val="en-GB"/>
        </w:rPr>
      </w:pPr>
      <w:r w:rsidRPr="000828EF">
        <w:rPr>
          <w:rFonts w:asciiTheme="majorBidi" w:hAnsiTheme="majorBidi" w:cstheme="majorBidi"/>
          <w:b/>
          <w:color w:val="auto"/>
          <w:sz w:val="24"/>
          <w:szCs w:val="24"/>
          <w:u w:color="4F81BD"/>
          <w:lang w:val="en-GB"/>
        </w:rPr>
        <w:t>Effectiveness Evaluation Committee</w:t>
      </w:r>
    </w:p>
    <w:p w14:paraId="77B2C476" w14:textId="36BDA000" w:rsidR="003109AA" w:rsidRPr="000828EF" w:rsidRDefault="003109AA" w:rsidP="00771EA1">
      <w:pPr>
        <w:pStyle w:val="Text"/>
        <w:numPr>
          <w:ilvl w:val="0"/>
          <w:numId w:val="1"/>
        </w:numPr>
        <w:tabs>
          <w:tab w:val="clear" w:pos="1247"/>
          <w:tab w:val="clear" w:pos="1814"/>
          <w:tab w:val="clear" w:pos="2381"/>
          <w:tab w:val="clear" w:pos="2948"/>
          <w:tab w:val="clear" w:pos="3515"/>
        </w:tabs>
        <w:spacing w:after="160"/>
        <w:rPr>
          <w:rFonts w:asciiTheme="majorBidi" w:hAnsiTheme="majorBidi" w:cstheme="majorBidi"/>
          <w:color w:val="auto"/>
          <w:sz w:val="24"/>
          <w:szCs w:val="24"/>
          <w:u w:color="4F81BD"/>
          <w:lang w:val="en-GB"/>
        </w:rPr>
      </w:pPr>
      <w:r w:rsidRPr="000828EF">
        <w:rPr>
          <w:rFonts w:asciiTheme="majorBidi" w:hAnsiTheme="majorBidi" w:cstheme="majorBidi"/>
          <w:color w:val="auto"/>
          <w:sz w:val="24"/>
          <w:szCs w:val="24"/>
          <w:u w:color="4F81BD"/>
          <w:lang w:val="en-GB"/>
        </w:rPr>
        <w:t>The Effectiveness Evaluation Committee</w:t>
      </w:r>
      <w:r w:rsidRPr="000828EF">
        <w:rPr>
          <w:rFonts w:asciiTheme="majorBidi" w:hAnsiTheme="majorBidi" w:cstheme="majorBidi"/>
          <w:sz w:val="24"/>
          <w:szCs w:val="24"/>
          <w:lang w:val="en-GB"/>
        </w:rPr>
        <w:t xml:space="preserve"> at </w:t>
      </w:r>
      <w:r w:rsidR="000828EF" w:rsidRPr="000828EF">
        <w:rPr>
          <w:rFonts w:asciiTheme="majorBidi" w:hAnsiTheme="majorBidi" w:cstheme="majorBidi"/>
          <w:sz w:val="24"/>
          <w:szCs w:val="24"/>
          <w:lang w:val="en-GB"/>
        </w:rPr>
        <w:t>l</w:t>
      </w:r>
      <w:r w:rsidRPr="000828EF">
        <w:rPr>
          <w:rFonts w:asciiTheme="majorBidi" w:hAnsiTheme="majorBidi" w:cstheme="majorBidi"/>
          <w:sz w:val="24"/>
          <w:szCs w:val="24"/>
          <w:lang w:val="en-GB"/>
        </w:rPr>
        <w:t xml:space="preserve">evel 5 will use the </w:t>
      </w:r>
      <w:r w:rsidR="005D1BB5" w:rsidRPr="000828EF">
        <w:rPr>
          <w:rFonts w:asciiTheme="majorBidi" w:hAnsiTheme="majorBidi" w:cstheme="majorBidi"/>
          <w:sz w:val="24"/>
          <w:szCs w:val="24"/>
          <w:lang w:val="en-GB"/>
        </w:rPr>
        <w:t>I</w:t>
      </w:r>
      <w:r w:rsidRPr="000828EF">
        <w:rPr>
          <w:rFonts w:asciiTheme="majorBidi" w:hAnsiTheme="majorBidi" w:cstheme="majorBidi"/>
          <w:sz w:val="24"/>
          <w:szCs w:val="24"/>
          <w:lang w:val="en-GB"/>
        </w:rPr>
        <w:t xml:space="preserve">ntegrated </w:t>
      </w:r>
      <w:r w:rsidR="005D1BB5" w:rsidRPr="000828EF">
        <w:rPr>
          <w:rFonts w:asciiTheme="majorBidi" w:hAnsiTheme="majorBidi" w:cstheme="majorBidi"/>
          <w:sz w:val="24"/>
          <w:szCs w:val="24"/>
          <w:lang w:val="en-GB"/>
        </w:rPr>
        <w:t>A</w:t>
      </w:r>
      <w:r w:rsidRPr="000828EF">
        <w:rPr>
          <w:rFonts w:asciiTheme="majorBidi" w:hAnsiTheme="majorBidi" w:cstheme="majorBidi"/>
          <w:sz w:val="24"/>
          <w:szCs w:val="24"/>
          <w:lang w:val="en-GB"/>
        </w:rPr>
        <w:t xml:space="preserve">ssessment </w:t>
      </w:r>
      <w:r w:rsidR="005D1BB5" w:rsidRPr="000828EF">
        <w:rPr>
          <w:rFonts w:asciiTheme="majorBidi" w:hAnsiTheme="majorBidi" w:cstheme="majorBidi"/>
          <w:sz w:val="24"/>
          <w:szCs w:val="24"/>
          <w:lang w:val="en-GB"/>
        </w:rPr>
        <w:t>R</w:t>
      </w:r>
      <w:r w:rsidRPr="000828EF">
        <w:rPr>
          <w:rFonts w:asciiTheme="majorBidi" w:hAnsiTheme="majorBidi" w:cstheme="majorBidi"/>
          <w:sz w:val="24"/>
          <w:szCs w:val="24"/>
          <w:lang w:val="en-GB"/>
        </w:rPr>
        <w:t xml:space="preserve">eport supplemented by the </w:t>
      </w:r>
      <w:r w:rsidR="000828EF" w:rsidRPr="000828EF">
        <w:rPr>
          <w:rFonts w:asciiTheme="majorBidi" w:hAnsiTheme="majorBidi" w:cstheme="majorBidi"/>
          <w:sz w:val="24"/>
          <w:szCs w:val="24"/>
          <w:lang w:val="en-GB"/>
        </w:rPr>
        <w:t xml:space="preserve">four </w:t>
      </w:r>
      <w:r w:rsidRPr="000828EF">
        <w:rPr>
          <w:rFonts w:asciiTheme="majorBidi" w:hAnsiTheme="majorBidi" w:cstheme="majorBidi"/>
          <w:sz w:val="24"/>
          <w:szCs w:val="24"/>
          <w:lang w:val="en-GB"/>
        </w:rPr>
        <w:t xml:space="preserve">synthesis reports to consider the policy questions posed in the framework, and from that derive conclusions about the effectiveness of the Convention. The Effectiveness Evaluation Committee will formulate recommendations aiming at improving the effectiveness of the Convention. The Committee may include in its report suggestions for improving the effectiveness evaluation framework.  </w:t>
      </w:r>
      <w:r w:rsidRPr="000828EF">
        <w:rPr>
          <w:rFonts w:asciiTheme="majorBidi" w:hAnsiTheme="majorBidi" w:cstheme="majorBidi"/>
          <w:color w:val="auto"/>
          <w:sz w:val="24"/>
          <w:szCs w:val="24"/>
          <w:u w:color="4F81BD"/>
          <w:lang w:val="en-GB"/>
        </w:rPr>
        <w:t>Terms of reference for the Committee are found in Annex II.</w:t>
      </w:r>
    </w:p>
    <w:p w14:paraId="2027EC70" w14:textId="77777777" w:rsidR="003109AA" w:rsidRPr="00FC73F5" w:rsidRDefault="003109AA" w:rsidP="000828EF">
      <w:pPr>
        <w:pStyle w:val="Text"/>
        <w:tabs>
          <w:tab w:val="clear" w:pos="1247"/>
          <w:tab w:val="clear" w:pos="1814"/>
          <w:tab w:val="clear" w:pos="2381"/>
          <w:tab w:val="clear" w:pos="2948"/>
          <w:tab w:val="clear" w:pos="3515"/>
        </w:tabs>
        <w:spacing w:after="160"/>
        <w:ind w:firstLine="360"/>
        <w:rPr>
          <w:rFonts w:asciiTheme="majorBidi" w:hAnsiTheme="majorBidi" w:cstheme="majorBidi"/>
          <w:b/>
          <w:color w:val="auto"/>
          <w:sz w:val="24"/>
          <w:szCs w:val="24"/>
          <w:u w:color="4F81BD"/>
          <w:lang w:val="en-GB"/>
        </w:rPr>
      </w:pPr>
      <w:r w:rsidRPr="00FC73F5">
        <w:rPr>
          <w:rFonts w:asciiTheme="majorBidi" w:hAnsiTheme="majorBidi" w:cstheme="majorBidi"/>
          <w:b/>
          <w:color w:val="auto"/>
          <w:sz w:val="24"/>
          <w:szCs w:val="24"/>
          <w:u w:color="4F81BD"/>
          <w:lang w:val="en-GB"/>
        </w:rPr>
        <w:t>Conference of the Parties</w:t>
      </w:r>
    </w:p>
    <w:p w14:paraId="36A64B0C" w14:textId="77777777" w:rsidR="003109AA" w:rsidRPr="00FC73F5" w:rsidRDefault="003109AA" w:rsidP="00771EA1">
      <w:pPr>
        <w:pStyle w:val="Text"/>
        <w:numPr>
          <w:ilvl w:val="0"/>
          <w:numId w:val="1"/>
        </w:numPr>
        <w:tabs>
          <w:tab w:val="clear" w:pos="1247"/>
          <w:tab w:val="clear" w:pos="1814"/>
          <w:tab w:val="clear" w:pos="2381"/>
          <w:tab w:val="clear" w:pos="2948"/>
          <w:tab w:val="clear" w:pos="3515"/>
        </w:tabs>
        <w:rPr>
          <w:rFonts w:asciiTheme="majorBidi" w:hAnsiTheme="majorBidi" w:cstheme="majorBidi"/>
          <w:color w:val="auto"/>
          <w:sz w:val="24"/>
          <w:szCs w:val="24"/>
          <w:u w:color="4F81BD"/>
          <w:lang w:val="en-GB"/>
        </w:rPr>
      </w:pPr>
      <w:r w:rsidRPr="00FC73F5">
        <w:rPr>
          <w:rFonts w:asciiTheme="majorBidi" w:hAnsiTheme="majorBidi" w:cstheme="majorBidi"/>
          <w:color w:val="auto"/>
          <w:sz w:val="24"/>
          <w:szCs w:val="24"/>
          <w:u w:color="4F81BD"/>
          <w:lang w:val="en-GB"/>
        </w:rPr>
        <w:t xml:space="preserve">The ultimate responsibility for evaluating the effectiveness lies with the Conference of the Parties at Level 6. In this framework, the intention is for the Conference to consider the recommendations of the Committee, and then make determinations about any needed changes to or strengthening of Convention measures. The Conference may also choose to mandate changes in the procedures for future effectiveness evaluation cycles.  </w:t>
      </w:r>
    </w:p>
    <w:p w14:paraId="1EE10064" w14:textId="460CD418" w:rsidR="003109AA" w:rsidRDefault="003109AA" w:rsidP="00034BB4">
      <w:pPr>
        <w:pStyle w:val="Normal-pool"/>
        <w:tabs>
          <w:tab w:val="clear" w:pos="1247"/>
          <w:tab w:val="clear" w:pos="1814"/>
          <w:tab w:val="clear" w:pos="2381"/>
          <w:tab w:val="clear" w:pos="2948"/>
          <w:tab w:val="clear" w:pos="3515"/>
        </w:tabs>
        <w:ind w:left="360"/>
        <w:rPr>
          <w:rFonts w:asciiTheme="majorBidi" w:hAnsiTheme="majorBidi" w:cstheme="majorBidi"/>
          <w:iCs/>
          <w:color w:val="auto"/>
          <w:sz w:val="24"/>
          <w:szCs w:val="24"/>
          <w:u w:color="4F81BD"/>
          <w:lang w:val="en-GB"/>
        </w:rPr>
      </w:pPr>
    </w:p>
    <w:p w14:paraId="50B980C3" w14:textId="6AE7853A" w:rsidR="00771EA1" w:rsidRPr="009F66F5" w:rsidRDefault="000C56A5" w:rsidP="000C56A5">
      <w:pPr>
        <w:pStyle w:val="Text"/>
        <w:rPr>
          <w:rFonts w:asciiTheme="majorBidi" w:hAnsiTheme="majorBidi" w:cstheme="majorBidi"/>
          <w:b/>
          <w:bCs/>
          <w:color w:val="auto"/>
          <w:sz w:val="24"/>
          <w:szCs w:val="24"/>
          <w:lang w:val="en-GB" w:eastAsia="ja-JP"/>
        </w:rPr>
      </w:pPr>
      <w:r w:rsidRPr="009F66F5">
        <w:rPr>
          <w:rFonts w:asciiTheme="majorBidi" w:hAnsiTheme="majorBidi" w:cstheme="majorBidi"/>
          <w:b/>
          <w:bCs/>
          <w:color w:val="auto"/>
          <w:sz w:val="24"/>
          <w:szCs w:val="24"/>
          <w:lang w:val="en-GB" w:eastAsia="ja-JP"/>
        </w:rPr>
        <w:t>Additional proposal to deliver scientific and expert functions</w:t>
      </w:r>
    </w:p>
    <w:p w14:paraId="778D9B25" w14:textId="77777777" w:rsidR="00771EA1" w:rsidRPr="009F66F5" w:rsidRDefault="00771EA1" w:rsidP="00771EA1">
      <w:pPr>
        <w:pStyle w:val="Text"/>
        <w:rPr>
          <w:rFonts w:asciiTheme="majorBidi" w:hAnsiTheme="majorBidi" w:cstheme="majorBidi"/>
          <w:color w:val="auto"/>
          <w:sz w:val="24"/>
          <w:szCs w:val="24"/>
          <w:lang w:val="en-GB"/>
        </w:rPr>
      </w:pPr>
    </w:p>
    <w:p w14:paraId="0E85C046" w14:textId="284EDE2B" w:rsidR="00771EA1" w:rsidRDefault="00771EA1" w:rsidP="0099206F">
      <w:pPr>
        <w:pStyle w:val="Text"/>
        <w:numPr>
          <w:ilvl w:val="0"/>
          <w:numId w:val="1"/>
        </w:numPr>
        <w:spacing w:after="160"/>
        <w:rPr>
          <w:rFonts w:asciiTheme="majorBidi" w:hAnsiTheme="majorBidi" w:cstheme="majorBidi"/>
          <w:color w:val="auto"/>
          <w:sz w:val="24"/>
          <w:szCs w:val="24"/>
          <w:lang w:val="en-GB"/>
        </w:rPr>
      </w:pPr>
      <w:r w:rsidRPr="009F66F5">
        <w:rPr>
          <w:rFonts w:asciiTheme="majorBidi" w:hAnsiTheme="majorBidi" w:cstheme="majorBidi"/>
          <w:color w:val="auto"/>
          <w:sz w:val="24"/>
          <w:szCs w:val="24"/>
          <w:lang w:val="en-GB"/>
        </w:rPr>
        <w:t>The implementing structure for the scientific</w:t>
      </w:r>
      <w:r w:rsidR="000C56A5" w:rsidRPr="009F66F5">
        <w:rPr>
          <w:rFonts w:asciiTheme="majorBidi" w:hAnsiTheme="majorBidi" w:cstheme="majorBidi"/>
          <w:color w:val="auto"/>
          <w:sz w:val="24"/>
          <w:szCs w:val="24"/>
          <w:lang w:val="en-GB"/>
        </w:rPr>
        <w:t xml:space="preserve"> and expert</w:t>
      </w:r>
      <w:r w:rsidRPr="009F66F5">
        <w:rPr>
          <w:rFonts w:asciiTheme="majorBidi" w:hAnsiTheme="majorBidi" w:cstheme="majorBidi"/>
          <w:color w:val="auto"/>
          <w:sz w:val="24"/>
          <w:szCs w:val="24"/>
          <w:lang w:val="en-GB"/>
        </w:rPr>
        <w:t xml:space="preserve"> functions </w:t>
      </w:r>
      <w:r w:rsidR="000C56A5" w:rsidRPr="009F66F5">
        <w:rPr>
          <w:rFonts w:asciiTheme="majorBidi" w:hAnsiTheme="majorBidi" w:cstheme="majorBidi"/>
          <w:color w:val="auto"/>
          <w:sz w:val="24"/>
          <w:szCs w:val="24"/>
          <w:lang w:val="en-GB"/>
        </w:rPr>
        <w:t>can also be delivered by an external entity following a</w:t>
      </w:r>
      <w:r w:rsidRPr="009F66F5">
        <w:rPr>
          <w:rFonts w:asciiTheme="majorBidi" w:hAnsiTheme="majorBidi" w:cstheme="majorBidi"/>
          <w:color w:val="auto"/>
          <w:sz w:val="24"/>
          <w:szCs w:val="24"/>
          <w:lang w:val="en-GB"/>
        </w:rPr>
        <w:t xml:space="preserve"> bidding process. </w:t>
      </w:r>
      <w:r w:rsidR="000C56A5" w:rsidRPr="009F66F5">
        <w:rPr>
          <w:rFonts w:asciiTheme="majorBidi" w:hAnsiTheme="majorBidi" w:cstheme="majorBidi"/>
          <w:color w:val="auto"/>
          <w:sz w:val="24"/>
          <w:szCs w:val="24"/>
          <w:lang w:val="en-GB"/>
        </w:rPr>
        <w:t>In this case, the</w:t>
      </w:r>
      <w:r w:rsidRPr="009F66F5">
        <w:rPr>
          <w:rFonts w:asciiTheme="majorBidi" w:hAnsiTheme="majorBidi" w:cstheme="majorBidi"/>
          <w:color w:val="auto"/>
          <w:sz w:val="24"/>
          <w:szCs w:val="24"/>
          <w:lang w:val="en-GB"/>
        </w:rPr>
        <w:t xml:space="preserve"> Secretariat </w:t>
      </w:r>
      <w:r w:rsidR="000C56A5" w:rsidRPr="009F66F5">
        <w:rPr>
          <w:rFonts w:asciiTheme="majorBidi" w:hAnsiTheme="majorBidi" w:cstheme="majorBidi"/>
          <w:color w:val="auto"/>
          <w:sz w:val="24"/>
          <w:szCs w:val="24"/>
          <w:lang w:val="en-GB"/>
        </w:rPr>
        <w:t>could be asked to call</w:t>
      </w:r>
      <w:r w:rsidRPr="009F66F5">
        <w:rPr>
          <w:rFonts w:asciiTheme="majorBidi" w:hAnsiTheme="majorBidi" w:cstheme="majorBidi"/>
          <w:color w:val="auto"/>
          <w:sz w:val="24"/>
          <w:szCs w:val="24"/>
          <w:lang w:val="en-GB"/>
        </w:rPr>
        <w:t xml:space="preserve"> for proposal</w:t>
      </w:r>
      <w:r w:rsidR="000C56A5" w:rsidRPr="009F66F5">
        <w:rPr>
          <w:rFonts w:asciiTheme="majorBidi" w:hAnsiTheme="majorBidi" w:cstheme="majorBidi"/>
          <w:color w:val="auto"/>
          <w:sz w:val="24"/>
          <w:szCs w:val="24"/>
          <w:lang w:val="en-GB"/>
        </w:rPr>
        <w:t>s</w:t>
      </w:r>
      <w:r w:rsidRPr="009F66F5">
        <w:rPr>
          <w:rFonts w:asciiTheme="majorBidi" w:hAnsiTheme="majorBidi" w:cstheme="majorBidi"/>
          <w:color w:val="auto"/>
          <w:sz w:val="24"/>
          <w:szCs w:val="24"/>
          <w:lang w:val="en-GB"/>
        </w:rPr>
        <w:t xml:space="preserve"> that include, but is not limited to, the approach to complete necessary tasks, structure to implement these tasks, associated costs, etc. </w:t>
      </w:r>
      <w:r w:rsidR="000C56A5" w:rsidRPr="009F66F5">
        <w:rPr>
          <w:rFonts w:asciiTheme="majorBidi" w:hAnsiTheme="majorBidi" w:cstheme="majorBidi"/>
          <w:color w:val="auto"/>
          <w:sz w:val="24"/>
          <w:szCs w:val="24"/>
          <w:lang w:val="en-GB"/>
        </w:rPr>
        <w:t xml:space="preserve">Should an entity for delivery of this function be selected through a bidding process, full information on the process will be </w:t>
      </w:r>
      <w:r w:rsidRPr="009F66F5">
        <w:rPr>
          <w:rFonts w:asciiTheme="majorBidi" w:hAnsiTheme="majorBidi" w:cstheme="majorBidi"/>
          <w:color w:val="auto"/>
          <w:sz w:val="24"/>
          <w:szCs w:val="24"/>
          <w:lang w:val="en-GB"/>
        </w:rPr>
        <w:t xml:space="preserve">reported to the Conference </w:t>
      </w:r>
      <w:r w:rsidR="000C56A5" w:rsidRPr="009F66F5">
        <w:rPr>
          <w:rFonts w:asciiTheme="majorBidi" w:hAnsiTheme="majorBidi" w:cstheme="majorBidi"/>
          <w:color w:val="auto"/>
          <w:sz w:val="24"/>
          <w:szCs w:val="24"/>
          <w:lang w:val="en-GB"/>
        </w:rPr>
        <w:t>of the Parties</w:t>
      </w:r>
      <w:r w:rsidRPr="009F66F5">
        <w:rPr>
          <w:rFonts w:asciiTheme="majorBidi" w:hAnsiTheme="majorBidi" w:cstheme="majorBidi"/>
          <w:color w:val="auto"/>
          <w:sz w:val="24"/>
          <w:szCs w:val="24"/>
          <w:lang w:val="en-GB"/>
        </w:rPr>
        <w:t>.</w:t>
      </w:r>
    </w:p>
    <w:p w14:paraId="2EF9DBE9" w14:textId="77777777" w:rsidR="001E4483" w:rsidRDefault="001E4483">
      <w:pPr>
        <w:rPr>
          <w:rFonts w:asciiTheme="majorBidi" w:hAnsiTheme="majorBidi" w:cstheme="majorBidi"/>
        </w:rPr>
      </w:pPr>
      <w:r>
        <w:rPr>
          <w:rFonts w:asciiTheme="majorBidi" w:hAnsiTheme="majorBidi" w:cstheme="majorBidi"/>
        </w:rPr>
        <w:br w:type="page"/>
      </w:r>
    </w:p>
    <w:p w14:paraId="7EECC1A8" w14:textId="219DC9DE" w:rsidR="002C4857" w:rsidRPr="00FC73F5" w:rsidRDefault="006B43EB" w:rsidP="00073B48">
      <w:pPr>
        <w:rPr>
          <w:rFonts w:asciiTheme="majorBidi" w:hAnsiTheme="majorBidi" w:cstheme="majorBidi"/>
          <w:b/>
          <w:bCs/>
          <w:sz w:val="24"/>
          <w:szCs w:val="24"/>
        </w:rPr>
      </w:pPr>
      <w:r>
        <w:rPr>
          <w:rFonts w:asciiTheme="majorBidi" w:hAnsiTheme="majorBidi" w:cstheme="majorBidi"/>
          <w:b/>
          <w:bCs/>
          <w:sz w:val="24"/>
          <w:szCs w:val="24"/>
        </w:rPr>
        <w:lastRenderedPageBreak/>
        <w:t>7</w:t>
      </w:r>
      <w:r w:rsidR="00D71E9F" w:rsidRPr="00FC73F5">
        <w:rPr>
          <w:rFonts w:asciiTheme="majorBidi" w:hAnsiTheme="majorBidi" w:cstheme="majorBidi"/>
          <w:b/>
          <w:bCs/>
          <w:sz w:val="24"/>
          <w:szCs w:val="24"/>
        </w:rPr>
        <w:t>. Schedule and timetable</w:t>
      </w:r>
    </w:p>
    <w:p w14:paraId="15423093" w14:textId="2FD2D0CE" w:rsidR="004138D7" w:rsidRPr="00073B48" w:rsidRDefault="002C4857" w:rsidP="00771EA1">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Paragraph 1 of Article 12, Effectiveness Evaluation, holds that the Conference of the Parties shall evaluate the effectiveness of the Convention no later than six years after the entry into force of the Convention, and periodically thereafter at intervals to be decided on. </w:t>
      </w:r>
    </w:p>
    <w:p w14:paraId="01141A45" w14:textId="07BD03E1" w:rsidR="004138D7" w:rsidRPr="00073B48" w:rsidRDefault="002C4857" w:rsidP="00771EA1">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As the Convention entered into force on 16 August 2017, the </w:t>
      </w:r>
      <w:r w:rsidR="00BC0AA7" w:rsidRPr="00FC73F5">
        <w:rPr>
          <w:rFonts w:asciiTheme="majorBidi" w:hAnsiTheme="majorBidi" w:cstheme="majorBidi"/>
          <w:sz w:val="24"/>
          <w:szCs w:val="24"/>
          <w:lang w:val="en-GB"/>
        </w:rPr>
        <w:t xml:space="preserve">outcome of the </w:t>
      </w:r>
      <w:r w:rsidRPr="00FC73F5">
        <w:rPr>
          <w:rFonts w:asciiTheme="majorBidi" w:hAnsiTheme="majorBidi" w:cstheme="majorBidi"/>
          <w:sz w:val="24"/>
          <w:szCs w:val="24"/>
          <w:lang w:val="en-GB"/>
        </w:rPr>
        <w:t xml:space="preserve">first cycle </w:t>
      </w:r>
      <w:r w:rsidR="00BC0AA7" w:rsidRPr="00FC73F5">
        <w:rPr>
          <w:rFonts w:asciiTheme="majorBidi" w:hAnsiTheme="majorBidi" w:cstheme="majorBidi"/>
          <w:sz w:val="24"/>
          <w:szCs w:val="24"/>
          <w:lang w:val="en-GB"/>
        </w:rPr>
        <w:t>of evaluation</w:t>
      </w:r>
      <w:r w:rsidRPr="00FC73F5">
        <w:rPr>
          <w:rFonts w:asciiTheme="majorBidi" w:hAnsiTheme="majorBidi" w:cstheme="majorBidi"/>
          <w:sz w:val="24"/>
          <w:szCs w:val="24"/>
          <w:lang w:val="en-GB"/>
        </w:rPr>
        <w:t xml:space="preserve"> </w:t>
      </w:r>
      <w:r w:rsidR="00F37CA1" w:rsidRPr="00FC73F5">
        <w:rPr>
          <w:rFonts w:asciiTheme="majorBidi" w:hAnsiTheme="majorBidi" w:cstheme="majorBidi"/>
          <w:sz w:val="24"/>
          <w:szCs w:val="24"/>
          <w:lang w:val="en-GB"/>
        </w:rPr>
        <w:t>it to</w:t>
      </w:r>
      <w:r w:rsidRPr="00FC73F5">
        <w:rPr>
          <w:rFonts w:asciiTheme="majorBidi" w:hAnsiTheme="majorBidi" w:cstheme="majorBidi"/>
          <w:sz w:val="24"/>
          <w:szCs w:val="24"/>
          <w:lang w:val="en-GB"/>
        </w:rPr>
        <w:t xml:space="preserve"> </w:t>
      </w:r>
      <w:r w:rsidR="00BC0AA7" w:rsidRPr="00FC73F5">
        <w:rPr>
          <w:rFonts w:asciiTheme="majorBidi" w:hAnsiTheme="majorBidi" w:cstheme="majorBidi"/>
          <w:sz w:val="24"/>
          <w:szCs w:val="24"/>
          <w:lang w:val="en-GB"/>
        </w:rPr>
        <w:t>be submitted in 2023. The fifth meeting of the Conference of the Parties will convene in that year.</w:t>
      </w:r>
      <w:r w:rsidR="00F37CA1" w:rsidRPr="00FC73F5">
        <w:rPr>
          <w:rFonts w:asciiTheme="majorBidi" w:hAnsiTheme="majorBidi" w:cstheme="majorBidi"/>
          <w:sz w:val="24"/>
          <w:szCs w:val="24"/>
          <w:lang w:val="en-GB"/>
        </w:rPr>
        <w:t xml:space="preserve"> </w:t>
      </w:r>
    </w:p>
    <w:p w14:paraId="65C59325" w14:textId="0EFFA734" w:rsidR="004138D7" w:rsidRPr="00073B48" w:rsidRDefault="00F37CA1" w:rsidP="004D469E">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t>Taking into account the four-year cycle of reports</w:t>
      </w:r>
      <w:r w:rsidR="009E7437" w:rsidRPr="00FC73F5">
        <w:rPr>
          <w:rFonts w:asciiTheme="majorBidi" w:hAnsiTheme="majorBidi" w:cstheme="majorBidi"/>
          <w:sz w:val="24"/>
          <w:szCs w:val="24"/>
          <w:lang w:val="en-GB"/>
        </w:rPr>
        <w:t xml:space="preserve"> under Article 21 (Reporting), the regular reports due to the Conference of the Parties on Article 13 (Financial resources and mechanism) and Article 14 (Capacity-building, technical assistance and technology transfer), as well as the monitoring data available, the date line for comparable information for this first cycle of evaluation is recommended to be set as 2021. </w:t>
      </w:r>
    </w:p>
    <w:p w14:paraId="018878C3" w14:textId="0D2B4BAA" w:rsidR="004138D7" w:rsidRPr="00073B48" w:rsidRDefault="009E7437" w:rsidP="00771EA1">
      <w:pPr>
        <w:pStyle w:val="Normal-pool"/>
        <w:numPr>
          <w:ilvl w:val="0"/>
          <w:numId w:val="1"/>
        </w:numPr>
        <w:tabs>
          <w:tab w:val="clear" w:pos="1247"/>
          <w:tab w:val="clear" w:pos="1814"/>
          <w:tab w:val="clear" w:pos="2381"/>
          <w:tab w:val="clear" w:pos="2948"/>
          <w:tab w:val="clear" w:pos="3515"/>
        </w:tabs>
        <w:spacing w:after="16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This allows 2022 and 2023 to be utilised by the Effectiveness Evaluation Committee for its review and analysis to be finalised to be presented to the fifth meeting of the Conference of the Parties. </w:t>
      </w:r>
    </w:p>
    <w:p w14:paraId="7DF32114" w14:textId="50FB098E" w:rsidR="009E7437" w:rsidRPr="00FC73F5" w:rsidRDefault="009E7437" w:rsidP="00771EA1">
      <w:pPr>
        <w:pStyle w:val="Normal-pool"/>
        <w:numPr>
          <w:ilvl w:val="0"/>
          <w:numId w:val="1"/>
        </w:numPr>
        <w:tabs>
          <w:tab w:val="clear" w:pos="1247"/>
          <w:tab w:val="clear" w:pos="1814"/>
          <w:tab w:val="clear" w:pos="2381"/>
          <w:tab w:val="clear" w:pos="2948"/>
          <w:tab w:val="clear" w:pos="3515"/>
        </w:tabs>
        <w:rPr>
          <w:rFonts w:asciiTheme="majorBidi" w:hAnsiTheme="majorBidi" w:cstheme="majorBidi"/>
          <w:sz w:val="24"/>
          <w:szCs w:val="24"/>
          <w:lang w:val="en-GB"/>
        </w:rPr>
      </w:pPr>
      <w:r w:rsidRPr="00FC73F5">
        <w:rPr>
          <w:rFonts w:asciiTheme="majorBidi" w:hAnsiTheme="majorBidi" w:cstheme="majorBidi"/>
          <w:sz w:val="24"/>
          <w:szCs w:val="24"/>
          <w:lang w:val="en-GB"/>
        </w:rPr>
        <w:t xml:space="preserve">The timeline for the first cycle of the effectiveness evaluation of the Convention is set out </w:t>
      </w:r>
      <w:r w:rsidR="0039112C">
        <w:rPr>
          <w:rFonts w:asciiTheme="majorBidi" w:hAnsiTheme="majorBidi" w:cstheme="majorBidi"/>
          <w:sz w:val="24"/>
          <w:szCs w:val="24"/>
          <w:lang w:val="en-GB"/>
        </w:rPr>
        <w:t>in Diagram 3</w:t>
      </w:r>
      <w:r w:rsidR="008D7EAC">
        <w:rPr>
          <w:rFonts w:asciiTheme="majorBidi" w:hAnsiTheme="majorBidi" w:cstheme="majorBidi"/>
          <w:sz w:val="24"/>
          <w:szCs w:val="24"/>
          <w:lang w:val="en-GB"/>
        </w:rPr>
        <w:t xml:space="preserve"> </w:t>
      </w:r>
      <w:r w:rsidRPr="00FC73F5">
        <w:rPr>
          <w:rFonts w:asciiTheme="majorBidi" w:hAnsiTheme="majorBidi" w:cstheme="majorBidi"/>
          <w:sz w:val="24"/>
          <w:szCs w:val="24"/>
          <w:lang w:val="en-GB"/>
        </w:rPr>
        <w:t>below:</w:t>
      </w:r>
    </w:p>
    <w:p w14:paraId="3044B715" w14:textId="77777777" w:rsidR="00F37CA1" w:rsidRPr="00FC73F5" w:rsidRDefault="00F37CA1" w:rsidP="009E7437">
      <w:pPr>
        <w:pStyle w:val="Normal-pool"/>
        <w:tabs>
          <w:tab w:val="clear" w:pos="1247"/>
          <w:tab w:val="clear" w:pos="1814"/>
          <w:tab w:val="clear" w:pos="2381"/>
          <w:tab w:val="clear" w:pos="2948"/>
          <w:tab w:val="clear" w:pos="3515"/>
        </w:tabs>
        <w:ind w:left="720"/>
        <w:rPr>
          <w:rFonts w:asciiTheme="majorBidi" w:hAnsiTheme="majorBidi" w:cstheme="majorBidi"/>
          <w:sz w:val="24"/>
          <w:szCs w:val="24"/>
          <w:lang w:val="en-GB"/>
        </w:rPr>
      </w:pPr>
    </w:p>
    <w:p w14:paraId="0D2541F3" w14:textId="77777777" w:rsidR="00F37CA1" w:rsidRPr="00FC73F5" w:rsidRDefault="00F37CA1" w:rsidP="00F37CA1">
      <w:pPr>
        <w:pStyle w:val="Normal-pool"/>
        <w:tabs>
          <w:tab w:val="clear" w:pos="1247"/>
          <w:tab w:val="clear" w:pos="1814"/>
          <w:tab w:val="clear" w:pos="2381"/>
          <w:tab w:val="clear" w:pos="2948"/>
          <w:tab w:val="clear" w:pos="3515"/>
        </w:tabs>
        <w:ind w:left="720"/>
        <w:rPr>
          <w:rFonts w:asciiTheme="majorBidi" w:hAnsiTheme="majorBidi" w:cstheme="majorBidi"/>
          <w:sz w:val="24"/>
          <w:szCs w:val="24"/>
          <w:lang w:val="en-GB"/>
        </w:rPr>
      </w:pPr>
    </w:p>
    <w:p w14:paraId="2480A304" w14:textId="761CC097" w:rsidR="002C4857" w:rsidRPr="00FC73F5" w:rsidRDefault="00F37CA1" w:rsidP="00F37CA1">
      <w:pPr>
        <w:pStyle w:val="Normal-pool"/>
        <w:tabs>
          <w:tab w:val="clear" w:pos="1247"/>
          <w:tab w:val="clear" w:pos="1814"/>
          <w:tab w:val="clear" w:pos="2381"/>
          <w:tab w:val="clear" w:pos="2948"/>
          <w:tab w:val="clear" w:pos="3515"/>
        </w:tabs>
        <w:rPr>
          <w:rFonts w:asciiTheme="majorBidi" w:hAnsiTheme="majorBidi" w:cstheme="majorBidi"/>
          <w:sz w:val="22"/>
          <w:szCs w:val="22"/>
          <w:lang w:val="en-GB"/>
        </w:rPr>
      </w:pPr>
      <w:r w:rsidRPr="00FC73F5">
        <w:rPr>
          <w:rFonts w:asciiTheme="majorBidi" w:hAnsiTheme="majorBidi" w:cstheme="majorBidi"/>
          <w:noProof/>
          <w:sz w:val="22"/>
          <w:szCs w:val="22"/>
          <w:lang w:val="en-GB" w:eastAsia="en-US"/>
        </w:rPr>
        <w:drawing>
          <wp:inline distT="0" distB="0" distL="0" distR="0" wp14:anchorId="4815482E" wp14:editId="737EF921">
            <wp:extent cx="5448300" cy="3069546"/>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7.png"/>
                    <pic:cNvPicPr>
                      <a:picLocks noChangeAspect="1"/>
                    </pic:cNvPicPr>
                  </pic:nvPicPr>
                  <pic:blipFill>
                    <a:blip r:embed="rId14">
                      <a:extLst/>
                    </a:blip>
                    <a:stretch>
                      <a:fillRect/>
                    </a:stretch>
                  </pic:blipFill>
                  <pic:spPr>
                    <a:xfrm>
                      <a:off x="0" y="0"/>
                      <a:ext cx="5448300" cy="3069546"/>
                    </a:xfrm>
                    <a:prstGeom prst="rect">
                      <a:avLst/>
                    </a:prstGeom>
                    <a:ln w="12700" cap="flat">
                      <a:noFill/>
                      <a:miter lim="400000"/>
                    </a:ln>
                    <a:effectLst/>
                  </pic:spPr>
                </pic:pic>
              </a:graphicData>
            </a:graphic>
          </wp:inline>
        </w:drawing>
      </w:r>
    </w:p>
    <w:p w14:paraId="75FA83C7" w14:textId="77777777" w:rsidR="002C4857" w:rsidRPr="00FC73F5" w:rsidRDefault="002C4857" w:rsidP="002C4857">
      <w:pPr>
        <w:pStyle w:val="Normal-pool"/>
        <w:tabs>
          <w:tab w:val="clear" w:pos="1247"/>
          <w:tab w:val="clear" w:pos="1814"/>
          <w:tab w:val="clear" w:pos="2381"/>
          <w:tab w:val="clear" w:pos="2948"/>
          <w:tab w:val="clear" w:pos="3515"/>
        </w:tabs>
        <w:rPr>
          <w:rFonts w:asciiTheme="majorBidi" w:hAnsiTheme="majorBidi" w:cstheme="majorBidi"/>
          <w:sz w:val="24"/>
          <w:szCs w:val="24"/>
          <w:lang w:val="en-GB"/>
        </w:rPr>
      </w:pPr>
    </w:p>
    <w:p w14:paraId="34ED9472" w14:textId="485007A3" w:rsidR="009E7437" w:rsidRPr="00FC73F5" w:rsidRDefault="009E7437" w:rsidP="00771EA1">
      <w:pPr>
        <w:pStyle w:val="Normal-pool"/>
        <w:numPr>
          <w:ilvl w:val="0"/>
          <w:numId w:val="1"/>
        </w:numPr>
        <w:tabs>
          <w:tab w:val="clear" w:pos="1247"/>
          <w:tab w:val="clear" w:pos="1814"/>
          <w:tab w:val="clear" w:pos="2381"/>
          <w:tab w:val="clear" w:pos="2948"/>
          <w:tab w:val="clear" w:pos="3515"/>
        </w:tabs>
        <w:rPr>
          <w:rFonts w:asciiTheme="majorBidi" w:hAnsiTheme="majorBidi" w:cstheme="majorBidi"/>
          <w:sz w:val="24"/>
          <w:szCs w:val="24"/>
          <w:lang w:val="en-GB"/>
        </w:rPr>
      </w:pPr>
      <w:r w:rsidRPr="00FC73F5">
        <w:rPr>
          <w:rFonts w:asciiTheme="majorBidi" w:hAnsiTheme="majorBidi" w:cstheme="majorBidi"/>
          <w:sz w:val="24"/>
          <w:szCs w:val="24"/>
          <w:lang w:val="en-GB"/>
        </w:rPr>
        <w:t xml:space="preserve">As the Conference of the Parties from its fourth meeting onwards, is to convene every two years, the future effectiveness evaluations </w:t>
      </w:r>
      <w:r w:rsidR="00F65676">
        <w:rPr>
          <w:rFonts w:asciiTheme="majorBidi" w:hAnsiTheme="majorBidi" w:cstheme="majorBidi"/>
          <w:sz w:val="24"/>
          <w:szCs w:val="24"/>
          <w:lang w:val="en-GB"/>
        </w:rPr>
        <w:t xml:space="preserve">would </w:t>
      </w:r>
      <w:r w:rsidR="004138D7" w:rsidRPr="00FC73F5">
        <w:rPr>
          <w:rFonts w:asciiTheme="majorBidi" w:hAnsiTheme="majorBidi" w:cstheme="majorBidi"/>
          <w:sz w:val="24"/>
          <w:szCs w:val="24"/>
          <w:lang w:val="en-GB"/>
        </w:rPr>
        <w:t>follow</w:t>
      </w:r>
      <w:r w:rsidRPr="00FC73F5">
        <w:rPr>
          <w:rFonts w:asciiTheme="majorBidi" w:hAnsiTheme="majorBidi" w:cstheme="majorBidi"/>
          <w:sz w:val="24"/>
          <w:szCs w:val="24"/>
          <w:lang w:val="en-GB"/>
        </w:rPr>
        <w:t xml:space="preserve"> th</w:t>
      </w:r>
      <w:r w:rsidR="00A8500D">
        <w:rPr>
          <w:rFonts w:asciiTheme="majorBidi" w:hAnsiTheme="majorBidi" w:cstheme="majorBidi"/>
          <w:sz w:val="24"/>
          <w:szCs w:val="24"/>
          <w:lang w:val="en-GB"/>
        </w:rPr>
        <w:t>is</w:t>
      </w:r>
      <w:r w:rsidRPr="00FC73F5">
        <w:rPr>
          <w:rFonts w:asciiTheme="majorBidi" w:hAnsiTheme="majorBidi" w:cstheme="majorBidi"/>
          <w:sz w:val="24"/>
          <w:szCs w:val="24"/>
          <w:lang w:val="en-GB"/>
        </w:rPr>
        <w:t xml:space="preserve"> </w:t>
      </w:r>
      <w:r w:rsidR="00C016FE" w:rsidRPr="00FC73F5">
        <w:rPr>
          <w:rFonts w:asciiTheme="majorBidi" w:hAnsiTheme="majorBidi" w:cstheme="majorBidi"/>
          <w:sz w:val="24"/>
          <w:szCs w:val="24"/>
          <w:lang w:val="en-GB"/>
        </w:rPr>
        <w:t>six-year</w:t>
      </w:r>
      <w:r w:rsidRPr="00FC73F5">
        <w:rPr>
          <w:rFonts w:asciiTheme="majorBidi" w:hAnsiTheme="majorBidi" w:cstheme="majorBidi"/>
          <w:sz w:val="24"/>
          <w:szCs w:val="24"/>
          <w:lang w:val="en-GB"/>
        </w:rPr>
        <w:t xml:space="preserve"> cycle.</w:t>
      </w:r>
    </w:p>
    <w:p w14:paraId="564AA30B" w14:textId="0C3F4464" w:rsidR="004138D7" w:rsidRPr="00FC73F5" w:rsidRDefault="004138D7">
      <w:pPr>
        <w:rPr>
          <w:rFonts w:asciiTheme="majorBidi" w:eastAsia="MyriadPro-Regular" w:hAnsiTheme="majorBidi" w:cstheme="majorBidi"/>
        </w:rPr>
      </w:pPr>
      <w:r w:rsidRPr="00FC73F5">
        <w:rPr>
          <w:rFonts w:asciiTheme="majorBidi" w:eastAsia="MyriadPro-Regular" w:hAnsiTheme="majorBidi" w:cstheme="majorBidi"/>
        </w:rPr>
        <w:br w:type="page"/>
      </w:r>
    </w:p>
    <w:p w14:paraId="6BF98AAC" w14:textId="3D3CBA24" w:rsidR="00C016FE" w:rsidRPr="00162DCF" w:rsidRDefault="004138D7" w:rsidP="00162DCF">
      <w:pPr>
        <w:pStyle w:val="ZZAnxtitle"/>
        <w:ind w:left="0"/>
        <w:rPr>
          <w:rFonts w:asciiTheme="majorBidi" w:hAnsiTheme="majorBidi" w:cstheme="majorBidi"/>
          <w:color w:val="auto"/>
          <w:lang w:val="en-GB"/>
        </w:rPr>
      </w:pPr>
      <w:bookmarkStart w:id="4" w:name="_Hlk15589405"/>
      <w:r w:rsidRPr="00FC73F5">
        <w:rPr>
          <w:rFonts w:asciiTheme="majorBidi" w:hAnsiTheme="majorBidi" w:cstheme="majorBidi"/>
          <w:lang w:val="en-GB"/>
        </w:rPr>
        <w:lastRenderedPageBreak/>
        <w:t xml:space="preserve">IV. Issues for further </w:t>
      </w:r>
      <w:r w:rsidRPr="00162DCF">
        <w:rPr>
          <w:rFonts w:asciiTheme="majorBidi" w:hAnsiTheme="majorBidi" w:cstheme="majorBidi"/>
          <w:color w:val="auto"/>
          <w:lang w:val="en-GB"/>
        </w:rPr>
        <w:t>considerations</w:t>
      </w:r>
    </w:p>
    <w:p w14:paraId="3EE1A1EE" w14:textId="359A6978" w:rsidR="00D14C9A" w:rsidRDefault="00D14C9A" w:rsidP="006A3C39">
      <w:pPr>
        <w:pStyle w:val="Text"/>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color w:val="auto"/>
          <w:sz w:val="24"/>
          <w:szCs w:val="24"/>
          <w:lang w:val="en-GB"/>
        </w:rPr>
      </w:pPr>
    </w:p>
    <w:p w14:paraId="7FCCEA8B" w14:textId="77777777" w:rsidR="00D14C9A" w:rsidRPr="00162DCF" w:rsidRDefault="00D14C9A" w:rsidP="006A3C39">
      <w:pPr>
        <w:pStyle w:val="Text"/>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color w:val="auto"/>
          <w:sz w:val="24"/>
          <w:szCs w:val="24"/>
          <w:lang w:val="en-GB"/>
        </w:rPr>
      </w:pPr>
    </w:p>
    <w:p w14:paraId="0DC9BE96" w14:textId="45D7135E" w:rsidR="00A63DD1" w:rsidRDefault="00162DCF" w:rsidP="00162DCF">
      <w:pPr>
        <w:pStyle w:val="Text"/>
        <w:numPr>
          <w:ilvl w:val="0"/>
          <w:numId w:val="1"/>
        </w:numPr>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rPr>
          <w:rFonts w:asciiTheme="majorBidi" w:hAnsiTheme="majorBidi" w:cstheme="majorBidi"/>
          <w:color w:val="auto"/>
          <w:sz w:val="24"/>
          <w:szCs w:val="24"/>
          <w:lang w:val="en-GB"/>
        </w:rPr>
      </w:pPr>
      <w:r>
        <w:rPr>
          <w:rFonts w:asciiTheme="majorBidi" w:hAnsiTheme="majorBidi" w:cstheme="majorBidi"/>
          <w:color w:val="auto"/>
          <w:sz w:val="24"/>
          <w:szCs w:val="24"/>
          <w:lang w:val="en-GB"/>
        </w:rPr>
        <w:t>The ad h</w:t>
      </w:r>
      <w:r w:rsidR="00247FAE">
        <w:rPr>
          <w:rFonts w:asciiTheme="majorBidi" w:hAnsiTheme="majorBidi" w:cstheme="majorBidi"/>
          <w:color w:val="auto"/>
          <w:sz w:val="24"/>
          <w:szCs w:val="24"/>
          <w:lang w:val="en-GB"/>
        </w:rPr>
        <w:t>o</w:t>
      </w:r>
      <w:r>
        <w:rPr>
          <w:rFonts w:asciiTheme="majorBidi" w:hAnsiTheme="majorBidi" w:cstheme="majorBidi"/>
          <w:color w:val="auto"/>
          <w:sz w:val="24"/>
          <w:szCs w:val="24"/>
          <w:lang w:val="en-GB"/>
        </w:rPr>
        <w:t xml:space="preserve">c technical expert group proposes a framework for effectiveness evaluation </w:t>
      </w:r>
      <w:r w:rsidR="00664279">
        <w:rPr>
          <w:rFonts w:asciiTheme="majorBidi" w:hAnsiTheme="majorBidi" w:cstheme="majorBidi"/>
          <w:color w:val="auto"/>
          <w:sz w:val="24"/>
          <w:szCs w:val="24"/>
          <w:lang w:val="en-GB"/>
        </w:rPr>
        <w:t>that follows a flow of information from level 1 to level 6</w:t>
      </w:r>
      <w:r w:rsidR="00D14C9A">
        <w:rPr>
          <w:rFonts w:asciiTheme="majorBidi" w:hAnsiTheme="majorBidi" w:cstheme="majorBidi"/>
          <w:color w:val="auto"/>
          <w:sz w:val="24"/>
          <w:szCs w:val="24"/>
          <w:lang w:val="en-GB"/>
        </w:rPr>
        <w:t>,</w:t>
      </w:r>
      <w:r w:rsidR="001877BB">
        <w:rPr>
          <w:rFonts w:asciiTheme="majorBidi" w:hAnsiTheme="majorBidi" w:cstheme="majorBidi"/>
          <w:color w:val="auto"/>
          <w:sz w:val="24"/>
          <w:szCs w:val="24"/>
          <w:lang w:val="en-GB"/>
        </w:rPr>
        <w:t xml:space="preserve"> </w:t>
      </w:r>
      <w:r w:rsidR="00D14C9A">
        <w:rPr>
          <w:rFonts w:asciiTheme="majorBidi" w:hAnsiTheme="majorBidi" w:cstheme="majorBidi"/>
          <w:color w:val="auto"/>
          <w:sz w:val="24"/>
          <w:szCs w:val="24"/>
          <w:lang w:val="en-GB"/>
        </w:rPr>
        <w:t>and</w:t>
      </w:r>
      <w:r w:rsidR="001877BB">
        <w:rPr>
          <w:rFonts w:asciiTheme="majorBidi" w:hAnsiTheme="majorBidi" w:cstheme="majorBidi"/>
          <w:color w:val="auto"/>
          <w:sz w:val="24"/>
          <w:szCs w:val="24"/>
          <w:lang w:val="en-GB"/>
        </w:rPr>
        <w:t xml:space="preserve"> identifies different entities that fulfil different </w:t>
      </w:r>
      <w:r w:rsidR="00D14C9A">
        <w:rPr>
          <w:rFonts w:asciiTheme="majorBidi" w:hAnsiTheme="majorBidi" w:cstheme="majorBidi"/>
          <w:color w:val="auto"/>
          <w:sz w:val="24"/>
          <w:szCs w:val="24"/>
          <w:lang w:val="en-GB"/>
        </w:rPr>
        <w:t>functions</w:t>
      </w:r>
      <w:r w:rsidR="001877BB">
        <w:rPr>
          <w:rFonts w:asciiTheme="majorBidi" w:hAnsiTheme="majorBidi" w:cstheme="majorBidi"/>
          <w:color w:val="auto"/>
          <w:sz w:val="24"/>
          <w:szCs w:val="24"/>
          <w:lang w:val="en-GB"/>
        </w:rPr>
        <w:t xml:space="preserve"> and roles in the process. While some of these entities already exist (i.e. those for administrative and programme support, compilation of data for synthesis reports, etc), there are others who are to </w:t>
      </w:r>
      <w:r w:rsidR="00D14C9A">
        <w:rPr>
          <w:rFonts w:asciiTheme="majorBidi" w:hAnsiTheme="majorBidi" w:cstheme="majorBidi"/>
          <w:color w:val="auto"/>
          <w:sz w:val="24"/>
          <w:szCs w:val="24"/>
          <w:lang w:val="en-GB"/>
        </w:rPr>
        <w:t>perform vital</w:t>
      </w:r>
      <w:r w:rsidR="001877BB">
        <w:rPr>
          <w:rFonts w:asciiTheme="majorBidi" w:hAnsiTheme="majorBidi" w:cstheme="majorBidi"/>
          <w:color w:val="auto"/>
          <w:sz w:val="24"/>
          <w:szCs w:val="24"/>
          <w:lang w:val="en-GB"/>
        </w:rPr>
        <w:t xml:space="preserve"> </w:t>
      </w:r>
      <w:r w:rsidR="00D14C9A">
        <w:rPr>
          <w:rFonts w:asciiTheme="majorBidi" w:hAnsiTheme="majorBidi" w:cstheme="majorBidi"/>
          <w:color w:val="auto"/>
          <w:sz w:val="24"/>
          <w:szCs w:val="24"/>
          <w:lang w:val="en-GB"/>
        </w:rPr>
        <w:t>scientific</w:t>
      </w:r>
      <w:r w:rsidR="001877BB">
        <w:rPr>
          <w:rFonts w:asciiTheme="majorBidi" w:hAnsiTheme="majorBidi" w:cstheme="majorBidi"/>
          <w:color w:val="auto"/>
          <w:sz w:val="24"/>
          <w:szCs w:val="24"/>
          <w:lang w:val="en-GB"/>
        </w:rPr>
        <w:t xml:space="preserve"> and technical </w:t>
      </w:r>
      <w:r w:rsidR="00835066">
        <w:rPr>
          <w:rFonts w:asciiTheme="majorBidi" w:hAnsiTheme="majorBidi" w:cstheme="majorBidi"/>
          <w:color w:val="auto"/>
          <w:sz w:val="24"/>
          <w:szCs w:val="24"/>
          <w:lang w:val="en-GB"/>
        </w:rPr>
        <w:t>functions</w:t>
      </w:r>
      <w:r w:rsidR="00A63DD1">
        <w:rPr>
          <w:rFonts w:asciiTheme="majorBidi" w:hAnsiTheme="majorBidi" w:cstheme="majorBidi"/>
          <w:color w:val="auto"/>
          <w:sz w:val="24"/>
          <w:szCs w:val="24"/>
          <w:lang w:val="en-GB"/>
        </w:rPr>
        <w:t xml:space="preserve"> to implement the framework, that are not in place yet. </w:t>
      </w:r>
    </w:p>
    <w:p w14:paraId="109FC4B1" w14:textId="30A6B99E" w:rsidR="00D14C9A" w:rsidRDefault="00D14C9A" w:rsidP="00162DCF">
      <w:pPr>
        <w:pStyle w:val="Text"/>
        <w:numPr>
          <w:ilvl w:val="0"/>
          <w:numId w:val="1"/>
        </w:numPr>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rPr>
          <w:rFonts w:asciiTheme="majorBidi" w:hAnsiTheme="majorBidi" w:cstheme="majorBidi"/>
          <w:color w:val="auto"/>
          <w:sz w:val="24"/>
          <w:szCs w:val="24"/>
          <w:lang w:val="en-GB"/>
        </w:rPr>
      </w:pPr>
      <w:r>
        <w:rPr>
          <w:rFonts w:asciiTheme="majorBidi" w:hAnsiTheme="majorBidi" w:cstheme="majorBidi"/>
          <w:color w:val="auto"/>
          <w:sz w:val="24"/>
          <w:szCs w:val="24"/>
          <w:lang w:val="en-GB"/>
        </w:rPr>
        <w:t xml:space="preserve">The framework foresees two scientific and technical functions: (i) to produce four synthesis reports (one of which is the Global Monitoring Report), and thereafter, (ii) to produce the integrative picture (the Integrated Assessment Report). These reports are to inform the deliberations of the </w:t>
      </w:r>
      <w:r w:rsidR="00061115">
        <w:rPr>
          <w:rFonts w:asciiTheme="majorBidi" w:hAnsiTheme="majorBidi" w:cstheme="majorBidi"/>
          <w:color w:val="auto"/>
          <w:sz w:val="24"/>
          <w:szCs w:val="24"/>
          <w:lang w:val="en-GB"/>
        </w:rPr>
        <w:t>Effectiveness</w:t>
      </w:r>
      <w:r>
        <w:rPr>
          <w:rFonts w:asciiTheme="majorBidi" w:hAnsiTheme="majorBidi" w:cstheme="majorBidi"/>
          <w:color w:val="auto"/>
          <w:sz w:val="24"/>
          <w:szCs w:val="24"/>
          <w:lang w:val="en-GB"/>
        </w:rPr>
        <w:t xml:space="preserve"> Evaluation Committee, which in turn reports the outcome of its evaluation to the Conference of the Parties.</w:t>
      </w:r>
    </w:p>
    <w:p w14:paraId="14ECD28E" w14:textId="30D0A427" w:rsidR="00F7387E" w:rsidRDefault="00D14C9A" w:rsidP="00F7387E">
      <w:pPr>
        <w:pStyle w:val="Text"/>
        <w:numPr>
          <w:ilvl w:val="0"/>
          <w:numId w:val="1"/>
        </w:numPr>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rPr>
          <w:rFonts w:asciiTheme="majorBidi" w:hAnsiTheme="majorBidi" w:cstheme="majorBidi"/>
          <w:color w:val="auto"/>
          <w:sz w:val="24"/>
          <w:szCs w:val="24"/>
          <w:lang w:val="en-GB"/>
        </w:rPr>
      </w:pPr>
      <w:r>
        <w:rPr>
          <w:rFonts w:asciiTheme="majorBidi" w:hAnsiTheme="majorBidi" w:cstheme="majorBidi"/>
          <w:color w:val="auto"/>
          <w:sz w:val="24"/>
          <w:szCs w:val="24"/>
          <w:lang w:val="en-GB"/>
        </w:rPr>
        <w:t>To operationalise th</w:t>
      </w:r>
      <w:r w:rsidR="00061115">
        <w:rPr>
          <w:rFonts w:asciiTheme="majorBidi" w:hAnsiTheme="majorBidi" w:cstheme="majorBidi"/>
          <w:color w:val="auto"/>
          <w:sz w:val="24"/>
          <w:szCs w:val="24"/>
          <w:lang w:val="en-GB"/>
        </w:rPr>
        <w:t xml:space="preserve">e </w:t>
      </w:r>
      <w:r w:rsidR="00835066">
        <w:rPr>
          <w:rFonts w:asciiTheme="majorBidi" w:hAnsiTheme="majorBidi" w:cstheme="majorBidi"/>
          <w:color w:val="auto"/>
          <w:sz w:val="24"/>
          <w:szCs w:val="24"/>
          <w:lang w:val="en-GB"/>
        </w:rPr>
        <w:t xml:space="preserve">all constituent </w:t>
      </w:r>
      <w:r w:rsidR="00061115">
        <w:rPr>
          <w:rFonts w:asciiTheme="majorBidi" w:hAnsiTheme="majorBidi" w:cstheme="majorBidi"/>
          <w:color w:val="auto"/>
          <w:sz w:val="24"/>
          <w:szCs w:val="24"/>
          <w:lang w:val="en-GB"/>
        </w:rPr>
        <w:t>elements of the framework, the</w:t>
      </w:r>
      <w:r w:rsidR="00A63DD1">
        <w:rPr>
          <w:rFonts w:asciiTheme="majorBidi" w:hAnsiTheme="majorBidi" w:cstheme="majorBidi"/>
          <w:color w:val="auto"/>
          <w:sz w:val="24"/>
          <w:szCs w:val="24"/>
          <w:lang w:val="en-GB"/>
        </w:rPr>
        <w:t xml:space="preserve"> Conference of the Parties will need put </w:t>
      </w:r>
      <w:r w:rsidR="00061115">
        <w:rPr>
          <w:rFonts w:asciiTheme="majorBidi" w:hAnsiTheme="majorBidi" w:cstheme="majorBidi"/>
          <w:color w:val="auto"/>
          <w:sz w:val="24"/>
          <w:szCs w:val="24"/>
          <w:lang w:val="en-GB"/>
        </w:rPr>
        <w:t xml:space="preserve">a number of </w:t>
      </w:r>
      <w:r w:rsidR="00A63DD1">
        <w:rPr>
          <w:rFonts w:asciiTheme="majorBidi" w:hAnsiTheme="majorBidi" w:cstheme="majorBidi"/>
          <w:color w:val="auto"/>
          <w:sz w:val="24"/>
          <w:szCs w:val="24"/>
          <w:lang w:val="en-GB"/>
        </w:rPr>
        <w:t>entities into place</w:t>
      </w:r>
      <w:r w:rsidR="00061115">
        <w:rPr>
          <w:rFonts w:asciiTheme="majorBidi" w:hAnsiTheme="majorBidi" w:cstheme="majorBidi"/>
          <w:color w:val="auto"/>
          <w:sz w:val="24"/>
          <w:szCs w:val="24"/>
          <w:lang w:val="en-GB"/>
        </w:rPr>
        <w:t>. Most entities conducting the activities at the different levels are identifiable. They include, the</w:t>
      </w:r>
      <w:r w:rsidR="00A63DD1">
        <w:rPr>
          <w:rFonts w:asciiTheme="majorBidi" w:hAnsiTheme="majorBidi" w:cstheme="majorBidi"/>
          <w:color w:val="auto"/>
          <w:sz w:val="24"/>
          <w:szCs w:val="24"/>
          <w:lang w:val="en-GB"/>
        </w:rPr>
        <w:t xml:space="preserve"> Monitoring and Modelling Group (which is to produce the Global Monitoring Report), the Integration Assessment Group (which is to produce the Integrated Assessment report), and the Effectiveness Evaluation Committee (which is to present its evaluation report to the Conference of Parties).</w:t>
      </w:r>
      <w:r w:rsidR="00835066">
        <w:rPr>
          <w:rFonts w:asciiTheme="majorBidi" w:hAnsiTheme="majorBidi" w:cstheme="majorBidi"/>
          <w:color w:val="auto"/>
          <w:sz w:val="24"/>
          <w:szCs w:val="24"/>
          <w:lang w:val="en-GB"/>
        </w:rPr>
        <w:t xml:space="preserve"> These can be put into place by the Conference of the Parties.</w:t>
      </w:r>
    </w:p>
    <w:p w14:paraId="2CC9B31C" w14:textId="73623ACB" w:rsidR="007744E9" w:rsidRPr="007744E9" w:rsidRDefault="00061115" w:rsidP="007744E9">
      <w:pPr>
        <w:pStyle w:val="Text"/>
        <w:numPr>
          <w:ilvl w:val="0"/>
          <w:numId w:val="1"/>
        </w:numPr>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rPr>
          <w:rFonts w:asciiTheme="majorBidi" w:hAnsiTheme="majorBidi" w:cstheme="majorBidi"/>
          <w:color w:val="auto"/>
          <w:sz w:val="24"/>
          <w:szCs w:val="24"/>
          <w:lang w:val="en-GB"/>
        </w:rPr>
      </w:pPr>
      <w:r w:rsidRPr="00F7387E">
        <w:rPr>
          <w:rFonts w:asciiTheme="majorBidi" w:hAnsiTheme="majorBidi" w:cstheme="majorBidi"/>
          <w:sz w:val="24"/>
          <w:szCs w:val="24"/>
        </w:rPr>
        <w:t xml:space="preserve">What is still to be clarified </w:t>
      </w:r>
      <w:r w:rsidRPr="00D21DF9">
        <w:rPr>
          <w:rFonts w:asciiTheme="majorBidi" w:hAnsiTheme="majorBidi" w:cstheme="majorBidi"/>
          <w:sz w:val="24"/>
          <w:szCs w:val="24"/>
        </w:rPr>
        <w:t xml:space="preserve">by the Conference of the Parties is which entities will produce the following reports: (i) </w:t>
      </w:r>
      <w:r w:rsidR="00F7387E" w:rsidRPr="00D21DF9">
        <w:rPr>
          <w:rFonts w:asciiTheme="majorBidi" w:hAnsiTheme="majorBidi" w:cstheme="majorBidi"/>
          <w:sz w:val="24"/>
          <w:szCs w:val="24"/>
        </w:rPr>
        <w:t>Emissions and Releases Report, (ii) Trade, Supply and Demand Report, and (iii) Waste Management Report</w:t>
      </w:r>
      <w:r w:rsidR="00835066" w:rsidRPr="00D21DF9">
        <w:rPr>
          <w:rFonts w:asciiTheme="majorBidi" w:hAnsiTheme="majorBidi" w:cstheme="majorBidi"/>
          <w:sz w:val="24"/>
          <w:szCs w:val="24"/>
        </w:rPr>
        <w:t>.</w:t>
      </w:r>
      <w:r w:rsidR="00D21DF9">
        <w:rPr>
          <w:rFonts w:asciiTheme="majorBidi" w:hAnsiTheme="majorBidi" w:cstheme="majorBidi"/>
          <w:b/>
          <w:bCs/>
          <w:sz w:val="24"/>
          <w:szCs w:val="24"/>
        </w:rPr>
        <w:t xml:space="preserve"> </w:t>
      </w:r>
    </w:p>
    <w:bookmarkEnd w:id="4"/>
    <w:p w14:paraId="682C0D63" w14:textId="77777777" w:rsidR="007744E9" w:rsidRDefault="007744E9" w:rsidP="007744E9">
      <w:pPr>
        <w:pStyle w:val="Text"/>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ind w:left="360"/>
        <w:rPr>
          <w:rFonts w:asciiTheme="majorBidi" w:hAnsiTheme="majorBidi" w:cstheme="majorBidi"/>
          <w:color w:val="auto"/>
          <w:sz w:val="24"/>
          <w:szCs w:val="24"/>
          <w:lang w:val="en-GB"/>
        </w:rPr>
      </w:pPr>
    </w:p>
    <w:p w14:paraId="3E933F34" w14:textId="77777777" w:rsidR="00D21DF9" w:rsidRDefault="00D21DF9">
      <w:pPr>
        <w:rPr>
          <w:rFonts w:asciiTheme="majorBidi" w:eastAsia="Times New Roman" w:hAnsiTheme="majorBidi" w:cstheme="majorBidi"/>
          <w:b/>
          <w:bCs/>
          <w:sz w:val="28"/>
          <w:szCs w:val="28"/>
          <w:u w:color="000000"/>
          <w:bdr w:val="nil"/>
        </w:rPr>
      </w:pPr>
      <w:r>
        <w:rPr>
          <w:rFonts w:asciiTheme="majorBidi" w:hAnsiTheme="majorBidi" w:cstheme="majorBidi"/>
          <w:b/>
          <w:bCs/>
          <w:sz w:val="28"/>
          <w:szCs w:val="28"/>
        </w:rPr>
        <w:br w:type="page"/>
      </w:r>
    </w:p>
    <w:p w14:paraId="50E901B4" w14:textId="4420EF90" w:rsidR="007744E9" w:rsidRPr="00D02CD1" w:rsidRDefault="007744E9" w:rsidP="007744E9">
      <w:pPr>
        <w:pStyle w:val="Text"/>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ind w:left="360"/>
        <w:rPr>
          <w:rFonts w:asciiTheme="majorBidi" w:hAnsiTheme="majorBidi" w:cstheme="majorBidi"/>
          <w:b/>
          <w:bCs/>
          <w:color w:val="auto"/>
          <w:sz w:val="28"/>
          <w:szCs w:val="28"/>
          <w:lang w:val="en-GB"/>
        </w:rPr>
      </w:pPr>
      <w:r w:rsidRPr="00D02CD1">
        <w:rPr>
          <w:rFonts w:asciiTheme="majorBidi" w:hAnsiTheme="majorBidi" w:cstheme="majorBidi"/>
          <w:b/>
          <w:bCs/>
          <w:color w:val="auto"/>
          <w:sz w:val="28"/>
          <w:szCs w:val="28"/>
          <w:lang w:val="en-GB"/>
        </w:rPr>
        <w:lastRenderedPageBreak/>
        <w:t>Suggested action by the Conference of the Parties</w:t>
      </w:r>
    </w:p>
    <w:p w14:paraId="15F329A4" w14:textId="2F801F1A" w:rsidR="007744E9" w:rsidRPr="007744E9" w:rsidRDefault="007744E9" w:rsidP="007744E9">
      <w:pPr>
        <w:pStyle w:val="Text"/>
        <w:numPr>
          <w:ilvl w:val="0"/>
          <w:numId w:val="1"/>
        </w:numPr>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rPr>
          <w:rFonts w:asciiTheme="majorBidi" w:hAnsiTheme="majorBidi" w:cstheme="majorBidi"/>
          <w:color w:val="auto"/>
          <w:sz w:val="24"/>
          <w:szCs w:val="24"/>
          <w:lang w:val="en-GB"/>
        </w:rPr>
      </w:pPr>
      <w:r w:rsidRPr="007744E9">
        <w:rPr>
          <w:rFonts w:asciiTheme="majorBidi" w:hAnsiTheme="majorBidi" w:cstheme="majorBidi"/>
          <w:color w:val="auto"/>
          <w:sz w:val="24"/>
          <w:szCs w:val="24"/>
          <w:lang w:val="en-GB"/>
        </w:rPr>
        <w:t xml:space="preserve">The Conference of the Parties may wish to consider the recommendations of the ad hoc </w:t>
      </w:r>
      <w:r>
        <w:rPr>
          <w:rFonts w:asciiTheme="majorBidi" w:hAnsiTheme="majorBidi" w:cstheme="majorBidi"/>
          <w:color w:val="auto"/>
          <w:sz w:val="24"/>
          <w:szCs w:val="24"/>
          <w:lang w:val="en-GB"/>
        </w:rPr>
        <w:t xml:space="preserve">expert </w:t>
      </w:r>
      <w:r w:rsidRPr="007744E9">
        <w:rPr>
          <w:rFonts w:asciiTheme="majorBidi" w:hAnsiTheme="majorBidi" w:cstheme="majorBidi"/>
          <w:color w:val="auto"/>
          <w:sz w:val="24"/>
          <w:szCs w:val="24"/>
          <w:lang w:val="en-GB"/>
        </w:rPr>
        <w:t xml:space="preserve">group </w:t>
      </w:r>
      <w:r w:rsidR="00D21DF9">
        <w:rPr>
          <w:rFonts w:asciiTheme="majorBidi" w:hAnsiTheme="majorBidi" w:cstheme="majorBidi"/>
          <w:color w:val="auto"/>
          <w:sz w:val="24"/>
          <w:szCs w:val="24"/>
          <w:lang w:val="en-GB"/>
        </w:rPr>
        <w:t xml:space="preserve">on the proposed framework for the effectiveness evaluation, </w:t>
      </w:r>
      <w:r>
        <w:rPr>
          <w:rFonts w:asciiTheme="majorBidi" w:hAnsiTheme="majorBidi" w:cstheme="majorBidi"/>
          <w:color w:val="auto"/>
          <w:sz w:val="24"/>
          <w:szCs w:val="24"/>
          <w:lang w:val="en-GB"/>
        </w:rPr>
        <w:t xml:space="preserve">and </w:t>
      </w:r>
      <w:r w:rsidR="00D21DF9">
        <w:rPr>
          <w:rFonts w:asciiTheme="majorBidi" w:hAnsiTheme="majorBidi" w:cstheme="majorBidi"/>
          <w:color w:val="auto"/>
          <w:sz w:val="24"/>
          <w:szCs w:val="24"/>
          <w:lang w:val="en-GB"/>
        </w:rPr>
        <w:t>may wish to adopt a</w:t>
      </w:r>
      <w:r>
        <w:rPr>
          <w:rFonts w:asciiTheme="majorBidi" w:hAnsiTheme="majorBidi" w:cstheme="majorBidi"/>
          <w:color w:val="auto"/>
          <w:sz w:val="24"/>
          <w:szCs w:val="24"/>
          <w:lang w:val="en-GB"/>
        </w:rPr>
        <w:t xml:space="preserve"> decision along the following lines:</w:t>
      </w:r>
    </w:p>
    <w:tbl>
      <w:tblPr>
        <w:tblStyle w:val="TableGrid"/>
        <w:tblW w:w="0" w:type="auto"/>
        <w:tblInd w:w="720" w:type="dxa"/>
        <w:tblLook w:val="04A0" w:firstRow="1" w:lastRow="0" w:firstColumn="1" w:lastColumn="0" w:noHBand="0" w:noVBand="1"/>
      </w:tblPr>
      <w:tblGrid>
        <w:gridCol w:w="8630"/>
      </w:tblGrid>
      <w:tr w:rsidR="00FA1BFE" w14:paraId="3E9DE191" w14:textId="77777777" w:rsidTr="00FA1BFE">
        <w:tc>
          <w:tcPr>
            <w:tcW w:w="9350" w:type="dxa"/>
          </w:tcPr>
          <w:p w14:paraId="2D810661" w14:textId="77777777" w:rsidR="0039112C" w:rsidRPr="00261CD1" w:rsidRDefault="0039112C" w:rsidP="0039112C">
            <w:pPr>
              <w:pStyle w:val="VchozA"/>
              <w:tabs>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 w:val="left" w:pos="9132"/>
              </w:tabs>
              <w:spacing w:after="160"/>
              <w:rPr>
                <w:rFonts w:ascii="Times New Roman" w:hAnsi="Times New Roman"/>
                <w:i/>
                <w:iCs/>
                <w:sz w:val="24"/>
                <w:szCs w:val="24"/>
              </w:rPr>
            </w:pPr>
            <w:r>
              <w:rPr>
                <w:rFonts w:ascii="Times New Roman" w:hAnsi="Times New Roman"/>
                <w:i/>
                <w:iCs/>
                <w:sz w:val="24"/>
                <w:szCs w:val="24"/>
              </w:rPr>
              <w:t xml:space="preserve">The Conference of </w:t>
            </w:r>
            <w:r>
              <w:rPr>
                <w:rFonts w:ascii="Times New Roman" w:hAnsi="Times New Roman"/>
                <w:sz w:val="24"/>
                <w:szCs w:val="24"/>
              </w:rPr>
              <w:t>the</w:t>
            </w:r>
            <w:r>
              <w:rPr>
                <w:rFonts w:ascii="Times New Roman" w:hAnsi="Times New Roman"/>
                <w:i/>
                <w:iCs/>
                <w:sz w:val="24"/>
                <w:szCs w:val="24"/>
              </w:rPr>
              <w:t xml:space="preserve"> Parties,</w:t>
            </w:r>
          </w:p>
          <w:p w14:paraId="49DE84F0" w14:textId="2D9D26A8" w:rsidR="0039112C" w:rsidRDefault="0039112C" w:rsidP="0039112C">
            <w:pPr>
              <w:pStyle w:val="VchozA"/>
              <w:tabs>
                <w:tab w:val="left" w:pos="720"/>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 w:val="left" w:pos="9132"/>
              </w:tabs>
              <w:spacing w:after="160"/>
              <w:ind w:left="625"/>
              <w:rPr>
                <w:rFonts w:ascii="Times New Roman" w:hAnsi="Times New Roman"/>
                <w:sz w:val="24"/>
                <w:szCs w:val="24"/>
              </w:rPr>
            </w:pPr>
            <w:r>
              <w:rPr>
                <w:rFonts w:ascii="Times New Roman" w:hAnsi="Times New Roman"/>
                <w:i/>
                <w:iCs/>
                <w:sz w:val="24"/>
                <w:szCs w:val="24"/>
              </w:rPr>
              <w:t xml:space="preserve">Welcoming </w:t>
            </w:r>
            <w:r>
              <w:rPr>
                <w:rFonts w:ascii="Times New Roman" w:hAnsi="Times New Roman"/>
                <w:sz w:val="24"/>
                <w:szCs w:val="24"/>
              </w:rPr>
              <w:t>the report on the proposed effectiveness evaluation framework and monitoring arrangements under the Minamata Convention on Mercury, and complementing information developed by the ad hoc technical expert group on the basis of mandates provided in decision MC-1/9 and decision MC-2/10;</w:t>
            </w:r>
          </w:p>
          <w:p w14:paraId="789ED2E3" w14:textId="77777777" w:rsidR="0039112C" w:rsidRDefault="0039112C" w:rsidP="0039112C">
            <w:pPr>
              <w:pStyle w:val="VchozA"/>
              <w:tabs>
                <w:tab w:val="left" w:pos="720"/>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 w:val="left" w:pos="9132"/>
              </w:tabs>
              <w:spacing w:after="160"/>
              <w:ind w:left="625"/>
              <w:rPr>
                <w:rFonts w:ascii="Times New Roman" w:hAnsi="Times New Roman"/>
                <w:sz w:val="24"/>
                <w:szCs w:val="24"/>
              </w:rPr>
            </w:pPr>
            <w:r>
              <w:rPr>
                <w:rFonts w:ascii="Times New Roman" w:hAnsi="Times New Roman"/>
                <w:i/>
                <w:iCs/>
                <w:sz w:val="24"/>
                <w:szCs w:val="24"/>
              </w:rPr>
              <w:t xml:space="preserve">Welcoming </w:t>
            </w:r>
            <w:r>
              <w:rPr>
                <w:rFonts w:ascii="Times New Roman" w:hAnsi="Times New Roman"/>
                <w:sz w:val="24"/>
                <w:szCs w:val="24"/>
              </w:rPr>
              <w:t>monitoring activities already in place and efforts of Parties and others to support the provision of monitoring data on mercury and their availability in the future;</w:t>
            </w:r>
          </w:p>
          <w:p w14:paraId="000D374B" w14:textId="702540ED" w:rsidR="0039112C" w:rsidRDefault="0039112C" w:rsidP="0039112C">
            <w:pPr>
              <w:pStyle w:val="VchozA"/>
              <w:tabs>
                <w:tab w:val="left" w:pos="720"/>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 w:val="left" w:pos="9132"/>
              </w:tabs>
              <w:spacing w:after="160"/>
              <w:ind w:left="625"/>
              <w:rPr>
                <w:rFonts w:ascii="Times New Roman" w:hAnsi="Times New Roman"/>
                <w:sz w:val="24"/>
                <w:szCs w:val="24"/>
              </w:rPr>
            </w:pPr>
            <w:r>
              <w:rPr>
                <w:rFonts w:ascii="Times New Roman" w:hAnsi="Times New Roman"/>
                <w:i/>
                <w:iCs/>
                <w:sz w:val="24"/>
                <w:szCs w:val="24"/>
              </w:rPr>
              <w:t>Acknowledging</w:t>
            </w:r>
            <w:r>
              <w:rPr>
                <w:rFonts w:ascii="Times New Roman" w:hAnsi="Times New Roman"/>
                <w:sz w:val="24"/>
                <w:szCs w:val="24"/>
              </w:rPr>
              <w:t xml:space="preserve"> the available </w:t>
            </w:r>
            <w:r w:rsidR="007F0D77">
              <w:rPr>
                <w:rFonts w:ascii="Times New Roman" w:hAnsi="Times New Roman"/>
                <w:sz w:val="24"/>
                <w:szCs w:val="24"/>
              </w:rPr>
              <w:t>modelling</w:t>
            </w:r>
            <w:r>
              <w:rPr>
                <w:rFonts w:ascii="Times New Roman" w:hAnsi="Times New Roman"/>
                <w:sz w:val="24"/>
                <w:szCs w:val="24"/>
              </w:rPr>
              <w:t xml:space="preserve"> capacities for the use in the effectiveness evaluation;</w:t>
            </w:r>
          </w:p>
          <w:p w14:paraId="160EF038" w14:textId="77777777" w:rsidR="0039112C" w:rsidRDefault="0039112C" w:rsidP="0025348A">
            <w:pPr>
              <w:pStyle w:val="VchozA"/>
              <w:numPr>
                <w:ilvl w:val="0"/>
                <w:numId w:val="38"/>
              </w:numPr>
              <w:tabs>
                <w:tab w:val="left" w:pos="720"/>
              </w:tabs>
              <w:spacing w:after="160"/>
              <w:rPr>
                <w:rFonts w:ascii="Times New Roman" w:hAnsi="Times New Roman"/>
                <w:sz w:val="24"/>
                <w:szCs w:val="24"/>
              </w:rPr>
            </w:pPr>
            <w:r>
              <w:rPr>
                <w:rFonts w:ascii="Times" w:hAnsi="Times"/>
                <w:i/>
                <w:iCs/>
                <w:sz w:val="24"/>
                <w:szCs w:val="24"/>
              </w:rPr>
              <w:t xml:space="preserve">Adopts </w:t>
            </w:r>
            <w:r>
              <w:rPr>
                <w:rFonts w:ascii="Times New Roman" w:hAnsi="Times New Roman"/>
                <w:sz w:val="24"/>
                <w:szCs w:val="24"/>
              </w:rPr>
              <w:t xml:space="preserve">the framework for the effectiveness evaluation proposed for the Minamata Convention, including its methodology, indicators, reports, schedule and timeline; </w:t>
            </w:r>
          </w:p>
          <w:p w14:paraId="5622621F" w14:textId="77777777" w:rsidR="0039112C" w:rsidRPr="009F737B" w:rsidRDefault="0039112C" w:rsidP="0025348A">
            <w:pPr>
              <w:pStyle w:val="VchozA"/>
              <w:numPr>
                <w:ilvl w:val="0"/>
                <w:numId w:val="38"/>
              </w:numPr>
              <w:tabs>
                <w:tab w:val="left" w:pos="720"/>
              </w:tabs>
              <w:spacing w:after="160"/>
              <w:rPr>
                <w:rFonts w:ascii="Times New Roman" w:hAnsi="Times New Roman"/>
                <w:sz w:val="24"/>
                <w:szCs w:val="24"/>
              </w:rPr>
            </w:pPr>
            <w:r>
              <w:rPr>
                <w:rFonts w:ascii="Times New Roman" w:hAnsi="Times New Roman"/>
                <w:i/>
                <w:iCs/>
                <w:sz w:val="24"/>
                <w:szCs w:val="24"/>
              </w:rPr>
              <w:t>Adopts</w:t>
            </w:r>
            <w:r>
              <w:rPr>
                <w:rFonts w:ascii="Times New Roman" w:hAnsi="Times New Roman"/>
                <w:sz w:val="24"/>
                <w:szCs w:val="24"/>
              </w:rPr>
              <w:t xml:space="preserve"> the terms of reference and mandate of the Effectiveness Evaluation Committee to perform the evaluation;</w:t>
            </w:r>
          </w:p>
          <w:p w14:paraId="001B153A" w14:textId="77777777" w:rsidR="0039112C" w:rsidRDefault="0039112C" w:rsidP="0025348A">
            <w:pPr>
              <w:pStyle w:val="VchozA"/>
              <w:numPr>
                <w:ilvl w:val="0"/>
                <w:numId w:val="38"/>
              </w:numPr>
              <w:tabs>
                <w:tab w:val="left" w:pos="720"/>
              </w:tabs>
              <w:spacing w:after="160"/>
              <w:rPr>
                <w:rFonts w:ascii="Times New Roman" w:hAnsi="Times New Roman"/>
                <w:sz w:val="24"/>
                <w:szCs w:val="24"/>
              </w:rPr>
            </w:pPr>
            <w:r>
              <w:rPr>
                <w:rFonts w:ascii="Times New Roman" w:hAnsi="Times New Roman"/>
                <w:i/>
                <w:iCs/>
                <w:sz w:val="24"/>
                <w:szCs w:val="24"/>
              </w:rPr>
              <w:t xml:space="preserve">Decides </w:t>
            </w:r>
            <w:r>
              <w:rPr>
                <w:rFonts w:ascii="Times New Roman" w:hAnsi="Times New Roman"/>
                <w:sz w:val="24"/>
                <w:szCs w:val="24"/>
              </w:rPr>
              <w:t xml:space="preserve">to establish the committee at its fourth meeting; </w:t>
            </w:r>
          </w:p>
          <w:p w14:paraId="2A0A0ACB" w14:textId="77777777" w:rsidR="0039112C" w:rsidRPr="009F737B" w:rsidRDefault="0039112C" w:rsidP="0025348A">
            <w:pPr>
              <w:pStyle w:val="VchozA"/>
              <w:numPr>
                <w:ilvl w:val="0"/>
                <w:numId w:val="38"/>
              </w:numPr>
              <w:tabs>
                <w:tab w:val="left" w:pos="720"/>
              </w:tabs>
              <w:spacing w:after="160"/>
              <w:rPr>
                <w:rFonts w:ascii="Times New Roman" w:hAnsi="Times New Roman"/>
                <w:sz w:val="24"/>
                <w:szCs w:val="24"/>
              </w:rPr>
            </w:pPr>
            <w:r>
              <w:rPr>
                <w:rFonts w:ascii="Times" w:hAnsi="Times"/>
                <w:i/>
                <w:iCs/>
                <w:sz w:val="24"/>
                <w:szCs w:val="24"/>
              </w:rPr>
              <w:t>Establishes</w:t>
            </w:r>
            <w:r>
              <w:rPr>
                <w:rFonts w:ascii="Times New Roman" w:hAnsi="Times New Roman"/>
                <w:sz w:val="24"/>
                <w:szCs w:val="24"/>
              </w:rPr>
              <w:t xml:space="preserve"> a [scientific and technical group] [monitoring and modelling group] to perform the scientific and technical functions that enable the timely production of the required synthesis reports by its fourth meeting, to enable the integrative work to be done for the Effectiveness Evaluation Committee to convene ahead of its fifth meeting to complete the first evaluation of the Minamata Convention;</w:t>
            </w:r>
          </w:p>
          <w:p w14:paraId="5E4CD47A" w14:textId="77777777" w:rsidR="0039112C" w:rsidRPr="009F737B" w:rsidRDefault="0039112C" w:rsidP="0025348A">
            <w:pPr>
              <w:pStyle w:val="VchozA"/>
              <w:numPr>
                <w:ilvl w:val="0"/>
                <w:numId w:val="38"/>
              </w:numPr>
              <w:tabs>
                <w:tab w:val="left" w:pos="720"/>
              </w:tabs>
              <w:spacing w:after="160"/>
              <w:rPr>
                <w:rFonts w:ascii="Times New Roman" w:hAnsi="Times New Roman"/>
                <w:sz w:val="24"/>
                <w:szCs w:val="24"/>
              </w:rPr>
            </w:pPr>
            <w:r>
              <w:rPr>
                <w:rFonts w:ascii="Times New Roman" w:hAnsi="Times New Roman"/>
                <w:i/>
                <w:iCs/>
                <w:sz w:val="24"/>
                <w:szCs w:val="24"/>
              </w:rPr>
              <w:t xml:space="preserve">Requests the Secretariat </w:t>
            </w:r>
            <w:r>
              <w:rPr>
                <w:rFonts w:ascii="Times New Roman" w:hAnsi="Times New Roman"/>
                <w:sz w:val="24"/>
                <w:szCs w:val="24"/>
              </w:rPr>
              <w:t>to support the work of the effectiveness evaluation, and to continue to collect information relevant to the effectiveness evaluation including for the development of synthesis reports, working with relevant experts and organizations;</w:t>
            </w:r>
          </w:p>
          <w:p w14:paraId="44804687" w14:textId="2B09BDDD" w:rsidR="0039112C" w:rsidRPr="009F737B" w:rsidRDefault="0039112C" w:rsidP="0025348A">
            <w:pPr>
              <w:pStyle w:val="VchozA"/>
              <w:numPr>
                <w:ilvl w:val="0"/>
                <w:numId w:val="38"/>
              </w:numPr>
              <w:tabs>
                <w:tab w:val="left" w:pos="720"/>
              </w:tabs>
              <w:spacing w:after="160"/>
              <w:rPr>
                <w:rFonts w:ascii="Times New Roman" w:hAnsi="Times New Roman"/>
                <w:sz w:val="24"/>
                <w:szCs w:val="24"/>
              </w:rPr>
            </w:pPr>
            <w:r>
              <w:rPr>
                <w:rFonts w:ascii="Times" w:hAnsi="Times"/>
                <w:i/>
                <w:iCs/>
                <w:sz w:val="24"/>
                <w:szCs w:val="24"/>
              </w:rPr>
              <w:t>Requests</w:t>
            </w:r>
            <w:r>
              <w:rPr>
                <w:rFonts w:ascii="Times" w:hAnsi="Times"/>
                <w:sz w:val="24"/>
                <w:szCs w:val="24"/>
              </w:rPr>
              <w:t xml:space="preserve"> the group on monitoring and </w:t>
            </w:r>
            <w:r w:rsidR="007F0D77">
              <w:rPr>
                <w:rFonts w:ascii="Times" w:hAnsi="Times"/>
                <w:sz w:val="24"/>
                <w:szCs w:val="24"/>
              </w:rPr>
              <w:t>modelling</w:t>
            </w:r>
            <w:r>
              <w:rPr>
                <w:rFonts w:ascii="Times" w:hAnsi="Times"/>
                <w:sz w:val="24"/>
                <w:szCs w:val="24"/>
              </w:rPr>
              <w:t xml:space="preserve"> to work in line with its terms of reference including the finalization of monitoring guidance and develop a global monitoring report by COP4 to support the first effectiveness evaluation;</w:t>
            </w:r>
            <w:r>
              <w:rPr>
                <w:rFonts w:ascii="Times New Roman" w:hAnsi="Times New Roman"/>
                <w:sz w:val="24"/>
                <w:szCs w:val="24"/>
              </w:rPr>
              <w:t xml:space="preserve"> </w:t>
            </w:r>
          </w:p>
          <w:p w14:paraId="081E8CB4" w14:textId="77777777" w:rsidR="0039112C" w:rsidRPr="003006BE" w:rsidRDefault="0039112C" w:rsidP="0025348A">
            <w:pPr>
              <w:pStyle w:val="VchozA"/>
              <w:numPr>
                <w:ilvl w:val="0"/>
                <w:numId w:val="38"/>
              </w:numPr>
              <w:tabs>
                <w:tab w:val="left" w:pos="720"/>
              </w:tabs>
              <w:spacing w:after="160"/>
              <w:rPr>
                <w:rFonts w:ascii="Times New Roman" w:hAnsi="Times New Roman"/>
                <w:sz w:val="24"/>
                <w:szCs w:val="24"/>
              </w:rPr>
            </w:pPr>
            <w:r>
              <w:rPr>
                <w:rFonts w:ascii="Times New Roman" w:hAnsi="Times New Roman"/>
                <w:i/>
                <w:iCs/>
                <w:sz w:val="24"/>
                <w:szCs w:val="24"/>
              </w:rPr>
              <w:t xml:space="preserve">Encourages </w:t>
            </w:r>
            <w:r>
              <w:rPr>
                <w:rFonts w:ascii="Times New Roman" w:hAnsi="Times New Roman"/>
                <w:sz w:val="24"/>
                <w:szCs w:val="24"/>
              </w:rPr>
              <w:t xml:space="preserve">Parties to engage actively in the implementation of the effectiveness evaluation framework, in particular, to:  </w:t>
            </w:r>
          </w:p>
          <w:p w14:paraId="170878D6" w14:textId="77777777" w:rsidR="0039112C" w:rsidRPr="003006BE" w:rsidRDefault="0039112C" w:rsidP="0025348A">
            <w:pPr>
              <w:pStyle w:val="VchozA"/>
              <w:numPr>
                <w:ilvl w:val="0"/>
                <w:numId w:val="39"/>
              </w:numPr>
              <w:tabs>
                <w:tab w:val="left" w:pos="720"/>
              </w:tabs>
              <w:spacing w:after="160"/>
              <w:rPr>
                <w:rFonts w:ascii="Times New Roman" w:hAnsi="Times New Roman"/>
                <w:sz w:val="24"/>
                <w:szCs w:val="24"/>
              </w:rPr>
            </w:pPr>
            <w:r w:rsidRPr="003006BE">
              <w:rPr>
                <w:rFonts w:ascii="Times New Roman" w:hAnsi="Times New Roman"/>
                <w:sz w:val="24"/>
                <w:szCs w:val="24"/>
              </w:rPr>
              <w:t xml:space="preserve">Continue to monitor mercury and to share the resulting monitoring data through the group established pursuant to paragraph 3; </w:t>
            </w:r>
          </w:p>
          <w:p w14:paraId="3B1059FF" w14:textId="77777777" w:rsidR="0039112C" w:rsidRPr="003006BE" w:rsidRDefault="0039112C" w:rsidP="0025348A">
            <w:pPr>
              <w:pStyle w:val="VchozA"/>
              <w:numPr>
                <w:ilvl w:val="0"/>
                <w:numId w:val="39"/>
              </w:numPr>
              <w:tabs>
                <w:tab w:val="left" w:pos="720"/>
              </w:tabs>
              <w:spacing w:after="160"/>
              <w:rPr>
                <w:rFonts w:ascii="Times New Roman" w:hAnsi="Times New Roman"/>
                <w:sz w:val="24"/>
                <w:szCs w:val="24"/>
              </w:rPr>
            </w:pPr>
            <w:r>
              <w:rPr>
                <w:rFonts w:ascii="Times New Roman" w:hAnsi="Times New Roman"/>
                <w:sz w:val="24"/>
                <w:szCs w:val="24"/>
              </w:rPr>
              <w:lastRenderedPageBreak/>
              <w:t>Collaborate to develop and improve modelling as needed, and carry on geographically representative monitoring of mercury in the environment, in humans, and in biota;</w:t>
            </w:r>
          </w:p>
          <w:p w14:paraId="7D596493" w14:textId="77777777" w:rsidR="0039112C" w:rsidRPr="003006BE" w:rsidRDefault="0039112C" w:rsidP="0025348A">
            <w:pPr>
              <w:pStyle w:val="VchozA"/>
              <w:numPr>
                <w:ilvl w:val="0"/>
                <w:numId w:val="39"/>
              </w:numPr>
              <w:tabs>
                <w:tab w:val="left" w:pos="720"/>
              </w:tabs>
              <w:spacing w:after="160"/>
              <w:rPr>
                <w:rFonts w:ascii="Times New Roman" w:hAnsi="Times New Roman"/>
                <w:sz w:val="24"/>
                <w:szCs w:val="24"/>
              </w:rPr>
            </w:pPr>
            <w:r w:rsidRPr="003006BE">
              <w:rPr>
                <w:rFonts w:ascii="Times New Roman" w:hAnsi="Times New Roman"/>
                <w:sz w:val="24"/>
                <w:szCs w:val="24"/>
              </w:rPr>
              <w:t>Use tools supporting data harmonization identified such as standard operating procedures (SOPs), methodologies and techniques identified by the ad hoc expert group; and</w:t>
            </w:r>
          </w:p>
          <w:p w14:paraId="69744C8B" w14:textId="77777777" w:rsidR="0039112C" w:rsidRPr="009F737B" w:rsidRDefault="0039112C" w:rsidP="0025348A">
            <w:pPr>
              <w:pStyle w:val="VchozA"/>
              <w:numPr>
                <w:ilvl w:val="0"/>
                <w:numId w:val="39"/>
              </w:numPr>
              <w:tabs>
                <w:tab w:val="left" w:pos="720"/>
              </w:tabs>
              <w:spacing w:after="160"/>
              <w:rPr>
                <w:rFonts w:ascii="Times New Roman" w:hAnsi="Times New Roman"/>
                <w:sz w:val="24"/>
                <w:szCs w:val="24"/>
              </w:rPr>
            </w:pPr>
            <w:r w:rsidRPr="003006BE">
              <w:rPr>
                <w:rFonts w:ascii="Times New Roman" w:hAnsi="Times New Roman"/>
                <w:sz w:val="24"/>
                <w:szCs w:val="24"/>
              </w:rPr>
              <w:t>Support the further development and long-term implementation of the global monitoring arrangements</w:t>
            </w:r>
            <w:r>
              <w:rPr>
                <w:rFonts w:ascii="Times New Roman" w:hAnsi="Times New Roman"/>
                <w:sz w:val="24"/>
                <w:szCs w:val="24"/>
              </w:rPr>
              <w:t>,</w:t>
            </w:r>
            <w:r w:rsidRPr="003006BE">
              <w:rPr>
                <w:rFonts w:ascii="Times New Roman" w:hAnsi="Times New Roman"/>
                <w:sz w:val="24"/>
                <w:szCs w:val="24"/>
              </w:rPr>
              <w:t xml:space="preserve"> if in a position to do so.</w:t>
            </w:r>
          </w:p>
          <w:p w14:paraId="23819E2D" w14:textId="77777777" w:rsidR="00FA1BFE" w:rsidRDefault="00FA1BFE" w:rsidP="00FA1BFE">
            <w:pPr>
              <w:pStyle w:val="Text"/>
              <w:pBdr>
                <w:top w:val="none" w:sz="0" w:space="0" w:color="auto"/>
                <w:left w:val="none" w:sz="0" w:space="0" w:color="auto"/>
                <w:bottom w:val="none" w:sz="0" w:space="0" w:color="auto"/>
                <w:right w:val="none" w:sz="0" w:space="0" w:color="auto"/>
                <w:between w:val="none" w:sz="0" w:space="0" w:color="auto"/>
                <w:bar w:val="none" w:sz="0" w:color="auto"/>
              </w:pBdr>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rPr>
                <w:rFonts w:asciiTheme="majorBidi" w:hAnsiTheme="majorBidi" w:cstheme="majorBidi"/>
                <w:color w:val="auto"/>
                <w:sz w:val="24"/>
                <w:szCs w:val="24"/>
              </w:rPr>
            </w:pPr>
          </w:p>
        </w:tc>
      </w:tr>
    </w:tbl>
    <w:p w14:paraId="2285B86A" w14:textId="77777777" w:rsidR="007744E9" w:rsidRPr="00F7387E" w:rsidRDefault="007744E9" w:rsidP="00FA1BFE">
      <w:pPr>
        <w:pStyle w:val="Text"/>
        <w:tabs>
          <w:tab w:val="clear" w:pos="1247"/>
          <w:tab w:val="clear" w:pos="1814"/>
          <w:tab w:val="clear" w:pos="2381"/>
          <w:tab w:val="clear" w:pos="2948"/>
          <w:tab w:val="clear" w:pos="3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ind w:left="720"/>
        <w:rPr>
          <w:rFonts w:asciiTheme="majorBidi" w:hAnsiTheme="majorBidi" w:cstheme="majorBidi"/>
          <w:color w:val="auto"/>
          <w:sz w:val="24"/>
          <w:szCs w:val="24"/>
          <w:lang w:val="en-GB"/>
        </w:rPr>
      </w:pPr>
    </w:p>
    <w:p w14:paraId="11867AA5" w14:textId="21FBA3B4" w:rsidR="004138D7" w:rsidRPr="00162DCF" w:rsidRDefault="004138D7" w:rsidP="00C016FE">
      <w:pPr>
        <w:pStyle w:val="Text"/>
        <w:tabs>
          <w:tab w:val="clear" w:pos="1247"/>
          <w:tab w:val="clear" w:pos="1814"/>
          <w:tab w:val="clear" w:pos="2381"/>
          <w:tab w:val="clear" w:pos="2948"/>
          <w:tab w:val="clear" w:pos="3515"/>
        </w:tabs>
        <w:rPr>
          <w:rFonts w:asciiTheme="majorBidi" w:hAnsiTheme="majorBidi" w:cstheme="majorBidi"/>
          <w:color w:val="auto"/>
          <w:sz w:val="22"/>
          <w:szCs w:val="22"/>
          <w:lang w:val="en-GB"/>
        </w:rPr>
      </w:pPr>
      <w:r w:rsidRPr="00162DCF">
        <w:rPr>
          <w:rFonts w:asciiTheme="majorBidi" w:eastAsia="Arial Unicode MS" w:hAnsiTheme="majorBidi" w:cstheme="majorBidi"/>
          <w:color w:val="auto"/>
          <w:sz w:val="22"/>
          <w:szCs w:val="22"/>
          <w:lang w:val="en-GB"/>
        </w:rPr>
        <w:br w:type="page"/>
      </w:r>
    </w:p>
    <w:p w14:paraId="18B60496" w14:textId="1C4CFB3D" w:rsidR="004138D7" w:rsidRPr="00FC73F5" w:rsidRDefault="004138D7" w:rsidP="00CF7AFE">
      <w:pPr>
        <w:pStyle w:val="ZZAnxtitle"/>
        <w:ind w:left="0"/>
        <w:rPr>
          <w:rFonts w:asciiTheme="majorBidi" w:hAnsiTheme="majorBidi" w:cstheme="majorBidi"/>
          <w:lang w:val="en-GB"/>
        </w:rPr>
      </w:pPr>
      <w:r w:rsidRPr="00FC73F5">
        <w:rPr>
          <w:rFonts w:asciiTheme="majorBidi" w:hAnsiTheme="majorBidi" w:cstheme="majorBidi"/>
          <w:lang w:val="en-GB"/>
        </w:rPr>
        <w:lastRenderedPageBreak/>
        <w:t>Annex 1: Technical information on monitoring</w:t>
      </w:r>
    </w:p>
    <w:p w14:paraId="151EA4B8" w14:textId="77777777" w:rsidR="005107FA" w:rsidRDefault="005107FA" w:rsidP="004138D7">
      <w:pPr>
        <w:pStyle w:val="Text"/>
        <w:tabs>
          <w:tab w:val="clear" w:pos="1247"/>
          <w:tab w:val="clear" w:pos="1814"/>
          <w:tab w:val="clear" w:pos="2381"/>
          <w:tab w:val="clear" w:pos="2948"/>
          <w:tab w:val="clear" w:pos="3515"/>
        </w:tabs>
        <w:rPr>
          <w:rFonts w:asciiTheme="majorBidi" w:eastAsia="Arial Unicode MS" w:hAnsiTheme="majorBidi" w:cstheme="majorBidi"/>
          <w:sz w:val="24"/>
          <w:szCs w:val="24"/>
          <w:lang w:val="en-GB"/>
        </w:rPr>
      </w:pPr>
    </w:p>
    <w:p w14:paraId="7E5D57C0" w14:textId="77777777" w:rsidR="005107FA" w:rsidRPr="004646A2" w:rsidRDefault="005107FA" w:rsidP="005107FA">
      <w:pPr>
        <w:pStyle w:val="TextB"/>
        <w:shd w:val="clear" w:color="auto" w:fill="FFFFFF"/>
        <w:tabs>
          <w:tab w:val="clear" w:pos="1247"/>
          <w:tab w:val="clear" w:pos="1814"/>
          <w:tab w:val="clear" w:pos="2381"/>
          <w:tab w:val="clear" w:pos="2948"/>
          <w:tab w:val="clear" w:pos="3515"/>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outlineLvl w:val="0"/>
        <w:rPr>
          <w:rFonts w:cs="Times New Roman"/>
          <w:b/>
          <w:bCs/>
          <w:sz w:val="24"/>
          <w:szCs w:val="24"/>
        </w:rPr>
      </w:pPr>
      <w:r w:rsidRPr="004646A2">
        <w:rPr>
          <w:rFonts w:cs="Times New Roman"/>
          <w:b/>
          <w:bCs/>
          <w:sz w:val="24"/>
          <w:szCs w:val="24"/>
        </w:rPr>
        <w:t>1</w:t>
      </w:r>
      <w:r>
        <w:rPr>
          <w:rFonts w:cs="Times New Roman"/>
          <w:b/>
          <w:bCs/>
          <w:sz w:val="24"/>
          <w:szCs w:val="24"/>
        </w:rPr>
        <w:t>.</w:t>
      </w:r>
      <w:r w:rsidRPr="004646A2">
        <w:rPr>
          <w:rFonts w:cs="Times New Roman"/>
          <w:b/>
          <w:bCs/>
          <w:sz w:val="24"/>
          <w:szCs w:val="24"/>
        </w:rPr>
        <w:t xml:space="preserve"> Introduction</w:t>
      </w:r>
    </w:p>
    <w:p w14:paraId="5DFC5796" w14:textId="77777777" w:rsidR="005107FA" w:rsidRPr="002C7EA8" w:rsidRDefault="005107FA" w:rsidP="0025348A">
      <w:pPr>
        <w:pStyle w:val="TextB"/>
        <w:numPr>
          <w:ilvl w:val="0"/>
          <w:numId w:val="43"/>
        </w:numPr>
        <w:shd w:val="clear" w:color="auto" w:fill="FFFFFF"/>
        <w:spacing w:after="120"/>
        <w:rPr>
          <w:rFonts w:cs="Times New Roman"/>
          <w:sz w:val="24"/>
          <w:szCs w:val="24"/>
        </w:rPr>
      </w:pPr>
      <w:r w:rsidRPr="004646A2">
        <w:rPr>
          <w:rFonts w:cs="Times New Roman"/>
          <w:sz w:val="24"/>
          <w:szCs w:val="24"/>
          <w:u w:color="FF0000"/>
        </w:rPr>
        <w:t xml:space="preserve">This annex summarizes the work done by the ad hoc group with regard to global monitoring arrangements at its two meetings in March 2018 and April 2019, and through electronic communication. </w:t>
      </w:r>
    </w:p>
    <w:p w14:paraId="34B8F2A1" w14:textId="77777777" w:rsidR="005107FA" w:rsidRPr="004646A2" w:rsidRDefault="005107FA" w:rsidP="0025348A">
      <w:pPr>
        <w:pStyle w:val="TextB"/>
        <w:numPr>
          <w:ilvl w:val="0"/>
          <w:numId w:val="43"/>
        </w:numPr>
        <w:shd w:val="clear" w:color="auto" w:fill="FFFFFF"/>
        <w:spacing w:after="120"/>
        <w:rPr>
          <w:rFonts w:cs="Times New Roman"/>
          <w:sz w:val="24"/>
          <w:szCs w:val="24"/>
        </w:rPr>
      </w:pPr>
      <w:r w:rsidRPr="004646A2">
        <w:rPr>
          <w:rFonts w:cs="Times New Roman"/>
          <w:sz w:val="24"/>
          <w:szCs w:val="24"/>
          <w:u w:color="FF0000"/>
        </w:rPr>
        <w:t xml:space="preserve">It starts in Section 2 with the identification of categories of the available comparable monitoring data most effective in providing information on global trends, monitoring data in air, water, biota, and humans that could be used to assess the impact on levels and trends of mercury, and the potential and limitations of the data identified. Section 3 further assesses the extent to which the information reviewed meets the needs for effectiveness evaluation, identifies major gaps, outlines options to enhance the comparability and completeness of the information, and compares these options for their cost-effectiveness, practicality, feasibility and sustainability, global coverage, and regional capabilities to identify opportunities for future enhancements to monitoring. Section 4 identifies available modelling capabilities to assess changes in global mercury levels within and across different media. Section 5 examines options and identifies sources of data that can be used for establishing a baseline for monitoring data. Further discussion on the development of guidance for monitoring and proposed monitoring arrangements is included in Annex 3 on terms of reference for global monitoring arrangements. </w:t>
      </w:r>
    </w:p>
    <w:p w14:paraId="3640DBDC" w14:textId="77777777" w:rsidR="005107FA" w:rsidRPr="004646A2" w:rsidRDefault="005107FA" w:rsidP="0025348A">
      <w:pPr>
        <w:pStyle w:val="TextB"/>
        <w:numPr>
          <w:ilvl w:val="0"/>
          <w:numId w:val="43"/>
        </w:numPr>
        <w:shd w:val="clear" w:color="auto" w:fill="FFFFFF"/>
        <w:spacing w:after="120"/>
        <w:rPr>
          <w:rFonts w:cs="Times New Roman"/>
          <w:sz w:val="24"/>
          <w:szCs w:val="24"/>
        </w:rPr>
      </w:pPr>
      <w:r w:rsidRPr="004646A2">
        <w:rPr>
          <w:rFonts w:cs="Times New Roman"/>
          <w:sz w:val="24"/>
          <w:szCs w:val="24"/>
          <w:u w:color="FF0000"/>
        </w:rPr>
        <w:t>A large amount of other relevant technical information on monitoring complementing the proposal in this annex including an overview of available monitoring information, is available in a reference document as UNEP/MC/COP.3/INF/xx.</w:t>
      </w:r>
    </w:p>
    <w:p w14:paraId="713F6ACC" w14:textId="77777777" w:rsidR="005107FA" w:rsidRDefault="005107FA" w:rsidP="005107FA">
      <w:pPr>
        <w:pStyle w:val="TextB"/>
        <w:shd w:val="clear" w:color="auto" w:fill="FFFFFF"/>
        <w:tabs>
          <w:tab w:val="clear" w:pos="1247"/>
          <w:tab w:val="clear" w:pos="1814"/>
          <w:tab w:val="clear" w:pos="2381"/>
          <w:tab w:val="clear" w:pos="2948"/>
          <w:tab w:val="clear" w:pos="3515"/>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Fonts w:cs="Times New Roman"/>
          <w:b/>
          <w:bCs/>
          <w:sz w:val="24"/>
          <w:szCs w:val="24"/>
          <w:u w:color="FF0000"/>
        </w:rPr>
      </w:pPr>
    </w:p>
    <w:p w14:paraId="28F1192F" w14:textId="77777777" w:rsidR="005107FA" w:rsidRPr="004646A2" w:rsidRDefault="005107FA" w:rsidP="005107FA">
      <w:pPr>
        <w:pStyle w:val="TextB"/>
        <w:shd w:val="clear" w:color="auto" w:fill="FFFFFF"/>
        <w:tabs>
          <w:tab w:val="clear" w:pos="1247"/>
          <w:tab w:val="clear" w:pos="1814"/>
          <w:tab w:val="clear" w:pos="2381"/>
          <w:tab w:val="clear" w:pos="2948"/>
          <w:tab w:val="clear" w:pos="3515"/>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Fonts w:cs="Times New Roman"/>
          <w:b/>
          <w:bCs/>
          <w:sz w:val="24"/>
          <w:szCs w:val="24"/>
        </w:rPr>
      </w:pPr>
      <w:r w:rsidRPr="004646A2">
        <w:rPr>
          <w:rFonts w:cs="Times New Roman"/>
          <w:b/>
          <w:bCs/>
          <w:sz w:val="24"/>
          <w:szCs w:val="24"/>
          <w:u w:color="FF0000"/>
        </w:rPr>
        <w:t>2. Identification of monitoring information/data</w:t>
      </w:r>
    </w:p>
    <w:p w14:paraId="445FEA54" w14:textId="77777777" w:rsidR="005107FA" w:rsidRPr="004646A2" w:rsidRDefault="005107FA" w:rsidP="005107FA">
      <w:pPr>
        <w:pStyle w:val="Normal-pool"/>
        <w:shd w:val="clear" w:color="auto" w:fill="FFFFFF"/>
        <w:tabs>
          <w:tab w:val="clear" w:pos="1247"/>
          <w:tab w:val="clear" w:pos="1814"/>
          <w:tab w:val="clear" w:pos="2381"/>
          <w:tab w:val="clear" w:pos="2948"/>
          <w:tab w:val="clear" w:pos="3515"/>
          <w:tab w:val="clear" w:pos="4082"/>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Fonts w:cs="Times New Roman"/>
          <w:b/>
          <w:bCs/>
          <w:sz w:val="24"/>
          <w:szCs w:val="24"/>
        </w:rPr>
      </w:pPr>
      <w:r w:rsidRPr="004646A2">
        <w:rPr>
          <w:rFonts w:cs="Times New Roman"/>
          <w:b/>
          <w:bCs/>
          <w:sz w:val="24"/>
          <w:szCs w:val="24"/>
        </w:rPr>
        <w:t>How monitoring activities may contribute to the development of the effectiveness evaluation framework</w:t>
      </w:r>
    </w:p>
    <w:p w14:paraId="2EAD7295"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u w:color="FF0000"/>
        </w:rPr>
        <w:t>In considering monitoring information and data, the ad hoc group considered matrices outlined in MC-2/9: air, biota, humans and water.  The ad hoc group concluded that data on levels of mercury and mercury compounds in air, biota and humans either are available or would be able to be obtained, and would be comparable on a global basis. Some experts were of the opinion that data on water are available on a global basis to some extent. The availability and comparability of monitoring data for each matrix are discussed below.</w:t>
      </w:r>
    </w:p>
    <w:p w14:paraId="4F117E58"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Mercury levels in the atmosphere is directly linked to the emissions from the anthropogenic sources identified by the Convention. The atmospheric monitoring activities will contribute to the evaluation of the effectiveness of the Convention by determining whether the levels of mercury are increasing or decreasing in the atmosphere as per changes in the emissions of mercury and enable the modelling results to define source-receptor relationships. Also, this data will contribute to the predictive capabilities of regional and global models of mercury impacting the environment, which may also be affected by other atmospheric chemistry issues.</w:t>
      </w:r>
    </w:p>
    <w:p w14:paraId="6D28C2FE"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lastRenderedPageBreak/>
        <w:t>Human biomonitoring has the following advantage in contributing to the effectiveness evaluation of the Convention: provides information on exposure to mercury from all types of sources; integrates the results of the different types of risk reduction measures, and provides information on geographical distribution enabling identification of areas and population groups requiring urgent support in terms of risk reduction measures.</w:t>
      </w:r>
    </w:p>
    <w:p w14:paraId="4FCD7FFC"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Biota monitoring has an advantage in contributing to the effectiveness evaluation of the Convention by tracking changes of environmental mercury levels at regional and global levels to determine protection of human health and the environment.</w:t>
      </w:r>
    </w:p>
    <w:p w14:paraId="19B3CE2D" w14:textId="77777777" w:rsidR="005107FA" w:rsidRPr="004646A2" w:rsidRDefault="005107FA" w:rsidP="005107FA">
      <w:pPr>
        <w:pStyle w:val="Normal-pool"/>
        <w:shd w:val="clear" w:color="auto" w:fill="FFFFFF"/>
        <w:tabs>
          <w:tab w:val="clear" w:pos="1247"/>
          <w:tab w:val="clear" w:pos="1814"/>
          <w:tab w:val="clear" w:pos="2381"/>
          <w:tab w:val="clear" w:pos="2948"/>
          <w:tab w:val="clear" w:pos="3515"/>
          <w:tab w:val="clear" w:pos="4082"/>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Fonts w:cs="Times New Roman"/>
          <w:b/>
          <w:bCs/>
          <w:sz w:val="24"/>
          <w:szCs w:val="24"/>
        </w:rPr>
      </w:pPr>
      <w:r w:rsidRPr="004646A2">
        <w:rPr>
          <w:rFonts w:cs="Times New Roman"/>
          <w:b/>
          <w:bCs/>
          <w:sz w:val="24"/>
          <w:szCs w:val="24"/>
        </w:rPr>
        <w:t xml:space="preserve">Ambient air </w:t>
      </w:r>
    </w:p>
    <w:p w14:paraId="21F94FD8"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Mercury levels in ambient air have been measured in some locations for a very long period.  These data have contributed to the discussion on the global nature of the mercury issue. The current available data is collected by various national and global network owners using different sampling methods. It was recognized that none of the currently available data had global coverage, but that there are potential suitable methods to obtain such global data (as identified in GMA 2018). Overview of existing networks is available in the resource document (UNEP/MC/COP.3/INF/XX).</w:t>
      </w:r>
    </w:p>
    <w:p w14:paraId="7478CD7C"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A number of suitable methods are available, and the available sampling techniques considered suitable to obtain globally comparable data were identified and reviewed. These include:</w:t>
      </w:r>
    </w:p>
    <w:p w14:paraId="596FFAD7" w14:textId="77777777" w:rsidR="005107FA" w:rsidRPr="004646A2" w:rsidRDefault="005107FA" w:rsidP="0025348A">
      <w:pPr>
        <w:pStyle w:val="Normal-pool"/>
        <w:numPr>
          <w:ilvl w:val="0"/>
          <w:numId w:val="52"/>
        </w:numPr>
        <w:shd w:val="clear" w:color="auto" w:fill="FFFFFF"/>
        <w:tabs>
          <w:tab w:val="clear" w:pos="1247"/>
          <w:tab w:val="left" w:pos="1248"/>
          <w:tab w:val="left" w:pos="1872"/>
        </w:tabs>
        <w:spacing w:after="120"/>
        <w:rPr>
          <w:rFonts w:cs="Times New Roman"/>
          <w:sz w:val="24"/>
          <w:szCs w:val="24"/>
        </w:rPr>
      </w:pPr>
      <w:r w:rsidRPr="004646A2">
        <w:rPr>
          <w:rFonts w:cs="Times New Roman"/>
          <w:sz w:val="24"/>
          <w:szCs w:val="24"/>
        </w:rPr>
        <w:t>Total Gaseous Mercury (TGM) or Gaseous Elemental Mercury (GEM) concentrations in air at background and impacted sites;</w:t>
      </w:r>
    </w:p>
    <w:p w14:paraId="37F7006B" w14:textId="77777777" w:rsidR="005107FA" w:rsidRPr="004646A2" w:rsidRDefault="005107FA" w:rsidP="0025348A">
      <w:pPr>
        <w:pStyle w:val="Normal-pool"/>
        <w:numPr>
          <w:ilvl w:val="0"/>
          <w:numId w:val="52"/>
        </w:numPr>
        <w:shd w:val="clear" w:color="auto" w:fill="FFFFFF"/>
        <w:tabs>
          <w:tab w:val="clear" w:pos="1247"/>
          <w:tab w:val="left" w:pos="1248"/>
          <w:tab w:val="left" w:pos="1872"/>
        </w:tabs>
        <w:spacing w:after="120"/>
        <w:rPr>
          <w:rFonts w:cs="Times New Roman"/>
          <w:sz w:val="24"/>
          <w:szCs w:val="24"/>
        </w:rPr>
      </w:pPr>
      <w:r w:rsidRPr="004646A2">
        <w:rPr>
          <w:rFonts w:cs="Times New Roman"/>
          <w:sz w:val="24"/>
          <w:szCs w:val="24"/>
        </w:rPr>
        <w:t>Wet deposition.</w:t>
      </w:r>
    </w:p>
    <w:p w14:paraId="19D7DB72" w14:textId="77777777" w:rsidR="005107FA" w:rsidRPr="004646A2" w:rsidRDefault="005107FA" w:rsidP="0025348A">
      <w:pPr>
        <w:pStyle w:val="TextB"/>
        <w:numPr>
          <w:ilvl w:val="0"/>
          <w:numId w:val="45"/>
        </w:numPr>
        <w:shd w:val="clear" w:color="auto" w:fill="FFFFFF"/>
        <w:spacing w:after="120"/>
        <w:rPr>
          <w:rFonts w:cs="Times New Roman"/>
          <w:sz w:val="24"/>
          <w:szCs w:val="24"/>
        </w:rPr>
      </w:pPr>
      <w:r w:rsidRPr="004646A2">
        <w:rPr>
          <w:rFonts w:cs="Times New Roman"/>
          <w:sz w:val="24"/>
          <w:szCs w:val="24"/>
        </w:rPr>
        <w:t xml:space="preserve">TGM/GEM can be measured adopting active continuous monitoring, manual active air sampling and passive air sampling techniques. Active continuous techniques are in use at several sites of existing regional and global monitoring networks and provide continuous TGM/GEM concentrations, whereas manual active and passive sampling are used in locations where no monitoring infrastructure is available and provide average TGM concentrations as monthly (or at lower frequency) average. </w:t>
      </w:r>
    </w:p>
    <w:p w14:paraId="090A5E56"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The atmospheric deposition flux of mercury is considered the combination of wet and dry deposition of mercury to the surface. Measurements of wet deposition are done through the collection of rain samples and dry deposition either mathematically inferred or measured through tree debris. Several existing long-term networks collect wet deposition samples but, due to a lack of comparable standard procedures, dry deposition is not always measured. The amount of total mercury measured in atmospheric deposition samples is used as basis to calculate the total atmospheric deposition flux associated to a precipitation (rain or snow) event.</w:t>
      </w:r>
    </w:p>
    <w:p w14:paraId="6DD1CC60"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Validated atmospheric mercury models are needed to assess source-receptor relationships and evaluate the relative importance of each anthropogenic source and/or emission source-region in the global mass balance of mercury with changing mercury emission regime, meteorological conditions and climate forcing.  Good global coverage of monitoring data of mercury in ambient air and deposition samples are also of fundamental importance to validate these atmospheric models. Further details are provided in UNEP/MC/COP.3/INF/XX.</w:t>
      </w:r>
    </w:p>
    <w:p w14:paraId="249A757D" w14:textId="77777777" w:rsidR="005107FA" w:rsidRPr="004646A2" w:rsidRDefault="005107FA" w:rsidP="005107FA">
      <w:pPr>
        <w:pStyle w:val="Normal-pool"/>
        <w:shd w:val="clear" w:color="auto" w:fill="FFFFFF"/>
        <w:tabs>
          <w:tab w:val="clear" w:pos="1247"/>
          <w:tab w:val="clear" w:pos="1814"/>
          <w:tab w:val="clear" w:pos="2381"/>
          <w:tab w:val="clear" w:pos="2948"/>
          <w:tab w:val="clear" w:pos="3515"/>
          <w:tab w:val="clear" w:pos="4082"/>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Fonts w:cs="Times New Roman"/>
          <w:b/>
          <w:bCs/>
          <w:sz w:val="24"/>
          <w:szCs w:val="24"/>
        </w:rPr>
      </w:pPr>
      <w:r w:rsidRPr="004646A2">
        <w:rPr>
          <w:rFonts w:cs="Times New Roman"/>
          <w:b/>
          <w:bCs/>
          <w:sz w:val="24"/>
          <w:szCs w:val="24"/>
        </w:rPr>
        <w:lastRenderedPageBreak/>
        <w:t xml:space="preserve">Human exposure </w:t>
      </w:r>
    </w:p>
    <w:p w14:paraId="549A0491" w14:textId="77777777" w:rsidR="005107FA" w:rsidRPr="002C7EA8"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All people are exposed to some amount of mercury.  For many communities worldwide, dietary consumption of fish, shellfish, marine mammals, and other foods is arguably the most important source of methylmercury exposure. Exposures to elemental and inorganic mercury mainly occur in occupational settings (including artisanal and small-scale gold mining) or via contact with products containing mercury.  There remains high concern for vulnerable groups including various indigenous populations with high dietary or occupational exposure to mercury.</w:t>
      </w:r>
    </w:p>
    <w:p w14:paraId="33AE0572"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Human biomonitoring to assess general population exposure to mercury (i.e. background level rather than “hot spots”) provides information on global trends. In the general population, assessment of prenatal exposure is recommended because the fetus is the most vulnerable to methyl mercury exposure.  </w:t>
      </w:r>
    </w:p>
    <w:p w14:paraId="3613A6EE"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There are two main biomarkers:</w:t>
      </w:r>
    </w:p>
    <w:p w14:paraId="2AF7BB00" w14:textId="77777777" w:rsidR="005107FA" w:rsidRPr="004646A2" w:rsidRDefault="005107FA" w:rsidP="0025348A">
      <w:pPr>
        <w:pStyle w:val="Normal-pool"/>
        <w:numPr>
          <w:ilvl w:val="0"/>
          <w:numId w:val="53"/>
        </w:numPr>
        <w:shd w:val="clear" w:color="auto" w:fill="FFFFFF"/>
        <w:spacing w:after="120"/>
        <w:rPr>
          <w:rFonts w:cs="Times New Roman"/>
          <w:sz w:val="24"/>
          <w:szCs w:val="24"/>
        </w:rPr>
      </w:pPr>
      <w:r>
        <w:rPr>
          <w:rFonts w:cs="Times New Roman"/>
          <w:sz w:val="24"/>
          <w:szCs w:val="24"/>
        </w:rPr>
        <w:t>T</w:t>
      </w:r>
      <w:r w:rsidRPr="004646A2">
        <w:rPr>
          <w:rFonts w:cs="Times New Roman"/>
          <w:sz w:val="24"/>
          <w:szCs w:val="24"/>
        </w:rPr>
        <w:t>otal mercury in maternal scalp hair (3 cm hair strand from the scalp, to measure exposure during the 3rd trimester)</w:t>
      </w:r>
      <w:r>
        <w:rPr>
          <w:rFonts w:cs="Times New Roman"/>
          <w:sz w:val="24"/>
          <w:szCs w:val="24"/>
        </w:rPr>
        <w:t>.</w:t>
      </w:r>
    </w:p>
    <w:p w14:paraId="7CCDADDD" w14:textId="77777777" w:rsidR="005107FA" w:rsidRPr="004646A2" w:rsidRDefault="005107FA" w:rsidP="0025348A">
      <w:pPr>
        <w:pStyle w:val="Normal-pool"/>
        <w:numPr>
          <w:ilvl w:val="0"/>
          <w:numId w:val="53"/>
        </w:numPr>
        <w:shd w:val="clear" w:color="auto" w:fill="FFFFFF"/>
        <w:spacing w:after="120"/>
        <w:rPr>
          <w:rFonts w:cs="Times New Roman"/>
          <w:sz w:val="24"/>
          <w:szCs w:val="24"/>
        </w:rPr>
      </w:pPr>
      <w:r>
        <w:rPr>
          <w:rFonts w:cs="Times New Roman"/>
          <w:sz w:val="24"/>
          <w:szCs w:val="24"/>
        </w:rPr>
        <w:t>T</w:t>
      </w:r>
      <w:r w:rsidRPr="004646A2">
        <w:rPr>
          <w:rFonts w:cs="Times New Roman"/>
          <w:sz w:val="24"/>
          <w:szCs w:val="24"/>
        </w:rPr>
        <w:t>otal mercury in cord blood</w:t>
      </w:r>
      <w:r>
        <w:rPr>
          <w:rFonts w:cs="Times New Roman"/>
          <w:sz w:val="24"/>
          <w:szCs w:val="24"/>
        </w:rPr>
        <w:t>.</w:t>
      </w:r>
    </w:p>
    <w:p w14:paraId="7993E055" w14:textId="77777777" w:rsidR="005107FA" w:rsidRPr="004646A2" w:rsidRDefault="005107FA" w:rsidP="0025348A">
      <w:pPr>
        <w:pStyle w:val="TextB"/>
        <w:numPr>
          <w:ilvl w:val="0"/>
          <w:numId w:val="46"/>
        </w:numPr>
        <w:shd w:val="clear" w:color="auto" w:fill="FFFFFF"/>
        <w:spacing w:after="120"/>
        <w:rPr>
          <w:rFonts w:cs="Times New Roman"/>
          <w:sz w:val="24"/>
          <w:szCs w:val="24"/>
        </w:rPr>
      </w:pPr>
      <w:r w:rsidRPr="004646A2">
        <w:rPr>
          <w:rFonts w:cs="Times New Roman"/>
          <w:sz w:val="24"/>
          <w:szCs w:val="24"/>
        </w:rPr>
        <w:t>Scalp hair is a preferable biological matrix.  It is easily available, a non-invasive method, and there are no specific requirements for transportation and storage.</w:t>
      </w:r>
    </w:p>
    <w:p w14:paraId="39121032"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Cord blood can be alternative matrix to hair. Inclusion of cord blood in a survey provides several additional advantages such as: demonstration of pre-natal exposure to mercury (cord blood analysis characterizes both exposure of a mother and a child to mercury during pregnancy); possibility to get more reliable results and exclude influence of external factors (e.g. external contamination of hair by mercury, permanent hair treatment decreasing mercury in hair);  being an alternative biological matrix to hair in locations where hair sampling is difficult due to cultural, ethical, religious specificities. </w:t>
      </w:r>
    </w:p>
    <w:p w14:paraId="050416A0"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There are reliable, although variable, coefficients allowing comparability of results from the mercury measurements in hair and blood/cord blood. </w:t>
      </w:r>
    </w:p>
    <w:p w14:paraId="08E49E0B"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Assessment of total mercury is sufficient for characterizing exposure, unless external exposure of scalp hair needs to be evaluated.</w:t>
      </w:r>
    </w:p>
    <w:p w14:paraId="458FBC06"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In addition to general population exposure, parties may conduct biomonitoring in other vulnerable populations including the occupationally exposed and in hot spot areas.  These data may provide additional information of use for effectiveness evaluation, for example when repeated over time in the same populations. </w:t>
      </w:r>
    </w:p>
    <w:p w14:paraId="362D1C94"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The Global Mercury Assessment 2018 has identified currently available data on mercury exposure in regional and national human biomonitoring programmes, longitudinal birth cohort studies and cross-sectional information in specific populations including high exposure groups. </w:t>
      </w:r>
    </w:p>
    <w:p w14:paraId="7BAE30E7" w14:textId="77777777" w:rsidR="005107FA" w:rsidRPr="004646A2" w:rsidRDefault="005107FA" w:rsidP="0025348A">
      <w:pPr>
        <w:pStyle w:val="Normal-pool"/>
        <w:numPr>
          <w:ilvl w:val="0"/>
          <w:numId w:val="54"/>
        </w:numPr>
        <w:shd w:val="clear" w:color="auto" w:fill="FFFFFF"/>
        <w:spacing w:after="120"/>
        <w:rPr>
          <w:rFonts w:cs="Times New Roman"/>
          <w:sz w:val="24"/>
          <w:szCs w:val="24"/>
        </w:rPr>
      </w:pPr>
      <w:r w:rsidRPr="004646A2">
        <w:rPr>
          <w:rFonts w:cs="Times New Roman"/>
          <w:sz w:val="24"/>
          <w:szCs w:val="24"/>
        </w:rPr>
        <w:t xml:space="preserve">In regional and national human biomonitoring programmes, some information may be comparable (depending on the ability to disaggregate data by sex and age within the programme). Such studies are only available in a very small number of countries, </w:t>
      </w:r>
      <w:r w:rsidRPr="004646A2">
        <w:rPr>
          <w:rFonts w:cs="Times New Roman"/>
          <w:sz w:val="24"/>
          <w:szCs w:val="24"/>
        </w:rPr>
        <w:lastRenderedPageBreak/>
        <w:t>primarily in the northern hemisphere. Such studies are expensive and therefore not feasible for the sole purpose of monitoring global mercury exposure.</w:t>
      </w:r>
    </w:p>
    <w:p w14:paraId="649717A2" w14:textId="77777777" w:rsidR="005107FA" w:rsidRPr="004646A2" w:rsidRDefault="005107FA" w:rsidP="0025348A">
      <w:pPr>
        <w:pStyle w:val="Normal-pool"/>
        <w:numPr>
          <w:ilvl w:val="0"/>
          <w:numId w:val="54"/>
        </w:numPr>
        <w:shd w:val="clear" w:color="auto" w:fill="FFFFFF"/>
        <w:spacing w:after="120"/>
        <w:rPr>
          <w:rFonts w:cs="Times New Roman"/>
          <w:sz w:val="24"/>
          <w:szCs w:val="24"/>
        </w:rPr>
      </w:pPr>
      <w:r w:rsidRPr="004646A2">
        <w:rPr>
          <w:rFonts w:cs="Times New Roman"/>
          <w:sz w:val="24"/>
          <w:szCs w:val="24"/>
        </w:rPr>
        <w:t xml:space="preserve">Comparable and high-quality data exists from a number of longitudinal birth cohort studies, including in groups consuming large amounts of seafood, freshwater fish and/or marine mammals.  These are available only in a small number of locations, and are not globally representative. </w:t>
      </w:r>
    </w:p>
    <w:p w14:paraId="13729CA9" w14:textId="77777777" w:rsidR="005107FA" w:rsidRPr="004646A2" w:rsidRDefault="005107FA" w:rsidP="0025348A">
      <w:pPr>
        <w:pStyle w:val="Normal-pool"/>
        <w:numPr>
          <w:ilvl w:val="0"/>
          <w:numId w:val="54"/>
        </w:numPr>
        <w:shd w:val="clear" w:color="auto" w:fill="FFFFFF"/>
        <w:spacing w:after="120"/>
        <w:rPr>
          <w:rFonts w:cs="Times New Roman"/>
          <w:sz w:val="24"/>
          <w:szCs w:val="24"/>
        </w:rPr>
      </w:pPr>
      <w:r w:rsidRPr="004646A2">
        <w:rPr>
          <w:rFonts w:cs="Times New Roman"/>
          <w:sz w:val="24"/>
          <w:szCs w:val="24"/>
        </w:rPr>
        <w:t>The GEF-funded project “Development of a Plan for Global Monitoring of Human Exposure to and Environmental Concentrations of Mercury” has generated comparable data in a small number of additional countries, using the WHO protocol.</w:t>
      </w:r>
      <w:r w:rsidRPr="004646A2">
        <w:rPr>
          <w:rStyle w:val="FootnoteReference"/>
          <w:rFonts w:cs="Times New Roman"/>
          <w:sz w:val="24"/>
          <w:szCs w:val="24"/>
        </w:rPr>
        <w:footnoteReference w:id="5"/>
      </w:r>
    </w:p>
    <w:p w14:paraId="2EF0CE12" w14:textId="77777777" w:rsidR="005107FA" w:rsidRPr="004646A2" w:rsidRDefault="005107FA" w:rsidP="0025348A">
      <w:pPr>
        <w:pStyle w:val="TextB"/>
        <w:numPr>
          <w:ilvl w:val="0"/>
          <w:numId w:val="47"/>
        </w:numPr>
        <w:shd w:val="clear" w:color="auto" w:fill="FFFFFF"/>
        <w:tabs>
          <w:tab w:val="clear" w:pos="1247"/>
        </w:tabs>
        <w:spacing w:after="120"/>
        <w:rPr>
          <w:rFonts w:cs="Times New Roman"/>
          <w:sz w:val="24"/>
          <w:szCs w:val="24"/>
        </w:rPr>
      </w:pPr>
      <w:r w:rsidRPr="004646A2">
        <w:rPr>
          <w:rFonts w:cs="Times New Roman"/>
          <w:sz w:val="24"/>
          <w:szCs w:val="24"/>
        </w:rPr>
        <w:t xml:space="preserve">Total mercury in urine is relevant for populations with high exposure to elemental and inorganic mercury, and is not appropriate for assessment of methylmercury exposure. It may be useful for monitoring the impact of control actions taken by parties on mercury exposure in mining communities. </w:t>
      </w:r>
    </w:p>
    <w:p w14:paraId="671E57BC"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Human biomonitoring has a number of advantages for informing an assessment of the effectiveness evaluation of the Minamata Convention, including:</w:t>
      </w:r>
    </w:p>
    <w:p w14:paraId="1218C747" w14:textId="77777777" w:rsidR="005107FA" w:rsidRPr="004646A2" w:rsidRDefault="005107FA" w:rsidP="0025348A">
      <w:pPr>
        <w:pStyle w:val="Normal-pool"/>
        <w:keepNext/>
        <w:keepLines/>
        <w:numPr>
          <w:ilvl w:val="0"/>
          <w:numId w:val="55"/>
        </w:numPr>
        <w:shd w:val="clear" w:color="auto" w:fill="FFFFFF"/>
        <w:tabs>
          <w:tab w:val="left" w:pos="624"/>
        </w:tabs>
        <w:spacing w:after="120"/>
        <w:rPr>
          <w:rFonts w:cs="Times New Roman"/>
          <w:sz w:val="24"/>
          <w:szCs w:val="24"/>
        </w:rPr>
      </w:pPr>
      <w:r w:rsidRPr="004646A2">
        <w:rPr>
          <w:rFonts w:cs="Times New Roman"/>
          <w:sz w:val="24"/>
          <w:szCs w:val="24"/>
        </w:rPr>
        <w:t>Directly addressing the fundamental question as to whether enough is being done to protect human health (Article 1 of the Convention);</w:t>
      </w:r>
    </w:p>
    <w:p w14:paraId="5BA1AB8F" w14:textId="77777777" w:rsidR="005107FA" w:rsidRPr="004646A2" w:rsidRDefault="005107FA" w:rsidP="0025348A">
      <w:pPr>
        <w:pStyle w:val="Normal-pool"/>
        <w:keepNext/>
        <w:keepLines/>
        <w:numPr>
          <w:ilvl w:val="0"/>
          <w:numId w:val="55"/>
        </w:numPr>
        <w:shd w:val="clear" w:color="auto" w:fill="FFFFFF"/>
        <w:tabs>
          <w:tab w:val="left" w:pos="624"/>
        </w:tabs>
        <w:spacing w:after="120"/>
        <w:rPr>
          <w:rFonts w:cs="Times New Roman"/>
          <w:sz w:val="24"/>
          <w:szCs w:val="24"/>
        </w:rPr>
      </w:pPr>
      <w:r w:rsidRPr="004646A2">
        <w:rPr>
          <w:rFonts w:cs="Times New Roman"/>
          <w:sz w:val="24"/>
          <w:szCs w:val="24"/>
        </w:rPr>
        <w:t>Integrating information on exposure to mercury from different sources;</w:t>
      </w:r>
    </w:p>
    <w:p w14:paraId="643F72B3" w14:textId="77777777" w:rsidR="005107FA" w:rsidRPr="004646A2" w:rsidRDefault="005107FA" w:rsidP="0025348A">
      <w:pPr>
        <w:pStyle w:val="Normal-pool"/>
        <w:keepNext/>
        <w:keepLines/>
        <w:numPr>
          <w:ilvl w:val="0"/>
          <w:numId w:val="55"/>
        </w:numPr>
        <w:shd w:val="clear" w:color="auto" w:fill="FFFFFF"/>
        <w:tabs>
          <w:tab w:val="left" w:pos="624"/>
        </w:tabs>
        <w:spacing w:after="120"/>
        <w:rPr>
          <w:rFonts w:cs="Times New Roman"/>
          <w:sz w:val="24"/>
          <w:szCs w:val="24"/>
        </w:rPr>
      </w:pPr>
      <w:r w:rsidRPr="004646A2">
        <w:rPr>
          <w:rFonts w:cs="Times New Roman"/>
          <w:sz w:val="24"/>
          <w:szCs w:val="24"/>
        </w:rPr>
        <w:t>Integrating the effects of the range of risk reduction measures taken.</w:t>
      </w:r>
    </w:p>
    <w:p w14:paraId="7120307D" w14:textId="77777777" w:rsidR="005107FA" w:rsidRPr="004646A2" w:rsidRDefault="005107FA" w:rsidP="0025348A">
      <w:pPr>
        <w:pStyle w:val="TextB"/>
        <w:numPr>
          <w:ilvl w:val="0"/>
          <w:numId w:val="48"/>
        </w:numPr>
        <w:shd w:val="clear" w:color="auto" w:fill="FFFFFF"/>
        <w:tabs>
          <w:tab w:val="clear" w:pos="1247"/>
          <w:tab w:val="left" w:pos="1248"/>
        </w:tabs>
        <w:spacing w:after="120"/>
        <w:rPr>
          <w:rFonts w:cs="Times New Roman"/>
          <w:sz w:val="24"/>
          <w:szCs w:val="24"/>
        </w:rPr>
      </w:pPr>
      <w:r w:rsidRPr="004646A2">
        <w:rPr>
          <w:rFonts w:cs="Times New Roman"/>
          <w:sz w:val="24"/>
          <w:szCs w:val="24"/>
        </w:rPr>
        <w:t>In using human biomonitoring data, it should be noted that human mercury level is affected by many confounding factors such as fish consumption habit (species and amount), age, gender, alcoholic consumption, health condition, economic level, etc.</w:t>
      </w:r>
    </w:p>
    <w:p w14:paraId="7AF12816" w14:textId="77777777" w:rsidR="005107FA" w:rsidRPr="004646A2" w:rsidRDefault="005107FA" w:rsidP="005107FA">
      <w:pPr>
        <w:pStyle w:val="Normal-pool"/>
        <w:shd w:val="clear" w:color="auto" w:fill="FFFFFF"/>
        <w:tabs>
          <w:tab w:val="clear" w:pos="1247"/>
          <w:tab w:val="clear" w:pos="1814"/>
          <w:tab w:val="clear" w:pos="2381"/>
          <w:tab w:val="clear" w:pos="2948"/>
          <w:tab w:val="clear" w:pos="3515"/>
          <w:tab w:val="clear" w:pos="4082"/>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Fonts w:cs="Times New Roman"/>
          <w:b/>
          <w:bCs/>
          <w:sz w:val="24"/>
          <w:szCs w:val="24"/>
        </w:rPr>
      </w:pPr>
      <w:r w:rsidRPr="004646A2">
        <w:rPr>
          <w:rFonts w:cs="Times New Roman"/>
          <w:b/>
          <w:bCs/>
          <w:sz w:val="24"/>
          <w:szCs w:val="24"/>
        </w:rPr>
        <w:t>Biota</w:t>
      </w:r>
    </w:p>
    <w:p w14:paraId="109BDDCA"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Biota samples can provide information for different outcomes. Three types of outcomes, namely human exposures, environmental health, and temporal trends are identified in relation to biota monitoring. There is enough biotic mercury data available regionally and globally to assess environmental exposure for spatial and temporal trends for many, but not all, ecosystems and biomes of geographic interest. Human exposure to dietary methylmercury can originate from fish,  birds and marine mammals (with fish forming a major contribution, birds forming either a minor or a major component, depending on diets, and marine mammals which can form a major contribution in certain diets). </w:t>
      </w:r>
    </w:p>
    <w:p w14:paraId="4698435B"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The following samples from four major biomarker groups (taxa) are considered the most relevant and are most frequently used for methyl mercury monitoring:</w:t>
      </w:r>
    </w:p>
    <w:p w14:paraId="5A5CE402" w14:textId="77777777" w:rsidR="005107FA" w:rsidRPr="004646A2" w:rsidRDefault="005107FA" w:rsidP="0025348A">
      <w:pPr>
        <w:pStyle w:val="Normal-pool"/>
        <w:numPr>
          <w:ilvl w:val="0"/>
          <w:numId w:val="56"/>
        </w:numPr>
        <w:shd w:val="clear" w:color="auto" w:fill="FFFFFF"/>
        <w:tabs>
          <w:tab w:val="left" w:pos="624"/>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Fonts w:cs="Times New Roman"/>
          <w:sz w:val="24"/>
          <w:szCs w:val="24"/>
        </w:rPr>
      </w:pPr>
      <w:r w:rsidRPr="004646A2">
        <w:rPr>
          <w:rFonts w:cs="Times New Roman"/>
          <w:sz w:val="24"/>
          <w:szCs w:val="24"/>
        </w:rPr>
        <w:t>Fish: muscle fillet, muscle biopsy, fin clips, blood</w:t>
      </w:r>
    </w:p>
    <w:p w14:paraId="38A3F46C" w14:textId="77777777" w:rsidR="005107FA" w:rsidRPr="004646A2" w:rsidRDefault="005107FA" w:rsidP="0025348A">
      <w:pPr>
        <w:pStyle w:val="Normal-pool"/>
        <w:numPr>
          <w:ilvl w:val="0"/>
          <w:numId w:val="56"/>
        </w:numPr>
        <w:shd w:val="clear" w:color="auto" w:fill="FFFFFF"/>
        <w:tabs>
          <w:tab w:val="left" w:pos="624"/>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Fonts w:cs="Times New Roman"/>
          <w:sz w:val="24"/>
          <w:szCs w:val="24"/>
        </w:rPr>
      </w:pPr>
      <w:r w:rsidRPr="004646A2">
        <w:rPr>
          <w:rFonts w:cs="Times New Roman"/>
          <w:sz w:val="24"/>
          <w:szCs w:val="24"/>
        </w:rPr>
        <w:t>Sea turtles: scutes, blood, muscle</w:t>
      </w:r>
    </w:p>
    <w:p w14:paraId="04E4A8F5" w14:textId="77777777" w:rsidR="005107FA" w:rsidRPr="004646A2" w:rsidRDefault="005107FA" w:rsidP="0025348A">
      <w:pPr>
        <w:pStyle w:val="Normal-pool"/>
        <w:numPr>
          <w:ilvl w:val="0"/>
          <w:numId w:val="56"/>
        </w:numPr>
        <w:shd w:val="clear" w:color="auto" w:fill="FFFFFF"/>
        <w:tabs>
          <w:tab w:val="left" w:pos="624"/>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Fonts w:cs="Times New Roman"/>
          <w:sz w:val="24"/>
          <w:szCs w:val="24"/>
        </w:rPr>
      </w:pPr>
      <w:r w:rsidRPr="004646A2">
        <w:rPr>
          <w:rFonts w:cs="Times New Roman"/>
          <w:sz w:val="24"/>
          <w:szCs w:val="24"/>
        </w:rPr>
        <w:t>Birds: blood, feather, eggs, muscle, eggshells and membranes, liver and kidney</w:t>
      </w:r>
    </w:p>
    <w:p w14:paraId="53326AB0" w14:textId="77777777" w:rsidR="005107FA" w:rsidRPr="004646A2" w:rsidRDefault="005107FA" w:rsidP="0025348A">
      <w:pPr>
        <w:pStyle w:val="Normal-pool"/>
        <w:numPr>
          <w:ilvl w:val="0"/>
          <w:numId w:val="56"/>
        </w:numPr>
        <w:shd w:val="clear" w:color="auto" w:fill="FFFFFF"/>
        <w:tabs>
          <w:tab w:val="left" w:pos="624"/>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Fonts w:cs="Times New Roman"/>
          <w:sz w:val="24"/>
          <w:szCs w:val="24"/>
        </w:rPr>
      </w:pPr>
      <w:r w:rsidRPr="004646A2">
        <w:rPr>
          <w:rFonts w:cs="Times New Roman"/>
          <w:sz w:val="24"/>
          <w:szCs w:val="24"/>
        </w:rPr>
        <w:lastRenderedPageBreak/>
        <w:t>Mammals: skin, fur or hair, muscle, liver and kidney</w:t>
      </w:r>
    </w:p>
    <w:p w14:paraId="5033B7CE" w14:textId="77777777" w:rsidR="005107FA" w:rsidRPr="004646A2" w:rsidRDefault="005107FA" w:rsidP="0025348A">
      <w:pPr>
        <w:pStyle w:val="TextB"/>
        <w:numPr>
          <w:ilvl w:val="0"/>
          <w:numId w:val="49"/>
        </w:numPr>
        <w:shd w:val="clear" w:color="auto" w:fill="FFFFFF"/>
        <w:spacing w:after="120"/>
        <w:rPr>
          <w:rFonts w:cs="Times New Roman"/>
          <w:sz w:val="24"/>
          <w:szCs w:val="24"/>
        </w:rPr>
      </w:pPr>
      <w:r w:rsidRPr="004646A2">
        <w:rPr>
          <w:rFonts w:cs="Times New Roman"/>
          <w:sz w:val="24"/>
          <w:szCs w:val="24"/>
        </w:rPr>
        <w:t>In assessing samples, it is recommended to assess muscle tissues for fish and marine mammals.  For birds, blood should be used for short term data, muscle or eggs should be used for medium term and feathers can be used for long term results.  It is considered to be sufficient to assess total mercury for all tissues (assuming greater than 80 per cent methylmercury mean level) using either wet weight or dry weight.  Samples should be georeferenced, with the level of detail varying according to the objective of the sampling. Standard operating procedures are available for example through national /regional monitoring programs, however additional more universal protocols may need to be agreed on for other sampling which is not covered by this process. Inter-tissue conversions are generally feasible to help provide a way to have standardized, and therefore comparable, tissue mercury concentrations.</w:t>
      </w:r>
    </w:p>
    <w:p w14:paraId="6B1F39D1" w14:textId="0FF9CC86"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 Biodiversity Research Institute (BRI) has compiled mercury data from published literature into a single database, the Global Biotic Mercury Synthesis (GBMS) Database. This database includes details about each organism sampled, its sampling location, and its basic ecological data. From each reference, mercury concentrations are averaged (using weighted arithmetic means) for each species at each location. Data have been compiled from 1,095 different references, representing 119 countries, 2,781 unique locations, and 458,840 mercury samples from 375,677 total individual organisms (See UNEP/MC/COP.3/INF/XX</w:t>
      </w:r>
      <w:r w:rsidRPr="004646A2">
        <w:rPr>
          <w:rFonts w:cs="Times New Roman"/>
          <w:sz w:val="24"/>
          <w:szCs w:val="24"/>
          <w:vertAlign w:val="superscript"/>
        </w:rPr>
        <w:footnoteReference w:id="6"/>
      </w:r>
      <w:r w:rsidRPr="004646A2">
        <w:rPr>
          <w:rFonts w:cs="Times New Roman"/>
          <w:sz w:val="24"/>
          <w:szCs w:val="24"/>
        </w:rPr>
        <w:t>.).</w:t>
      </w:r>
    </w:p>
    <w:p w14:paraId="27F9FAEB"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GBMS database was also the basis for the UN Environment’s Global Mercury Assessment – 2018.  Examples featured within the GBMS database include datasets for some geographic areas with extensive temporal and spatial information, including areas for freshwater lakes in the northern United States, much of Canada, and Scandinavia.  These areas represent over 500,000 fish mercury concentrations over the past 50 years of data collection – sometimes with standard species. In order to potentially explain how the temporal trends of fish mercury concentrations change under influence of different drivers, including environmental/climate change in addition to deposition change, a set of minimum target information should be developed. For each location this should include lake (or river, estuary, sea etc.) catchment morphology, pollution deposition patterns, and local pollution history. For each biota species (here exemplified by fish) minimum data must include length, weight, sex, and sexual maturity. Samples (i.e. fish muscle) for determination of total mercury concentrations, may also be analysed for stable isotopes (at least nitrogen and potentially also carbon) for a better understanding of the food web processes. Many of these parameters are lacking from current databases. As an example, inter-annual and intra-annual variability is often much larger than long-term trends, making it difficult to relate temporal trend changes to large environmental drivers (including deposition). The spatial variation within the temporal trend must be considered when investigating convention effectiveness in years to come. To be able to document potential temporal trends changes, one need to lower the within-year variability, by </w:t>
      </w:r>
      <w:r w:rsidRPr="004646A2">
        <w:rPr>
          <w:rFonts w:cs="Times New Roman"/>
          <w:sz w:val="24"/>
          <w:szCs w:val="24"/>
        </w:rPr>
        <w:lastRenderedPageBreak/>
        <w:t xml:space="preserve">improving the data adjustment, include more lake data and information, and collect data from the same lake over time. </w:t>
      </w:r>
    </w:p>
    <w:p w14:paraId="3C1BC3BE" w14:textId="77777777" w:rsidR="005107FA" w:rsidRPr="004646A2" w:rsidRDefault="005107FA" w:rsidP="005107FA">
      <w:pPr>
        <w:pStyle w:val="Normal-pool"/>
        <w:shd w:val="clear" w:color="auto" w:fill="FFFFFF"/>
        <w:tabs>
          <w:tab w:val="clear" w:pos="1247"/>
          <w:tab w:val="clear" w:pos="1814"/>
          <w:tab w:val="clear" w:pos="2381"/>
          <w:tab w:val="clear" w:pos="2948"/>
          <w:tab w:val="clear" w:pos="3515"/>
          <w:tab w:val="clear" w:pos="4082"/>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Style w:val="dn"/>
          <w:rFonts w:cs="Times New Roman"/>
          <w:b/>
          <w:bCs/>
          <w:sz w:val="24"/>
          <w:szCs w:val="24"/>
        </w:rPr>
      </w:pPr>
      <w:r w:rsidRPr="004646A2">
        <w:rPr>
          <w:rStyle w:val="dn"/>
          <w:rFonts w:cs="Times New Roman"/>
          <w:b/>
          <w:bCs/>
          <w:sz w:val="24"/>
          <w:szCs w:val="24"/>
        </w:rPr>
        <w:t>Water and soil</w:t>
      </w:r>
    </w:p>
    <w:p w14:paraId="1031169C"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Levels of mercury and mercury compounds in water are collected in relation to water quality issues in a number of countries. These data may be useful in tracking mercury resulting from local activities which release mercury; however, will not provide overall trends on a global basis. Levels of mercury in ocean water could be comparable on a global basis and collected by existing networks and ad hoc research programmes, but currently such work is done through research-based activities and not dedicated long term monitoring programmes. </w:t>
      </w:r>
    </w:p>
    <w:p w14:paraId="463D1632" w14:textId="77777777" w:rsidR="005107FA"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Soil samples may be very useful in assessing the state of contamination of a particular site, but global comparability may not be feasible, given differences in soil types etc.  Data on the levels of mercury in sediments are very relevant for the associated levels of mercury in biota; however sampling of sediment was considered not as widespread, nor as easily comparable on a global basis, at this time. Currently, this work is done through research-based activities and not dedicated long term monitoring programmes.</w:t>
      </w:r>
    </w:p>
    <w:p w14:paraId="3089467F" w14:textId="77777777" w:rsidR="005107FA" w:rsidRPr="003C114D" w:rsidRDefault="005107FA" w:rsidP="005107FA">
      <w:pPr>
        <w:pStyle w:val="TextB"/>
        <w:shd w:val="clear" w:color="auto" w:fill="FFFFFF"/>
        <w:tabs>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ind w:left="624"/>
        <w:rPr>
          <w:rFonts w:cs="Times New Roman"/>
          <w:sz w:val="24"/>
          <w:szCs w:val="24"/>
        </w:rPr>
      </w:pPr>
    </w:p>
    <w:p w14:paraId="1D6230CF" w14:textId="77777777" w:rsidR="005107FA" w:rsidRPr="00111177"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rPr>
          <w:rStyle w:val="dn"/>
          <w:rFonts w:ascii="Times New Roman" w:eastAsia="Times New Roman" w:hAnsi="Times New Roman" w:cs="Times New Roman"/>
          <w:b/>
          <w:bCs/>
          <w:sz w:val="24"/>
          <w:szCs w:val="24"/>
        </w:rPr>
      </w:pPr>
      <w:r w:rsidRPr="004646A2">
        <w:rPr>
          <w:rStyle w:val="dn"/>
          <w:rFonts w:ascii="Times New Roman" w:hAnsi="Times New Roman" w:cs="Times New Roman"/>
          <w:b/>
          <w:bCs/>
          <w:sz w:val="24"/>
          <w:szCs w:val="24"/>
        </w:rPr>
        <w:t>3. Comparability, gaps and options for filling gaps</w:t>
      </w:r>
    </w:p>
    <w:p w14:paraId="5AF7314A"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b/>
          <w:bCs/>
          <w:sz w:val="24"/>
          <w:szCs w:val="24"/>
          <w:lang w:val="pt-PT"/>
        </w:rPr>
      </w:pPr>
      <w:r w:rsidRPr="004646A2">
        <w:rPr>
          <w:rStyle w:val="dn"/>
          <w:rFonts w:ascii="Times New Roman" w:hAnsi="Times New Roman" w:cs="Times New Roman"/>
          <w:b/>
          <w:bCs/>
          <w:sz w:val="24"/>
          <w:szCs w:val="24"/>
          <w:lang w:val="pt-PT"/>
        </w:rPr>
        <w:t>Air</w:t>
      </w:r>
    </w:p>
    <w:p w14:paraId="582AD7A5"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Figure 1 shows the current monitoring efforts for TGM/GEM. From this figure it can be seen that the gaps of TGM/GEM information could be filled by enhancing the current networks that are conducting atmospheric mercury monitoring. Such expansions would include areas within South America, Africa, the Caribbean, parts of Asia, Russia, and Oceania. </w:t>
      </w:r>
    </w:p>
    <w:p w14:paraId="7E9FC721"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rPr>
          <w:rStyle w:val="dn"/>
          <w:rFonts w:ascii="Times New Roman" w:eastAsia="Times New Roman" w:hAnsi="Times New Roman" w:cs="Times New Roman"/>
          <w:sz w:val="24"/>
          <w:szCs w:val="24"/>
        </w:rPr>
      </w:pPr>
    </w:p>
    <w:p w14:paraId="52A7364C"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rPr>
          <w:rStyle w:val="dn"/>
          <w:rFonts w:ascii="Times New Roman" w:eastAsia="Times New Roman" w:hAnsi="Times New Roman" w:cs="Times New Roman"/>
          <w:sz w:val="24"/>
          <w:szCs w:val="24"/>
        </w:rPr>
      </w:pPr>
      <w:r w:rsidRPr="004646A2">
        <w:rPr>
          <w:rStyle w:val="dn"/>
          <w:rFonts w:ascii="Times New Roman" w:eastAsia="Times New Roman" w:hAnsi="Times New Roman" w:cs="Times New Roman"/>
          <w:noProof/>
          <w:sz w:val="24"/>
          <w:szCs w:val="24"/>
        </w:rPr>
        <w:drawing>
          <wp:anchor distT="57150" distB="57150" distL="57150" distR="57150" simplePos="0" relativeHeight="251702272" behindDoc="0" locked="0" layoutInCell="1" allowOverlap="1" wp14:anchorId="75B670A2" wp14:editId="730BEFDC">
            <wp:simplePos x="0" y="0"/>
            <wp:positionH relativeFrom="column">
              <wp:posOffset>983614</wp:posOffset>
            </wp:positionH>
            <wp:positionV relativeFrom="line">
              <wp:posOffset>28575</wp:posOffset>
            </wp:positionV>
            <wp:extent cx="4100196" cy="2865123"/>
            <wp:effectExtent l="0" t="0" r="0" b="0"/>
            <wp:wrapThrough wrapText="bothSides" distL="57150" distR="57150">
              <wp:wrapPolygon edited="1">
                <wp:start x="0" y="0"/>
                <wp:lineTo x="43" y="0"/>
                <wp:lineTo x="21557" y="92"/>
                <wp:lineTo x="10165" y="76"/>
                <wp:lineTo x="10165" y="1387"/>
                <wp:lineTo x="11909" y="1479"/>
                <wp:lineTo x="11974" y="1479"/>
                <wp:lineTo x="12706" y="1633"/>
                <wp:lineTo x="13029" y="1726"/>
                <wp:lineTo x="13072" y="1664"/>
                <wp:lineTo x="13072" y="1756"/>
                <wp:lineTo x="13373" y="1818"/>
                <wp:lineTo x="13395" y="1695"/>
                <wp:lineTo x="13417" y="1880"/>
                <wp:lineTo x="14601" y="2373"/>
                <wp:lineTo x="15355" y="2835"/>
                <wp:lineTo x="15398" y="2650"/>
                <wp:lineTo x="15398" y="2896"/>
                <wp:lineTo x="16281" y="3605"/>
                <wp:lineTo x="16819" y="4191"/>
                <wp:lineTo x="16841" y="4037"/>
                <wp:lineTo x="16927" y="4345"/>
                <wp:lineTo x="17681" y="5423"/>
                <wp:lineTo x="17896" y="5885"/>
                <wp:lineTo x="18047" y="5916"/>
                <wp:lineTo x="17939" y="5978"/>
                <wp:lineTo x="18348" y="7210"/>
                <wp:lineTo x="18520" y="8443"/>
                <wp:lineTo x="18456" y="9799"/>
                <wp:lineTo x="18154" y="11093"/>
                <wp:lineTo x="17939" y="11647"/>
                <wp:lineTo x="18068" y="11678"/>
                <wp:lineTo x="17874" y="11709"/>
                <wp:lineTo x="17336" y="12726"/>
                <wp:lineTo x="16862" y="13342"/>
                <wp:lineTo x="16819" y="13558"/>
                <wp:lineTo x="16798" y="13435"/>
                <wp:lineTo x="16668" y="13619"/>
                <wp:lineTo x="15398" y="14698"/>
                <wp:lineTo x="15376" y="14914"/>
                <wp:lineTo x="15312" y="14759"/>
                <wp:lineTo x="14687" y="15222"/>
                <wp:lineTo x="14192" y="15407"/>
                <wp:lineTo x="13761" y="15684"/>
                <wp:lineTo x="13718" y="15900"/>
                <wp:lineTo x="13718" y="15684"/>
                <wp:lineTo x="13417" y="15776"/>
                <wp:lineTo x="13373" y="15900"/>
                <wp:lineTo x="13373" y="15776"/>
                <wp:lineTo x="12749" y="15961"/>
                <wp:lineTo x="12555" y="15992"/>
                <wp:lineTo x="12534" y="16115"/>
                <wp:lineTo x="12512" y="16054"/>
                <wp:lineTo x="12167" y="16054"/>
                <wp:lineTo x="11565" y="16177"/>
                <wp:lineTo x="9497" y="16146"/>
                <wp:lineTo x="9066" y="16054"/>
                <wp:lineTo x="8959" y="16054"/>
                <wp:lineTo x="8916" y="16115"/>
                <wp:lineTo x="8916" y="16023"/>
                <wp:lineTo x="8743" y="15992"/>
                <wp:lineTo x="8722" y="16115"/>
                <wp:lineTo x="8679" y="15961"/>
                <wp:lineTo x="8614" y="16115"/>
                <wp:lineTo x="8571" y="15930"/>
                <wp:lineTo x="8119" y="15838"/>
                <wp:lineTo x="7947" y="15776"/>
                <wp:lineTo x="7903" y="15900"/>
                <wp:lineTo x="7860" y="15715"/>
                <wp:lineTo x="7602" y="15684"/>
                <wp:lineTo x="7559" y="15900"/>
                <wp:lineTo x="7537" y="15653"/>
                <wp:lineTo x="7128" y="15468"/>
                <wp:lineTo x="5965" y="14759"/>
                <wp:lineTo x="5922" y="14944"/>
                <wp:lineTo x="5901" y="14698"/>
                <wp:lineTo x="4932" y="13897"/>
                <wp:lineTo x="4501" y="13435"/>
                <wp:lineTo x="4458" y="13558"/>
                <wp:lineTo x="4415" y="13311"/>
                <wp:lineTo x="3639" y="12202"/>
                <wp:lineTo x="3403" y="11678"/>
                <wp:lineTo x="3252" y="11647"/>
                <wp:lineTo x="3360" y="11647"/>
                <wp:lineTo x="2907" y="10230"/>
                <wp:lineTo x="2843" y="9799"/>
                <wp:lineTo x="2692" y="9737"/>
                <wp:lineTo x="2843" y="9675"/>
                <wp:lineTo x="2778" y="9182"/>
                <wp:lineTo x="2843" y="7827"/>
                <wp:lineTo x="2692" y="7765"/>
                <wp:lineTo x="2864" y="7765"/>
                <wp:lineTo x="3080" y="6717"/>
                <wp:lineTo x="3381" y="5947"/>
                <wp:lineTo x="3252" y="5885"/>
                <wp:lineTo x="3446" y="5824"/>
                <wp:lineTo x="4070" y="4714"/>
                <wp:lineTo x="4458" y="4221"/>
                <wp:lineTo x="4501" y="4006"/>
                <wp:lineTo x="4522" y="4129"/>
                <wp:lineTo x="4695" y="3975"/>
                <wp:lineTo x="4716" y="3790"/>
                <wp:lineTo x="4738" y="3852"/>
                <wp:lineTo x="5922" y="2866"/>
                <wp:lineTo x="5965" y="2650"/>
                <wp:lineTo x="5987" y="2804"/>
                <wp:lineTo x="7387" y="2034"/>
                <wp:lineTo x="7903" y="1849"/>
                <wp:lineTo x="7947" y="1664"/>
                <wp:lineTo x="7968" y="1818"/>
                <wp:lineTo x="8248" y="1756"/>
                <wp:lineTo x="8291" y="1664"/>
                <wp:lineTo x="8593" y="1664"/>
                <wp:lineTo x="8679" y="1602"/>
                <wp:lineTo x="8916" y="1571"/>
                <wp:lineTo x="8937" y="1448"/>
                <wp:lineTo x="8959" y="1541"/>
                <wp:lineTo x="9045" y="1541"/>
                <wp:lineTo x="9066" y="1448"/>
                <wp:lineTo x="9088" y="1510"/>
                <wp:lineTo x="9196" y="1479"/>
                <wp:lineTo x="9131" y="1448"/>
                <wp:lineTo x="9799" y="1448"/>
                <wp:lineTo x="10165" y="1387"/>
                <wp:lineTo x="10165" y="76"/>
                <wp:lineTo x="43" y="62"/>
                <wp:lineTo x="43" y="16639"/>
                <wp:lineTo x="14773" y="16639"/>
                <wp:lineTo x="14752" y="17902"/>
                <wp:lineTo x="21557" y="17902"/>
                <wp:lineTo x="21557" y="92"/>
                <wp:lineTo x="43" y="0"/>
                <wp:lineTo x="21600" y="0"/>
                <wp:lineTo x="21600" y="17964"/>
                <wp:lineTo x="20588" y="17973"/>
                <wp:lineTo x="20588" y="19227"/>
                <wp:lineTo x="20696" y="19258"/>
                <wp:lineTo x="20674" y="19443"/>
                <wp:lineTo x="20566" y="19412"/>
                <wp:lineTo x="20588" y="19227"/>
                <wp:lineTo x="20588" y="17973"/>
                <wp:lineTo x="20308" y="17975"/>
                <wp:lineTo x="20308" y="19166"/>
                <wp:lineTo x="20437" y="19351"/>
                <wp:lineTo x="20394" y="19443"/>
                <wp:lineTo x="20394" y="20891"/>
                <wp:lineTo x="20502" y="20922"/>
                <wp:lineTo x="20480" y="21169"/>
                <wp:lineTo x="20416" y="21138"/>
                <wp:lineTo x="20480" y="21107"/>
                <wp:lineTo x="20459" y="20922"/>
                <wp:lineTo x="20416" y="21045"/>
                <wp:lineTo x="20394" y="21107"/>
                <wp:lineTo x="20394" y="20891"/>
                <wp:lineTo x="20394" y="19443"/>
                <wp:lineTo x="20329" y="19258"/>
                <wp:lineTo x="20329" y="19412"/>
                <wp:lineTo x="20308" y="19166"/>
                <wp:lineTo x="20308" y="17975"/>
                <wp:lineTo x="20179" y="17976"/>
                <wp:lineTo x="20179" y="19227"/>
                <wp:lineTo x="20243" y="19258"/>
                <wp:lineTo x="20179" y="19320"/>
                <wp:lineTo x="20265" y="19320"/>
                <wp:lineTo x="20200" y="19381"/>
                <wp:lineTo x="20243" y="19443"/>
                <wp:lineTo x="20179" y="19419"/>
                <wp:lineTo x="20179" y="19690"/>
                <wp:lineTo x="20265" y="19720"/>
                <wp:lineTo x="20179" y="19813"/>
                <wp:lineTo x="20243" y="19874"/>
                <wp:lineTo x="20157" y="19844"/>
                <wp:lineTo x="20179" y="19690"/>
                <wp:lineTo x="20179" y="19419"/>
                <wp:lineTo x="20157" y="19412"/>
                <wp:lineTo x="20179" y="19227"/>
                <wp:lineTo x="20179" y="17976"/>
                <wp:lineTo x="20006" y="17978"/>
                <wp:lineTo x="20006" y="19227"/>
                <wp:lineTo x="20114" y="19258"/>
                <wp:lineTo x="20093" y="19443"/>
                <wp:lineTo x="20071" y="19258"/>
                <wp:lineTo x="20071" y="20984"/>
                <wp:lineTo x="20028" y="21138"/>
                <wp:lineTo x="20114" y="21169"/>
                <wp:lineTo x="19985" y="21107"/>
                <wp:lineTo x="20071" y="20984"/>
                <wp:lineTo x="20071" y="19258"/>
                <wp:lineTo x="20006" y="19443"/>
                <wp:lineTo x="20006" y="19227"/>
                <wp:lineTo x="20006" y="17978"/>
                <wp:lineTo x="19726" y="17981"/>
                <wp:lineTo x="19726" y="19227"/>
                <wp:lineTo x="19834" y="19289"/>
                <wp:lineTo x="19813" y="19412"/>
                <wp:lineTo x="19748" y="19343"/>
                <wp:lineTo x="19748" y="19690"/>
                <wp:lineTo x="19834" y="19720"/>
                <wp:lineTo x="19769" y="19751"/>
                <wp:lineTo x="19856" y="19782"/>
                <wp:lineTo x="19769" y="19844"/>
                <wp:lineTo x="19856" y="19874"/>
                <wp:lineTo x="19856" y="20891"/>
                <wp:lineTo x="19942" y="20953"/>
                <wp:lineTo x="19856" y="20953"/>
                <wp:lineTo x="19834" y="21107"/>
                <wp:lineTo x="19856" y="20891"/>
                <wp:lineTo x="19856" y="19874"/>
                <wp:lineTo x="19748" y="19874"/>
                <wp:lineTo x="19748" y="19690"/>
                <wp:lineTo x="19748" y="19343"/>
                <wp:lineTo x="19726" y="19320"/>
                <wp:lineTo x="19791" y="19258"/>
                <wp:lineTo x="19726" y="19258"/>
                <wp:lineTo x="19726" y="19227"/>
                <wp:lineTo x="19726" y="17981"/>
                <wp:lineTo x="19597" y="17982"/>
                <wp:lineTo x="19597" y="19690"/>
                <wp:lineTo x="19705" y="19690"/>
                <wp:lineTo x="19683" y="19874"/>
                <wp:lineTo x="19683" y="20953"/>
                <wp:lineTo x="19683" y="21169"/>
                <wp:lineTo x="19597" y="21107"/>
                <wp:lineTo x="19683" y="21107"/>
                <wp:lineTo x="19683" y="20953"/>
                <wp:lineTo x="19683" y="19874"/>
                <wp:lineTo x="19683" y="19720"/>
                <wp:lineTo x="19619" y="19720"/>
                <wp:lineTo x="19597" y="19874"/>
                <wp:lineTo x="19597" y="19690"/>
                <wp:lineTo x="19597" y="17982"/>
                <wp:lineTo x="19317" y="17984"/>
                <wp:lineTo x="19317" y="19690"/>
                <wp:lineTo x="19425" y="19720"/>
                <wp:lineTo x="19425" y="19874"/>
                <wp:lineTo x="19403" y="19858"/>
                <wp:lineTo x="19403" y="20121"/>
                <wp:lineTo x="19490" y="20244"/>
                <wp:lineTo x="19360" y="20306"/>
                <wp:lineTo x="19403" y="20152"/>
                <wp:lineTo x="19382" y="20213"/>
                <wp:lineTo x="19425" y="20183"/>
                <wp:lineTo x="19403" y="20121"/>
                <wp:lineTo x="19403" y="19858"/>
                <wp:lineTo x="19382" y="19844"/>
                <wp:lineTo x="19382" y="19720"/>
                <wp:lineTo x="19317" y="19690"/>
                <wp:lineTo x="19317" y="17984"/>
                <wp:lineTo x="19296" y="17984"/>
                <wp:lineTo x="19296" y="19227"/>
                <wp:lineTo x="19296" y="19505"/>
                <wp:lineTo x="19210" y="19474"/>
                <wp:lineTo x="19274" y="19443"/>
                <wp:lineTo x="19274" y="19381"/>
                <wp:lineTo x="19296" y="19227"/>
                <wp:lineTo x="19296" y="17984"/>
                <wp:lineTo x="19059" y="17987"/>
                <wp:lineTo x="19059" y="19227"/>
                <wp:lineTo x="19123" y="19258"/>
                <wp:lineTo x="19059" y="19320"/>
                <wp:lineTo x="19167" y="19289"/>
                <wp:lineTo x="19080" y="19381"/>
                <wp:lineTo x="19145" y="19412"/>
                <wp:lineTo x="19145" y="19690"/>
                <wp:lineTo x="19274" y="19720"/>
                <wp:lineTo x="19231" y="19874"/>
                <wp:lineTo x="19188" y="19720"/>
                <wp:lineTo x="19145" y="19874"/>
                <wp:lineTo x="19145" y="19690"/>
                <wp:lineTo x="19145" y="19412"/>
                <wp:lineTo x="19037" y="19412"/>
                <wp:lineTo x="19059" y="19227"/>
                <wp:lineTo x="19059" y="17987"/>
                <wp:lineTo x="19016" y="17987"/>
                <wp:lineTo x="19016" y="19690"/>
                <wp:lineTo x="19123" y="19720"/>
                <wp:lineTo x="19102" y="19844"/>
                <wp:lineTo x="19037" y="19720"/>
                <wp:lineTo x="18994" y="19844"/>
                <wp:lineTo x="19016" y="19690"/>
                <wp:lineTo x="19016" y="17987"/>
                <wp:lineTo x="18757" y="17989"/>
                <wp:lineTo x="18757" y="19289"/>
                <wp:lineTo x="18757" y="19412"/>
                <wp:lineTo x="18736" y="19412"/>
                <wp:lineTo x="18714" y="19401"/>
                <wp:lineTo x="18714" y="19690"/>
                <wp:lineTo x="18822" y="19690"/>
                <wp:lineTo x="18800" y="19784"/>
                <wp:lineTo x="18800" y="20121"/>
                <wp:lineTo x="18887" y="20152"/>
                <wp:lineTo x="18887" y="20337"/>
                <wp:lineTo x="18865" y="20324"/>
                <wp:lineTo x="18865" y="20953"/>
                <wp:lineTo x="18951" y="20984"/>
                <wp:lineTo x="18951" y="21076"/>
                <wp:lineTo x="18822" y="21107"/>
                <wp:lineTo x="18865" y="20984"/>
                <wp:lineTo x="18865" y="20953"/>
                <wp:lineTo x="18865" y="20324"/>
                <wp:lineTo x="18779" y="20275"/>
                <wp:lineTo x="18865" y="20244"/>
                <wp:lineTo x="18800" y="20213"/>
                <wp:lineTo x="18843" y="20183"/>
                <wp:lineTo x="18800" y="20121"/>
                <wp:lineTo x="18800" y="19784"/>
                <wp:lineTo x="18779" y="19874"/>
                <wp:lineTo x="18779" y="19813"/>
                <wp:lineTo x="18736" y="19905"/>
                <wp:lineTo x="18757" y="19751"/>
                <wp:lineTo x="18800" y="19720"/>
                <wp:lineTo x="18714" y="19690"/>
                <wp:lineTo x="18714" y="19401"/>
                <wp:lineTo x="18671" y="19381"/>
                <wp:lineTo x="18757" y="19289"/>
                <wp:lineTo x="18757" y="17989"/>
                <wp:lineTo x="18499" y="17992"/>
                <wp:lineTo x="18499" y="19166"/>
                <wp:lineTo x="18628" y="19258"/>
                <wp:lineTo x="18607" y="19443"/>
                <wp:lineTo x="18585" y="19436"/>
                <wp:lineTo x="18585" y="20121"/>
                <wp:lineTo x="18585" y="20213"/>
                <wp:lineTo x="18585" y="20306"/>
                <wp:lineTo x="18628" y="20326"/>
                <wp:lineTo x="18628" y="20953"/>
                <wp:lineTo x="18714" y="20953"/>
                <wp:lineTo x="18693" y="21076"/>
                <wp:lineTo x="18628" y="21045"/>
                <wp:lineTo x="18693" y="20984"/>
                <wp:lineTo x="18628" y="20984"/>
                <wp:lineTo x="18628" y="20953"/>
                <wp:lineTo x="18628" y="20326"/>
                <wp:lineTo x="18650" y="20337"/>
                <wp:lineTo x="18542" y="20275"/>
                <wp:lineTo x="18542" y="20891"/>
                <wp:lineTo x="18564" y="21169"/>
                <wp:lineTo x="18456" y="21138"/>
                <wp:lineTo x="18477" y="20953"/>
                <wp:lineTo x="18542" y="20891"/>
                <wp:lineTo x="18542" y="20275"/>
                <wp:lineTo x="18585" y="20121"/>
                <wp:lineTo x="18585" y="19436"/>
                <wp:lineTo x="18499" y="19412"/>
                <wp:lineTo x="18499" y="19166"/>
                <wp:lineTo x="18499" y="17992"/>
                <wp:lineTo x="18240" y="17994"/>
                <wp:lineTo x="18240" y="19628"/>
                <wp:lineTo x="18284" y="19874"/>
                <wp:lineTo x="18176" y="19844"/>
                <wp:lineTo x="18240" y="19782"/>
                <wp:lineTo x="18176" y="19751"/>
                <wp:lineTo x="18154" y="19844"/>
                <wp:lineTo x="18154" y="20953"/>
                <wp:lineTo x="18240" y="21138"/>
                <wp:lineTo x="18262" y="20953"/>
                <wp:lineTo x="18262" y="21169"/>
                <wp:lineTo x="18154" y="21138"/>
                <wp:lineTo x="18154" y="20953"/>
                <wp:lineTo x="18154" y="19844"/>
                <wp:lineTo x="18176" y="19690"/>
                <wp:lineTo x="18240" y="19628"/>
                <wp:lineTo x="18240" y="17994"/>
                <wp:lineTo x="18004" y="17996"/>
                <wp:lineTo x="18004" y="19690"/>
                <wp:lineTo x="18133" y="19720"/>
                <wp:lineTo x="18090" y="19874"/>
                <wp:lineTo x="18090" y="19720"/>
                <wp:lineTo x="18004" y="19874"/>
                <wp:lineTo x="18004" y="20183"/>
                <wp:lineTo x="18133" y="20244"/>
                <wp:lineTo x="18047" y="20275"/>
                <wp:lineTo x="18111" y="20306"/>
                <wp:lineTo x="18004" y="20306"/>
                <wp:lineTo x="18004" y="20183"/>
                <wp:lineTo x="18004" y="19874"/>
                <wp:lineTo x="18004" y="19690"/>
                <wp:lineTo x="18004" y="17996"/>
                <wp:lineTo x="17788" y="17998"/>
                <wp:lineTo x="17788" y="19227"/>
                <wp:lineTo x="17874" y="19258"/>
                <wp:lineTo x="17874" y="19351"/>
                <wp:lineTo x="17874" y="19690"/>
                <wp:lineTo x="17982" y="19720"/>
                <wp:lineTo x="17961" y="19844"/>
                <wp:lineTo x="17896" y="19720"/>
                <wp:lineTo x="17853" y="19844"/>
                <wp:lineTo x="17874" y="19690"/>
                <wp:lineTo x="17874" y="19351"/>
                <wp:lineTo x="17745" y="19381"/>
                <wp:lineTo x="17788" y="19258"/>
                <wp:lineTo x="17788" y="19227"/>
                <wp:lineTo x="17788" y="17998"/>
                <wp:lineTo x="17637" y="17999"/>
                <wp:lineTo x="17637" y="19690"/>
                <wp:lineTo x="17831" y="19720"/>
                <wp:lineTo x="17788" y="19874"/>
                <wp:lineTo x="17745" y="19720"/>
                <wp:lineTo x="17745" y="20953"/>
                <wp:lineTo x="17831" y="20984"/>
                <wp:lineTo x="17810" y="21138"/>
                <wp:lineTo x="17788" y="21138"/>
                <wp:lineTo x="17702" y="21138"/>
                <wp:lineTo x="17724" y="21045"/>
                <wp:lineTo x="17788" y="21015"/>
                <wp:lineTo x="17745" y="20953"/>
                <wp:lineTo x="17745" y="19720"/>
                <wp:lineTo x="17702" y="19874"/>
                <wp:lineTo x="17702" y="19720"/>
                <wp:lineTo x="17637" y="19874"/>
                <wp:lineTo x="17637" y="19690"/>
                <wp:lineTo x="17637" y="17999"/>
                <wp:lineTo x="17487" y="18001"/>
                <wp:lineTo x="17487" y="19690"/>
                <wp:lineTo x="17594" y="19690"/>
                <wp:lineTo x="17594" y="19874"/>
                <wp:lineTo x="17573" y="19864"/>
                <wp:lineTo x="17573" y="20183"/>
                <wp:lineTo x="17616" y="20337"/>
                <wp:lineTo x="17573" y="20324"/>
                <wp:lineTo x="17573" y="20891"/>
                <wp:lineTo x="17594" y="21138"/>
                <wp:lineTo x="17681" y="21169"/>
                <wp:lineTo x="17573" y="21169"/>
                <wp:lineTo x="17573" y="20891"/>
                <wp:lineTo x="17573" y="20324"/>
                <wp:lineTo x="17508" y="20306"/>
                <wp:lineTo x="17573" y="20244"/>
                <wp:lineTo x="17508" y="20244"/>
                <wp:lineTo x="17573" y="20183"/>
                <wp:lineTo x="17573" y="19864"/>
                <wp:lineTo x="17530" y="19844"/>
                <wp:lineTo x="17551" y="19813"/>
                <wp:lineTo x="17487" y="19813"/>
                <wp:lineTo x="17573" y="19720"/>
                <wp:lineTo x="17487" y="19690"/>
                <wp:lineTo x="17487" y="18001"/>
                <wp:lineTo x="17358" y="18002"/>
                <wp:lineTo x="17358" y="19597"/>
                <wp:lineTo x="17336" y="19905"/>
                <wp:lineTo x="17271" y="19874"/>
                <wp:lineTo x="17293" y="19720"/>
                <wp:lineTo x="17293" y="19844"/>
                <wp:lineTo x="17358" y="19844"/>
                <wp:lineTo x="17358" y="19720"/>
                <wp:lineTo x="17293" y="19690"/>
                <wp:lineTo x="17358" y="19690"/>
                <wp:lineTo x="17358" y="19597"/>
                <wp:lineTo x="17358" y="18002"/>
                <wp:lineTo x="14773" y="18026"/>
                <wp:lineTo x="14773" y="21600"/>
                <wp:lineTo x="22" y="21600"/>
                <wp:lineTo x="0" y="0"/>
              </wp:wrapPolygon>
            </wp:wrapThrough>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15">
                      <a:extLst/>
                    </a:blip>
                    <a:stretch>
                      <a:fillRect/>
                    </a:stretch>
                  </pic:blipFill>
                  <pic:spPr>
                    <a:xfrm>
                      <a:off x="0" y="0"/>
                      <a:ext cx="4100196" cy="2865123"/>
                    </a:xfrm>
                    <a:prstGeom prst="rect">
                      <a:avLst/>
                    </a:prstGeom>
                    <a:ln w="12700" cap="flat">
                      <a:noFill/>
                      <a:miter lim="400000"/>
                    </a:ln>
                    <a:effectLst/>
                  </pic:spPr>
                </pic:pic>
              </a:graphicData>
            </a:graphic>
          </wp:anchor>
        </w:drawing>
      </w:r>
    </w:p>
    <w:p w14:paraId="73DADE71"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2E949747"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157C4CF2"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5CA0A4B2"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19DB3721"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09DEA723"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3DBE9B65"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545C3593"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708037F8"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01F010B2"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71BD29D8"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00FB319F"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3FAB4567"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28925371"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1097DEE2"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2D4E4CDC"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outlineLvl w:val="0"/>
        <w:rPr>
          <w:rStyle w:val="dn"/>
          <w:rFonts w:ascii="Times New Roman" w:eastAsia="Times New Roman" w:hAnsi="Times New Roman" w:cs="Times New Roman"/>
          <w:sz w:val="24"/>
          <w:szCs w:val="24"/>
        </w:rPr>
      </w:pPr>
    </w:p>
    <w:p w14:paraId="2FE755B6"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jc w:val="center"/>
        <w:outlineLvl w:val="0"/>
        <w:rPr>
          <w:rStyle w:val="dn"/>
          <w:rFonts w:ascii="Times New Roman" w:eastAsia="Times New Roman" w:hAnsi="Times New Roman" w:cs="Times New Roman"/>
          <w:sz w:val="24"/>
          <w:szCs w:val="24"/>
        </w:rPr>
      </w:pPr>
      <w:r w:rsidRPr="00D86906">
        <w:rPr>
          <w:rStyle w:val="dn"/>
          <w:rFonts w:ascii="Times New Roman" w:hAnsi="Times New Roman" w:cs="Times New Roman"/>
          <w:b/>
          <w:bCs/>
          <w:sz w:val="24"/>
          <w:szCs w:val="24"/>
        </w:rPr>
        <w:t>Figure 1</w:t>
      </w:r>
      <w:r w:rsidRPr="004646A2">
        <w:rPr>
          <w:rStyle w:val="dn"/>
          <w:rFonts w:ascii="Times New Roman" w:hAnsi="Times New Roman" w:cs="Times New Roman"/>
          <w:sz w:val="24"/>
          <w:szCs w:val="24"/>
        </w:rPr>
        <w:t xml:space="preserve"> – Existing monitoring networks measuring Hg concentrations in air.</w:t>
      </w:r>
    </w:p>
    <w:p w14:paraId="58CFED06" w14:textId="77777777" w:rsidR="005107FA" w:rsidRPr="004646A2" w:rsidRDefault="005107FA" w:rsidP="005107FA">
      <w:pPr>
        <w:pStyle w:val="TextA"/>
        <w:shd w:val="clear" w:color="auto" w:fill="FFFFFF"/>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0" w:line="240" w:lineRule="auto"/>
        <w:rPr>
          <w:rStyle w:val="dn"/>
          <w:rFonts w:ascii="Times New Roman" w:eastAsia="Times New Roman" w:hAnsi="Times New Roman" w:cs="Times New Roman"/>
          <w:sz w:val="24"/>
          <w:szCs w:val="24"/>
        </w:rPr>
      </w:pPr>
    </w:p>
    <w:p w14:paraId="3BC4EB14"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lastRenderedPageBreak/>
        <w:t>The following are recommended:</w:t>
      </w:r>
    </w:p>
    <w:p w14:paraId="0C7B2753" w14:textId="77777777" w:rsidR="005107FA" w:rsidRPr="004646A2" w:rsidRDefault="005107FA" w:rsidP="0025348A">
      <w:pPr>
        <w:pStyle w:val="ListParagraph"/>
        <w:numPr>
          <w:ilvl w:val="0"/>
          <w:numId w:val="57"/>
        </w:numPr>
        <w:shd w:val="clear" w:color="auto" w:fill="FFFFFF"/>
        <w:tabs>
          <w:tab w:val="left" w:pos="1511"/>
          <w:tab w:val="left" w:pos="1248"/>
        </w:tabs>
        <w:rPr>
          <w:rFonts w:cs="Times New Roman"/>
          <w:sz w:val="24"/>
          <w:szCs w:val="24"/>
        </w:rPr>
      </w:pPr>
      <w:r w:rsidRPr="004646A2">
        <w:rPr>
          <w:rFonts w:cs="Times New Roman"/>
          <w:sz w:val="24"/>
          <w:szCs w:val="24"/>
        </w:rPr>
        <w:t>Couple current monitoring of TGM/GEM with new technologies (including passive and active mercury sampling);</w:t>
      </w:r>
    </w:p>
    <w:p w14:paraId="6BA05272" w14:textId="77777777" w:rsidR="005107FA" w:rsidRPr="004646A2" w:rsidRDefault="005107FA" w:rsidP="0025348A">
      <w:pPr>
        <w:pStyle w:val="ListParagraph"/>
        <w:numPr>
          <w:ilvl w:val="0"/>
          <w:numId w:val="57"/>
        </w:numPr>
        <w:shd w:val="clear" w:color="auto" w:fill="FFFFFF"/>
        <w:tabs>
          <w:tab w:val="left" w:pos="1511"/>
          <w:tab w:val="left" w:pos="1248"/>
        </w:tabs>
        <w:rPr>
          <w:rFonts w:cs="Times New Roman"/>
          <w:sz w:val="24"/>
          <w:szCs w:val="24"/>
        </w:rPr>
      </w:pPr>
      <w:r w:rsidRPr="004646A2">
        <w:rPr>
          <w:rFonts w:cs="Times New Roman"/>
          <w:sz w:val="24"/>
          <w:szCs w:val="24"/>
        </w:rPr>
        <w:t>Expand current monitoring networks, where possible, to full in data gaps;</w:t>
      </w:r>
    </w:p>
    <w:p w14:paraId="0087E192" w14:textId="77777777" w:rsidR="005107FA" w:rsidRPr="004646A2" w:rsidRDefault="005107FA" w:rsidP="0025348A">
      <w:pPr>
        <w:pStyle w:val="ListParagraph"/>
        <w:numPr>
          <w:ilvl w:val="0"/>
          <w:numId w:val="57"/>
        </w:numPr>
        <w:shd w:val="clear" w:color="auto" w:fill="FFFFFF"/>
        <w:tabs>
          <w:tab w:val="left" w:pos="1511"/>
          <w:tab w:val="left" w:pos="1248"/>
        </w:tabs>
        <w:rPr>
          <w:rFonts w:cs="Times New Roman"/>
          <w:sz w:val="24"/>
          <w:szCs w:val="24"/>
        </w:rPr>
      </w:pPr>
      <w:r w:rsidRPr="004646A2">
        <w:rPr>
          <w:rFonts w:cs="Times New Roman"/>
          <w:sz w:val="24"/>
          <w:szCs w:val="24"/>
        </w:rPr>
        <w:t>Employ currently-used standard procedures for data collection and treatments, where possible;</w:t>
      </w:r>
    </w:p>
    <w:p w14:paraId="77E53EC8" w14:textId="77777777" w:rsidR="005107FA" w:rsidRPr="004646A2" w:rsidRDefault="005107FA" w:rsidP="0025348A">
      <w:pPr>
        <w:pStyle w:val="ListParagraph"/>
        <w:numPr>
          <w:ilvl w:val="0"/>
          <w:numId w:val="57"/>
        </w:numPr>
        <w:shd w:val="clear" w:color="auto" w:fill="FFFFFF"/>
        <w:tabs>
          <w:tab w:val="left" w:pos="1511"/>
          <w:tab w:val="left" w:pos="1248"/>
        </w:tabs>
        <w:rPr>
          <w:rFonts w:cs="Times New Roman"/>
          <w:sz w:val="24"/>
          <w:szCs w:val="24"/>
        </w:rPr>
      </w:pPr>
      <w:r w:rsidRPr="004646A2">
        <w:rPr>
          <w:rFonts w:cs="Times New Roman"/>
          <w:sz w:val="24"/>
          <w:szCs w:val="24"/>
        </w:rPr>
        <w:t xml:space="preserve">Conduct intercomparisons of measurement technologies and data treatment among networks; </w:t>
      </w:r>
    </w:p>
    <w:p w14:paraId="30A666F5" w14:textId="77777777" w:rsidR="005107FA" w:rsidRPr="004646A2" w:rsidRDefault="005107FA" w:rsidP="0025348A">
      <w:pPr>
        <w:pStyle w:val="ListParagraph"/>
        <w:numPr>
          <w:ilvl w:val="0"/>
          <w:numId w:val="57"/>
        </w:numPr>
        <w:shd w:val="clear" w:color="auto" w:fill="FFFFFF"/>
        <w:tabs>
          <w:tab w:val="left" w:pos="1511"/>
          <w:tab w:val="left" w:pos="1248"/>
        </w:tabs>
        <w:rPr>
          <w:rFonts w:cs="Times New Roman"/>
          <w:sz w:val="24"/>
          <w:szCs w:val="24"/>
        </w:rPr>
      </w:pPr>
      <w:r w:rsidRPr="004646A2">
        <w:rPr>
          <w:rFonts w:cs="Times New Roman"/>
          <w:sz w:val="24"/>
          <w:szCs w:val="24"/>
        </w:rPr>
        <w:t xml:space="preserve">Fill geographical data gaps of information using manual active or passive sampling methods; </w:t>
      </w:r>
    </w:p>
    <w:p w14:paraId="7AC8A462" w14:textId="77777777" w:rsidR="005107FA" w:rsidRPr="004646A2" w:rsidRDefault="005107FA" w:rsidP="0025348A">
      <w:pPr>
        <w:pStyle w:val="ListParagraph"/>
        <w:numPr>
          <w:ilvl w:val="0"/>
          <w:numId w:val="57"/>
        </w:numPr>
        <w:shd w:val="clear" w:color="auto" w:fill="FFFFFF"/>
        <w:tabs>
          <w:tab w:val="left" w:pos="1511"/>
          <w:tab w:val="left" w:pos="1248"/>
        </w:tabs>
        <w:rPr>
          <w:rFonts w:cs="Times New Roman"/>
          <w:sz w:val="24"/>
          <w:szCs w:val="24"/>
        </w:rPr>
      </w:pPr>
      <w:r w:rsidRPr="004646A2">
        <w:rPr>
          <w:rFonts w:cs="Times New Roman"/>
          <w:sz w:val="24"/>
          <w:szCs w:val="24"/>
        </w:rPr>
        <w:t xml:space="preserve">If feasible, couple manual active or passive air measurements with active and wet/dry deposition measurements; </w:t>
      </w:r>
    </w:p>
    <w:p w14:paraId="7E574C91" w14:textId="77777777" w:rsidR="005107FA" w:rsidRPr="004646A2" w:rsidRDefault="005107FA" w:rsidP="0025348A">
      <w:pPr>
        <w:pStyle w:val="ListParagraph"/>
        <w:numPr>
          <w:ilvl w:val="0"/>
          <w:numId w:val="57"/>
        </w:numPr>
        <w:shd w:val="clear" w:color="auto" w:fill="FFFFFF"/>
        <w:tabs>
          <w:tab w:val="left" w:pos="1511"/>
          <w:tab w:val="left" w:pos="1248"/>
        </w:tabs>
        <w:rPr>
          <w:rFonts w:cs="Times New Roman"/>
          <w:sz w:val="24"/>
          <w:szCs w:val="24"/>
        </w:rPr>
      </w:pPr>
      <w:r w:rsidRPr="004646A2">
        <w:rPr>
          <w:rFonts w:cs="Times New Roman"/>
          <w:sz w:val="24"/>
          <w:szCs w:val="24"/>
        </w:rPr>
        <w:t>Conduct sampling at least on a quarterly basis (either averaged with active sampling data or integrate over 3 months with passive sampling) to assess seasonal variation;</w:t>
      </w:r>
    </w:p>
    <w:p w14:paraId="76215860" w14:textId="77777777" w:rsidR="005107FA" w:rsidRPr="003C114D" w:rsidRDefault="005107FA" w:rsidP="0025348A">
      <w:pPr>
        <w:pStyle w:val="ListParagraph"/>
        <w:numPr>
          <w:ilvl w:val="0"/>
          <w:numId w:val="57"/>
        </w:numPr>
        <w:shd w:val="clear" w:color="auto" w:fill="FFFFFF"/>
        <w:tabs>
          <w:tab w:val="left" w:pos="1511"/>
          <w:tab w:val="left" w:pos="1248"/>
        </w:tabs>
        <w:spacing w:after="160"/>
        <w:rPr>
          <w:rStyle w:val="dn"/>
          <w:rFonts w:cs="Times New Roman"/>
          <w:sz w:val="24"/>
          <w:szCs w:val="24"/>
        </w:rPr>
      </w:pPr>
      <w:r w:rsidRPr="004646A2">
        <w:rPr>
          <w:rFonts w:cs="Times New Roman"/>
          <w:sz w:val="24"/>
          <w:szCs w:val="24"/>
        </w:rPr>
        <w:t>Prioritize gaps identified in the global mercury assessment and other literature for the establishment of new site locations.</w:t>
      </w:r>
    </w:p>
    <w:p w14:paraId="784844E5" w14:textId="77777777" w:rsidR="005107FA" w:rsidRPr="003C114D" w:rsidRDefault="005107FA" w:rsidP="0025348A">
      <w:pPr>
        <w:pStyle w:val="TextB"/>
        <w:numPr>
          <w:ilvl w:val="0"/>
          <w:numId w:val="50"/>
        </w:numPr>
        <w:shd w:val="clear" w:color="auto" w:fill="FFFFFF"/>
        <w:tabs>
          <w:tab w:val="clear" w:pos="1247"/>
          <w:tab w:val="left" w:pos="1248"/>
        </w:tabs>
        <w:spacing w:after="120"/>
        <w:rPr>
          <w:rStyle w:val="dn"/>
          <w:rFonts w:cs="Times New Roman"/>
          <w:sz w:val="24"/>
          <w:szCs w:val="24"/>
        </w:rPr>
      </w:pPr>
      <w:r w:rsidRPr="004646A2">
        <w:rPr>
          <w:rFonts w:cs="Times New Roman"/>
          <w:sz w:val="24"/>
          <w:szCs w:val="24"/>
        </w:rPr>
        <w:t>In elaborating future strategies aiming to fill geographical gaps of atmospheric mercury monitoring data it is recommended to ensure the operation of about 30 monitoring sites with manual active or passive air sampling in large geographical areas such as Africa, Latin America and Russia placed in locations that may provide information on regional / local background Hg concentrations.  The suggested number of sites is only indicative: a larger number of sites using manual active or passive air sampling in these areas would certainly allow to have a better geographical distribution and representativeness of the regional/local emission regimes, meteorology and transport/deposition patterns. A cost analysis for air monitoring including the proposed sampling can be found in UNEP/MC/COP.3/INF/XX Part I Section 4.</w:t>
      </w:r>
    </w:p>
    <w:p w14:paraId="0788064C" w14:textId="77777777" w:rsidR="005107FA" w:rsidRPr="004646A2" w:rsidRDefault="005107FA" w:rsidP="005107FA">
      <w:pPr>
        <w:pStyle w:val="Normal-pool"/>
        <w:shd w:val="clear" w:color="auto" w:fill="FFFFFF"/>
        <w:tabs>
          <w:tab w:val="clear" w:pos="1247"/>
          <w:tab w:val="clear" w:pos="1814"/>
          <w:tab w:val="clear" w:pos="2381"/>
          <w:tab w:val="clear" w:pos="2948"/>
          <w:tab w:val="clear" w:pos="3515"/>
          <w:tab w:val="clear" w:pos="4082"/>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Style w:val="dn"/>
          <w:rFonts w:cs="Times New Roman"/>
          <w:b/>
          <w:bCs/>
          <w:sz w:val="24"/>
          <w:szCs w:val="24"/>
        </w:rPr>
      </w:pPr>
      <w:r w:rsidRPr="004646A2">
        <w:rPr>
          <w:rStyle w:val="dn"/>
          <w:rFonts w:cs="Times New Roman"/>
          <w:b/>
          <w:bCs/>
          <w:sz w:val="24"/>
          <w:szCs w:val="24"/>
        </w:rPr>
        <w:t>Humans</w:t>
      </w:r>
    </w:p>
    <w:p w14:paraId="086643E4"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Studies using the WHO protocol for assessment of prenatal exposure to methylmercury are recommended to fill the data gaps in order to obtain a global picture necessary for effectiveness evaluation. The protocol enables collection of comparable data (e.g. hair samples from 250 people per study location with minimum diversity recommended). The studies are country-driven.  Local ethical (Institutional Review Board) clearance is required and the studies are conducted within the health system, therefore country approval is a given.  Each country owns its data and submission of results is voluntary.  </w:t>
      </w:r>
    </w:p>
    <w:p w14:paraId="564730BB"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Article 17 of the Minamata Convention on Mercury specifies in paragraph 1(d) that each party shall facilitate the exchange of epidemiological information concerning health impacts associated with exposure to mercury and mercury compounds, in close cooperation with the World Health Organization and other relevant organizations, as appropriate.  The compilation and exchange of data on mercury levels obtained through human biomonitoring should be undertaken in line with this article of the Convention. </w:t>
      </w:r>
    </w:p>
    <w:p w14:paraId="04256AE7"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To facilitate the generation of globally representative data and trend information on human biomonitoring, which will be most relevant for effectiveness evaluation, an oversight body should be kept informed of the studies planned and carried out.  </w:t>
      </w:r>
    </w:p>
    <w:p w14:paraId="2A82C1CA"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lastRenderedPageBreak/>
        <w:t>Data quality issues are covered by the WHO protocol.  Results of the measurements must be analytically comparable between laboratories/different studies. To ensure comparability, each national survey would need to follow the WHO harmonized SOPs for sampling and analytical methods, and develop procedures for quality assurance and quality control that cover the pre-analytical phase. The availability of appropriate reference materials (samples with a certain level of mercury)</w:t>
      </w:r>
      <w:r w:rsidRPr="004646A2">
        <w:rPr>
          <w:rStyle w:val="FootnoteReference"/>
          <w:rFonts w:cs="Times New Roman"/>
          <w:sz w:val="24"/>
          <w:szCs w:val="24"/>
        </w:rPr>
        <w:footnoteReference w:id="7"/>
      </w:r>
      <w:r w:rsidRPr="004646A2">
        <w:rPr>
          <w:rFonts w:cs="Times New Roman"/>
          <w:sz w:val="24"/>
          <w:szCs w:val="24"/>
        </w:rPr>
        <w:t xml:space="preserve"> supports internal quality assurance. External quality assurance should be done through international inter-laboratory comparison investigations. Coordination of the studies will contribute to ensure appropriate quality control measures. </w:t>
      </w:r>
    </w:p>
    <w:p w14:paraId="755119C0"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The WHO protocol also covers data management, analysis and evaluation issues, including whether this should be done at the national and/or international level. It recommends that participating countries conduct statistical analyses at the national level and submit anonymized data for statistical analysis to a central database. The aim of a statistical analysis at the international level is to assess associations between biomarker values and predictors such as age, gender, fish consumption habits, etc. (collected via questionnaire) in a pooled dataset. Data communication issues are also addressed in the WHO protocol and particularly for indigenous peoples in AMAP Human Health Assessments.  These communication issues include communication of the results within the country, to the individuals participating in the study and to policy makers. It should be noted that, in some countries, national guidelines relating to communication of results may already exist. </w:t>
      </w:r>
    </w:p>
    <w:p w14:paraId="4355E3DE"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 xml:space="preserve"> The UNEP/WHO GEF Global Monitoring Project demonstrated generation of data using the WHO Protocol in developing countries to be cost-effective, practical and feasible.  The project built local capacities to conduct such studies, which can therefore be repeated over time and in a range of locations to fill gaps, as described in paragraph 20. </w:t>
      </w:r>
    </w:p>
    <w:p w14:paraId="5113A512" w14:textId="77777777" w:rsidR="005107FA" w:rsidRPr="004646A2" w:rsidRDefault="005107FA" w:rsidP="005107FA">
      <w:pPr>
        <w:pStyle w:val="Normal-pool"/>
        <w:shd w:val="clear" w:color="auto" w:fill="FFFFFF"/>
        <w:tabs>
          <w:tab w:val="clear" w:pos="1247"/>
          <w:tab w:val="clear" w:pos="1814"/>
          <w:tab w:val="clear" w:pos="2381"/>
          <w:tab w:val="clear" w:pos="2948"/>
          <w:tab w:val="clear" w:pos="3515"/>
          <w:tab w:val="clear" w:pos="4082"/>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Style w:val="dn"/>
          <w:rFonts w:cs="Times New Roman"/>
          <w:b/>
          <w:bCs/>
          <w:sz w:val="24"/>
          <w:szCs w:val="24"/>
        </w:rPr>
      </w:pPr>
      <w:r w:rsidRPr="004646A2">
        <w:rPr>
          <w:rStyle w:val="dn"/>
          <w:rFonts w:cs="Times New Roman"/>
          <w:b/>
          <w:bCs/>
          <w:sz w:val="24"/>
          <w:szCs w:val="24"/>
        </w:rPr>
        <w:t>Biota</w:t>
      </w:r>
    </w:p>
    <w:p w14:paraId="79B0932E"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Style w:val="dn"/>
          <w:rFonts w:cs="Times New Roman"/>
          <w:sz w:val="24"/>
          <w:szCs w:val="24"/>
          <w:u w:color="FF0000"/>
        </w:rPr>
        <w:t xml:space="preserve">It has been recognized that there is a large amount of published data available, as well as unpublished data collected for commercial and governmental purposes. However, it is not clear to what extent published and other data reflect background information on mercury concentrations, or whether existing data emphasizes areas where high </w:t>
      </w:r>
      <w:r w:rsidRPr="004646A2">
        <w:rPr>
          <w:rFonts w:cs="Times New Roman"/>
          <w:sz w:val="24"/>
          <w:szCs w:val="24"/>
        </w:rPr>
        <w:t>mercury</w:t>
      </w:r>
      <w:r w:rsidRPr="004646A2">
        <w:rPr>
          <w:rStyle w:val="dn"/>
          <w:rFonts w:cs="Times New Roman"/>
          <w:sz w:val="24"/>
          <w:szCs w:val="24"/>
          <w:u w:color="FF0000"/>
        </w:rPr>
        <w:t xml:space="preserve"> concentrations are expected. As previously described, the large , biotic mercury concentration datasets from the northern United States, Canada and Scandinavia revealed that levels in freshwater fish from lakes with local mercury sources responded to regulation and management. Further evaluation work on existing data is required to gather all currently available globally representative biotic mercury data, to assess what data are relevant, comparable and able to be harmonized. This process has been started with the partly UNEP funded GBMS dataset, which will allow a clearer identification of data gaps, which may be geographic or taxonomic.</w:t>
      </w:r>
    </w:p>
    <w:p w14:paraId="060B3E48"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Style w:val="dn"/>
          <w:rFonts w:cs="Times New Roman"/>
          <w:sz w:val="24"/>
          <w:szCs w:val="24"/>
          <w:u w:color="FF0000"/>
        </w:rPr>
        <w:t xml:space="preserve">The Arctic Monitoring and Assessment Programme (AMAP) is one of the best examples of how to operate a long-term Hg biomonitoring field program for the benefit of both human and ecological health (AMAP 2011, 2015).  Whereas, the WHO Global Environment Monitoring System - Food Contamination Monitoring and Assessment </w:t>
      </w:r>
      <w:r w:rsidRPr="004646A2">
        <w:rPr>
          <w:rStyle w:val="dn"/>
          <w:rFonts w:cs="Times New Roman"/>
          <w:sz w:val="24"/>
          <w:szCs w:val="24"/>
          <w:u w:color="FF0000"/>
        </w:rPr>
        <w:lastRenderedPageBreak/>
        <w:t>Programme, commonly known as GEMS/Food, has one of the best global systems for collecting fish Hg data through their network of collaborating centers and recognized national institutions (WHO 2018).</w:t>
      </w:r>
    </w:p>
    <w:p w14:paraId="7860F94A" w14:textId="77777777" w:rsidR="005107FA" w:rsidRPr="004646A2" w:rsidRDefault="005107FA" w:rsidP="005107FA">
      <w:pPr>
        <w:pStyle w:val="Normal-pool"/>
        <w:shd w:val="clear" w:color="auto" w:fill="FFFFFF"/>
        <w:tabs>
          <w:tab w:val="clear" w:pos="1247"/>
          <w:tab w:val="clear" w:pos="1814"/>
          <w:tab w:val="clear" w:pos="2381"/>
          <w:tab w:val="clear" w:pos="2948"/>
          <w:tab w:val="clear" w:pos="3515"/>
          <w:tab w:val="clear" w:pos="4082"/>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Fonts w:cs="Times New Roman"/>
          <w:b/>
          <w:bCs/>
          <w:sz w:val="24"/>
          <w:szCs w:val="24"/>
        </w:rPr>
      </w:pPr>
      <w:r w:rsidRPr="004646A2">
        <w:rPr>
          <w:rFonts w:cs="Times New Roman"/>
          <w:b/>
          <w:bCs/>
          <w:sz w:val="24"/>
          <w:szCs w:val="24"/>
        </w:rPr>
        <w:t>Cost analysis</w:t>
      </w:r>
    </w:p>
    <w:p w14:paraId="3B48815F" w14:textId="77777777" w:rsidR="005107FA"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A table summarizing the cost, practicality, feasibility, sustainability, comparability and coverage of currently-used monitoring methods for air, humans, biota and water is included in UNEP/MC/COP.3/INF/XX.</w:t>
      </w:r>
    </w:p>
    <w:p w14:paraId="6797EC28" w14:textId="77777777" w:rsidR="005107FA" w:rsidRPr="003C114D" w:rsidRDefault="005107FA" w:rsidP="005107FA">
      <w:pPr>
        <w:pStyle w:val="TextB"/>
        <w:shd w:val="clear" w:color="auto" w:fill="FFFFFF"/>
        <w:tabs>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ind w:left="624"/>
        <w:rPr>
          <w:rFonts w:cs="Times New Roman"/>
          <w:sz w:val="24"/>
          <w:szCs w:val="24"/>
        </w:rPr>
      </w:pPr>
    </w:p>
    <w:p w14:paraId="4A4BA1C8" w14:textId="77777777" w:rsidR="005107FA" w:rsidRDefault="005107FA" w:rsidP="005107FA">
      <w:pPr>
        <w:pStyle w:val="TextB"/>
        <w:shd w:val="clear" w:color="auto" w:fill="FFFFFF"/>
        <w:spacing w:after="120"/>
        <w:rPr>
          <w:rFonts w:cs="Times New Roman"/>
          <w:sz w:val="24"/>
          <w:szCs w:val="24"/>
        </w:rPr>
      </w:pPr>
      <w:bookmarkStart w:id="5" w:name="_Hlk15566111"/>
      <w:r>
        <w:rPr>
          <w:rStyle w:val="dn"/>
          <w:rFonts w:cs="Times New Roman"/>
          <w:b/>
          <w:bCs/>
          <w:sz w:val="24"/>
          <w:szCs w:val="24"/>
        </w:rPr>
        <w:t xml:space="preserve">4. </w:t>
      </w:r>
      <w:r w:rsidRPr="004646A2">
        <w:rPr>
          <w:rStyle w:val="dn"/>
          <w:rFonts w:cs="Times New Roman"/>
          <w:b/>
          <w:bCs/>
          <w:sz w:val="24"/>
          <w:szCs w:val="24"/>
        </w:rPr>
        <w:t>Available modelling capabilities to assess changes in global mercury levels within and across different media</w:t>
      </w:r>
    </w:p>
    <w:p w14:paraId="528A5B09" w14:textId="77777777" w:rsidR="005107FA" w:rsidRPr="00D86906" w:rsidRDefault="005107FA" w:rsidP="0025348A">
      <w:pPr>
        <w:pStyle w:val="TextB"/>
        <w:numPr>
          <w:ilvl w:val="0"/>
          <w:numId w:val="44"/>
        </w:numPr>
        <w:shd w:val="clear" w:color="auto" w:fill="FFFFFF"/>
        <w:spacing w:after="120"/>
        <w:rPr>
          <w:rStyle w:val="dn"/>
          <w:rFonts w:cs="Times New Roman"/>
          <w:sz w:val="24"/>
          <w:szCs w:val="24"/>
        </w:rPr>
      </w:pPr>
      <w:r w:rsidRPr="004646A2">
        <w:rPr>
          <w:rFonts w:cs="Times New Roman"/>
          <w:sz w:val="24"/>
          <w:szCs w:val="24"/>
        </w:rPr>
        <w:t>Table 1 summarizes the capabilities of models to assess changes in global mercury levels within and across different media. Models for different media (air, water, land, biota) vary in their ability and state of development. Atmospheric models have been extensively evaluated and can be applied to assess spatial gradients in atmospheric mercury concentrations and deposition, as well as temporal changes. By contrast, models for other media such as land are still mainly used in research applications. Further explanation including reference to specific available models and example geographic presentation of calculations from existing models can be found in UNEP/MC/COP.3/INF/XX.</w:t>
      </w:r>
      <w:bookmarkEnd w:id="5"/>
    </w:p>
    <w:p w14:paraId="20D338E5"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Integrated modeling frameworks can illustrate pathways by which primary releases of mercury to the atmosphere, land and water reach methylmercury in fish and wildlife as well as exposure of some fish consuming human populations. At present, integrated modeling frameworks are under development and available as a research product. Integrated models have not previously been applied or compared in global assessment efforts. Coupled atmosphere-ocean and atmosphere-terrestrial have been published in the peer-reviewed literature by a few research groups. With additional model evaluation, updates should be available to begin policy-relevant analyses by 2023. Models for food web bioaccumulation of methylmercury are also available from selected groups and can be used to describe accumulation patterns at the ecosystem scale (lakes, wetlands, estuaries, contaminated sites) and for global marine food webs. The most difficult link in integrated modeling frameworks is to human exposure and health outcomes due to the diversity of dietary preferences, food consumption patterns and individual variability in toxicokinetics affecting methylmercury uptake and elimination. All these components of integrated modeling frameworks are rapidly developing in the scientific community.</w:t>
      </w:r>
    </w:p>
    <w:p w14:paraId="623A6DC0" w14:textId="77777777" w:rsidR="005107FA" w:rsidRPr="004646A2" w:rsidRDefault="005107FA" w:rsidP="005107FA">
      <w:pPr>
        <w:pStyle w:val="TextC"/>
        <w:shd w:val="clear" w:color="auto" w:fill="FFFFFF"/>
        <w:spacing w:after="0" w:line="240" w:lineRule="auto"/>
        <w:rPr>
          <w:rStyle w:val="dn"/>
          <w:rFonts w:ascii="Times New Roman" w:eastAsia="Helvetica" w:hAnsi="Times New Roman" w:cs="Times New Roman"/>
          <w:sz w:val="24"/>
          <w:szCs w:val="24"/>
        </w:rPr>
      </w:pPr>
    </w:p>
    <w:p w14:paraId="076F8893" w14:textId="77777777" w:rsidR="00412A29" w:rsidRDefault="00412A29">
      <w:pPr>
        <w:rPr>
          <w:rStyle w:val="dn"/>
          <w:rFonts w:ascii="Times New Roman" w:eastAsia="Calibri" w:hAnsi="Times New Roman" w:cs="Times New Roman"/>
          <w:b/>
          <w:bCs/>
          <w:color w:val="000000"/>
          <w:sz w:val="24"/>
          <w:szCs w:val="24"/>
          <w:u w:color="000000"/>
          <w:bdr w:val="nil"/>
          <w:lang w:val="en-US"/>
        </w:rPr>
      </w:pPr>
      <w:r>
        <w:rPr>
          <w:rStyle w:val="dn"/>
          <w:rFonts w:ascii="Times New Roman" w:hAnsi="Times New Roman" w:cs="Times New Roman"/>
          <w:b/>
          <w:bCs/>
          <w:sz w:val="24"/>
          <w:szCs w:val="24"/>
          <w:lang w:val="en-US"/>
        </w:rPr>
        <w:br w:type="page"/>
      </w:r>
    </w:p>
    <w:p w14:paraId="7691404E" w14:textId="6D19877C" w:rsidR="005107FA" w:rsidRPr="004646A2" w:rsidRDefault="005107FA" w:rsidP="005107FA">
      <w:pPr>
        <w:pStyle w:val="TextC"/>
        <w:shd w:val="clear" w:color="auto" w:fill="FFFFFF"/>
        <w:spacing w:after="0" w:line="240" w:lineRule="auto"/>
        <w:rPr>
          <w:rStyle w:val="dn"/>
          <w:rFonts w:ascii="Times New Roman" w:eastAsia="Times New Roman" w:hAnsi="Times New Roman" w:cs="Times New Roman"/>
          <w:sz w:val="24"/>
          <w:szCs w:val="24"/>
          <w:lang w:val="en-US"/>
        </w:rPr>
      </w:pPr>
      <w:r w:rsidRPr="004646A2">
        <w:rPr>
          <w:rStyle w:val="dn"/>
          <w:rFonts w:ascii="Times New Roman" w:hAnsi="Times New Roman" w:cs="Times New Roman"/>
          <w:b/>
          <w:bCs/>
          <w:sz w:val="24"/>
          <w:szCs w:val="24"/>
          <w:lang w:val="en-US"/>
        </w:rPr>
        <w:lastRenderedPageBreak/>
        <w:t>Table 1. Summary of available modeling capabilities for individual media</w:t>
      </w:r>
      <w:r w:rsidRPr="004646A2">
        <w:rPr>
          <w:rStyle w:val="dn"/>
          <w:rFonts w:ascii="Times New Roman" w:hAnsi="Times New Roman" w:cs="Times New Roman"/>
          <w:sz w:val="24"/>
          <w:szCs w:val="24"/>
          <w:lang w:val="en-US"/>
        </w:rPr>
        <w:t xml:space="preserve">. </w:t>
      </w:r>
    </w:p>
    <w:p w14:paraId="3D5CDD35" w14:textId="77777777" w:rsidR="005107FA" w:rsidRPr="004646A2" w:rsidRDefault="005107FA" w:rsidP="005107FA">
      <w:pPr>
        <w:pStyle w:val="TextC"/>
        <w:shd w:val="clear" w:color="auto" w:fill="FFFFFF"/>
        <w:spacing w:after="0" w:line="240" w:lineRule="auto"/>
        <w:rPr>
          <w:rStyle w:val="dn"/>
          <w:rFonts w:ascii="Times New Roman" w:eastAsia="Times New Roman" w:hAnsi="Times New Roman" w:cs="Times New Roman"/>
          <w:sz w:val="24"/>
          <w:szCs w:val="24"/>
        </w:rPr>
      </w:pPr>
    </w:p>
    <w:tbl>
      <w:tblPr>
        <w:tblW w:w="95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127"/>
        <w:gridCol w:w="3334"/>
        <w:gridCol w:w="1843"/>
        <w:gridCol w:w="2268"/>
      </w:tblGrid>
      <w:tr w:rsidR="005107FA" w:rsidRPr="004646A2" w14:paraId="0469666C" w14:textId="77777777" w:rsidTr="00412A29">
        <w:trPr>
          <w:trHeight w:val="52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F113F"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b/>
                <w:bCs/>
                <w:sz w:val="24"/>
                <w:szCs w:val="24"/>
                <w:lang w:val="en-US"/>
              </w:rPr>
              <w:t>Media/Availability</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5734F"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b/>
                <w:bCs/>
                <w:sz w:val="24"/>
                <w:szCs w:val="24"/>
                <w:lang w:val="en-US"/>
              </w:rPr>
              <w:t>Indicators needed for model input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553DF"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b/>
                <w:bCs/>
                <w:sz w:val="24"/>
                <w:szCs w:val="24"/>
                <w:lang w:val="en-US"/>
              </w:rPr>
              <w:t>Output provided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F785D"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b/>
                <w:bCs/>
                <w:sz w:val="24"/>
                <w:szCs w:val="24"/>
                <w:lang w:val="en-US"/>
              </w:rPr>
              <w:t>Gaps still to be filled</w:t>
            </w:r>
          </w:p>
        </w:tc>
      </w:tr>
      <w:tr w:rsidR="005107FA" w:rsidRPr="004646A2" w14:paraId="56A3881E" w14:textId="77777777" w:rsidTr="00412A29">
        <w:trPr>
          <w:trHeight w:val="2202"/>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B0085"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b/>
                <w:bCs/>
                <w:i/>
                <w:iCs/>
                <w:sz w:val="24"/>
                <w:szCs w:val="24"/>
              </w:rPr>
            </w:pPr>
            <w:r w:rsidRPr="004646A2">
              <w:rPr>
                <w:rStyle w:val="dn"/>
                <w:rFonts w:ascii="Times New Roman" w:hAnsi="Times New Roman" w:cs="Times New Roman"/>
                <w:b/>
                <w:bCs/>
                <w:i/>
                <w:iCs/>
                <w:sz w:val="24"/>
                <w:szCs w:val="24"/>
                <w:lang w:val="en-US"/>
              </w:rPr>
              <w:t>Socio-Economic Modeling: Some Availability</w:t>
            </w:r>
          </w:p>
          <w:p w14:paraId="219FCC81"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0A7530B5"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Global emission models (forecasting up to 2050)</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A39F0"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b/>
                <w:bCs/>
                <w:sz w:val="24"/>
                <w:szCs w:val="24"/>
                <w:lang w:val="en-US"/>
              </w:rPr>
              <w:t xml:space="preserve">Inputs: </w:t>
            </w:r>
            <w:r w:rsidRPr="004646A2">
              <w:rPr>
                <w:rStyle w:val="dn"/>
                <w:rFonts w:ascii="Times New Roman" w:hAnsi="Times New Roman" w:cs="Times New Roman"/>
                <w:sz w:val="24"/>
                <w:szCs w:val="24"/>
                <w:lang w:val="en-US"/>
              </w:rPr>
              <w:t>socio-economic activity data (production, population, GDP), material flow and policy specifications</w:t>
            </w:r>
          </w:p>
          <w:p w14:paraId="6AED9024"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b/>
                <w:bCs/>
                <w:sz w:val="24"/>
                <w:szCs w:val="24"/>
                <w:lang w:val="en-US"/>
              </w:rPr>
            </w:pPr>
          </w:p>
          <w:p w14:paraId="36BF9AC2"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b/>
                <w:bCs/>
                <w:sz w:val="24"/>
                <w:szCs w:val="24"/>
                <w:lang w:val="en-US"/>
              </w:rPr>
              <w:t xml:space="preserve">Evaluation: </w:t>
            </w:r>
            <w:r w:rsidRPr="004646A2">
              <w:rPr>
                <w:rStyle w:val="dn"/>
                <w:rFonts w:ascii="Times New Roman" w:hAnsi="Times New Roman" w:cs="Times New Roman"/>
                <w:sz w:val="24"/>
                <w:szCs w:val="24"/>
                <w:lang w:val="en-US"/>
              </w:rPr>
              <w:t>intercomparison and past performance, Anthropogenic material flow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0CAAF"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Global demands, Emission and release scenarios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C7CFC"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Mercury emission factors to be refined(regional, site, etc.), data on mercury content of commodities to be collected, consistency across sectors and non-mercury policies to be explored (e.g. energy)</w:t>
            </w:r>
          </w:p>
        </w:tc>
      </w:tr>
      <w:tr w:rsidR="005107FA" w:rsidRPr="004646A2" w14:paraId="69454206" w14:textId="77777777" w:rsidTr="00412A29">
        <w:trPr>
          <w:trHeight w:val="142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9C60E"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b/>
                <w:bCs/>
                <w:i/>
                <w:iCs/>
                <w:sz w:val="24"/>
                <w:szCs w:val="24"/>
                <w:lang w:val="en-US"/>
              </w:rPr>
              <w:t>Air: Widely Available</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FFB26"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b/>
                <w:bCs/>
                <w:sz w:val="24"/>
                <w:szCs w:val="24"/>
                <w:lang w:val="en-US"/>
              </w:rPr>
              <w:t>Inputs:</w:t>
            </w:r>
            <w:r w:rsidRPr="004646A2">
              <w:rPr>
                <w:rStyle w:val="dn"/>
                <w:rFonts w:ascii="Times New Roman" w:hAnsi="Times New Roman" w:cs="Times New Roman"/>
                <w:sz w:val="24"/>
                <w:szCs w:val="24"/>
                <w:lang w:val="en-US"/>
              </w:rPr>
              <w:t xml:space="preserve"> Global emissions</w:t>
            </w:r>
          </w:p>
          <w:p w14:paraId="6BF2C881"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5C02E5B0"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b/>
                <w:bCs/>
                <w:sz w:val="24"/>
                <w:szCs w:val="24"/>
                <w:lang w:val="en-US"/>
              </w:rPr>
              <w:t>Evaluation:</w:t>
            </w:r>
            <w:r w:rsidRPr="004646A2">
              <w:rPr>
                <w:rStyle w:val="dn"/>
                <w:rFonts w:ascii="Times New Roman" w:hAnsi="Times New Roman" w:cs="Times New Roman"/>
                <w:sz w:val="24"/>
                <w:szCs w:val="24"/>
                <w:lang w:val="en-US"/>
              </w:rPr>
              <w:t xml:space="preserve"> Atmospheric measurements;</w:t>
            </w:r>
          </w:p>
          <w:p w14:paraId="76326F45"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Wet and dry deposition data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39E36"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Atmospheric concentration; deposition;</w:t>
            </w:r>
          </w:p>
          <w:p w14:paraId="42391FB6"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 xml:space="preserve">temporal changes; </w:t>
            </w:r>
          </w:p>
          <w:p w14:paraId="24825565"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attribution by source region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2DA16"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Harmonized emissions inventories to be established</w:t>
            </w:r>
          </w:p>
        </w:tc>
      </w:tr>
      <w:tr w:rsidR="005107FA" w:rsidRPr="004646A2" w14:paraId="30F38BA4" w14:textId="77777777" w:rsidTr="00412A29">
        <w:trPr>
          <w:trHeight w:val="34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2DDB0"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b/>
                <w:bCs/>
                <w:i/>
                <w:iCs/>
                <w:sz w:val="24"/>
                <w:szCs w:val="24"/>
              </w:rPr>
            </w:pPr>
            <w:r w:rsidRPr="004646A2">
              <w:rPr>
                <w:rStyle w:val="dn"/>
                <w:rFonts w:ascii="Times New Roman" w:hAnsi="Times New Roman" w:cs="Times New Roman"/>
                <w:b/>
                <w:bCs/>
                <w:i/>
                <w:iCs/>
                <w:sz w:val="24"/>
                <w:szCs w:val="24"/>
                <w:lang w:val="en-US"/>
              </w:rPr>
              <w:t>Water: Research Product; Some Availability</w:t>
            </w:r>
          </w:p>
          <w:p w14:paraId="05FF65EF"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i/>
                <w:iCs/>
                <w:sz w:val="24"/>
                <w:szCs w:val="24"/>
                <w:lang w:val="en-US"/>
              </w:rPr>
            </w:pPr>
          </w:p>
          <w:p w14:paraId="31F62FC2"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i/>
                <w:iCs/>
                <w:sz w:val="24"/>
                <w:szCs w:val="24"/>
              </w:rPr>
            </w:pPr>
            <w:r w:rsidRPr="004646A2">
              <w:rPr>
                <w:rStyle w:val="dn"/>
                <w:rFonts w:ascii="Times New Roman" w:hAnsi="Times New Roman" w:cs="Times New Roman"/>
                <w:i/>
                <w:iCs/>
                <w:sz w:val="24"/>
                <w:szCs w:val="24"/>
                <w:lang w:val="en-US"/>
              </w:rPr>
              <w:t>Global Oceans</w:t>
            </w:r>
          </w:p>
          <w:p w14:paraId="4C92E637"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s-ES_tradnl"/>
              </w:rPr>
              <w:t>Global ocean models (MITgcm, NEMO model)</w:t>
            </w:r>
          </w:p>
          <w:p w14:paraId="3A96A36C"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s-ES_tradnl"/>
              </w:rPr>
            </w:pPr>
          </w:p>
          <w:p w14:paraId="40083F1A"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i/>
                <w:iCs/>
                <w:sz w:val="24"/>
                <w:szCs w:val="24"/>
                <w:lang w:val="en-US"/>
              </w:rPr>
              <w:t>Estuaries (site specific); Freshwater/rivers (site specific</w:t>
            </w:r>
            <w:r w:rsidRPr="004646A2">
              <w:rPr>
                <w:rStyle w:val="dn"/>
                <w:rFonts w:ascii="Times New Roman" w:hAnsi="Times New Roman" w:cs="Times New Roman"/>
                <w:sz w:val="24"/>
                <w:szCs w:val="24"/>
                <w:lang w:val="en-US"/>
              </w:rPr>
              <w:t>)</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98C42"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b/>
                <w:bCs/>
                <w:sz w:val="24"/>
                <w:szCs w:val="24"/>
                <w:lang w:val="en-US"/>
              </w:rPr>
              <w:t>Inputs</w:t>
            </w:r>
            <w:r w:rsidRPr="004646A2">
              <w:rPr>
                <w:rStyle w:val="dn"/>
                <w:rFonts w:ascii="Times New Roman" w:hAnsi="Times New Roman" w:cs="Times New Roman"/>
                <w:sz w:val="24"/>
                <w:szCs w:val="24"/>
                <w:lang w:val="en-US"/>
              </w:rPr>
              <w:t>: Spatially resolved global atmospheric Hg inputs (wet + dry) –</w:t>
            </w:r>
          </w:p>
          <w:p w14:paraId="47368237"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Concentrations of Hg and MeHg in rivers (globally)</w:t>
            </w:r>
          </w:p>
          <w:p w14:paraId="112E4157"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368D536A"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b/>
                <w:bCs/>
                <w:sz w:val="24"/>
                <w:szCs w:val="24"/>
                <w:lang w:val="en-US"/>
              </w:rPr>
              <w:t>Evaluation:</w:t>
            </w:r>
            <w:r w:rsidRPr="004646A2">
              <w:rPr>
                <w:rStyle w:val="dn"/>
                <w:rFonts w:ascii="Times New Roman" w:hAnsi="Times New Roman" w:cs="Times New Roman"/>
                <w:sz w:val="24"/>
                <w:szCs w:val="24"/>
                <w:lang w:val="en-US"/>
              </w:rPr>
              <w:t xml:space="preserve"> Measured seawater total and methylmercury, and Hg</w:t>
            </w:r>
            <w:r w:rsidRPr="004646A2">
              <w:rPr>
                <w:rStyle w:val="dn"/>
                <w:rFonts w:ascii="Times New Roman" w:hAnsi="Times New Roman" w:cs="Times New Roman"/>
                <w:sz w:val="24"/>
                <w:szCs w:val="24"/>
                <w:vertAlign w:val="superscript"/>
                <w:lang w:val="en-US"/>
              </w:rPr>
              <w:t>0</w:t>
            </w:r>
            <w:r w:rsidRPr="004646A2">
              <w:rPr>
                <w:rStyle w:val="dn"/>
                <w:rFonts w:ascii="Times New Roman" w:hAnsi="Times New Roman" w:cs="Times New Roman"/>
                <w:sz w:val="24"/>
                <w:szCs w:val="24"/>
                <w:lang w:val="en-US"/>
              </w:rPr>
              <w:t xml:space="preserve"> concentrations; </w:t>
            </w:r>
          </w:p>
          <w:p w14:paraId="66C5D4CF"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 xml:space="preserve">These are being collected through networks (GEOTRACES/CLIVAR)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1F818"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Seawater MeHg in global oceans</w:t>
            </w:r>
          </w:p>
          <w:p w14:paraId="6B1783F6"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002E6D02"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Total Hg concentrations in seawater globally for surface/deep ocean</w:t>
            </w:r>
          </w:p>
          <w:p w14:paraId="101883ED"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1789D64C"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Temporal changes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ED020"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Seawater Hg species data somewhat sparse but improving</w:t>
            </w:r>
          </w:p>
          <w:p w14:paraId="6DB30F3B"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095C31EA"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Data on Hg and MeHg in global rivers largely lacking</w:t>
            </w:r>
          </w:p>
        </w:tc>
      </w:tr>
      <w:tr w:rsidR="005107FA" w:rsidRPr="004646A2" w14:paraId="657ED9C8" w14:textId="77777777" w:rsidTr="00412A29">
        <w:trPr>
          <w:trHeight w:val="1044"/>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0DDCF"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b/>
                <w:bCs/>
                <w:i/>
                <w:iCs/>
                <w:sz w:val="24"/>
                <w:szCs w:val="24"/>
              </w:rPr>
            </w:pPr>
            <w:r w:rsidRPr="004646A2">
              <w:rPr>
                <w:rStyle w:val="dn"/>
                <w:rFonts w:ascii="Times New Roman" w:hAnsi="Times New Roman" w:cs="Times New Roman"/>
                <w:b/>
                <w:bCs/>
                <w:i/>
                <w:iCs/>
                <w:sz w:val="24"/>
                <w:szCs w:val="24"/>
                <w:lang w:val="en-US"/>
              </w:rPr>
              <w:t>Soils/Land: Research Product – Some Availability</w:t>
            </w:r>
          </w:p>
          <w:p w14:paraId="758A0FC2"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i/>
                <w:iCs/>
                <w:sz w:val="24"/>
                <w:szCs w:val="24"/>
              </w:rPr>
            </w:pPr>
            <w:r w:rsidRPr="004646A2">
              <w:rPr>
                <w:rStyle w:val="dn"/>
                <w:rFonts w:ascii="Times New Roman" w:hAnsi="Times New Roman" w:cs="Times New Roman"/>
                <w:i/>
                <w:iCs/>
                <w:sz w:val="24"/>
                <w:szCs w:val="24"/>
                <w:lang w:val="en-US"/>
              </w:rPr>
              <w:t>Global soils</w:t>
            </w:r>
          </w:p>
          <w:p w14:paraId="4C8B8335"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Global terrestrial mercury model (GTMM)</w:t>
            </w:r>
          </w:p>
          <w:p w14:paraId="1F355A4D"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5CD611D7"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1B774517"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ASGM/Contaminated sites (not yet integrated into global models but would be useful)</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250FB"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b/>
                <w:bCs/>
                <w:sz w:val="24"/>
                <w:szCs w:val="24"/>
                <w:lang w:val="en-US"/>
              </w:rPr>
              <w:lastRenderedPageBreak/>
              <w:t>Inputs:</w:t>
            </w:r>
            <w:r w:rsidRPr="004646A2">
              <w:rPr>
                <w:rStyle w:val="dn"/>
                <w:rFonts w:ascii="Times New Roman" w:hAnsi="Times New Roman" w:cs="Times New Roman"/>
                <w:sz w:val="24"/>
                <w:szCs w:val="24"/>
                <w:lang w:val="en-US"/>
              </w:rPr>
              <w:t xml:space="preserve"> Atmospheric deposition (model input)</w:t>
            </w:r>
          </w:p>
          <w:p w14:paraId="73098DEA"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 xml:space="preserve">Emissions releases to land/water (very preliminary and coarse spatial resolution) </w:t>
            </w:r>
          </w:p>
          <w:p w14:paraId="509636F4"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2DC70CAD"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 xml:space="preserve">Few data on runoff from contaminated sites </w:t>
            </w:r>
          </w:p>
          <w:p w14:paraId="483E211D"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12892E54"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 xml:space="preserve">Global land cover data and atmospheric inputs </w:t>
            </w:r>
          </w:p>
          <w:p w14:paraId="33C3095C"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5C4AD4C7"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b/>
                <w:bCs/>
                <w:sz w:val="24"/>
                <w:szCs w:val="24"/>
                <w:lang w:val="en-US"/>
              </w:rPr>
              <w:t>Evaluation:</w:t>
            </w:r>
            <w:r w:rsidRPr="004646A2">
              <w:rPr>
                <w:rStyle w:val="dn"/>
                <w:rFonts w:ascii="Times New Roman" w:hAnsi="Times New Roman" w:cs="Times New Roman"/>
                <w:sz w:val="24"/>
                <w:szCs w:val="24"/>
                <w:lang w:val="en-US"/>
              </w:rPr>
              <w:t xml:space="preserve"> Soil Hg data (good data for North America, parts of Europe)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1C5A3"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lastRenderedPageBreak/>
              <w:t>Soil Hg concentrations globally</w:t>
            </w:r>
          </w:p>
          <w:p w14:paraId="3397D4E8"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62CFA830"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 xml:space="preserve">Hg in global rivers </w:t>
            </w:r>
          </w:p>
          <w:p w14:paraId="53742675"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29F43B5C"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lastRenderedPageBreak/>
              <w:t>“Hot spots” most sensitive to Hg inputs and likely to affect biota/human populations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5FEA2"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lastRenderedPageBreak/>
              <w:t>MeHg simulation for terrestrial environments other than site specific assessments still to be done.</w:t>
            </w:r>
          </w:p>
          <w:p w14:paraId="2A5647E6"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4B10FB20"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lastRenderedPageBreak/>
              <w:t>Ground truthing global “hot spot” analysis is needed.  Data on locations of ASGM and releases/ contaminated sites to be collected.</w:t>
            </w:r>
          </w:p>
        </w:tc>
      </w:tr>
      <w:tr w:rsidR="005107FA" w:rsidRPr="004646A2" w14:paraId="0ED04763" w14:textId="77777777" w:rsidTr="00412A29">
        <w:trPr>
          <w:trHeight w:val="410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5C1B8"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b/>
                <w:bCs/>
                <w:i/>
                <w:iCs/>
                <w:sz w:val="24"/>
                <w:szCs w:val="24"/>
              </w:rPr>
            </w:pPr>
            <w:r w:rsidRPr="004646A2">
              <w:rPr>
                <w:rStyle w:val="dn"/>
                <w:rFonts w:ascii="Times New Roman" w:hAnsi="Times New Roman" w:cs="Times New Roman"/>
                <w:b/>
                <w:bCs/>
                <w:i/>
                <w:iCs/>
                <w:sz w:val="24"/>
                <w:szCs w:val="24"/>
                <w:lang w:val="en-US"/>
              </w:rPr>
              <w:lastRenderedPageBreak/>
              <w:t>Biota: Research Product – Some Availability</w:t>
            </w:r>
          </w:p>
          <w:p w14:paraId="1695978C"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Food web bioaccumulation model for marine ecosystems</w:t>
            </w:r>
          </w:p>
          <w:p w14:paraId="03E39853"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(global models for plankton exist/fish under development)</w:t>
            </w:r>
          </w:p>
          <w:p w14:paraId="4D57600C"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2C0C9988"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7A6AC2D4"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Food web model for freshwater ecosystems (site specific)</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149B5"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4E3586FC"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b/>
                <w:bCs/>
                <w:sz w:val="24"/>
                <w:szCs w:val="24"/>
                <w:lang w:val="en-US"/>
              </w:rPr>
              <w:t>Inputs</w:t>
            </w:r>
            <w:r w:rsidRPr="004646A2">
              <w:rPr>
                <w:rStyle w:val="dn"/>
                <w:rFonts w:ascii="Times New Roman" w:hAnsi="Times New Roman" w:cs="Times New Roman"/>
                <w:sz w:val="24"/>
                <w:szCs w:val="24"/>
                <w:lang w:val="en-US"/>
              </w:rPr>
              <w:t>: MeHg seawater (model); Fisheries biomass production from primary productivity globally, trophic interactions (available through collaboration with NOAA/GFDL and UBC Nereus projects)</w:t>
            </w:r>
          </w:p>
          <w:p w14:paraId="7688507A"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66845DD7"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b/>
                <w:bCs/>
                <w:sz w:val="24"/>
                <w:szCs w:val="24"/>
                <w:lang w:val="en-US"/>
              </w:rPr>
              <w:t>Evaluation</w:t>
            </w:r>
            <w:r w:rsidRPr="004646A2">
              <w:rPr>
                <w:rStyle w:val="dn"/>
                <w:rFonts w:ascii="Times New Roman" w:hAnsi="Times New Roman" w:cs="Times New Roman"/>
                <w:sz w:val="24"/>
                <w:szCs w:val="24"/>
                <w:lang w:val="en-US"/>
              </w:rPr>
              <w:t>: Biotic mercury database</w:t>
            </w:r>
          </w:p>
          <w:p w14:paraId="7F10F551"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48A01A10"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 xml:space="preserve">Trophic level 3 for temporal trend, 4 for spatial gradient analysis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4B88C"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52F89971"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 xml:space="preserve">Concentrations of MeHg in fish consumed by human populations; Marine origin of MeHg and </w:t>
            </w:r>
          </w:p>
          <w:p w14:paraId="262361F0"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3670FE84"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Attribution of</w:t>
            </w:r>
          </w:p>
          <w:p w14:paraId="27E0EEFD"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Hg sources in fish (marine mammals?) by region;</w:t>
            </w:r>
          </w:p>
          <w:p w14:paraId="7B3D1C00"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72681FC3"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Changes due to emissions and climate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76E1C"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0F67DBCD"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1E6800B8"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Global fish model under development; could link to marine mammals/birds</w:t>
            </w:r>
          </w:p>
          <w:p w14:paraId="16F063FE"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1F38D640"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628019F5"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6770BB7F"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6AD5DBC3"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295CC5DF"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671FC391" w14:textId="77777777" w:rsidR="005107FA"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489E7D6C"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033E79B8"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Trophic level 4 data in Asia and Africa to be collected</w:t>
            </w:r>
          </w:p>
        </w:tc>
      </w:tr>
      <w:tr w:rsidR="005107FA" w:rsidRPr="004646A2" w14:paraId="37596E3A" w14:textId="77777777" w:rsidTr="00412A29">
        <w:trPr>
          <w:trHeight w:val="1044"/>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F55A4"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b/>
                <w:bCs/>
                <w:i/>
                <w:iCs/>
                <w:sz w:val="24"/>
                <w:szCs w:val="24"/>
              </w:rPr>
            </w:pPr>
            <w:r w:rsidRPr="004646A2">
              <w:rPr>
                <w:rStyle w:val="dn"/>
                <w:rFonts w:ascii="Times New Roman" w:hAnsi="Times New Roman" w:cs="Times New Roman"/>
                <w:b/>
                <w:bCs/>
                <w:i/>
                <w:iCs/>
                <w:sz w:val="24"/>
                <w:szCs w:val="24"/>
                <w:lang w:val="en-US"/>
              </w:rPr>
              <w:t>Humans</w:t>
            </w:r>
          </w:p>
          <w:p w14:paraId="699559A7"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Exposures of marine fish consumers (globally)</w:t>
            </w:r>
          </w:p>
          <w:p w14:paraId="219D5D25"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2D0B297D"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i/>
                <w:iCs/>
                <w:sz w:val="24"/>
                <w:szCs w:val="24"/>
              </w:rPr>
            </w:pPr>
            <w:r w:rsidRPr="004646A2">
              <w:rPr>
                <w:rStyle w:val="dn"/>
                <w:rFonts w:ascii="Times New Roman" w:hAnsi="Times New Roman" w:cs="Times New Roman"/>
                <w:i/>
                <w:iCs/>
                <w:sz w:val="24"/>
                <w:szCs w:val="24"/>
                <w:lang w:val="en-US"/>
              </w:rPr>
              <w:t>Toxicokinetic model linking MeHg ingestion and blood/hair concentrations/</w:t>
            </w:r>
          </w:p>
          <w:p w14:paraId="20435A1B"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i/>
                <w:iCs/>
                <w:sz w:val="24"/>
                <w:szCs w:val="24"/>
              </w:rPr>
            </w:pPr>
            <w:r w:rsidRPr="004646A2">
              <w:rPr>
                <w:rStyle w:val="dn"/>
                <w:rFonts w:ascii="Times New Roman" w:hAnsi="Times New Roman" w:cs="Times New Roman"/>
                <w:i/>
                <w:iCs/>
                <w:sz w:val="24"/>
                <w:szCs w:val="24"/>
                <w:lang w:val="en-US"/>
              </w:rPr>
              <w:t>outcomes</w:t>
            </w:r>
          </w:p>
          <w:p w14:paraId="52E49267"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25D15608"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Freshwater fish and rice consumers (site specific data, if applicable) – these may be highest risk populations</w:t>
            </w:r>
          </w:p>
          <w:p w14:paraId="6ADE37DC"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6A11F3A5"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lastRenderedPageBreak/>
              <w:t>Occupational exposures at ASGM sites (site specific)</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D038A"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673DB5F9"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Inputs: Biomass and MeHg concentrations in fish consumed by different subsidence populations globally (</w:t>
            </w:r>
            <w:r w:rsidRPr="004646A2">
              <w:rPr>
                <w:rStyle w:val="dn"/>
                <w:rFonts w:ascii="Times New Roman" w:hAnsi="Times New Roman" w:cs="Times New Roman"/>
                <w:b/>
                <w:bCs/>
                <w:sz w:val="24"/>
                <w:szCs w:val="24"/>
                <w:lang w:val="en-US"/>
              </w:rPr>
              <w:t>model</w:t>
            </w:r>
            <w:r w:rsidRPr="004646A2">
              <w:rPr>
                <w:rStyle w:val="dn"/>
                <w:rFonts w:ascii="Times New Roman" w:hAnsi="Times New Roman" w:cs="Times New Roman"/>
                <w:sz w:val="24"/>
                <w:szCs w:val="24"/>
                <w:lang w:val="en-US"/>
              </w:rPr>
              <w:t>); Dietary intake data for different human populations</w:t>
            </w:r>
          </w:p>
          <w:p w14:paraId="457B006D"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1ACC2FD0"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National biomonitoring data (model evaluation)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30CB7"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lang w:val="en-US"/>
              </w:rPr>
            </w:pPr>
          </w:p>
          <w:p w14:paraId="5B1B8D43"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 xml:space="preserve">Goal: Attribution of Hg source contributions to human populations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739CD" w14:textId="77777777" w:rsidR="005107FA" w:rsidRPr="004646A2" w:rsidRDefault="005107FA" w:rsidP="002D2A43">
            <w:pPr>
              <w:pStyle w:val="TextC"/>
              <w:shd w:val="clear" w:color="auto" w:fill="FFFFFF"/>
              <w:spacing w:after="0" w:line="240" w:lineRule="auto"/>
              <w:rPr>
                <w:rStyle w:val="dn"/>
                <w:rFonts w:ascii="Times New Roman" w:eastAsia="Times New Roman" w:hAnsi="Times New Roman" w:cs="Times New Roman"/>
                <w:sz w:val="24"/>
                <w:szCs w:val="24"/>
              </w:rPr>
            </w:pPr>
            <w:r w:rsidRPr="004646A2">
              <w:rPr>
                <w:rStyle w:val="dn"/>
                <w:rFonts w:ascii="Times New Roman" w:hAnsi="Times New Roman" w:cs="Times New Roman"/>
                <w:sz w:val="24"/>
                <w:szCs w:val="24"/>
                <w:lang w:val="en-US"/>
              </w:rPr>
              <w:t>Mechanisms affecting relationships between external MeHg exposure and blood concentrations/</w:t>
            </w:r>
          </w:p>
          <w:p w14:paraId="6F414DFA" w14:textId="77777777" w:rsidR="005107FA" w:rsidRPr="004646A2" w:rsidRDefault="005107FA" w:rsidP="002D2A43">
            <w:pPr>
              <w:pStyle w:val="TextC"/>
              <w:shd w:val="clear" w:color="auto" w:fill="FFFFFF"/>
              <w:spacing w:after="0" w:line="240" w:lineRule="auto"/>
              <w:rPr>
                <w:rFonts w:ascii="Times New Roman" w:hAnsi="Times New Roman" w:cs="Times New Roman"/>
                <w:sz w:val="24"/>
                <w:szCs w:val="24"/>
              </w:rPr>
            </w:pPr>
            <w:r w:rsidRPr="004646A2">
              <w:rPr>
                <w:rStyle w:val="dn"/>
                <w:rFonts w:ascii="Times New Roman" w:hAnsi="Times New Roman" w:cs="Times New Roman"/>
                <w:sz w:val="24"/>
                <w:szCs w:val="24"/>
                <w:lang w:val="en-US"/>
              </w:rPr>
              <w:t>outcomes for different populations are uncertain (research evolving)</w:t>
            </w:r>
          </w:p>
        </w:tc>
      </w:tr>
    </w:tbl>
    <w:p w14:paraId="7CE66B07" w14:textId="77777777" w:rsidR="005107FA" w:rsidRPr="004646A2" w:rsidRDefault="005107FA" w:rsidP="005107FA">
      <w:pPr>
        <w:pStyle w:val="TextC"/>
        <w:widowControl w:val="0"/>
        <w:shd w:val="clear" w:color="auto" w:fill="FFFFFF"/>
        <w:spacing w:after="0" w:line="240" w:lineRule="auto"/>
        <w:ind w:left="324" w:hanging="324"/>
        <w:rPr>
          <w:rStyle w:val="dn"/>
          <w:rFonts w:ascii="Times New Roman" w:eastAsia="Times New Roman" w:hAnsi="Times New Roman" w:cs="Times New Roman"/>
          <w:sz w:val="24"/>
          <w:szCs w:val="24"/>
        </w:rPr>
      </w:pPr>
    </w:p>
    <w:p w14:paraId="2EA4E215" w14:textId="77777777" w:rsidR="005107FA" w:rsidRPr="004646A2" w:rsidRDefault="005107FA" w:rsidP="005107FA">
      <w:pPr>
        <w:pStyle w:val="TextC"/>
        <w:widowControl w:val="0"/>
        <w:shd w:val="clear" w:color="auto" w:fill="FFFFFF"/>
        <w:spacing w:after="0" w:line="240" w:lineRule="auto"/>
        <w:ind w:left="216" w:hanging="216"/>
        <w:rPr>
          <w:rStyle w:val="dn"/>
          <w:rFonts w:ascii="Times New Roman" w:eastAsia="Times New Roman" w:hAnsi="Times New Roman" w:cs="Times New Roman"/>
          <w:sz w:val="24"/>
          <w:szCs w:val="24"/>
        </w:rPr>
      </w:pPr>
    </w:p>
    <w:p w14:paraId="068200E5" w14:textId="77777777" w:rsidR="005107FA" w:rsidRPr="004646A2" w:rsidRDefault="005107FA" w:rsidP="005107FA">
      <w:pPr>
        <w:pStyle w:val="Normal-pool"/>
        <w:shd w:val="clear" w:color="auto" w:fill="FFFFFF"/>
        <w:tabs>
          <w:tab w:val="clear" w:pos="1814"/>
          <w:tab w:val="clear" w:pos="2381"/>
          <w:tab w:val="clear" w:pos="2948"/>
          <w:tab w:val="clear" w:pos="3515"/>
          <w:tab w:val="clear" w:pos="4082"/>
          <w:tab w:val="left" w:pos="624"/>
          <w:tab w:val="left" w:pos="1872"/>
          <w:tab w:val="left" w:pos="2496"/>
          <w:tab w:val="left" w:pos="3120"/>
          <w:tab w:val="left" w:pos="3744"/>
          <w:tab w:val="left" w:pos="4368"/>
          <w:tab w:val="left" w:pos="4992"/>
          <w:tab w:val="left" w:pos="5616"/>
          <w:tab w:val="left" w:pos="6240"/>
          <w:tab w:val="left" w:pos="6864"/>
          <w:tab w:val="left" w:pos="7488"/>
          <w:tab w:val="left" w:pos="8112"/>
          <w:tab w:val="left" w:pos="8520"/>
        </w:tabs>
        <w:spacing w:after="120"/>
        <w:rPr>
          <w:rStyle w:val="dn"/>
          <w:rFonts w:cs="Times New Roman"/>
          <w:b/>
          <w:bCs/>
          <w:sz w:val="24"/>
          <w:szCs w:val="24"/>
        </w:rPr>
      </w:pPr>
      <w:r w:rsidRPr="004646A2">
        <w:rPr>
          <w:rStyle w:val="dn"/>
          <w:rFonts w:cs="Times New Roman"/>
          <w:b/>
          <w:bCs/>
          <w:sz w:val="24"/>
          <w:szCs w:val="24"/>
        </w:rPr>
        <w:t>5.  Establishing a baseline for monitoring data</w:t>
      </w:r>
    </w:p>
    <w:p w14:paraId="44690CAF" w14:textId="77777777" w:rsidR="005107FA" w:rsidRPr="004646A2" w:rsidRDefault="005107FA" w:rsidP="0025348A">
      <w:pPr>
        <w:pStyle w:val="TextB"/>
        <w:numPr>
          <w:ilvl w:val="0"/>
          <w:numId w:val="51"/>
        </w:numPr>
        <w:shd w:val="clear" w:color="auto" w:fill="FFFFFF"/>
        <w:tabs>
          <w:tab w:val="clear" w:pos="1814"/>
          <w:tab w:val="left" w:pos="1815"/>
        </w:tabs>
        <w:spacing w:after="120"/>
        <w:rPr>
          <w:rFonts w:cs="Times New Roman"/>
          <w:sz w:val="24"/>
          <w:szCs w:val="24"/>
        </w:rPr>
      </w:pPr>
      <w:r w:rsidRPr="004646A2">
        <w:rPr>
          <w:rFonts w:cs="Times New Roman"/>
          <w:sz w:val="24"/>
          <w:szCs w:val="24"/>
        </w:rPr>
        <w:t>In the “before-after” approach where the mercury levels before and after the implementation of the Convention, monitoring data close to the beginning and the end of the evaluation period can be used. For the first effectiveness evaluation, monitoring data before the entry into force of the Convention may be used as baseline.</w:t>
      </w:r>
    </w:p>
    <w:p w14:paraId="0D1877F5"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For air, historical monitoring data exist for some part of northern hemisphere. For human biomonitoring, data from a limited number of regional and national biomonitoring programmes and longitudinal studies may be used. For biota, historical data on mercury levels in freshwater fish in limited geographical areas are available. Work is underway to analyze available data on ocean fish species.</w:t>
      </w:r>
    </w:p>
    <w:p w14:paraId="7EBEB86F" w14:textId="77777777" w:rsidR="005107FA" w:rsidRPr="004646A2" w:rsidRDefault="005107FA" w:rsidP="0025348A">
      <w:pPr>
        <w:pStyle w:val="TextB"/>
        <w:numPr>
          <w:ilvl w:val="0"/>
          <w:numId w:val="44"/>
        </w:numPr>
        <w:shd w:val="clear" w:color="auto" w:fill="FFFFFF"/>
        <w:spacing w:after="120"/>
        <w:rPr>
          <w:rFonts w:cs="Times New Roman"/>
          <w:sz w:val="24"/>
          <w:szCs w:val="24"/>
        </w:rPr>
      </w:pPr>
      <w:r w:rsidRPr="004646A2">
        <w:rPr>
          <w:rFonts w:cs="Times New Roman"/>
          <w:sz w:val="24"/>
          <w:szCs w:val="24"/>
        </w:rPr>
        <w:t>In the “with-without” approach to assess the change in mercury levels attributable to the measures taken to implement the Convention, mercury levels for the business-as-usual scenario need to be estimated using integrated modelling framework described above.</w:t>
      </w:r>
    </w:p>
    <w:p w14:paraId="19DAABDC" w14:textId="7C0CE0F2" w:rsidR="004138D7" w:rsidRPr="00FC73F5" w:rsidRDefault="004138D7" w:rsidP="004138D7">
      <w:pPr>
        <w:pStyle w:val="Text"/>
        <w:tabs>
          <w:tab w:val="clear" w:pos="1247"/>
          <w:tab w:val="clear" w:pos="1814"/>
          <w:tab w:val="clear" w:pos="2381"/>
          <w:tab w:val="clear" w:pos="2948"/>
          <w:tab w:val="clear" w:pos="3515"/>
        </w:tabs>
        <w:rPr>
          <w:rFonts w:asciiTheme="majorBidi" w:hAnsiTheme="majorBidi" w:cstheme="majorBidi"/>
          <w:sz w:val="24"/>
          <w:szCs w:val="24"/>
          <w:lang w:val="en-GB"/>
        </w:rPr>
      </w:pPr>
      <w:r w:rsidRPr="00FC73F5">
        <w:rPr>
          <w:rFonts w:asciiTheme="majorBidi" w:eastAsia="Arial Unicode MS" w:hAnsiTheme="majorBidi" w:cstheme="majorBidi"/>
          <w:sz w:val="24"/>
          <w:szCs w:val="24"/>
          <w:lang w:val="en-GB"/>
        </w:rPr>
        <w:br w:type="page"/>
      </w:r>
    </w:p>
    <w:p w14:paraId="67D3A1C9" w14:textId="6BA29151" w:rsidR="00821F81" w:rsidRPr="00FC73F5" w:rsidRDefault="004138D7" w:rsidP="00821F81">
      <w:pPr>
        <w:pStyle w:val="ZZAnxtitle"/>
        <w:ind w:left="0"/>
        <w:rPr>
          <w:rFonts w:asciiTheme="majorBidi" w:hAnsiTheme="majorBidi" w:cstheme="majorBidi"/>
          <w:lang w:val="en-GB"/>
        </w:rPr>
      </w:pPr>
      <w:r w:rsidRPr="00FC73F5">
        <w:rPr>
          <w:rFonts w:asciiTheme="majorBidi" w:hAnsiTheme="majorBidi" w:cstheme="majorBidi"/>
          <w:lang w:val="en-GB"/>
        </w:rPr>
        <w:lastRenderedPageBreak/>
        <w:t xml:space="preserve">Annex 2: Draft terms of reference of the </w:t>
      </w:r>
      <w:r w:rsidR="00BE5F1B">
        <w:rPr>
          <w:rFonts w:asciiTheme="majorBidi" w:hAnsiTheme="majorBidi" w:cstheme="majorBidi"/>
          <w:lang w:val="en-GB"/>
        </w:rPr>
        <w:t>E</w:t>
      </w:r>
      <w:r w:rsidRPr="00FC73F5">
        <w:rPr>
          <w:rFonts w:asciiTheme="majorBidi" w:hAnsiTheme="majorBidi" w:cstheme="majorBidi"/>
          <w:lang w:val="en-GB"/>
        </w:rPr>
        <w:t xml:space="preserve">ffectiveness </w:t>
      </w:r>
      <w:r w:rsidR="00BE5F1B">
        <w:rPr>
          <w:rFonts w:asciiTheme="majorBidi" w:hAnsiTheme="majorBidi" w:cstheme="majorBidi"/>
          <w:lang w:val="en-GB"/>
        </w:rPr>
        <w:t>E</w:t>
      </w:r>
      <w:r w:rsidRPr="00FC73F5">
        <w:rPr>
          <w:rFonts w:asciiTheme="majorBidi" w:hAnsiTheme="majorBidi" w:cstheme="majorBidi"/>
          <w:lang w:val="en-GB"/>
        </w:rPr>
        <w:t xml:space="preserve">valuation </w:t>
      </w:r>
      <w:r w:rsidR="00BE5F1B">
        <w:rPr>
          <w:rFonts w:asciiTheme="majorBidi" w:hAnsiTheme="majorBidi" w:cstheme="majorBidi"/>
          <w:lang w:val="en-GB"/>
        </w:rPr>
        <w:t>C</w:t>
      </w:r>
      <w:r w:rsidRPr="00FC73F5">
        <w:rPr>
          <w:rFonts w:asciiTheme="majorBidi" w:hAnsiTheme="majorBidi" w:cstheme="majorBidi"/>
          <w:lang w:val="en-GB"/>
        </w:rPr>
        <w:t>ommittee</w:t>
      </w:r>
    </w:p>
    <w:p w14:paraId="35046B8E" w14:textId="77777777" w:rsidR="002649F9" w:rsidRPr="00FC73F5" w:rsidRDefault="002649F9" w:rsidP="002649F9">
      <w:pPr>
        <w:pStyle w:val="ZZAnxtitle"/>
        <w:spacing w:before="0" w:after="0"/>
        <w:ind w:left="0"/>
        <w:rPr>
          <w:rFonts w:asciiTheme="majorBidi" w:hAnsiTheme="majorBidi" w:cstheme="majorBidi"/>
          <w:b w:val="0"/>
          <w:bCs w:val="0"/>
          <w:sz w:val="24"/>
          <w:szCs w:val="24"/>
          <w:lang w:val="en-GB"/>
        </w:rPr>
      </w:pPr>
    </w:p>
    <w:p w14:paraId="059EEF0C" w14:textId="77777777" w:rsidR="002649F9" w:rsidRPr="00FC73F5" w:rsidRDefault="002649F9" w:rsidP="0025348A">
      <w:pPr>
        <w:pStyle w:val="Vchoz"/>
        <w:keepNext/>
        <w:keepLines/>
        <w:numPr>
          <w:ilvl w:val="3"/>
          <w:numId w:val="2"/>
        </w:numPr>
        <w:tabs>
          <w:tab w:val="right" w:pos="851"/>
          <w:tab w:val="left" w:pos="1247"/>
          <w:tab w:val="left" w:pos="1814"/>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suppressAutoHyphens/>
        <w:spacing w:before="80" w:after="120"/>
        <w:ind w:right="284" w:hanging="2891"/>
        <w:outlineLvl w:val="0"/>
        <w:rPr>
          <w:rStyle w:val="dn"/>
          <w:rFonts w:asciiTheme="majorBidi" w:eastAsia="Times New Roman" w:hAnsiTheme="majorBidi" w:cstheme="majorBidi"/>
          <w:b/>
          <w:bCs/>
          <w:sz w:val="24"/>
          <w:szCs w:val="24"/>
          <w:u w:color="000000"/>
        </w:rPr>
      </w:pPr>
      <w:r w:rsidRPr="00FC73F5">
        <w:rPr>
          <w:rStyle w:val="dn"/>
          <w:rFonts w:asciiTheme="majorBidi" w:eastAsia="Times New Roman" w:hAnsiTheme="majorBidi" w:cstheme="majorBidi"/>
          <w:b/>
          <w:bCs/>
          <w:sz w:val="24"/>
          <w:szCs w:val="24"/>
          <w:u w:color="000000"/>
        </w:rPr>
        <w:t>Mandate</w:t>
      </w:r>
    </w:p>
    <w:p w14:paraId="3D454546" w14:textId="77777777" w:rsidR="002649F9" w:rsidRPr="00F36E41" w:rsidRDefault="002649F9" w:rsidP="0025348A">
      <w:pPr>
        <w:pStyle w:val="Normal-pool"/>
        <w:numPr>
          <w:ilvl w:val="0"/>
          <w:numId w:val="12"/>
        </w:numPr>
        <w:spacing w:after="120"/>
        <w:rPr>
          <w:rFonts w:asciiTheme="majorBidi" w:hAnsiTheme="majorBidi" w:cstheme="majorBidi"/>
          <w:color w:val="auto"/>
          <w:sz w:val="24"/>
          <w:szCs w:val="24"/>
          <w:lang w:val="en-GB"/>
        </w:rPr>
      </w:pPr>
      <w:r w:rsidRPr="00F36E41">
        <w:rPr>
          <w:rStyle w:val="dn"/>
          <w:rFonts w:asciiTheme="majorBidi" w:hAnsiTheme="majorBidi" w:cstheme="majorBidi"/>
          <w:color w:val="auto"/>
          <w:sz w:val="24"/>
          <w:szCs w:val="24"/>
        </w:rPr>
        <w:t xml:space="preserve">An Effectiveness Evaluation Committee (hereinafter, “the Committee”) is established to perform the functions assigned to it by the Conference of the Parties. </w:t>
      </w:r>
    </w:p>
    <w:p w14:paraId="257F64D3" w14:textId="77777777" w:rsidR="002649F9" w:rsidRPr="00FC73F5" w:rsidRDefault="002649F9" w:rsidP="002649F9">
      <w:pPr>
        <w:pStyle w:val="Vchoz"/>
        <w:keepNext/>
        <w:keepLines/>
        <w:tabs>
          <w:tab w:val="right" w:pos="851"/>
          <w:tab w:val="left" w:pos="1247"/>
          <w:tab w:val="left" w:pos="1814"/>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suppressAutoHyphens/>
        <w:spacing w:before="80" w:after="120"/>
        <w:ind w:left="1247" w:right="284" w:hanging="1247"/>
        <w:outlineLvl w:val="0"/>
        <w:rPr>
          <w:rStyle w:val="dn"/>
          <w:rFonts w:asciiTheme="majorBidi" w:eastAsia="Times New Roman" w:hAnsiTheme="majorBidi" w:cstheme="majorBidi"/>
          <w:b/>
          <w:bCs/>
          <w:sz w:val="24"/>
          <w:szCs w:val="24"/>
          <w:u w:color="000000"/>
        </w:rPr>
      </w:pPr>
      <w:r w:rsidRPr="00FC73F5">
        <w:rPr>
          <w:rStyle w:val="dn"/>
          <w:rFonts w:asciiTheme="majorBidi" w:eastAsia="Times New Roman" w:hAnsiTheme="majorBidi" w:cstheme="majorBidi"/>
          <w:b/>
          <w:bCs/>
          <w:sz w:val="24"/>
          <w:szCs w:val="24"/>
          <w:u w:color="000000"/>
        </w:rPr>
        <w:tab/>
        <w:t>B.</w:t>
      </w:r>
      <w:r w:rsidRPr="00FC73F5">
        <w:rPr>
          <w:rStyle w:val="dn"/>
          <w:rFonts w:asciiTheme="majorBidi" w:eastAsia="Times New Roman" w:hAnsiTheme="majorBidi" w:cstheme="majorBidi"/>
          <w:b/>
          <w:bCs/>
          <w:sz w:val="24"/>
          <w:szCs w:val="24"/>
          <w:u w:color="000000"/>
        </w:rPr>
        <w:tab/>
        <w:t>Membership</w:t>
      </w:r>
    </w:p>
    <w:p w14:paraId="234BB6B0" w14:textId="77777777" w:rsidR="002649F9" w:rsidRPr="00FC73F5"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The </w:t>
      </w:r>
      <w:r>
        <w:rPr>
          <w:rFonts w:asciiTheme="majorBidi" w:hAnsiTheme="majorBidi" w:cstheme="majorBidi"/>
          <w:sz w:val="24"/>
          <w:szCs w:val="24"/>
          <w:lang w:val="en-GB"/>
        </w:rPr>
        <w:t>members of the C</w:t>
      </w:r>
      <w:r w:rsidRPr="00FC73F5">
        <w:rPr>
          <w:rFonts w:asciiTheme="majorBidi" w:hAnsiTheme="majorBidi" w:cstheme="majorBidi"/>
          <w:sz w:val="24"/>
          <w:szCs w:val="24"/>
          <w:lang w:val="en-GB"/>
        </w:rPr>
        <w:t>ommittee shall be appointed on the basis of equitable geographical distribution, taking into account gender and the need for a balance between types of expertise.</w:t>
      </w:r>
    </w:p>
    <w:p w14:paraId="2AAC5515" w14:textId="77777777" w:rsidR="002649F9" w:rsidRPr="00FC73F5"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The </w:t>
      </w:r>
      <w:r>
        <w:rPr>
          <w:rFonts w:asciiTheme="majorBidi" w:hAnsiTheme="majorBidi" w:cstheme="majorBidi"/>
          <w:sz w:val="24"/>
          <w:szCs w:val="24"/>
          <w:lang w:val="en-GB"/>
        </w:rPr>
        <w:t>C</w:t>
      </w:r>
      <w:r w:rsidRPr="00FC73F5">
        <w:rPr>
          <w:rFonts w:asciiTheme="majorBidi" w:hAnsiTheme="majorBidi" w:cstheme="majorBidi"/>
          <w:sz w:val="24"/>
          <w:szCs w:val="24"/>
          <w:lang w:val="en-GB"/>
        </w:rPr>
        <w:t>ommittee shall consist of twelve experts, as follows:</w:t>
      </w:r>
    </w:p>
    <w:p w14:paraId="3048C39F" w14:textId="77777777" w:rsidR="002649F9" w:rsidRPr="00FC73F5" w:rsidRDefault="002649F9" w:rsidP="0025348A">
      <w:pPr>
        <w:pStyle w:val="Normal-pool"/>
        <w:numPr>
          <w:ilvl w:val="4"/>
          <w:numId w:val="14"/>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Ten experts designated by parties </w:t>
      </w:r>
      <w:r>
        <w:rPr>
          <w:rFonts w:asciiTheme="majorBidi" w:hAnsiTheme="majorBidi" w:cstheme="majorBidi"/>
          <w:sz w:val="24"/>
          <w:szCs w:val="24"/>
          <w:lang w:val="en-GB"/>
        </w:rPr>
        <w:t>representing</w:t>
      </w:r>
      <w:r w:rsidRPr="00FC73F5">
        <w:rPr>
          <w:rFonts w:asciiTheme="majorBidi" w:hAnsiTheme="majorBidi" w:cstheme="majorBidi"/>
          <w:sz w:val="24"/>
          <w:szCs w:val="24"/>
          <w:lang w:val="en-GB"/>
        </w:rPr>
        <w:t xml:space="preserve"> the five United Nations regions, and </w:t>
      </w:r>
      <w:r>
        <w:rPr>
          <w:rFonts w:asciiTheme="majorBidi" w:hAnsiTheme="majorBidi" w:cstheme="majorBidi"/>
          <w:sz w:val="24"/>
          <w:szCs w:val="24"/>
          <w:lang w:val="en-GB"/>
        </w:rPr>
        <w:t>confirmed</w:t>
      </w:r>
      <w:r w:rsidRPr="00FC73F5">
        <w:rPr>
          <w:rFonts w:asciiTheme="majorBidi" w:hAnsiTheme="majorBidi" w:cstheme="majorBidi"/>
          <w:sz w:val="24"/>
          <w:szCs w:val="24"/>
          <w:lang w:val="en-GB"/>
        </w:rPr>
        <w:t xml:space="preserve"> by the Conference of the Parties;</w:t>
      </w:r>
    </w:p>
    <w:p w14:paraId="72857F0E" w14:textId="77777777" w:rsidR="002649F9" w:rsidRPr="00295DA8" w:rsidRDefault="002649F9" w:rsidP="0025348A">
      <w:pPr>
        <w:pStyle w:val="Normal-pool"/>
        <w:numPr>
          <w:ilvl w:val="4"/>
          <w:numId w:val="14"/>
        </w:numPr>
        <w:spacing w:after="120"/>
        <w:rPr>
          <w:rFonts w:asciiTheme="majorBidi" w:hAnsiTheme="majorBidi" w:cstheme="majorBidi"/>
          <w:i/>
          <w:iCs/>
          <w:color w:val="auto"/>
          <w:sz w:val="24"/>
          <w:szCs w:val="24"/>
          <w:lang w:val="en-GB"/>
        </w:rPr>
      </w:pPr>
      <w:r w:rsidRPr="00FC73F5">
        <w:rPr>
          <w:rFonts w:asciiTheme="majorBidi" w:hAnsiTheme="majorBidi" w:cstheme="majorBidi"/>
          <w:sz w:val="24"/>
          <w:szCs w:val="24"/>
          <w:lang w:val="en-GB"/>
        </w:rPr>
        <w:t xml:space="preserve">One expert </w:t>
      </w:r>
      <w:r w:rsidRPr="00FC73F5">
        <w:rPr>
          <w:rStyle w:val="dn"/>
          <w:rFonts w:asciiTheme="majorBidi" w:hAnsiTheme="majorBidi" w:cstheme="majorBidi"/>
          <w:sz w:val="24"/>
          <w:szCs w:val="24"/>
        </w:rPr>
        <w:t>representing the monitoring arrangement</w:t>
      </w:r>
      <w:r w:rsidRPr="00FC73F5">
        <w:rPr>
          <w:rStyle w:val="dn"/>
          <w:rFonts w:asciiTheme="majorBidi" w:hAnsiTheme="majorBidi" w:cstheme="majorBidi"/>
          <w:color w:val="0070C0"/>
          <w:sz w:val="24"/>
          <w:szCs w:val="24"/>
          <w:u w:color="0070C0"/>
        </w:rPr>
        <w:t>;</w:t>
      </w:r>
    </w:p>
    <w:p w14:paraId="06682331" w14:textId="77777777" w:rsidR="002649F9" w:rsidRPr="00295DA8" w:rsidRDefault="002649F9" w:rsidP="0025348A">
      <w:pPr>
        <w:pStyle w:val="Normal-pool"/>
        <w:numPr>
          <w:ilvl w:val="4"/>
          <w:numId w:val="14"/>
        </w:numPr>
        <w:spacing w:after="120"/>
        <w:rPr>
          <w:rFonts w:asciiTheme="majorBidi" w:hAnsiTheme="majorBidi" w:cstheme="majorBidi"/>
          <w:color w:val="auto"/>
          <w:sz w:val="24"/>
          <w:szCs w:val="24"/>
          <w:lang w:val="en-GB"/>
        </w:rPr>
      </w:pPr>
      <w:r w:rsidRPr="00295DA8">
        <w:rPr>
          <w:rFonts w:asciiTheme="majorBidi" w:hAnsiTheme="majorBidi" w:cstheme="majorBidi"/>
          <w:color w:val="auto"/>
          <w:sz w:val="24"/>
          <w:szCs w:val="24"/>
          <w:lang w:val="en-GB"/>
        </w:rPr>
        <w:t>One expert representing the implementation and compliance committee</w:t>
      </w:r>
      <w:r>
        <w:rPr>
          <w:rFonts w:asciiTheme="majorBidi" w:hAnsiTheme="majorBidi" w:cstheme="majorBidi"/>
          <w:color w:val="auto"/>
          <w:sz w:val="24"/>
          <w:szCs w:val="24"/>
          <w:lang w:val="en-GB"/>
        </w:rPr>
        <w:t>.</w:t>
      </w:r>
    </w:p>
    <w:p w14:paraId="641ABFE0" w14:textId="77777777" w:rsidR="002649F9" w:rsidRPr="00FC73F5" w:rsidRDefault="002649F9" w:rsidP="0025348A">
      <w:pPr>
        <w:pStyle w:val="Normal-pool"/>
        <w:numPr>
          <w:ilvl w:val="0"/>
          <w:numId w:val="15"/>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Experts designated by parties and </w:t>
      </w:r>
      <w:r>
        <w:rPr>
          <w:rFonts w:asciiTheme="majorBidi" w:hAnsiTheme="majorBidi" w:cstheme="majorBidi"/>
          <w:sz w:val="24"/>
          <w:szCs w:val="24"/>
          <w:lang w:val="en-GB"/>
        </w:rPr>
        <w:t>confirmed</w:t>
      </w:r>
      <w:r w:rsidRPr="00FC73F5">
        <w:rPr>
          <w:rFonts w:asciiTheme="majorBidi" w:hAnsiTheme="majorBidi" w:cstheme="majorBidi"/>
          <w:sz w:val="24"/>
          <w:szCs w:val="24"/>
          <w:lang w:val="en-GB"/>
        </w:rPr>
        <w:t xml:space="preserve"> by the Conference of the Parties shall have expertise in evaluation, reporting and national implementation, financial or technical assistance, or other expertise</w:t>
      </w:r>
      <w:r>
        <w:rPr>
          <w:rFonts w:asciiTheme="majorBidi" w:hAnsiTheme="majorBidi" w:cstheme="majorBidi"/>
          <w:sz w:val="24"/>
          <w:szCs w:val="24"/>
          <w:lang w:val="en-GB"/>
        </w:rPr>
        <w:t xml:space="preserve"> </w:t>
      </w:r>
      <w:r w:rsidRPr="00FC73F5">
        <w:rPr>
          <w:rFonts w:asciiTheme="majorBidi" w:hAnsiTheme="majorBidi" w:cstheme="majorBidi"/>
          <w:sz w:val="24"/>
          <w:szCs w:val="24"/>
          <w:lang w:val="en-GB"/>
        </w:rPr>
        <w:t xml:space="preserve">relevant to the evaluation. </w:t>
      </w:r>
    </w:p>
    <w:p w14:paraId="713FF39A" w14:textId="77777777" w:rsidR="002649F9" w:rsidRPr="00FC73F5" w:rsidRDefault="002649F9" w:rsidP="0025348A">
      <w:pPr>
        <w:pStyle w:val="Normal-pool"/>
        <w:numPr>
          <w:ilvl w:val="0"/>
          <w:numId w:val="16"/>
        </w:numPr>
        <w:spacing w:after="120"/>
        <w:rPr>
          <w:rStyle w:val="dn"/>
          <w:rFonts w:asciiTheme="majorBidi" w:hAnsiTheme="majorBidi" w:cstheme="majorBidi"/>
          <w:sz w:val="24"/>
          <w:szCs w:val="24"/>
        </w:rPr>
      </w:pPr>
      <w:r w:rsidRPr="00FC73F5">
        <w:rPr>
          <w:rFonts w:asciiTheme="majorBidi" w:hAnsiTheme="majorBidi" w:cstheme="majorBidi"/>
          <w:sz w:val="24"/>
          <w:szCs w:val="24"/>
          <w:lang w:val="en-GB"/>
        </w:rPr>
        <w:t xml:space="preserve">Experts from the implementation and compliance committee shall be selected by and from among the members of its committee. </w:t>
      </w:r>
    </w:p>
    <w:p w14:paraId="3D71451F" w14:textId="77777777" w:rsidR="002649F9" w:rsidRPr="00FC73F5" w:rsidRDefault="002649F9" w:rsidP="002649F9">
      <w:pPr>
        <w:pStyle w:val="Normal-pool"/>
        <w:spacing w:after="120"/>
        <w:ind w:left="1247"/>
        <w:rPr>
          <w:rFonts w:asciiTheme="majorBidi" w:hAnsiTheme="majorBidi" w:cstheme="majorBidi"/>
          <w:sz w:val="24"/>
          <w:szCs w:val="24"/>
          <w:lang w:val="en-GB"/>
        </w:rPr>
      </w:pPr>
      <w:r w:rsidRPr="00FC73F5">
        <w:rPr>
          <w:rFonts w:asciiTheme="majorBidi" w:hAnsiTheme="majorBidi" w:cstheme="majorBidi"/>
          <w:sz w:val="24"/>
          <w:szCs w:val="24"/>
          <w:lang w:val="en-GB"/>
        </w:rPr>
        <w:t xml:space="preserve">5a </w:t>
      </w:r>
      <w:r w:rsidRPr="00FC73F5">
        <w:rPr>
          <w:rFonts w:asciiTheme="majorBidi" w:hAnsiTheme="majorBidi" w:cstheme="majorBidi"/>
          <w:sz w:val="24"/>
          <w:szCs w:val="24"/>
          <w:lang w:val="en-GB"/>
        </w:rPr>
        <w:tab/>
        <w:t>The expert representing the monitoring arrangement shall be selected from the members that take part in these arrangements.</w:t>
      </w:r>
    </w:p>
    <w:p w14:paraId="3D757893" w14:textId="77777777" w:rsidR="002649F9" w:rsidRPr="00FC73F5" w:rsidRDefault="002649F9" w:rsidP="002649F9">
      <w:pPr>
        <w:pStyle w:val="Normal-pool"/>
        <w:tabs>
          <w:tab w:val="clear" w:pos="1247"/>
          <w:tab w:val="clear" w:pos="1814"/>
          <w:tab w:val="clear" w:pos="2381"/>
          <w:tab w:val="clear" w:pos="2948"/>
          <w:tab w:val="clear" w:pos="3515"/>
          <w:tab w:val="clear" w:pos="4082"/>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s>
        <w:spacing w:after="120"/>
        <w:ind w:left="1247"/>
        <w:rPr>
          <w:rFonts w:asciiTheme="majorBidi" w:hAnsiTheme="majorBidi" w:cstheme="majorBidi"/>
          <w:sz w:val="24"/>
          <w:szCs w:val="24"/>
          <w:lang w:val="en-GB"/>
        </w:rPr>
      </w:pPr>
      <w:r w:rsidRPr="00FC73F5">
        <w:rPr>
          <w:rFonts w:asciiTheme="majorBidi" w:hAnsiTheme="majorBidi" w:cstheme="majorBidi"/>
          <w:sz w:val="24"/>
          <w:szCs w:val="24"/>
          <w:lang w:val="en-GB"/>
        </w:rPr>
        <w:tab/>
        <w:t>5b</w:t>
      </w:r>
      <w:r w:rsidRPr="00FC73F5">
        <w:rPr>
          <w:rFonts w:asciiTheme="majorBidi" w:hAnsiTheme="majorBidi" w:cstheme="majorBidi"/>
          <w:sz w:val="24"/>
          <w:szCs w:val="24"/>
          <w:lang w:val="en-GB"/>
        </w:rPr>
        <w:tab/>
        <w:t xml:space="preserve">Members shall provide their expertise in </w:t>
      </w:r>
      <w:r>
        <w:rPr>
          <w:rFonts w:asciiTheme="majorBidi" w:hAnsiTheme="majorBidi" w:cstheme="majorBidi"/>
          <w:sz w:val="24"/>
          <w:szCs w:val="24"/>
          <w:lang w:val="en-GB"/>
        </w:rPr>
        <w:t xml:space="preserve">a </w:t>
      </w:r>
      <w:r w:rsidRPr="00FC73F5">
        <w:rPr>
          <w:rFonts w:asciiTheme="majorBidi" w:hAnsiTheme="majorBidi" w:cstheme="majorBidi"/>
          <w:sz w:val="24"/>
          <w:szCs w:val="24"/>
          <w:lang w:val="en-GB"/>
        </w:rPr>
        <w:t xml:space="preserve">neutral and impartial manner, and stand </w:t>
      </w:r>
      <w:r>
        <w:rPr>
          <w:rFonts w:asciiTheme="majorBidi" w:hAnsiTheme="majorBidi" w:cstheme="majorBidi"/>
          <w:sz w:val="24"/>
          <w:szCs w:val="24"/>
          <w:lang w:val="en-GB"/>
        </w:rPr>
        <w:t>to</w:t>
      </w:r>
      <w:r w:rsidRPr="00FC73F5">
        <w:rPr>
          <w:rFonts w:asciiTheme="majorBidi" w:hAnsiTheme="majorBidi" w:cstheme="majorBidi"/>
          <w:sz w:val="24"/>
          <w:szCs w:val="24"/>
          <w:lang w:val="en-GB"/>
        </w:rPr>
        <w:t xml:space="preserve"> the evidence presented to the committee.</w:t>
      </w:r>
    </w:p>
    <w:p w14:paraId="5E9F6FB9" w14:textId="77777777" w:rsidR="002649F9" w:rsidRPr="00FC73F5"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The terms of office shall coincide with a cycle of evaluation as determined by the Conference of the Parties.</w:t>
      </w:r>
    </w:p>
    <w:p w14:paraId="258E019F" w14:textId="77777777" w:rsidR="002649F9" w:rsidRPr="00FC73F5"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If a member is unable to complete his or her term of office, the region nominating that member shall nominate another person to complete the term. </w:t>
      </w:r>
    </w:p>
    <w:p w14:paraId="53E0FC70" w14:textId="77777777" w:rsidR="002649F9" w:rsidRPr="00FC73F5" w:rsidRDefault="002649F9" w:rsidP="002649F9">
      <w:pPr>
        <w:pStyle w:val="Vchoz"/>
        <w:keepNext/>
        <w:keepLines/>
        <w:tabs>
          <w:tab w:val="right" w:pos="851"/>
          <w:tab w:val="left" w:pos="1247"/>
          <w:tab w:val="left" w:pos="1814"/>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suppressAutoHyphens/>
        <w:spacing w:before="80" w:after="120"/>
        <w:ind w:left="1247" w:right="284" w:hanging="1247"/>
        <w:outlineLvl w:val="0"/>
        <w:rPr>
          <w:rStyle w:val="dn"/>
          <w:rFonts w:asciiTheme="majorBidi" w:eastAsia="Times New Roman" w:hAnsiTheme="majorBidi" w:cstheme="majorBidi"/>
          <w:b/>
          <w:bCs/>
          <w:sz w:val="24"/>
          <w:szCs w:val="24"/>
          <w:u w:color="000000"/>
        </w:rPr>
      </w:pPr>
      <w:r w:rsidRPr="00FC73F5">
        <w:rPr>
          <w:rStyle w:val="dn"/>
          <w:rFonts w:asciiTheme="majorBidi" w:eastAsia="Times New Roman" w:hAnsiTheme="majorBidi" w:cstheme="majorBidi"/>
          <w:b/>
          <w:bCs/>
          <w:sz w:val="24"/>
          <w:szCs w:val="24"/>
          <w:u w:color="000000"/>
        </w:rPr>
        <w:tab/>
        <w:t>C.</w:t>
      </w:r>
      <w:r w:rsidRPr="00FC73F5">
        <w:rPr>
          <w:rStyle w:val="dn"/>
          <w:rFonts w:asciiTheme="majorBidi" w:eastAsia="Times New Roman" w:hAnsiTheme="majorBidi" w:cstheme="majorBidi"/>
          <w:b/>
          <w:bCs/>
          <w:sz w:val="24"/>
          <w:szCs w:val="24"/>
          <w:u w:color="000000"/>
        </w:rPr>
        <w:tab/>
        <w:t>Invited experts and observers</w:t>
      </w:r>
    </w:p>
    <w:p w14:paraId="7941400E" w14:textId="77777777" w:rsidR="002649F9" w:rsidRPr="00FC73F5"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The Secretariat shall select two internationally recognized experts in effectiveness evaluation with due consideration to available expertise on the measures.</w:t>
      </w:r>
    </w:p>
    <w:p w14:paraId="57436474" w14:textId="77777777" w:rsidR="002649F9" w:rsidRPr="00FC73F5"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The Secretariat shall invite one representative of the World Health Organization as an observer</w:t>
      </w:r>
      <w:r>
        <w:rPr>
          <w:rFonts w:asciiTheme="majorBidi" w:hAnsiTheme="majorBidi" w:cstheme="majorBidi"/>
          <w:sz w:val="24"/>
          <w:szCs w:val="24"/>
          <w:lang w:val="en-GB"/>
        </w:rPr>
        <w:t>.</w:t>
      </w:r>
    </w:p>
    <w:p w14:paraId="4F718A49" w14:textId="77777777" w:rsidR="002649F9" w:rsidRPr="00FC73F5"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The committee will invite the participation of up to five experts from civil society, indigenous organizations, intergovernmental organizations, industry and the UNEP Global Mercury Partnership</w:t>
      </w:r>
      <w:r>
        <w:rPr>
          <w:rFonts w:asciiTheme="majorBidi" w:hAnsiTheme="majorBidi" w:cstheme="majorBidi"/>
          <w:sz w:val="24"/>
          <w:szCs w:val="24"/>
          <w:lang w:val="en-GB"/>
        </w:rPr>
        <w:t xml:space="preserve"> </w:t>
      </w:r>
      <w:r w:rsidRPr="00FC73F5">
        <w:rPr>
          <w:rFonts w:asciiTheme="majorBidi" w:hAnsiTheme="majorBidi" w:cstheme="majorBidi"/>
          <w:sz w:val="24"/>
          <w:szCs w:val="24"/>
          <w:lang w:val="en-GB"/>
        </w:rPr>
        <w:t>as observers. The participation of observers will be balanced among the above-mentioned groups and gender.</w:t>
      </w:r>
    </w:p>
    <w:p w14:paraId="51D2EBAF" w14:textId="77777777" w:rsidR="002649F9" w:rsidRPr="00FC73F5" w:rsidRDefault="002649F9" w:rsidP="0025348A">
      <w:pPr>
        <w:pStyle w:val="Normal-pool"/>
        <w:numPr>
          <w:ilvl w:val="0"/>
          <w:numId w:val="16"/>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The committee may allow additional observers within reasonable limits.</w:t>
      </w:r>
    </w:p>
    <w:p w14:paraId="23A87842" w14:textId="77777777" w:rsidR="002649F9" w:rsidRPr="00FC73F5" w:rsidRDefault="002649F9" w:rsidP="0025348A">
      <w:pPr>
        <w:pStyle w:val="Normal-pool"/>
        <w:numPr>
          <w:ilvl w:val="0"/>
          <w:numId w:val="17"/>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lastRenderedPageBreak/>
        <w:t xml:space="preserve">Observers shall provide their technical expertise that helps the committee members interpret the information provided.  </w:t>
      </w:r>
    </w:p>
    <w:p w14:paraId="111A5418" w14:textId="77777777" w:rsidR="002649F9" w:rsidRPr="00FC73F5" w:rsidRDefault="002649F9" w:rsidP="002649F9">
      <w:pPr>
        <w:pStyle w:val="Vchoz"/>
        <w:keepNext/>
        <w:keepLines/>
        <w:tabs>
          <w:tab w:val="right" w:pos="851"/>
          <w:tab w:val="left" w:pos="1247"/>
          <w:tab w:val="left" w:pos="1814"/>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suppressAutoHyphens/>
        <w:spacing w:before="80" w:after="120"/>
        <w:ind w:left="1247" w:right="284" w:hanging="1247"/>
        <w:outlineLvl w:val="0"/>
        <w:rPr>
          <w:rStyle w:val="dn"/>
          <w:rFonts w:asciiTheme="majorBidi" w:eastAsia="Times New Roman" w:hAnsiTheme="majorBidi" w:cstheme="majorBidi"/>
          <w:b/>
          <w:bCs/>
          <w:sz w:val="24"/>
          <w:szCs w:val="24"/>
          <w:u w:color="000000"/>
        </w:rPr>
      </w:pPr>
      <w:r w:rsidRPr="00FC73F5">
        <w:rPr>
          <w:rStyle w:val="dn"/>
          <w:rFonts w:asciiTheme="majorBidi" w:eastAsia="Times New Roman" w:hAnsiTheme="majorBidi" w:cstheme="majorBidi"/>
          <w:b/>
          <w:bCs/>
          <w:sz w:val="24"/>
          <w:szCs w:val="24"/>
          <w:u w:color="000000"/>
        </w:rPr>
        <w:tab/>
        <w:t>D.</w:t>
      </w:r>
      <w:r w:rsidRPr="00FC73F5">
        <w:rPr>
          <w:rStyle w:val="dn"/>
          <w:rFonts w:asciiTheme="majorBidi" w:eastAsia="Times New Roman" w:hAnsiTheme="majorBidi" w:cstheme="majorBidi"/>
          <w:b/>
          <w:bCs/>
          <w:sz w:val="24"/>
          <w:szCs w:val="24"/>
          <w:u w:color="000000"/>
        </w:rPr>
        <w:tab/>
        <w:t xml:space="preserve">Officers </w:t>
      </w:r>
    </w:p>
    <w:p w14:paraId="3A18E793" w14:textId="77777777" w:rsidR="002649F9" w:rsidRPr="00FC73F5"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The committee shall elect, from among its members, a chair and a vice-chair.</w:t>
      </w:r>
    </w:p>
    <w:p w14:paraId="6878B77C" w14:textId="77777777" w:rsidR="002649F9" w:rsidRPr="00FC73F5" w:rsidRDefault="002649F9" w:rsidP="002649F9">
      <w:pPr>
        <w:pStyle w:val="Vchoz"/>
        <w:keepNext/>
        <w:keepLines/>
        <w:tabs>
          <w:tab w:val="right" w:pos="851"/>
          <w:tab w:val="left" w:pos="1247"/>
          <w:tab w:val="left" w:pos="1814"/>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suppressAutoHyphens/>
        <w:spacing w:before="80" w:after="120"/>
        <w:ind w:left="1247" w:right="284" w:hanging="1247"/>
        <w:outlineLvl w:val="0"/>
        <w:rPr>
          <w:rStyle w:val="dn"/>
          <w:rFonts w:asciiTheme="majorBidi" w:eastAsia="Times New Roman" w:hAnsiTheme="majorBidi" w:cstheme="majorBidi"/>
          <w:b/>
          <w:bCs/>
          <w:sz w:val="24"/>
          <w:szCs w:val="24"/>
          <w:u w:color="000000"/>
        </w:rPr>
      </w:pPr>
      <w:r w:rsidRPr="00FC73F5">
        <w:rPr>
          <w:rStyle w:val="dn"/>
          <w:rFonts w:asciiTheme="majorBidi" w:eastAsia="Times New Roman" w:hAnsiTheme="majorBidi" w:cstheme="majorBidi"/>
          <w:b/>
          <w:bCs/>
          <w:sz w:val="24"/>
          <w:szCs w:val="24"/>
          <w:u w:color="000000"/>
        </w:rPr>
        <w:tab/>
        <w:t>E.</w:t>
      </w:r>
      <w:r w:rsidRPr="00FC73F5">
        <w:rPr>
          <w:rStyle w:val="dn"/>
          <w:rFonts w:asciiTheme="majorBidi" w:eastAsia="Times New Roman" w:hAnsiTheme="majorBidi" w:cstheme="majorBidi"/>
          <w:b/>
          <w:bCs/>
          <w:sz w:val="24"/>
          <w:szCs w:val="24"/>
          <w:u w:color="000000"/>
        </w:rPr>
        <w:tab/>
        <w:t>Administrative and procedural matters</w:t>
      </w:r>
    </w:p>
    <w:p w14:paraId="7A23FC04" w14:textId="77777777" w:rsidR="002649F9" w:rsidRPr="00FC73F5"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The committee shall apply, mutatis mutandis, the rules of procedure of the Conference of the Parties, unless otherwise provided in these terms of reference.</w:t>
      </w:r>
    </w:p>
    <w:p w14:paraId="51881BD7" w14:textId="77777777" w:rsidR="002649F9" w:rsidRPr="00FC73F5"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The committee may establish such arrangements as are necessary to facilitate its work in line with the present terms of reference.</w:t>
      </w:r>
    </w:p>
    <w:p w14:paraId="6DA0E0A4" w14:textId="77777777" w:rsidR="002649F9" w:rsidRPr="00FF4254"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The committee members shall seek to reach agreement by consensus. Should consensus not be reached by members, the range of their views shall be reflected in any report to be submitted to the Conference of the Parties.</w:t>
      </w:r>
    </w:p>
    <w:p w14:paraId="4FD6F61A" w14:textId="77777777" w:rsidR="002649F9" w:rsidRPr="00FC73F5" w:rsidRDefault="002649F9" w:rsidP="002649F9">
      <w:pPr>
        <w:pStyle w:val="Vchoz"/>
        <w:keepNext/>
        <w:keepLines/>
        <w:tabs>
          <w:tab w:val="right" w:pos="851"/>
          <w:tab w:val="left" w:pos="1247"/>
          <w:tab w:val="left" w:pos="1814"/>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suppressAutoHyphens/>
        <w:spacing w:before="80" w:after="120"/>
        <w:ind w:left="1247" w:right="284" w:hanging="1247"/>
        <w:outlineLvl w:val="0"/>
        <w:rPr>
          <w:rStyle w:val="dn"/>
          <w:rFonts w:asciiTheme="majorBidi" w:eastAsia="Times New Roman" w:hAnsiTheme="majorBidi" w:cstheme="majorBidi"/>
          <w:b/>
          <w:bCs/>
          <w:sz w:val="24"/>
          <w:szCs w:val="24"/>
          <w:u w:color="000000"/>
        </w:rPr>
      </w:pPr>
      <w:r w:rsidRPr="00FC73F5">
        <w:rPr>
          <w:rStyle w:val="dn"/>
          <w:rFonts w:asciiTheme="majorBidi" w:eastAsia="Times New Roman" w:hAnsiTheme="majorBidi" w:cstheme="majorBidi"/>
          <w:b/>
          <w:bCs/>
          <w:sz w:val="24"/>
          <w:szCs w:val="24"/>
          <w:u w:color="000000"/>
        </w:rPr>
        <w:tab/>
      </w:r>
      <w:r>
        <w:rPr>
          <w:rStyle w:val="dn"/>
          <w:rFonts w:asciiTheme="majorBidi" w:eastAsia="Times New Roman" w:hAnsiTheme="majorBidi" w:cstheme="majorBidi"/>
          <w:b/>
          <w:bCs/>
          <w:sz w:val="24"/>
          <w:szCs w:val="24"/>
          <w:u w:color="000000"/>
        </w:rPr>
        <w:t>F</w:t>
      </w:r>
      <w:r w:rsidRPr="00FC73F5">
        <w:rPr>
          <w:rStyle w:val="dn"/>
          <w:rFonts w:asciiTheme="majorBidi" w:eastAsia="Times New Roman" w:hAnsiTheme="majorBidi" w:cstheme="majorBidi"/>
          <w:b/>
          <w:bCs/>
          <w:sz w:val="24"/>
          <w:szCs w:val="24"/>
          <w:u w:color="000000"/>
        </w:rPr>
        <w:t>.</w:t>
      </w:r>
      <w:r w:rsidRPr="00FC73F5">
        <w:rPr>
          <w:rStyle w:val="dn"/>
          <w:rFonts w:asciiTheme="majorBidi" w:eastAsia="Times New Roman" w:hAnsiTheme="majorBidi" w:cstheme="majorBidi"/>
          <w:b/>
          <w:bCs/>
          <w:sz w:val="24"/>
          <w:szCs w:val="24"/>
          <w:u w:color="000000"/>
        </w:rPr>
        <w:tab/>
        <w:t>Meetings</w:t>
      </w:r>
    </w:p>
    <w:p w14:paraId="04AC2D79" w14:textId="77777777" w:rsidR="002649F9" w:rsidRPr="00FC73F5"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The committee shall hold </w:t>
      </w:r>
      <w:r>
        <w:rPr>
          <w:rFonts w:asciiTheme="majorBidi" w:hAnsiTheme="majorBidi" w:cstheme="majorBidi"/>
          <w:sz w:val="24"/>
          <w:szCs w:val="24"/>
          <w:lang w:val="en-GB"/>
        </w:rPr>
        <w:t xml:space="preserve">two </w:t>
      </w:r>
      <w:r w:rsidRPr="00FC73F5">
        <w:rPr>
          <w:rFonts w:asciiTheme="majorBidi" w:hAnsiTheme="majorBidi" w:cstheme="majorBidi"/>
          <w:sz w:val="24"/>
          <w:szCs w:val="24"/>
          <w:lang w:val="en-GB"/>
        </w:rPr>
        <w:t>face-to-face meeting, to review the information available for each evaluation cycle and to develop a report to the Conference of the Parties, subject to the availability of funds and work requirements. Based on the decisions of the Conference of the Parties, the frequency of committee meetings may be amended as necessary.</w:t>
      </w:r>
    </w:p>
    <w:p w14:paraId="5C592F41" w14:textId="77777777" w:rsidR="002649F9" w:rsidRPr="00FC73F5"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 xml:space="preserve"> Documents to be transmitted to the Conference of the Parties shall be finalized by the committee at least four months before the meeting of the Conference of the Parties.</w:t>
      </w:r>
    </w:p>
    <w:p w14:paraId="6476C892" w14:textId="7916D280" w:rsidR="002649F9" w:rsidRPr="00FC73F5" w:rsidRDefault="002649F9" w:rsidP="002649F9">
      <w:pPr>
        <w:pStyle w:val="Vchoz"/>
        <w:keepNext/>
        <w:keepLines/>
        <w:tabs>
          <w:tab w:val="right" w:pos="851"/>
          <w:tab w:val="left" w:pos="1247"/>
          <w:tab w:val="left" w:pos="1814"/>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suppressAutoHyphens/>
        <w:spacing w:before="80" w:after="120"/>
        <w:ind w:left="1247" w:right="284" w:hanging="1247"/>
        <w:outlineLvl w:val="0"/>
        <w:rPr>
          <w:rStyle w:val="dn"/>
          <w:rFonts w:asciiTheme="majorBidi" w:eastAsia="Times New Roman" w:hAnsiTheme="majorBidi" w:cstheme="majorBidi"/>
          <w:b/>
          <w:bCs/>
          <w:sz w:val="24"/>
          <w:szCs w:val="24"/>
          <w:u w:color="000000"/>
        </w:rPr>
      </w:pPr>
      <w:r w:rsidRPr="00FC73F5">
        <w:rPr>
          <w:rStyle w:val="dn"/>
          <w:rFonts w:asciiTheme="majorBidi" w:eastAsia="Times New Roman" w:hAnsiTheme="majorBidi" w:cstheme="majorBidi"/>
          <w:b/>
          <w:bCs/>
          <w:sz w:val="24"/>
          <w:szCs w:val="24"/>
          <w:u w:color="000000"/>
        </w:rPr>
        <w:tab/>
      </w:r>
      <w:r>
        <w:rPr>
          <w:rStyle w:val="dn"/>
          <w:rFonts w:asciiTheme="majorBidi" w:eastAsia="Times New Roman" w:hAnsiTheme="majorBidi" w:cstheme="majorBidi"/>
          <w:b/>
          <w:bCs/>
          <w:sz w:val="24"/>
          <w:szCs w:val="24"/>
          <w:u w:color="000000"/>
        </w:rPr>
        <w:t>G</w:t>
      </w:r>
      <w:r w:rsidRPr="00FC73F5">
        <w:rPr>
          <w:rStyle w:val="dn"/>
          <w:rFonts w:asciiTheme="majorBidi" w:eastAsia="Times New Roman" w:hAnsiTheme="majorBidi" w:cstheme="majorBidi"/>
          <w:b/>
          <w:bCs/>
          <w:sz w:val="24"/>
          <w:szCs w:val="24"/>
          <w:u w:color="000000"/>
        </w:rPr>
        <w:t>.</w:t>
      </w:r>
      <w:r w:rsidRPr="00FC73F5">
        <w:rPr>
          <w:rStyle w:val="dn"/>
          <w:rFonts w:asciiTheme="majorBidi" w:eastAsia="Times New Roman" w:hAnsiTheme="majorBidi" w:cstheme="majorBidi"/>
          <w:b/>
          <w:bCs/>
          <w:sz w:val="24"/>
          <w:szCs w:val="24"/>
          <w:u w:color="000000"/>
        </w:rPr>
        <w:tab/>
        <w:t>Language of meetings</w:t>
      </w:r>
    </w:p>
    <w:p w14:paraId="3BF981D3" w14:textId="77777777" w:rsidR="002649F9" w:rsidRPr="00FF4254" w:rsidRDefault="002649F9" w:rsidP="0025348A">
      <w:pPr>
        <w:pStyle w:val="Normal-pool"/>
        <w:numPr>
          <w:ilvl w:val="0"/>
          <w:numId w:val="12"/>
        </w:numPr>
        <w:spacing w:after="120"/>
        <w:rPr>
          <w:rFonts w:asciiTheme="majorBidi" w:hAnsiTheme="majorBidi" w:cstheme="majorBidi"/>
          <w:sz w:val="24"/>
          <w:szCs w:val="24"/>
          <w:lang w:val="en-GB"/>
        </w:rPr>
      </w:pPr>
      <w:r w:rsidRPr="00FC73F5">
        <w:rPr>
          <w:rFonts w:asciiTheme="majorBidi" w:hAnsiTheme="majorBidi" w:cstheme="majorBidi"/>
          <w:sz w:val="24"/>
          <w:szCs w:val="24"/>
          <w:lang w:val="en-GB"/>
        </w:rPr>
        <w:t>The working language of the committee shall be English.</w:t>
      </w:r>
    </w:p>
    <w:p w14:paraId="6DF64DFF" w14:textId="5D36239C" w:rsidR="002649F9" w:rsidRPr="00FC73F5" w:rsidRDefault="002649F9" w:rsidP="002649F9">
      <w:pPr>
        <w:pStyle w:val="Vchoz"/>
        <w:keepNext/>
        <w:keepLines/>
        <w:tabs>
          <w:tab w:val="right" w:pos="851"/>
          <w:tab w:val="left" w:pos="1247"/>
          <w:tab w:val="left" w:pos="1814"/>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suppressAutoHyphens/>
        <w:spacing w:before="80" w:after="120"/>
        <w:ind w:left="1247" w:right="284" w:hanging="1247"/>
        <w:outlineLvl w:val="0"/>
        <w:rPr>
          <w:rStyle w:val="dn"/>
          <w:rFonts w:asciiTheme="majorBidi" w:eastAsia="Times New Roman" w:hAnsiTheme="majorBidi" w:cstheme="majorBidi"/>
          <w:b/>
          <w:bCs/>
          <w:sz w:val="24"/>
          <w:szCs w:val="24"/>
          <w:u w:color="000000"/>
        </w:rPr>
      </w:pPr>
      <w:r w:rsidRPr="00FC73F5">
        <w:rPr>
          <w:rStyle w:val="dn"/>
          <w:rFonts w:asciiTheme="majorBidi" w:eastAsia="Times New Roman" w:hAnsiTheme="majorBidi" w:cstheme="majorBidi"/>
          <w:b/>
          <w:bCs/>
          <w:sz w:val="24"/>
          <w:szCs w:val="24"/>
          <w:u w:color="000000"/>
        </w:rPr>
        <w:tab/>
      </w:r>
      <w:r>
        <w:rPr>
          <w:rStyle w:val="dn"/>
          <w:rFonts w:asciiTheme="majorBidi" w:eastAsia="Times New Roman" w:hAnsiTheme="majorBidi" w:cstheme="majorBidi"/>
          <w:b/>
          <w:bCs/>
          <w:sz w:val="24"/>
          <w:szCs w:val="24"/>
          <w:u w:color="000000"/>
        </w:rPr>
        <w:t>H</w:t>
      </w:r>
      <w:r w:rsidRPr="00FC73F5">
        <w:rPr>
          <w:rStyle w:val="dn"/>
          <w:rFonts w:asciiTheme="majorBidi" w:eastAsia="Times New Roman" w:hAnsiTheme="majorBidi" w:cstheme="majorBidi"/>
          <w:b/>
          <w:bCs/>
          <w:sz w:val="24"/>
          <w:szCs w:val="24"/>
          <w:u w:color="000000"/>
        </w:rPr>
        <w:t>.</w:t>
      </w:r>
      <w:r w:rsidRPr="00FC73F5">
        <w:rPr>
          <w:rStyle w:val="dn"/>
          <w:rFonts w:asciiTheme="majorBidi" w:eastAsia="Times New Roman" w:hAnsiTheme="majorBidi" w:cstheme="majorBidi"/>
          <w:b/>
          <w:bCs/>
          <w:sz w:val="24"/>
          <w:szCs w:val="24"/>
          <w:u w:color="000000"/>
        </w:rPr>
        <w:tab/>
        <w:t>Budget</w:t>
      </w:r>
    </w:p>
    <w:p w14:paraId="1D1B2161" w14:textId="77777777" w:rsidR="002649F9" w:rsidRDefault="002649F9" w:rsidP="0025348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pPr>
      <w:r w:rsidRPr="00FF4254">
        <w:rPr>
          <w:rFonts w:asciiTheme="majorBidi" w:hAnsiTheme="majorBidi" w:cstheme="majorBidi"/>
          <w:sz w:val="24"/>
          <w:szCs w:val="24"/>
        </w:rPr>
        <w:t>Except for members from developed</w:t>
      </w:r>
      <w:r>
        <w:rPr>
          <w:rFonts w:asciiTheme="majorBidi" w:hAnsiTheme="majorBidi" w:cstheme="majorBidi"/>
          <w:sz w:val="24"/>
          <w:szCs w:val="24"/>
        </w:rPr>
        <w:t xml:space="preserve"> </w:t>
      </w:r>
      <w:r w:rsidRPr="00FF4254">
        <w:rPr>
          <w:rFonts w:asciiTheme="majorBidi" w:hAnsiTheme="majorBidi" w:cstheme="majorBidi"/>
          <w:sz w:val="24"/>
          <w:szCs w:val="24"/>
        </w:rPr>
        <w:t>country parties referred to in paragraph 4 of the present terms of reference, financial support for travel and daily subsistence allowance shall</w:t>
      </w:r>
      <w:r>
        <w:rPr>
          <w:rStyle w:val="dn"/>
          <w:rFonts w:asciiTheme="majorBidi" w:hAnsiTheme="majorBidi" w:cstheme="majorBidi"/>
          <w:i/>
          <w:iCs/>
          <w:color w:val="0070C0"/>
          <w:sz w:val="24"/>
          <w:szCs w:val="24"/>
          <w:u w:color="FF0000"/>
        </w:rPr>
        <w:t xml:space="preserve"> </w:t>
      </w:r>
      <w:r w:rsidRPr="00FF4254">
        <w:rPr>
          <w:rFonts w:asciiTheme="majorBidi" w:hAnsiTheme="majorBidi" w:cstheme="majorBidi"/>
          <w:sz w:val="24"/>
          <w:szCs w:val="24"/>
        </w:rPr>
        <w:t>be made available to committee members,</w:t>
      </w:r>
      <w:r>
        <w:rPr>
          <w:rFonts w:asciiTheme="majorBidi" w:hAnsiTheme="majorBidi" w:cstheme="majorBidi"/>
          <w:sz w:val="24"/>
          <w:szCs w:val="24"/>
        </w:rPr>
        <w:t xml:space="preserve"> and </w:t>
      </w:r>
      <w:r w:rsidRPr="00FF4254">
        <w:rPr>
          <w:rFonts w:asciiTheme="majorBidi" w:hAnsiTheme="majorBidi" w:cstheme="majorBidi"/>
          <w:sz w:val="24"/>
          <w:szCs w:val="24"/>
        </w:rPr>
        <w:t xml:space="preserve">invited experts and observers for participation in meetings of the committee according to United Nations </w:t>
      </w:r>
      <w:r>
        <w:rPr>
          <w:rFonts w:asciiTheme="majorBidi" w:hAnsiTheme="majorBidi" w:cstheme="majorBidi"/>
          <w:sz w:val="24"/>
          <w:szCs w:val="24"/>
        </w:rPr>
        <w:t xml:space="preserve">rules and </w:t>
      </w:r>
      <w:r w:rsidRPr="00FF4254">
        <w:rPr>
          <w:rFonts w:asciiTheme="majorBidi" w:hAnsiTheme="majorBidi" w:cstheme="majorBidi"/>
          <w:sz w:val="24"/>
          <w:szCs w:val="24"/>
        </w:rPr>
        <w:t>practice.</w:t>
      </w:r>
    </w:p>
    <w:p w14:paraId="5E9C7BCF" w14:textId="713FBB61" w:rsidR="00821F81" w:rsidRPr="00FC73F5" w:rsidRDefault="00821F81" w:rsidP="0025348A">
      <w:pPr>
        <w:pStyle w:val="Normal-pool"/>
        <w:numPr>
          <w:ilvl w:val="0"/>
          <w:numId w:val="12"/>
        </w:numPr>
        <w:spacing w:after="120"/>
        <w:rPr>
          <w:rFonts w:asciiTheme="majorBidi" w:hAnsiTheme="majorBidi" w:cstheme="majorBidi"/>
          <w:sz w:val="24"/>
          <w:szCs w:val="24"/>
          <w:lang w:val="en-GB"/>
        </w:rPr>
      </w:pPr>
      <w:r w:rsidRPr="00FC73F5">
        <w:rPr>
          <w:rStyle w:val="dn"/>
          <w:rFonts w:asciiTheme="majorBidi" w:hAnsiTheme="majorBidi" w:cstheme="majorBidi"/>
          <w:color w:val="4F81BD"/>
          <w:sz w:val="24"/>
          <w:szCs w:val="24"/>
          <w:u w:color="4F81BD"/>
          <w:lang w:val="en-GB"/>
        </w:rPr>
        <w:br w:type="page"/>
      </w:r>
    </w:p>
    <w:p w14:paraId="3446A724" w14:textId="77777777" w:rsidR="00821F81" w:rsidRPr="00FC73F5" w:rsidRDefault="00821F81" w:rsidP="00821F81">
      <w:pPr>
        <w:pStyle w:val="ZZAnxtitle"/>
        <w:ind w:left="0"/>
        <w:rPr>
          <w:rFonts w:asciiTheme="majorBidi" w:hAnsiTheme="majorBidi" w:cstheme="majorBidi"/>
          <w:lang w:val="en-GB"/>
        </w:rPr>
      </w:pPr>
      <w:r w:rsidRPr="00FC73F5">
        <w:rPr>
          <w:rFonts w:asciiTheme="majorBidi" w:hAnsiTheme="majorBidi" w:cstheme="majorBidi"/>
          <w:lang w:val="en-GB"/>
        </w:rPr>
        <w:lastRenderedPageBreak/>
        <w:t>Annex 3: Draft terms of reference of the global monitoring arrangements</w:t>
      </w:r>
    </w:p>
    <w:p w14:paraId="2A6E92DF" w14:textId="77777777" w:rsidR="00C5127D" w:rsidRPr="00FC73F5" w:rsidRDefault="00C5127D" w:rsidP="009F3C7F">
      <w:pPr>
        <w:pStyle w:val="TextB"/>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s>
        <w:spacing w:after="160" w:line="259" w:lineRule="auto"/>
        <w:rPr>
          <w:rStyle w:val="dn"/>
          <w:rFonts w:asciiTheme="majorBidi" w:hAnsiTheme="majorBidi" w:cstheme="majorBidi"/>
          <w:b/>
          <w:bCs/>
          <w:color w:val="auto"/>
          <w:sz w:val="24"/>
          <w:szCs w:val="24"/>
          <w:u w:color="FF0000"/>
          <w:lang w:val="en-GB"/>
        </w:rPr>
      </w:pPr>
    </w:p>
    <w:p w14:paraId="1586DBFC" w14:textId="27AEE8D8" w:rsidR="00821F81" w:rsidRPr="00FC73F5" w:rsidRDefault="00821F81" w:rsidP="009F3C7F">
      <w:pPr>
        <w:pStyle w:val="TextB"/>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s>
        <w:spacing w:after="160" w:line="259" w:lineRule="auto"/>
        <w:rPr>
          <w:rStyle w:val="dn"/>
          <w:rFonts w:asciiTheme="majorBidi" w:hAnsiTheme="majorBidi" w:cstheme="majorBidi"/>
          <w:b/>
          <w:bCs/>
          <w:color w:val="auto"/>
          <w:sz w:val="24"/>
          <w:szCs w:val="24"/>
          <w:u w:color="FF0000"/>
          <w:lang w:val="en-GB"/>
        </w:rPr>
      </w:pPr>
      <w:r w:rsidRPr="00FC73F5">
        <w:rPr>
          <w:rStyle w:val="dn"/>
          <w:rFonts w:asciiTheme="majorBidi" w:hAnsiTheme="majorBidi" w:cstheme="majorBidi"/>
          <w:b/>
          <w:bCs/>
          <w:color w:val="auto"/>
          <w:sz w:val="24"/>
          <w:szCs w:val="24"/>
          <w:u w:color="FF0000"/>
          <w:lang w:val="en-GB"/>
        </w:rPr>
        <w:t>Introduction</w:t>
      </w:r>
    </w:p>
    <w:p w14:paraId="489351C6" w14:textId="57299312"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This annex contains a proposal for global monitoring arrangements building on existing monitoring </w:t>
      </w:r>
      <w:r w:rsidRPr="00312E8B">
        <w:rPr>
          <w:rFonts w:asciiTheme="majorBidi" w:hAnsiTheme="majorBidi" w:cstheme="majorBidi"/>
          <w:bCs/>
          <w:sz w:val="24"/>
          <w:szCs w:val="24"/>
          <w:lang w:val="en-GB"/>
        </w:rPr>
        <w:t xml:space="preserve">activities, knowledge, expertise and proposes </w:t>
      </w:r>
      <w:r w:rsidR="00C733E3" w:rsidRPr="00312E8B">
        <w:rPr>
          <w:rFonts w:asciiTheme="majorBidi" w:hAnsiTheme="majorBidi" w:cstheme="majorBidi"/>
          <w:bCs/>
          <w:sz w:val="24"/>
          <w:szCs w:val="24"/>
          <w:lang w:val="en-GB"/>
        </w:rPr>
        <w:t>the</w:t>
      </w:r>
      <w:r w:rsidRPr="00312E8B">
        <w:rPr>
          <w:rFonts w:asciiTheme="majorBidi" w:hAnsiTheme="majorBidi" w:cstheme="majorBidi"/>
          <w:bCs/>
          <w:sz w:val="24"/>
          <w:szCs w:val="24"/>
          <w:lang w:val="en-GB"/>
        </w:rPr>
        <w:t xml:space="preserve"> terms of reference for </w:t>
      </w:r>
      <w:r w:rsidR="00C733E3" w:rsidRPr="00312E8B">
        <w:rPr>
          <w:rFonts w:asciiTheme="majorBidi" w:hAnsiTheme="majorBidi" w:cstheme="majorBidi"/>
          <w:bCs/>
          <w:sz w:val="24"/>
          <w:szCs w:val="24"/>
          <w:lang w:val="en-GB"/>
        </w:rPr>
        <w:t xml:space="preserve">an </w:t>
      </w:r>
      <w:r w:rsidRPr="00312E8B">
        <w:rPr>
          <w:rFonts w:asciiTheme="majorBidi" w:hAnsiTheme="majorBidi" w:cstheme="majorBidi"/>
          <w:bCs/>
          <w:sz w:val="24"/>
          <w:szCs w:val="24"/>
          <w:lang w:val="en-GB"/>
        </w:rPr>
        <w:t xml:space="preserve">expert </w:t>
      </w:r>
      <w:r w:rsidR="00C733E3" w:rsidRPr="00312E8B">
        <w:rPr>
          <w:rFonts w:asciiTheme="majorBidi" w:hAnsiTheme="majorBidi" w:cstheme="majorBidi"/>
          <w:bCs/>
          <w:sz w:val="24"/>
          <w:szCs w:val="24"/>
          <w:lang w:val="en-GB"/>
        </w:rPr>
        <w:t>group</w:t>
      </w:r>
      <w:r w:rsidRPr="00312E8B">
        <w:rPr>
          <w:rFonts w:asciiTheme="majorBidi" w:hAnsiTheme="majorBidi" w:cstheme="majorBidi"/>
          <w:bCs/>
          <w:sz w:val="24"/>
          <w:szCs w:val="24"/>
          <w:lang w:val="en-GB"/>
        </w:rPr>
        <w:t xml:space="preserve"> to [prepare a synthesis report on monitoring as identified in </w:t>
      </w:r>
      <w:r w:rsidR="00E11E0B">
        <w:rPr>
          <w:rFonts w:asciiTheme="majorBidi" w:hAnsiTheme="majorBidi" w:cstheme="majorBidi"/>
          <w:bCs/>
          <w:sz w:val="24"/>
          <w:szCs w:val="24"/>
          <w:lang w:val="en-GB"/>
        </w:rPr>
        <w:t>Section</w:t>
      </w:r>
      <w:r w:rsidRPr="00312E8B">
        <w:rPr>
          <w:rFonts w:asciiTheme="majorBidi" w:hAnsiTheme="majorBidi" w:cstheme="majorBidi"/>
          <w:bCs/>
          <w:sz w:val="24"/>
          <w:szCs w:val="24"/>
          <w:lang w:val="en-GB"/>
        </w:rPr>
        <w:t xml:space="preserve"> </w:t>
      </w:r>
      <w:r w:rsidR="00C733E3" w:rsidRPr="00312E8B">
        <w:rPr>
          <w:rFonts w:asciiTheme="majorBidi" w:hAnsiTheme="majorBidi" w:cstheme="majorBidi"/>
          <w:bCs/>
          <w:sz w:val="24"/>
          <w:szCs w:val="24"/>
          <w:lang w:val="en-GB"/>
        </w:rPr>
        <w:t>III</w:t>
      </w:r>
      <w:r w:rsidRPr="00312E8B">
        <w:rPr>
          <w:rFonts w:asciiTheme="majorBidi" w:hAnsiTheme="majorBidi" w:cstheme="majorBidi"/>
          <w:bCs/>
          <w:sz w:val="24"/>
          <w:szCs w:val="24"/>
          <w:lang w:val="en-GB"/>
        </w:rPr>
        <w:t xml:space="preserve"> of the report] [carry out tasks related to monitoring indicators identified in the effectiveness evaluation framework in </w:t>
      </w:r>
      <w:r w:rsidR="00E11E0B">
        <w:rPr>
          <w:rFonts w:asciiTheme="majorBidi" w:hAnsiTheme="majorBidi" w:cstheme="majorBidi"/>
          <w:bCs/>
          <w:sz w:val="24"/>
          <w:szCs w:val="24"/>
          <w:lang w:val="en-GB"/>
        </w:rPr>
        <w:t>Section III</w:t>
      </w:r>
      <w:r w:rsidRPr="00312E8B">
        <w:rPr>
          <w:rFonts w:asciiTheme="majorBidi" w:hAnsiTheme="majorBidi" w:cstheme="majorBidi"/>
          <w:bCs/>
          <w:sz w:val="24"/>
          <w:szCs w:val="24"/>
          <w:lang w:val="en-GB"/>
        </w:rPr>
        <w:t>] in this</w:t>
      </w:r>
      <w:r w:rsidRPr="009F3C7F">
        <w:rPr>
          <w:rFonts w:asciiTheme="majorBidi" w:hAnsiTheme="majorBidi" w:cstheme="majorBidi"/>
          <w:bCs/>
          <w:sz w:val="24"/>
          <w:szCs w:val="24"/>
          <w:lang w:val="en-GB"/>
        </w:rPr>
        <w:t xml:space="preserve"> Annex.</w:t>
      </w:r>
    </w:p>
    <w:p w14:paraId="56B4F611" w14:textId="3DC1E442"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In the consideration of the monitoring arrangements, the following key elements were identified: </w:t>
      </w:r>
    </w:p>
    <w:p w14:paraId="7750BB8B" w14:textId="4A6F5A11" w:rsidR="009F3C7F" w:rsidRPr="009F3C7F" w:rsidRDefault="009F3C7F" w:rsidP="0025348A">
      <w:pPr>
        <w:pStyle w:val="Normal-pool"/>
        <w:numPr>
          <w:ilvl w:val="1"/>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Mercury data and their availability from human health and environmental monitoring programmes that achieve global coverage and contain at least core representative data from all regions, </w:t>
      </w:r>
    </w:p>
    <w:p w14:paraId="6F37CDBC" w14:textId="0319CEA6" w:rsidR="009F3C7F" w:rsidRPr="009F3C7F" w:rsidRDefault="009F3C7F" w:rsidP="0025348A">
      <w:pPr>
        <w:pStyle w:val="Normal-pool"/>
        <w:numPr>
          <w:ilvl w:val="1"/>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Tools supporting data harmonization such as standard operating procedures and monitoring guidance document, </w:t>
      </w:r>
    </w:p>
    <w:p w14:paraId="4ADCAA72" w14:textId="28CBC503" w:rsidR="009F3C7F" w:rsidRPr="009F3C7F" w:rsidRDefault="00C733E3" w:rsidP="0025348A">
      <w:pPr>
        <w:pStyle w:val="Normal-pool"/>
        <w:numPr>
          <w:ilvl w:val="1"/>
          <w:numId w:val="19"/>
        </w:numPr>
        <w:spacing w:after="160"/>
        <w:rPr>
          <w:rFonts w:asciiTheme="majorBidi" w:hAnsiTheme="majorBidi" w:cstheme="majorBidi"/>
          <w:bCs/>
          <w:sz w:val="24"/>
          <w:szCs w:val="24"/>
          <w:lang w:val="en-GB"/>
        </w:rPr>
      </w:pPr>
      <w:r>
        <w:rPr>
          <w:rFonts w:asciiTheme="majorBidi" w:hAnsiTheme="majorBidi" w:cstheme="majorBidi"/>
          <w:bCs/>
          <w:sz w:val="24"/>
          <w:szCs w:val="24"/>
          <w:lang w:val="en-GB"/>
        </w:rPr>
        <w:t xml:space="preserve"> </w:t>
      </w:r>
      <w:r w:rsidR="009F3C7F" w:rsidRPr="009F3C7F">
        <w:rPr>
          <w:rFonts w:asciiTheme="majorBidi" w:hAnsiTheme="majorBidi" w:cstheme="majorBidi"/>
          <w:bCs/>
          <w:sz w:val="24"/>
          <w:szCs w:val="24"/>
          <w:lang w:val="en-GB"/>
        </w:rPr>
        <w:t xml:space="preserve">Expertise necessary for gathering and consolidating harmonized information that ensures comparability and consistency in mercury monitoring data over the long-term, </w:t>
      </w:r>
    </w:p>
    <w:p w14:paraId="0E83A8B7" w14:textId="5EC4C260" w:rsidR="009F3C7F" w:rsidRPr="009F3C7F" w:rsidRDefault="009F3C7F" w:rsidP="0025348A">
      <w:pPr>
        <w:pStyle w:val="Normal-pool"/>
        <w:numPr>
          <w:ilvl w:val="1"/>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Modelling capabilities, and </w:t>
      </w:r>
    </w:p>
    <w:p w14:paraId="6BEC2B07" w14:textId="636D8650" w:rsidR="009F3C7F" w:rsidRPr="009F3C7F" w:rsidRDefault="00C733E3" w:rsidP="0025348A">
      <w:pPr>
        <w:pStyle w:val="Normal-pool"/>
        <w:numPr>
          <w:ilvl w:val="1"/>
          <w:numId w:val="19"/>
        </w:numPr>
        <w:spacing w:after="160"/>
        <w:rPr>
          <w:rFonts w:asciiTheme="majorBidi" w:hAnsiTheme="majorBidi" w:cstheme="majorBidi"/>
          <w:bCs/>
          <w:sz w:val="24"/>
          <w:szCs w:val="24"/>
          <w:lang w:val="en-GB"/>
        </w:rPr>
      </w:pPr>
      <w:r>
        <w:rPr>
          <w:rFonts w:asciiTheme="majorBidi" w:hAnsiTheme="majorBidi" w:cstheme="majorBidi"/>
          <w:bCs/>
          <w:sz w:val="24"/>
          <w:szCs w:val="24"/>
          <w:lang w:val="en-GB"/>
        </w:rPr>
        <w:t xml:space="preserve"> </w:t>
      </w:r>
      <w:r w:rsidR="009F3C7F" w:rsidRPr="009F3C7F">
        <w:rPr>
          <w:rFonts w:asciiTheme="majorBidi" w:hAnsiTheme="majorBidi" w:cstheme="majorBidi"/>
          <w:bCs/>
          <w:sz w:val="24"/>
          <w:szCs w:val="24"/>
          <w:lang w:val="en-GB"/>
        </w:rPr>
        <w:t>Development of a global periodic report on levels and trends of mercury to support the effectiveness evaluation.</w:t>
      </w:r>
    </w:p>
    <w:p w14:paraId="632C2391" w14:textId="4A9CB95B" w:rsidR="009F3C7F" w:rsidRPr="00C733E3" w:rsidRDefault="009F3C7F" w:rsidP="0025348A">
      <w:pPr>
        <w:pStyle w:val="Normal-pool"/>
        <w:numPr>
          <w:ilvl w:val="0"/>
          <w:numId w:val="19"/>
        </w:numPr>
        <w:spacing w:after="160"/>
        <w:rPr>
          <w:rFonts w:asciiTheme="majorBidi" w:hAnsiTheme="majorBidi" w:cstheme="majorBidi"/>
          <w:bCs/>
          <w:sz w:val="24"/>
          <w:szCs w:val="24"/>
          <w:lang w:val="en-GB"/>
        </w:rPr>
      </w:pPr>
      <w:r w:rsidRPr="00C733E3">
        <w:rPr>
          <w:rFonts w:asciiTheme="majorBidi" w:hAnsiTheme="majorBidi" w:cstheme="majorBidi"/>
          <w:bCs/>
          <w:sz w:val="24"/>
          <w:szCs w:val="24"/>
          <w:lang w:val="en-GB"/>
        </w:rPr>
        <w:t xml:space="preserve">The text below further elaborates on the key elements identified, but a large amount of other relevant technical information on monitoring and background complementing the proposal below is available in a reference document as UNEP/MC/COP.3/INF.xx. Existing </w:t>
      </w:r>
      <w:r w:rsidR="00C733E3" w:rsidRPr="00C733E3">
        <w:rPr>
          <w:rFonts w:asciiTheme="majorBidi" w:hAnsiTheme="majorBidi" w:cstheme="majorBidi"/>
          <w:bCs/>
          <w:sz w:val="24"/>
          <w:szCs w:val="24"/>
          <w:lang w:val="en-GB"/>
        </w:rPr>
        <w:t>modelling</w:t>
      </w:r>
      <w:r w:rsidRPr="00C733E3">
        <w:rPr>
          <w:rFonts w:asciiTheme="majorBidi" w:hAnsiTheme="majorBidi" w:cstheme="majorBidi"/>
          <w:bCs/>
          <w:sz w:val="24"/>
          <w:szCs w:val="24"/>
          <w:lang w:val="en-GB"/>
        </w:rPr>
        <w:t xml:space="preserve"> capabilities are reviewed in detail in that INF document as well.</w:t>
      </w:r>
    </w:p>
    <w:p w14:paraId="2F5D68BD" w14:textId="499E7B95" w:rsidR="009F3C7F" w:rsidRPr="00C733E3" w:rsidRDefault="00C733E3" w:rsidP="00C733E3">
      <w:pPr>
        <w:pStyle w:val="Normal-pool"/>
        <w:spacing w:after="160"/>
        <w:rPr>
          <w:rFonts w:asciiTheme="majorBidi" w:hAnsiTheme="majorBidi" w:cstheme="majorBidi"/>
          <w:b/>
          <w:sz w:val="24"/>
          <w:szCs w:val="24"/>
          <w:lang w:val="en-GB"/>
        </w:rPr>
      </w:pPr>
      <w:r w:rsidRPr="00C733E3">
        <w:rPr>
          <w:rFonts w:asciiTheme="majorBidi" w:hAnsiTheme="majorBidi" w:cstheme="majorBidi"/>
          <w:b/>
          <w:sz w:val="24"/>
          <w:szCs w:val="24"/>
          <w:lang w:val="en-GB"/>
        </w:rPr>
        <w:t xml:space="preserve">1. </w:t>
      </w:r>
      <w:r w:rsidR="009F3C7F" w:rsidRPr="00C733E3">
        <w:rPr>
          <w:rFonts w:asciiTheme="majorBidi" w:hAnsiTheme="majorBidi" w:cstheme="majorBidi"/>
          <w:b/>
          <w:sz w:val="24"/>
          <w:szCs w:val="24"/>
          <w:lang w:val="en-GB"/>
        </w:rPr>
        <w:t>Mercury data and their availability from human health and environmental monitoring programmes</w:t>
      </w:r>
    </w:p>
    <w:p w14:paraId="2D87E630" w14:textId="57D9D7C8"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Regarding mercury data availability, a review presented in Annex I shows that even if mercury has one of the largest available collective data sets of recognized environmental contaminants, data gaps remain. These gaps could be efficiently covered with support of scientific activities and use of already developed materials.</w:t>
      </w:r>
    </w:p>
    <w:p w14:paraId="1A0D0443" w14:textId="06DB2176" w:rsidR="009F3C7F" w:rsidRPr="00C733E3" w:rsidRDefault="009F3C7F" w:rsidP="0025348A">
      <w:pPr>
        <w:pStyle w:val="Normal-pool"/>
        <w:numPr>
          <w:ilvl w:val="0"/>
          <w:numId w:val="19"/>
        </w:numPr>
        <w:spacing w:after="160"/>
        <w:rPr>
          <w:rFonts w:asciiTheme="majorBidi" w:hAnsiTheme="majorBidi" w:cstheme="majorBidi"/>
          <w:bCs/>
          <w:sz w:val="24"/>
          <w:szCs w:val="24"/>
          <w:lang w:val="en-GB"/>
        </w:rPr>
      </w:pPr>
      <w:r w:rsidRPr="00C733E3">
        <w:rPr>
          <w:rFonts w:asciiTheme="majorBidi" w:hAnsiTheme="majorBidi" w:cstheme="majorBidi"/>
          <w:bCs/>
          <w:sz w:val="24"/>
          <w:szCs w:val="24"/>
          <w:lang w:val="en-GB"/>
        </w:rPr>
        <w:t xml:space="preserve">By continuing existing mercury monitoring activities in a harmonized manner (see Tools supporting data harmonization below), supplementing them with actions to fill the geographical gaps, data on levels of mercury and mercury compounds in air, biota and humans either are available or would be able to be obtained, and would be comparable on a global basis. </w:t>
      </w:r>
    </w:p>
    <w:p w14:paraId="00692B60" w14:textId="7E264100"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lastRenderedPageBreak/>
        <w:t>Below is the proposal for mercury monitoring activities building on existing monitoring activities and knowledge organized by media. This information should be part of global mercury monitoring report.</w:t>
      </w:r>
    </w:p>
    <w:p w14:paraId="5DB1BBB8" w14:textId="77777777" w:rsidR="009F3C7F" w:rsidRPr="00C733E3" w:rsidRDefault="009F3C7F" w:rsidP="00C733E3">
      <w:pPr>
        <w:pStyle w:val="Normal-pool"/>
        <w:spacing w:after="160"/>
        <w:ind w:left="360"/>
        <w:rPr>
          <w:rFonts w:asciiTheme="majorBidi" w:hAnsiTheme="majorBidi" w:cstheme="majorBidi"/>
          <w:b/>
          <w:sz w:val="24"/>
          <w:szCs w:val="24"/>
          <w:lang w:val="en-GB"/>
        </w:rPr>
      </w:pPr>
      <w:r w:rsidRPr="00C733E3">
        <w:rPr>
          <w:rFonts w:asciiTheme="majorBidi" w:hAnsiTheme="majorBidi" w:cstheme="majorBidi"/>
          <w:b/>
          <w:sz w:val="24"/>
          <w:szCs w:val="24"/>
          <w:lang w:val="en-GB"/>
        </w:rPr>
        <w:t>Air</w:t>
      </w:r>
    </w:p>
    <w:p w14:paraId="067B6461" w14:textId="2F9A1A99"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For air monitoring, it is proposed to continue monitoring activities by existing networks by active continuous monitoring and manual active and passive air sampling techniques and collect:</w:t>
      </w:r>
    </w:p>
    <w:p w14:paraId="46C699A1" w14:textId="04C85F0E" w:rsidR="009F3C7F" w:rsidRPr="009F3C7F" w:rsidRDefault="009F3C7F" w:rsidP="0025348A">
      <w:pPr>
        <w:pStyle w:val="Normal-pool"/>
        <w:numPr>
          <w:ilvl w:val="0"/>
          <w:numId w:val="41"/>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Total Gaseous Mercury (TGM) concentrations in air at background and impacted sites</w:t>
      </w:r>
      <w:r w:rsidR="00AC156B">
        <w:rPr>
          <w:rFonts w:asciiTheme="majorBidi" w:hAnsiTheme="majorBidi" w:cstheme="majorBidi"/>
          <w:bCs/>
          <w:sz w:val="24"/>
          <w:szCs w:val="24"/>
          <w:lang w:val="en-GB"/>
        </w:rPr>
        <w:t>, and</w:t>
      </w:r>
    </w:p>
    <w:p w14:paraId="4C009EC3" w14:textId="15F35DE0" w:rsidR="009F3C7F" w:rsidRPr="009F3C7F" w:rsidRDefault="009F3C7F" w:rsidP="0025348A">
      <w:pPr>
        <w:pStyle w:val="Normal-pool"/>
        <w:numPr>
          <w:ilvl w:val="0"/>
          <w:numId w:val="41"/>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Atmospheric deposition fluxes</w:t>
      </w:r>
      <w:r w:rsidR="00AC156B">
        <w:rPr>
          <w:rFonts w:asciiTheme="majorBidi" w:hAnsiTheme="majorBidi" w:cstheme="majorBidi"/>
          <w:bCs/>
          <w:sz w:val="24"/>
          <w:szCs w:val="24"/>
          <w:lang w:val="en-GB"/>
        </w:rPr>
        <w:t>.</w:t>
      </w:r>
      <w:r w:rsidRPr="009F3C7F">
        <w:rPr>
          <w:rFonts w:asciiTheme="majorBidi" w:hAnsiTheme="majorBidi" w:cstheme="majorBidi"/>
          <w:bCs/>
          <w:sz w:val="24"/>
          <w:szCs w:val="24"/>
          <w:lang w:val="en-GB"/>
        </w:rPr>
        <w:t xml:space="preserve"> </w:t>
      </w:r>
    </w:p>
    <w:p w14:paraId="4ED7808C" w14:textId="7892AA14" w:rsidR="009F3C7F" w:rsidRPr="009F3C7F" w:rsidRDefault="009F3C7F" w:rsidP="00AC156B">
      <w:pPr>
        <w:pStyle w:val="Normal-pool"/>
        <w:spacing w:after="160"/>
        <w:ind w:left="720"/>
        <w:rPr>
          <w:rFonts w:asciiTheme="majorBidi" w:hAnsiTheme="majorBidi" w:cstheme="majorBidi"/>
          <w:bCs/>
          <w:sz w:val="24"/>
          <w:szCs w:val="24"/>
          <w:lang w:val="en-GB"/>
        </w:rPr>
      </w:pPr>
      <w:r w:rsidRPr="009F3C7F">
        <w:rPr>
          <w:rFonts w:asciiTheme="majorBidi" w:hAnsiTheme="majorBidi" w:cstheme="majorBidi"/>
          <w:bCs/>
          <w:sz w:val="24"/>
          <w:szCs w:val="24"/>
          <w:lang w:val="en-GB"/>
        </w:rPr>
        <w:t>for assessing spatial and temporal patterns of mercury concentrations in ambient air and deposition fluxes to terrestrial and aquatic ecosystems. Standard Operating Procedures (SOPs) suggest to monitor mercury deposition fluxes with samplers that are “Wet only”  or Bulk.</w:t>
      </w:r>
    </w:p>
    <w:p w14:paraId="3C6B4F4E" w14:textId="13BBBE1E"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To fill the geographical gaps in continents, samples should be collected to provide average TGM concentrations as monthly (or at lower frequency) average to cover Africa, Latin America and Russia and provide regional/local background TGM concentrations.</w:t>
      </w:r>
    </w:p>
    <w:p w14:paraId="30616C4A" w14:textId="1B715BF7" w:rsidR="009F3C7F" w:rsidRPr="009F3C7F" w:rsidRDefault="009F3C7F" w:rsidP="00AC156B">
      <w:pPr>
        <w:pStyle w:val="Normal-pool"/>
        <w:spacing w:after="160"/>
        <w:ind w:left="360"/>
        <w:rPr>
          <w:rFonts w:asciiTheme="majorBidi" w:hAnsiTheme="majorBidi" w:cstheme="majorBidi"/>
          <w:bCs/>
          <w:sz w:val="24"/>
          <w:szCs w:val="24"/>
          <w:lang w:val="en-GB"/>
        </w:rPr>
      </w:pPr>
      <w:r w:rsidRPr="00AC156B">
        <w:rPr>
          <w:rFonts w:asciiTheme="majorBidi" w:hAnsiTheme="majorBidi" w:cstheme="majorBidi"/>
          <w:b/>
          <w:sz w:val="24"/>
          <w:szCs w:val="24"/>
          <w:lang w:val="en-GB"/>
        </w:rPr>
        <w:t>Human</w:t>
      </w:r>
    </w:p>
    <w:p w14:paraId="24842C93" w14:textId="16D9C198"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For human biomonitoring for prenatal exposure in the general population the following biomarkers are recommended:</w:t>
      </w:r>
    </w:p>
    <w:p w14:paraId="7DAEC722" w14:textId="470ABE26" w:rsidR="009F3C7F" w:rsidRPr="009F3C7F" w:rsidRDefault="00AC156B" w:rsidP="0025348A">
      <w:pPr>
        <w:pStyle w:val="Normal-pool"/>
        <w:numPr>
          <w:ilvl w:val="0"/>
          <w:numId w:val="40"/>
        </w:numPr>
        <w:spacing w:after="160"/>
        <w:rPr>
          <w:rFonts w:asciiTheme="majorBidi" w:hAnsiTheme="majorBidi" w:cstheme="majorBidi"/>
          <w:bCs/>
          <w:sz w:val="24"/>
          <w:szCs w:val="24"/>
          <w:lang w:val="en-GB"/>
        </w:rPr>
      </w:pPr>
      <w:r>
        <w:rPr>
          <w:rFonts w:asciiTheme="majorBidi" w:hAnsiTheme="majorBidi" w:cstheme="majorBidi"/>
          <w:bCs/>
          <w:sz w:val="24"/>
          <w:szCs w:val="24"/>
          <w:lang w:val="en-GB"/>
        </w:rPr>
        <w:t>T</w:t>
      </w:r>
      <w:r w:rsidR="009F3C7F" w:rsidRPr="009F3C7F">
        <w:rPr>
          <w:rFonts w:asciiTheme="majorBidi" w:hAnsiTheme="majorBidi" w:cstheme="majorBidi"/>
          <w:bCs/>
          <w:sz w:val="24"/>
          <w:szCs w:val="24"/>
          <w:lang w:val="en-GB"/>
        </w:rPr>
        <w:t>otal mercury in maternal scalp hair (3 cm hair strand from the scalp, to measure exposure during the 3rd trimester)</w:t>
      </w:r>
      <w:r>
        <w:rPr>
          <w:rFonts w:asciiTheme="majorBidi" w:hAnsiTheme="majorBidi" w:cstheme="majorBidi"/>
          <w:bCs/>
          <w:sz w:val="24"/>
          <w:szCs w:val="24"/>
          <w:lang w:val="en-GB"/>
        </w:rPr>
        <w:t>, and</w:t>
      </w:r>
    </w:p>
    <w:p w14:paraId="351A6B59" w14:textId="29827198" w:rsidR="009F3C7F" w:rsidRPr="009F3C7F" w:rsidRDefault="009F3C7F" w:rsidP="0025348A">
      <w:pPr>
        <w:pStyle w:val="Normal-pool"/>
        <w:numPr>
          <w:ilvl w:val="0"/>
          <w:numId w:val="40"/>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Total mercury in cord blood – recent exposure to methyl mercury</w:t>
      </w:r>
      <w:r w:rsidR="00AC156B">
        <w:rPr>
          <w:rFonts w:asciiTheme="majorBidi" w:hAnsiTheme="majorBidi" w:cstheme="majorBidi"/>
          <w:bCs/>
          <w:sz w:val="24"/>
          <w:szCs w:val="24"/>
          <w:lang w:val="en-GB"/>
        </w:rPr>
        <w:t>.</w:t>
      </w:r>
    </w:p>
    <w:p w14:paraId="519502E2" w14:textId="33E8E27B"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Maternal scalp hair is a preferable biological matrix to assess prenatal exposure. Cord blood can be </w:t>
      </w:r>
      <w:r w:rsidR="00627FBE">
        <w:rPr>
          <w:rFonts w:asciiTheme="majorBidi" w:hAnsiTheme="majorBidi" w:cstheme="majorBidi"/>
          <w:bCs/>
          <w:sz w:val="24"/>
          <w:szCs w:val="24"/>
          <w:lang w:val="en-GB"/>
        </w:rPr>
        <w:t xml:space="preserve">an </w:t>
      </w:r>
      <w:r w:rsidRPr="009F3C7F">
        <w:rPr>
          <w:rFonts w:asciiTheme="majorBidi" w:hAnsiTheme="majorBidi" w:cstheme="majorBidi"/>
          <w:bCs/>
          <w:sz w:val="24"/>
          <w:szCs w:val="24"/>
          <w:lang w:val="en-GB"/>
        </w:rPr>
        <w:t>alternative matrix to hair. Human samples collected in approximately 5</w:t>
      </w:r>
      <w:r w:rsidR="00627FBE">
        <w:rPr>
          <w:rFonts w:asciiTheme="majorBidi" w:hAnsiTheme="majorBidi" w:cstheme="majorBidi"/>
          <w:bCs/>
          <w:sz w:val="24"/>
          <w:szCs w:val="24"/>
          <w:lang w:val="en-GB"/>
        </w:rPr>
        <w:t xml:space="preserve">- </w:t>
      </w:r>
      <w:r w:rsidRPr="009F3C7F">
        <w:rPr>
          <w:rFonts w:asciiTheme="majorBidi" w:hAnsiTheme="majorBidi" w:cstheme="majorBidi"/>
          <w:bCs/>
          <w:sz w:val="24"/>
          <w:szCs w:val="24"/>
          <w:lang w:val="en-GB"/>
        </w:rPr>
        <w:t xml:space="preserve">year intervals are feasible for human biomonitoring surveys considering the aim to identify statistically significant differences as well as the time such studies take to implement (including adaptation of the master protocol to local circumstances, local ethical approval, training of staff etc.). Human samples should be accompanied by a series of attributes, e.g. age, gender as well as social/habitual information e.g. fish consumption pattern, economic level, etc.  </w:t>
      </w:r>
    </w:p>
    <w:p w14:paraId="5C9C71DD" w14:textId="7FFBE2AD"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It might be useful to coordinate the sample collection with the survey activities under the Stockholm Convention as the one ethical approval could be used.</w:t>
      </w:r>
    </w:p>
    <w:p w14:paraId="78C91C59" w14:textId="73C4C5F3"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The Global Mercury Assessment 2018 identified currently available data on mercury exposure in national human biomonitoring programmes, longitudinal birth cohort studies and cross-sectional information in specific populations including high exposure groups. These activities should be continued to provide a </w:t>
      </w:r>
      <w:r w:rsidR="00627FBE" w:rsidRPr="009F3C7F">
        <w:rPr>
          <w:rFonts w:asciiTheme="majorBidi" w:hAnsiTheme="majorBidi" w:cstheme="majorBidi"/>
          <w:bCs/>
          <w:sz w:val="24"/>
          <w:szCs w:val="24"/>
          <w:lang w:val="en-GB"/>
        </w:rPr>
        <w:t>long-term</w:t>
      </w:r>
      <w:r w:rsidRPr="009F3C7F">
        <w:rPr>
          <w:rFonts w:asciiTheme="majorBidi" w:hAnsiTheme="majorBidi" w:cstheme="majorBidi"/>
          <w:bCs/>
          <w:sz w:val="24"/>
          <w:szCs w:val="24"/>
          <w:lang w:val="en-GB"/>
        </w:rPr>
        <w:t xml:space="preserve"> information for subsequent effectiveness evaluation.</w:t>
      </w:r>
    </w:p>
    <w:p w14:paraId="56518634" w14:textId="77777777" w:rsidR="009F3C7F" w:rsidRPr="009F3C7F" w:rsidRDefault="009F3C7F" w:rsidP="00627FBE">
      <w:pPr>
        <w:pStyle w:val="Normal-pool"/>
        <w:spacing w:after="160"/>
        <w:ind w:left="360"/>
        <w:rPr>
          <w:rFonts w:asciiTheme="majorBidi" w:hAnsiTheme="majorBidi" w:cstheme="majorBidi"/>
          <w:bCs/>
          <w:sz w:val="24"/>
          <w:szCs w:val="24"/>
          <w:lang w:val="en-GB"/>
        </w:rPr>
      </w:pPr>
      <w:r w:rsidRPr="00627FBE">
        <w:rPr>
          <w:rFonts w:asciiTheme="majorBidi" w:hAnsiTheme="majorBidi" w:cstheme="majorBidi"/>
          <w:b/>
          <w:sz w:val="24"/>
          <w:szCs w:val="24"/>
          <w:lang w:val="en-GB"/>
        </w:rPr>
        <w:lastRenderedPageBreak/>
        <w:t>Biota</w:t>
      </w:r>
    </w:p>
    <w:p w14:paraId="10966D1C" w14:textId="0D0EE560" w:rsidR="009F3C7F" w:rsidRPr="00DD1ECB"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For biota monitoring, an important aspect in combining monitoring efforts for documentation of convention effectiveness would be to define biological species and proper tissue types for monitoring, to minimize the effects of species-specific physiological differences. Species that accumulate significant amounts of mercury pose a potential risk for human health, that are widely distributed over specific geographically areas, and that exist in numerous historical studies should be prioritized. Additionally, there is a need to normalize or account for mercury concentrations in biota by size, age and sex, and these data should be included in the data collection process. The choice of fish species for sampling should be </w:t>
      </w:r>
      <w:r w:rsidRPr="00DD1ECB">
        <w:rPr>
          <w:rFonts w:asciiTheme="majorBidi" w:hAnsiTheme="majorBidi" w:cstheme="majorBidi"/>
          <w:bCs/>
          <w:sz w:val="24"/>
          <w:szCs w:val="24"/>
          <w:lang w:val="en-GB"/>
        </w:rPr>
        <w:t xml:space="preserve">based on the trophic level, with trophic level 4 (carnivores that eat other carnivores) being most appropriate for decisions related to human and ecological health assessments. </w:t>
      </w:r>
    </w:p>
    <w:p w14:paraId="0E7F1688" w14:textId="1862678B" w:rsidR="00E41FDD" w:rsidRPr="00DD1ECB" w:rsidRDefault="009F3C7F" w:rsidP="0025348A">
      <w:pPr>
        <w:pStyle w:val="Normal-pool"/>
        <w:numPr>
          <w:ilvl w:val="0"/>
          <w:numId w:val="19"/>
        </w:numPr>
        <w:spacing w:after="160"/>
        <w:rPr>
          <w:rFonts w:asciiTheme="majorBidi" w:hAnsiTheme="majorBidi" w:cstheme="majorBidi"/>
          <w:bCs/>
          <w:sz w:val="24"/>
          <w:szCs w:val="24"/>
          <w:lang w:val="en-GB"/>
        </w:rPr>
      </w:pPr>
      <w:r w:rsidRPr="00DD1ECB">
        <w:rPr>
          <w:rFonts w:asciiTheme="majorBidi" w:hAnsiTheme="majorBidi" w:cstheme="majorBidi"/>
          <w:bCs/>
          <w:sz w:val="24"/>
          <w:szCs w:val="24"/>
          <w:lang w:val="en-GB"/>
        </w:rPr>
        <w:t>It is proposed that biotic monitoring be separated into two major approaches to account for major differences in exposure pathways: continental and oceanic frameworks. A large amount of relevant technical information on the frameworks is available in a reference document as UNEP/MC/COP.3/INF.xx. Continental framework aims at identifying ecosystem sensitivity spots that are able to methylate mercury and make it available in the food web. Oceanic Framework for mercury monitoring in biota covers oceanic areas.  The outcome combines ocean basin, matrix of interest for human consumption that have global ranges to define spatial gradients (trends) of mercury level in biota.</w:t>
      </w:r>
    </w:p>
    <w:p w14:paraId="122B0089" w14:textId="77777777" w:rsidR="00A04064" w:rsidRDefault="00A04064" w:rsidP="00A04064">
      <w:pPr>
        <w:pStyle w:val="Normal-pool"/>
        <w:spacing w:after="160"/>
        <w:rPr>
          <w:rFonts w:asciiTheme="majorBidi" w:hAnsiTheme="majorBidi" w:cstheme="majorBidi"/>
          <w:b/>
          <w:sz w:val="24"/>
          <w:szCs w:val="24"/>
          <w:lang w:val="en-GB"/>
        </w:rPr>
      </w:pPr>
    </w:p>
    <w:p w14:paraId="75C18E40" w14:textId="6CA7122D" w:rsidR="00E41FDD" w:rsidRPr="00E41FDD" w:rsidRDefault="00E41FDD" w:rsidP="00E41FDD">
      <w:pPr>
        <w:pStyle w:val="Normal-pool"/>
        <w:spacing w:after="160"/>
        <w:rPr>
          <w:rFonts w:asciiTheme="majorBidi" w:hAnsiTheme="majorBidi" w:cstheme="majorBidi"/>
          <w:b/>
          <w:sz w:val="24"/>
          <w:szCs w:val="24"/>
          <w:lang w:val="en-GB"/>
        </w:rPr>
      </w:pPr>
      <w:r w:rsidRPr="00E41FDD">
        <w:rPr>
          <w:rFonts w:asciiTheme="majorBidi" w:hAnsiTheme="majorBidi" w:cstheme="majorBidi"/>
          <w:b/>
          <w:sz w:val="24"/>
          <w:szCs w:val="24"/>
          <w:lang w:val="en-GB"/>
        </w:rPr>
        <w:t>2. Tools supporting data harmonisation</w:t>
      </w:r>
    </w:p>
    <w:p w14:paraId="00621821" w14:textId="0B527790"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Tools supporting data harmonization regarding comparability represent in particular standard operating procedures, guidance on global monitoring document, and inter-calibration studies.</w:t>
      </w:r>
    </w:p>
    <w:p w14:paraId="4E444915" w14:textId="0664BF7A"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Document UNEP/MC/COP.3/INF/XX contains a more detailed information on standard operation procedures (SOPs) already available and their use is encouraged.  Review of data availability therein also comprises information on other available tools for maintaining data comparability including inter-calibration studies.</w:t>
      </w:r>
    </w:p>
    <w:p w14:paraId="2CB49315" w14:textId="124F4AE0"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Further, to maintain harmonized information on mercury levels in environment, existence of a global mercury monitoring guidance document would be very useful. While development of such a document is included in the ad-hoc expert group`s mandate, the group felt that such document can only be prepared once monitoring arrangements for mercury are agreed. Guidance document could then be prepared swiftly on the basis of core matrices and available knowledge.</w:t>
      </w:r>
    </w:p>
    <w:p w14:paraId="64AFB6F0" w14:textId="6E2A8777" w:rsid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Nevertheless, experts prepared elements for the guidance on global monitoring (available monitoring activities organized per matrix, state of science for monitoring, procedures on sampling, sample handling, chemical analyses of samples) that is contained in UNEP/MC/COP.3/INF/XX part two that presents a draft structure of the guidance document and other relevant information.</w:t>
      </w:r>
    </w:p>
    <w:p w14:paraId="709BDF75" w14:textId="77777777" w:rsidR="00A04064" w:rsidRPr="00A04064" w:rsidRDefault="00A04064" w:rsidP="00A04064">
      <w:pPr>
        <w:pStyle w:val="Normal-pool"/>
        <w:spacing w:after="160"/>
        <w:rPr>
          <w:rFonts w:asciiTheme="majorBidi" w:hAnsiTheme="majorBidi" w:cstheme="majorBidi"/>
          <w:bCs/>
          <w:sz w:val="24"/>
          <w:szCs w:val="24"/>
          <w:lang w:val="en-GB"/>
        </w:rPr>
      </w:pPr>
    </w:p>
    <w:p w14:paraId="440A147E" w14:textId="77777777" w:rsidR="009F3C7F" w:rsidRPr="00A04064" w:rsidRDefault="009F3C7F" w:rsidP="00A04064">
      <w:pPr>
        <w:pStyle w:val="Normal-pool"/>
        <w:spacing w:after="160"/>
        <w:rPr>
          <w:rFonts w:asciiTheme="majorBidi" w:hAnsiTheme="majorBidi" w:cstheme="majorBidi"/>
          <w:b/>
          <w:sz w:val="24"/>
          <w:szCs w:val="24"/>
          <w:lang w:val="en-GB"/>
        </w:rPr>
      </w:pPr>
      <w:r w:rsidRPr="00A04064">
        <w:rPr>
          <w:rFonts w:asciiTheme="majorBidi" w:hAnsiTheme="majorBidi" w:cstheme="majorBidi"/>
          <w:b/>
          <w:sz w:val="24"/>
          <w:szCs w:val="24"/>
          <w:lang w:val="en-GB"/>
        </w:rPr>
        <w:lastRenderedPageBreak/>
        <w:t>3. Development of a global periodic report</w:t>
      </w:r>
    </w:p>
    <w:p w14:paraId="51C0F08D" w14:textId="5A821782"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It is proposed that a global mercury monitoring report on status of the environment and occurrence of mercury is developed in regular and suitable intervals to support the effectiveness evaluation.</w:t>
      </w:r>
    </w:p>
    <w:p w14:paraId="71D935B3" w14:textId="710E0541"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Available globally representative monitoring data would be compiled, assessed and summarized by relevant experts performing scientific function in this field (see below).</w:t>
      </w:r>
    </w:p>
    <w:p w14:paraId="34EE041F" w14:textId="567D338A"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Global report would be organized by media and show available monitoring data and trends in the environment, humans and biota. Global monitoring report would also use models to predict further trend development.</w:t>
      </w:r>
    </w:p>
    <w:p w14:paraId="2A20E8EA" w14:textId="296B46B0"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Information from the global report would then be also used for contextualization of information in a multi compartment model to capture the socio-economic scenario, baseline and different policy alternatives.</w:t>
      </w:r>
    </w:p>
    <w:p w14:paraId="4B940FB5" w14:textId="30EBD4EA"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The first global report on monitoring and </w:t>
      </w:r>
      <w:r w:rsidR="00A04064" w:rsidRPr="009F3C7F">
        <w:rPr>
          <w:rFonts w:asciiTheme="majorBidi" w:hAnsiTheme="majorBidi" w:cstheme="majorBidi"/>
          <w:bCs/>
          <w:sz w:val="24"/>
          <w:szCs w:val="24"/>
          <w:lang w:val="en-GB"/>
        </w:rPr>
        <w:t>modelling</w:t>
      </w:r>
      <w:r w:rsidRPr="009F3C7F">
        <w:rPr>
          <w:rFonts w:asciiTheme="majorBidi" w:hAnsiTheme="majorBidi" w:cstheme="majorBidi"/>
          <w:bCs/>
          <w:sz w:val="24"/>
          <w:szCs w:val="24"/>
          <w:lang w:val="en-GB"/>
        </w:rPr>
        <w:t xml:space="preserve"> to the effectiveness evaluation committee on state of the environment needs to become available for the first meeting of the effectiveness evaluation committee.</w:t>
      </w:r>
    </w:p>
    <w:p w14:paraId="5CA450EA" w14:textId="77777777" w:rsidR="00A04064" w:rsidRDefault="00A04064" w:rsidP="00A04064">
      <w:pPr>
        <w:pStyle w:val="Normal-pool"/>
        <w:spacing w:after="160"/>
        <w:rPr>
          <w:rFonts w:asciiTheme="majorBidi" w:hAnsiTheme="majorBidi" w:cstheme="majorBidi"/>
          <w:bCs/>
          <w:sz w:val="24"/>
          <w:szCs w:val="24"/>
          <w:lang w:val="en-GB"/>
        </w:rPr>
      </w:pPr>
    </w:p>
    <w:p w14:paraId="3CA1AF88" w14:textId="1609EC6F" w:rsidR="009F3C7F" w:rsidRPr="00A04064" w:rsidRDefault="009F3C7F" w:rsidP="00A04064">
      <w:pPr>
        <w:pStyle w:val="Normal-pool"/>
        <w:spacing w:after="160"/>
        <w:rPr>
          <w:rFonts w:asciiTheme="majorBidi" w:hAnsiTheme="majorBidi" w:cstheme="majorBidi"/>
          <w:b/>
          <w:sz w:val="24"/>
          <w:szCs w:val="24"/>
          <w:lang w:val="en-GB"/>
        </w:rPr>
      </w:pPr>
      <w:r w:rsidRPr="00A04064">
        <w:rPr>
          <w:rFonts w:asciiTheme="majorBidi" w:hAnsiTheme="majorBidi" w:cstheme="majorBidi"/>
          <w:b/>
          <w:sz w:val="24"/>
          <w:szCs w:val="24"/>
          <w:lang w:val="en-GB"/>
        </w:rPr>
        <w:t xml:space="preserve">4. Expertise necessary for synthesizing monitoring data </w:t>
      </w:r>
    </w:p>
    <w:p w14:paraId="6FBC90CC" w14:textId="7894AED4" w:rsidR="009F3C7F" w:rsidRPr="00A04064"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During the discussions of the effectiveness evaluation framework`s science and technical functions, it became clear that information on the status of the environment and occurrence of mercury is to be synthesized by an expert body with extended research expertise to oversee the gathering and consolidation of monitoring data. </w:t>
      </w:r>
    </w:p>
    <w:p w14:paraId="300BD0C8" w14:textId="79C45D46" w:rsidR="009F3C7F" w:rsidRPr="009F3C7F" w:rsidRDefault="009F3C7F" w:rsidP="0025348A">
      <w:pPr>
        <w:pStyle w:val="Normal-pool"/>
        <w:numPr>
          <w:ilvl w:val="0"/>
          <w:numId w:val="19"/>
        </w:numPr>
        <w:spacing w:after="1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The group would be assigned to gather information from existing monitoring activities and compile them into a global synthesis report and assess mercury levels and trends through the use of models, and thus prepare a global monitoring report as referred to in </w:t>
      </w:r>
      <w:r w:rsidR="00E11E0B">
        <w:rPr>
          <w:rFonts w:asciiTheme="majorBidi" w:hAnsiTheme="majorBidi" w:cstheme="majorBidi"/>
          <w:bCs/>
          <w:sz w:val="24"/>
          <w:szCs w:val="24"/>
          <w:lang w:val="en-GB"/>
        </w:rPr>
        <w:t>Section</w:t>
      </w:r>
      <w:r w:rsidR="00E731EA">
        <w:rPr>
          <w:rFonts w:asciiTheme="majorBidi" w:hAnsiTheme="majorBidi" w:cstheme="majorBidi"/>
          <w:bCs/>
          <w:sz w:val="24"/>
          <w:szCs w:val="24"/>
          <w:lang w:val="en-GB"/>
        </w:rPr>
        <w:t xml:space="preserve"> II </w:t>
      </w:r>
      <w:r w:rsidRPr="009F3C7F">
        <w:rPr>
          <w:rFonts w:asciiTheme="majorBidi" w:hAnsiTheme="majorBidi" w:cstheme="majorBidi"/>
          <w:bCs/>
          <w:sz w:val="24"/>
          <w:szCs w:val="24"/>
          <w:lang w:val="en-GB"/>
        </w:rPr>
        <w:t>of this report. Proposed terms of reference of the group are shown below.</w:t>
      </w:r>
    </w:p>
    <w:p w14:paraId="50554712" w14:textId="77777777" w:rsidR="009F3C7F" w:rsidRPr="009F3C7F" w:rsidRDefault="009F3C7F" w:rsidP="00A04064">
      <w:pPr>
        <w:pStyle w:val="Normal-pool"/>
        <w:spacing w:after="160"/>
        <w:rPr>
          <w:rFonts w:asciiTheme="majorBidi" w:hAnsiTheme="majorBidi" w:cstheme="majorBidi"/>
          <w:bCs/>
          <w:sz w:val="24"/>
          <w:szCs w:val="24"/>
          <w:lang w:val="en-GB"/>
        </w:rPr>
      </w:pPr>
    </w:p>
    <w:p w14:paraId="41AC419B" w14:textId="65084C3E" w:rsidR="009F3C7F" w:rsidRPr="006331B7" w:rsidRDefault="009F3C7F" w:rsidP="006331B7">
      <w:pPr>
        <w:pStyle w:val="Normal-pool"/>
        <w:spacing w:after="160"/>
        <w:rPr>
          <w:rFonts w:asciiTheme="majorBidi" w:hAnsiTheme="majorBidi" w:cstheme="majorBidi"/>
          <w:b/>
          <w:sz w:val="24"/>
          <w:szCs w:val="24"/>
          <w:lang w:val="en-GB"/>
        </w:rPr>
      </w:pPr>
      <w:r w:rsidRPr="006331B7">
        <w:rPr>
          <w:rFonts w:asciiTheme="majorBidi" w:hAnsiTheme="majorBidi" w:cstheme="majorBidi"/>
          <w:b/>
          <w:sz w:val="24"/>
          <w:szCs w:val="24"/>
          <w:lang w:val="en-GB"/>
        </w:rPr>
        <w:t xml:space="preserve">Draft ToR of the monitoring and </w:t>
      </w:r>
      <w:r w:rsidR="006331B7" w:rsidRPr="006331B7">
        <w:rPr>
          <w:rFonts w:asciiTheme="majorBidi" w:hAnsiTheme="majorBidi" w:cstheme="majorBidi"/>
          <w:b/>
          <w:sz w:val="24"/>
          <w:szCs w:val="24"/>
          <w:lang w:val="en-GB"/>
        </w:rPr>
        <w:t>modelling</w:t>
      </w:r>
      <w:r w:rsidRPr="006331B7">
        <w:rPr>
          <w:rFonts w:asciiTheme="majorBidi" w:hAnsiTheme="majorBidi" w:cstheme="majorBidi"/>
          <w:b/>
          <w:sz w:val="24"/>
          <w:szCs w:val="24"/>
          <w:lang w:val="en-GB"/>
        </w:rPr>
        <w:t xml:space="preserve"> group</w:t>
      </w:r>
    </w:p>
    <w:p w14:paraId="085DB5F2" w14:textId="77777777" w:rsidR="009F3C7F" w:rsidRPr="009F3C7F" w:rsidRDefault="009F3C7F" w:rsidP="006331B7">
      <w:pPr>
        <w:pStyle w:val="Normal-pool"/>
        <w:spacing w:after="160"/>
        <w:rPr>
          <w:rFonts w:asciiTheme="majorBidi" w:hAnsiTheme="majorBidi" w:cstheme="majorBidi"/>
          <w:bCs/>
          <w:sz w:val="24"/>
          <w:szCs w:val="24"/>
          <w:lang w:val="en-GB"/>
        </w:rPr>
      </w:pPr>
      <w:r w:rsidRPr="00782BBD">
        <w:rPr>
          <w:rFonts w:asciiTheme="majorBidi" w:hAnsiTheme="majorBidi" w:cstheme="majorBidi"/>
          <w:b/>
          <w:sz w:val="24"/>
          <w:szCs w:val="24"/>
          <w:lang w:val="en-GB"/>
        </w:rPr>
        <w:t>Mandate</w:t>
      </w:r>
    </w:p>
    <w:p w14:paraId="0E222AB7" w14:textId="7ECE98C1" w:rsidR="009F3C7F" w:rsidRPr="009F3C7F" w:rsidRDefault="009F3C7F" w:rsidP="00782BBD">
      <w:pPr>
        <w:pStyle w:val="Normal-pool"/>
        <w:spacing w:after="160"/>
        <w:ind w:left="3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A monitoring and </w:t>
      </w:r>
      <w:r w:rsidR="00782BBD" w:rsidRPr="009F3C7F">
        <w:rPr>
          <w:rFonts w:asciiTheme="majorBidi" w:hAnsiTheme="majorBidi" w:cstheme="majorBidi"/>
          <w:bCs/>
          <w:sz w:val="24"/>
          <w:szCs w:val="24"/>
          <w:lang w:val="en-GB"/>
        </w:rPr>
        <w:t>modelling</w:t>
      </w:r>
      <w:r w:rsidRPr="009F3C7F">
        <w:rPr>
          <w:rFonts w:asciiTheme="majorBidi" w:hAnsiTheme="majorBidi" w:cstheme="majorBidi"/>
          <w:bCs/>
          <w:sz w:val="24"/>
          <w:szCs w:val="24"/>
          <w:lang w:val="en-GB"/>
        </w:rPr>
        <w:t xml:space="preserve"> [task] group (hereinafter, “the group”) is established to perform the functions assigned to it by the Conference of the Parties in support of the effectiveness evaluation including:</w:t>
      </w:r>
    </w:p>
    <w:p w14:paraId="4FCD6E52" w14:textId="77777777" w:rsidR="009F3C7F" w:rsidRPr="009F3C7F" w:rsidRDefault="009F3C7F" w:rsidP="00123EAE">
      <w:pPr>
        <w:pStyle w:val="Normal-pool"/>
        <w:spacing w:after="160"/>
        <w:ind w:left="720"/>
        <w:rPr>
          <w:rFonts w:asciiTheme="majorBidi" w:hAnsiTheme="majorBidi" w:cstheme="majorBidi"/>
          <w:bCs/>
          <w:sz w:val="24"/>
          <w:szCs w:val="24"/>
          <w:lang w:val="en-GB"/>
        </w:rPr>
      </w:pPr>
      <w:r w:rsidRPr="009F3C7F">
        <w:rPr>
          <w:rFonts w:asciiTheme="majorBidi" w:hAnsiTheme="majorBidi" w:cstheme="majorBidi"/>
          <w:bCs/>
          <w:sz w:val="24"/>
          <w:szCs w:val="24"/>
          <w:lang w:val="en-GB"/>
        </w:rPr>
        <w:t>a.</w:t>
      </w:r>
      <w:r w:rsidRPr="009F3C7F">
        <w:rPr>
          <w:rFonts w:asciiTheme="majorBidi" w:hAnsiTheme="majorBidi" w:cstheme="majorBidi"/>
          <w:bCs/>
          <w:sz w:val="24"/>
          <w:szCs w:val="24"/>
          <w:lang w:val="en-GB"/>
        </w:rPr>
        <w:tab/>
        <w:t>Gathering of information from mercury monitoring activities and compilation of the relevant information including national and scientific data on changes in levels of mercury in core media taking into account the work already achieved and drawing on experience from existing monitoring networks on mercury.  Changes include spatial and temporal trends including contextualization through use of models.</w:t>
      </w:r>
    </w:p>
    <w:p w14:paraId="170E1057" w14:textId="42C62FF4" w:rsidR="009F3C7F" w:rsidRPr="009F3C7F" w:rsidRDefault="009F3C7F" w:rsidP="00123EAE">
      <w:pPr>
        <w:pStyle w:val="Normal-pool"/>
        <w:spacing w:after="160"/>
        <w:ind w:left="720"/>
        <w:rPr>
          <w:rFonts w:asciiTheme="majorBidi" w:hAnsiTheme="majorBidi" w:cstheme="majorBidi"/>
          <w:bCs/>
          <w:sz w:val="24"/>
          <w:szCs w:val="24"/>
          <w:lang w:val="en-GB"/>
        </w:rPr>
      </w:pPr>
      <w:r w:rsidRPr="009F3C7F">
        <w:rPr>
          <w:rFonts w:asciiTheme="majorBidi" w:hAnsiTheme="majorBidi" w:cstheme="majorBidi"/>
          <w:bCs/>
          <w:sz w:val="24"/>
          <w:szCs w:val="24"/>
          <w:lang w:val="en-GB"/>
        </w:rPr>
        <w:t>b.</w:t>
      </w:r>
      <w:r w:rsidRPr="009F3C7F">
        <w:rPr>
          <w:rFonts w:asciiTheme="majorBidi" w:hAnsiTheme="majorBidi" w:cstheme="majorBidi"/>
          <w:bCs/>
          <w:sz w:val="24"/>
          <w:szCs w:val="24"/>
          <w:lang w:val="en-GB"/>
        </w:rPr>
        <w:tab/>
        <w:t>Preparation of a global monitoring report on mercury for effectiveness evaluation committee meetings</w:t>
      </w:r>
      <w:r w:rsidR="00782BBD">
        <w:rPr>
          <w:rFonts w:asciiTheme="majorBidi" w:hAnsiTheme="majorBidi" w:cstheme="majorBidi"/>
          <w:bCs/>
          <w:sz w:val="24"/>
          <w:szCs w:val="24"/>
          <w:lang w:val="en-GB"/>
        </w:rPr>
        <w:t>.</w:t>
      </w:r>
    </w:p>
    <w:p w14:paraId="11959733" w14:textId="77777777" w:rsidR="009F3C7F" w:rsidRPr="009F3C7F" w:rsidRDefault="009F3C7F" w:rsidP="00123EAE">
      <w:pPr>
        <w:pStyle w:val="Normal-pool"/>
        <w:spacing w:after="160"/>
        <w:ind w:left="720"/>
        <w:rPr>
          <w:rFonts w:asciiTheme="majorBidi" w:hAnsiTheme="majorBidi" w:cstheme="majorBidi"/>
          <w:bCs/>
          <w:sz w:val="24"/>
          <w:szCs w:val="24"/>
          <w:lang w:val="en-GB"/>
        </w:rPr>
      </w:pPr>
      <w:r w:rsidRPr="009F3C7F">
        <w:rPr>
          <w:rFonts w:asciiTheme="majorBidi" w:hAnsiTheme="majorBidi" w:cstheme="majorBidi"/>
          <w:bCs/>
          <w:sz w:val="24"/>
          <w:szCs w:val="24"/>
          <w:lang w:val="en-GB"/>
        </w:rPr>
        <w:lastRenderedPageBreak/>
        <w:t>c.</w:t>
      </w:r>
      <w:r w:rsidRPr="009F3C7F">
        <w:rPr>
          <w:rFonts w:asciiTheme="majorBidi" w:hAnsiTheme="majorBidi" w:cstheme="majorBidi"/>
          <w:bCs/>
          <w:sz w:val="24"/>
          <w:szCs w:val="24"/>
          <w:lang w:val="en-GB"/>
        </w:rPr>
        <w:tab/>
        <w:t>Development of a monitoring guidance document to provide the COP with comparable monitoring data on the presence and movements of mercury and mercury compounds in the environment as well as trends in levels of mercury and mercury compounds observed in biotic media and vulnerable populations, organize data gathering and visualization of information. The group should start its work on this task immediately so that the documents is available for COP4.</w:t>
      </w:r>
    </w:p>
    <w:p w14:paraId="32D63ED8" w14:textId="334AAF7A" w:rsidR="009F3C7F" w:rsidRPr="009F3C7F" w:rsidRDefault="009F3C7F" w:rsidP="00123EAE">
      <w:pPr>
        <w:pStyle w:val="Normal-pool"/>
        <w:spacing w:after="160"/>
        <w:ind w:left="720"/>
        <w:rPr>
          <w:rFonts w:asciiTheme="majorBidi" w:hAnsiTheme="majorBidi" w:cstheme="majorBidi"/>
          <w:bCs/>
          <w:sz w:val="24"/>
          <w:szCs w:val="24"/>
          <w:lang w:val="en-GB"/>
        </w:rPr>
      </w:pPr>
      <w:r w:rsidRPr="009F3C7F">
        <w:rPr>
          <w:rFonts w:asciiTheme="majorBidi" w:hAnsiTheme="majorBidi" w:cstheme="majorBidi"/>
          <w:bCs/>
          <w:sz w:val="24"/>
          <w:szCs w:val="24"/>
          <w:lang w:val="en-GB"/>
        </w:rPr>
        <w:t>d.</w:t>
      </w:r>
      <w:r w:rsidRPr="009F3C7F">
        <w:rPr>
          <w:rFonts w:asciiTheme="majorBidi" w:hAnsiTheme="majorBidi" w:cstheme="majorBidi"/>
          <w:bCs/>
          <w:sz w:val="24"/>
          <w:szCs w:val="24"/>
          <w:lang w:val="en-GB"/>
        </w:rPr>
        <w:tab/>
        <w:t xml:space="preserve">Update of a monitoring guidance document in line with the latest scientific knowledge, </w:t>
      </w:r>
      <w:r w:rsidR="00782BBD" w:rsidRPr="009F3C7F">
        <w:rPr>
          <w:rFonts w:asciiTheme="majorBidi" w:hAnsiTheme="majorBidi" w:cstheme="majorBidi"/>
          <w:bCs/>
          <w:sz w:val="24"/>
          <w:szCs w:val="24"/>
          <w:lang w:val="en-GB"/>
        </w:rPr>
        <w:t>modelling</w:t>
      </w:r>
      <w:r w:rsidRPr="009F3C7F">
        <w:rPr>
          <w:rFonts w:asciiTheme="majorBidi" w:hAnsiTheme="majorBidi" w:cstheme="majorBidi"/>
          <w:bCs/>
          <w:sz w:val="24"/>
          <w:szCs w:val="24"/>
          <w:lang w:val="en-GB"/>
        </w:rPr>
        <w:t xml:space="preserve"> capabilities and ongoing monitoring activities.</w:t>
      </w:r>
    </w:p>
    <w:p w14:paraId="05DEB063" w14:textId="412D2AD9" w:rsidR="009F3C7F" w:rsidRPr="009F3C7F" w:rsidRDefault="009F3C7F" w:rsidP="00123EAE">
      <w:pPr>
        <w:pStyle w:val="Normal-pool"/>
        <w:spacing w:after="160"/>
        <w:ind w:left="720"/>
        <w:rPr>
          <w:rFonts w:asciiTheme="majorBidi" w:hAnsiTheme="majorBidi" w:cstheme="majorBidi"/>
          <w:bCs/>
          <w:sz w:val="24"/>
          <w:szCs w:val="24"/>
          <w:lang w:val="en-GB"/>
        </w:rPr>
      </w:pPr>
      <w:r w:rsidRPr="009F3C7F">
        <w:rPr>
          <w:rFonts w:asciiTheme="majorBidi" w:hAnsiTheme="majorBidi" w:cstheme="majorBidi"/>
          <w:bCs/>
          <w:sz w:val="24"/>
          <w:szCs w:val="24"/>
          <w:lang w:val="en-GB"/>
        </w:rPr>
        <w:t>e.</w:t>
      </w:r>
      <w:r w:rsidRPr="009F3C7F">
        <w:rPr>
          <w:rFonts w:asciiTheme="majorBidi" w:hAnsiTheme="majorBidi" w:cstheme="majorBidi"/>
          <w:bCs/>
          <w:sz w:val="24"/>
          <w:szCs w:val="24"/>
          <w:lang w:val="en-GB"/>
        </w:rPr>
        <w:tab/>
        <w:t>Identification of gaps in information/knowledge and development of proposals for bridging the gaps as a part of the report prepared for consideration by the effectiveness evaluation committee.</w:t>
      </w:r>
    </w:p>
    <w:p w14:paraId="4B2182A8" w14:textId="77777777" w:rsidR="009F3C7F" w:rsidRPr="009F3C7F" w:rsidRDefault="009F3C7F" w:rsidP="00782BBD">
      <w:pPr>
        <w:pStyle w:val="Normal-pool"/>
        <w:spacing w:after="160"/>
        <w:ind w:left="360"/>
        <w:rPr>
          <w:rFonts w:asciiTheme="majorBidi" w:hAnsiTheme="majorBidi" w:cstheme="majorBidi"/>
          <w:bCs/>
          <w:sz w:val="24"/>
          <w:szCs w:val="24"/>
          <w:lang w:val="en-GB"/>
        </w:rPr>
      </w:pPr>
      <w:r w:rsidRPr="00782BBD">
        <w:rPr>
          <w:rFonts w:asciiTheme="majorBidi" w:hAnsiTheme="majorBidi" w:cstheme="majorBidi"/>
          <w:b/>
          <w:sz w:val="24"/>
          <w:szCs w:val="24"/>
          <w:lang w:val="en-GB"/>
        </w:rPr>
        <w:t>Membership</w:t>
      </w:r>
      <w:r w:rsidRPr="009F3C7F">
        <w:rPr>
          <w:rFonts w:asciiTheme="majorBidi" w:hAnsiTheme="majorBidi" w:cstheme="majorBidi"/>
          <w:bCs/>
          <w:sz w:val="24"/>
          <w:szCs w:val="24"/>
          <w:lang w:val="en-GB"/>
        </w:rPr>
        <w:t xml:space="preserve"> </w:t>
      </w:r>
    </w:p>
    <w:p w14:paraId="55E93426" w14:textId="18AFD689" w:rsidR="009F3C7F" w:rsidRPr="009F3C7F" w:rsidRDefault="009F3C7F" w:rsidP="00782BBD">
      <w:pPr>
        <w:pStyle w:val="Normal-pool"/>
        <w:spacing w:after="160"/>
        <w:ind w:left="3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The group members shall be appointed on the basis of equitable geographical distribution, taking into account gender and the need for a balance between types of expertise. </w:t>
      </w:r>
    </w:p>
    <w:p w14:paraId="1C6C6557" w14:textId="58A96EFD" w:rsidR="009F3C7F" w:rsidRPr="009F3C7F" w:rsidRDefault="009F3C7F" w:rsidP="00782BBD">
      <w:pPr>
        <w:pStyle w:val="Normal-pool"/>
        <w:spacing w:after="160"/>
        <w:ind w:left="3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Each region should nominate four experts for monitoring and </w:t>
      </w:r>
      <w:r w:rsidR="00782BBD" w:rsidRPr="009F3C7F">
        <w:rPr>
          <w:rFonts w:asciiTheme="majorBidi" w:hAnsiTheme="majorBidi" w:cstheme="majorBidi"/>
          <w:bCs/>
          <w:sz w:val="24"/>
          <w:szCs w:val="24"/>
          <w:lang w:val="en-GB"/>
        </w:rPr>
        <w:t>modelling</w:t>
      </w:r>
      <w:r w:rsidRPr="009F3C7F">
        <w:rPr>
          <w:rFonts w:asciiTheme="majorBidi" w:hAnsiTheme="majorBidi" w:cstheme="majorBidi"/>
          <w:bCs/>
          <w:sz w:val="24"/>
          <w:szCs w:val="24"/>
          <w:lang w:val="en-GB"/>
        </w:rPr>
        <w:t xml:space="preserve"> (up to three representatives with expertise on mercury monitoring in core media or participating in existing monitoring networks on mercury and at least one representative with expertise on </w:t>
      </w:r>
      <w:r w:rsidR="00782BBD" w:rsidRPr="009F3C7F">
        <w:rPr>
          <w:rFonts w:asciiTheme="majorBidi" w:hAnsiTheme="majorBidi" w:cstheme="majorBidi"/>
          <w:bCs/>
          <w:sz w:val="24"/>
          <w:szCs w:val="24"/>
          <w:lang w:val="en-GB"/>
        </w:rPr>
        <w:t>modelling</w:t>
      </w:r>
      <w:r w:rsidRPr="009F3C7F">
        <w:rPr>
          <w:rFonts w:asciiTheme="majorBidi" w:hAnsiTheme="majorBidi" w:cstheme="majorBidi"/>
          <w:bCs/>
          <w:sz w:val="24"/>
          <w:szCs w:val="24"/>
          <w:lang w:val="en-GB"/>
        </w:rPr>
        <w:t xml:space="preserve"> environmental trends/multicompartment models)</w:t>
      </w:r>
    </w:p>
    <w:p w14:paraId="7B76C704" w14:textId="7BFAE4E2" w:rsidR="009F3C7F" w:rsidRPr="009F3C7F" w:rsidRDefault="009F3C7F" w:rsidP="00782BBD">
      <w:pPr>
        <w:pStyle w:val="Normal-pool"/>
        <w:spacing w:after="160"/>
        <w:ind w:left="3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The group will invite the participation of up to 10 experts from civil society, indigenous communities, intergovernmental organizations, industry and “global </w:t>
      </w:r>
      <w:r w:rsidR="00782BBD" w:rsidRPr="009F3C7F">
        <w:rPr>
          <w:rFonts w:asciiTheme="majorBidi" w:hAnsiTheme="majorBidi" w:cstheme="majorBidi"/>
          <w:bCs/>
          <w:sz w:val="24"/>
          <w:szCs w:val="24"/>
          <w:lang w:val="en-GB"/>
        </w:rPr>
        <w:t>modelling</w:t>
      </w:r>
      <w:r w:rsidRPr="009F3C7F">
        <w:rPr>
          <w:rFonts w:asciiTheme="majorBidi" w:hAnsiTheme="majorBidi" w:cstheme="majorBidi"/>
          <w:bCs/>
          <w:sz w:val="24"/>
          <w:szCs w:val="24"/>
          <w:lang w:val="en-GB"/>
        </w:rPr>
        <w:t>” experts. The participation of these experts as observers will be balanced among the above-mentioned groups.</w:t>
      </w:r>
    </w:p>
    <w:p w14:paraId="0F13861B" w14:textId="155B08C7" w:rsidR="009F3C7F" w:rsidRPr="009F3C7F" w:rsidRDefault="009F3C7F" w:rsidP="00782BBD">
      <w:pPr>
        <w:pStyle w:val="Normal-pool"/>
        <w:spacing w:after="160"/>
        <w:ind w:left="360"/>
        <w:rPr>
          <w:rFonts w:asciiTheme="majorBidi" w:hAnsiTheme="majorBidi" w:cstheme="majorBidi"/>
          <w:bCs/>
          <w:sz w:val="24"/>
          <w:szCs w:val="24"/>
          <w:lang w:val="en-GB"/>
        </w:rPr>
      </w:pPr>
      <w:r w:rsidRPr="009F3C7F">
        <w:rPr>
          <w:rFonts w:asciiTheme="majorBidi" w:hAnsiTheme="majorBidi" w:cstheme="majorBidi"/>
          <w:bCs/>
          <w:sz w:val="24"/>
          <w:szCs w:val="24"/>
          <w:lang w:val="en-GB"/>
        </w:rPr>
        <w:t>The group will invite relevant experts from research communities, Global Mercury Partnership and existing monitoring networks to assist them in their work and supplement the most up to date information and scientific knowledge to produce a global report.</w:t>
      </w:r>
    </w:p>
    <w:p w14:paraId="2A7B10A5" w14:textId="39F96039" w:rsidR="009F3C7F" w:rsidRPr="009F3C7F" w:rsidRDefault="009F3C7F" w:rsidP="00782BBD">
      <w:pPr>
        <w:pStyle w:val="Normal-pool"/>
        <w:spacing w:after="160"/>
        <w:ind w:left="3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The terms of office shall coincide with a cycle of the effectiveness evaluation as determined by the Conference of the Parties. To maintain continuity, the COP may renew terms of office of the members for subsequent evaluations. If a member is unable to complete his or her term of office, the region/sector nominating that member shall nominate another person to complete the term. </w:t>
      </w:r>
    </w:p>
    <w:p w14:paraId="4E3A564B" w14:textId="77777777" w:rsidR="009F3C7F" w:rsidRPr="009F3C7F" w:rsidRDefault="009F3C7F" w:rsidP="00782BBD">
      <w:pPr>
        <w:pStyle w:val="Normal-pool"/>
        <w:spacing w:after="160"/>
        <w:ind w:left="360"/>
        <w:rPr>
          <w:rFonts w:asciiTheme="majorBidi" w:hAnsiTheme="majorBidi" w:cstheme="majorBidi"/>
          <w:bCs/>
          <w:sz w:val="24"/>
          <w:szCs w:val="24"/>
          <w:lang w:val="en-GB"/>
        </w:rPr>
      </w:pPr>
      <w:r w:rsidRPr="00782BBD">
        <w:rPr>
          <w:rFonts w:asciiTheme="majorBidi" w:hAnsiTheme="majorBidi" w:cstheme="majorBidi"/>
          <w:b/>
          <w:sz w:val="24"/>
          <w:szCs w:val="24"/>
          <w:lang w:val="en-GB"/>
        </w:rPr>
        <w:t>Officers</w:t>
      </w:r>
    </w:p>
    <w:p w14:paraId="2E0D1896" w14:textId="55F9913F" w:rsidR="009F3C7F" w:rsidRPr="009F3C7F" w:rsidRDefault="009F3C7F" w:rsidP="00782BBD">
      <w:pPr>
        <w:pStyle w:val="Normal-pool"/>
        <w:spacing w:after="160"/>
        <w:ind w:left="3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Two co-chairs will be elected by the group to facilitate its meetings. </w:t>
      </w:r>
    </w:p>
    <w:p w14:paraId="47750A02" w14:textId="77777777" w:rsidR="009F3C7F" w:rsidRPr="009F3C7F" w:rsidRDefault="009F3C7F" w:rsidP="00782BBD">
      <w:pPr>
        <w:pStyle w:val="Normal-pool"/>
        <w:spacing w:after="160"/>
        <w:ind w:left="360"/>
        <w:rPr>
          <w:rFonts w:asciiTheme="majorBidi" w:hAnsiTheme="majorBidi" w:cstheme="majorBidi"/>
          <w:bCs/>
          <w:sz w:val="24"/>
          <w:szCs w:val="24"/>
          <w:lang w:val="en-GB"/>
        </w:rPr>
      </w:pPr>
      <w:r w:rsidRPr="00782BBD">
        <w:rPr>
          <w:rFonts w:asciiTheme="majorBidi" w:hAnsiTheme="majorBidi" w:cstheme="majorBidi"/>
          <w:b/>
          <w:sz w:val="24"/>
          <w:szCs w:val="24"/>
          <w:lang w:val="en-GB"/>
        </w:rPr>
        <w:t>Secretariat</w:t>
      </w:r>
    </w:p>
    <w:p w14:paraId="5CBA2A00" w14:textId="08922D77" w:rsidR="009F3C7F" w:rsidRPr="009F3C7F" w:rsidRDefault="009F3C7F" w:rsidP="00782BBD">
      <w:pPr>
        <w:pStyle w:val="Normal-pool"/>
        <w:spacing w:after="160"/>
        <w:ind w:left="3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The secretariat will provide administrative </w:t>
      </w:r>
      <w:r w:rsidR="00782BBD">
        <w:rPr>
          <w:rFonts w:asciiTheme="majorBidi" w:hAnsiTheme="majorBidi" w:cstheme="majorBidi"/>
          <w:bCs/>
          <w:sz w:val="24"/>
          <w:szCs w:val="24"/>
          <w:lang w:val="en-GB"/>
        </w:rPr>
        <w:t xml:space="preserve">and programmatic </w:t>
      </w:r>
      <w:r w:rsidRPr="009F3C7F">
        <w:rPr>
          <w:rFonts w:asciiTheme="majorBidi" w:hAnsiTheme="majorBidi" w:cstheme="majorBidi"/>
          <w:bCs/>
          <w:sz w:val="24"/>
          <w:szCs w:val="24"/>
          <w:lang w:val="en-GB"/>
        </w:rPr>
        <w:t>support to the group of experts.</w:t>
      </w:r>
    </w:p>
    <w:p w14:paraId="6CEA2B1F" w14:textId="77777777" w:rsidR="009F3C7F" w:rsidRPr="00782BBD" w:rsidRDefault="009F3C7F" w:rsidP="00782BBD">
      <w:pPr>
        <w:pStyle w:val="Normal-pool"/>
        <w:spacing w:after="160"/>
        <w:ind w:left="360"/>
        <w:rPr>
          <w:rFonts w:asciiTheme="majorBidi" w:hAnsiTheme="majorBidi" w:cstheme="majorBidi"/>
          <w:b/>
          <w:sz w:val="24"/>
          <w:szCs w:val="24"/>
          <w:lang w:val="en-GB"/>
        </w:rPr>
      </w:pPr>
      <w:r w:rsidRPr="00782BBD">
        <w:rPr>
          <w:rFonts w:asciiTheme="majorBidi" w:hAnsiTheme="majorBidi" w:cstheme="majorBidi"/>
          <w:b/>
          <w:sz w:val="24"/>
          <w:szCs w:val="24"/>
          <w:lang w:val="en-GB"/>
        </w:rPr>
        <w:t>Meetings</w:t>
      </w:r>
    </w:p>
    <w:p w14:paraId="08B78588" w14:textId="587BCB45" w:rsidR="009F3C7F" w:rsidRPr="009F3C7F" w:rsidRDefault="009F3C7F" w:rsidP="00782BBD">
      <w:pPr>
        <w:pStyle w:val="Normal-pool"/>
        <w:spacing w:after="160"/>
        <w:ind w:left="360"/>
        <w:rPr>
          <w:rFonts w:asciiTheme="majorBidi" w:hAnsiTheme="majorBidi" w:cstheme="majorBidi"/>
          <w:bCs/>
          <w:sz w:val="24"/>
          <w:szCs w:val="24"/>
          <w:lang w:val="en-GB"/>
        </w:rPr>
      </w:pPr>
      <w:r w:rsidRPr="009F3C7F">
        <w:rPr>
          <w:rFonts w:asciiTheme="majorBidi" w:hAnsiTheme="majorBidi" w:cstheme="majorBidi"/>
          <w:bCs/>
          <w:sz w:val="24"/>
          <w:szCs w:val="24"/>
          <w:lang w:val="en-GB"/>
        </w:rPr>
        <w:t xml:space="preserve">The group on monitoring and </w:t>
      </w:r>
      <w:r w:rsidR="00782BBD" w:rsidRPr="009F3C7F">
        <w:rPr>
          <w:rFonts w:asciiTheme="majorBidi" w:hAnsiTheme="majorBidi" w:cstheme="majorBidi"/>
          <w:bCs/>
          <w:sz w:val="24"/>
          <w:szCs w:val="24"/>
          <w:lang w:val="en-GB"/>
        </w:rPr>
        <w:t>modelling</w:t>
      </w:r>
      <w:r w:rsidRPr="009F3C7F">
        <w:rPr>
          <w:rFonts w:asciiTheme="majorBidi" w:hAnsiTheme="majorBidi" w:cstheme="majorBidi"/>
          <w:bCs/>
          <w:sz w:val="24"/>
          <w:szCs w:val="24"/>
          <w:lang w:val="en-GB"/>
        </w:rPr>
        <w:t xml:space="preserve"> will meet face-to-face at least three times during an effectiveness evaluation cycle to coordinate monitoring activities on mercury and to deliver a </w:t>
      </w:r>
      <w:r w:rsidRPr="009F3C7F">
        <w:rPr>
          <w:rFonts w:asciiTheme="majorBidi" w:hAnsiTheme="majorBidi" w:cstheme="majorBidi"/>
          <w:bCs/>
          <w:sz w:val="24"/>
          <w:szCs w:val="24"/>
          <w:lang w:val="en-GB"/>
        </w:rPr>
        <w:lastRenderedPageBreak/>
        <w:t xml:space="preserve">global report on monitoring and </w:t>
      </w:r>
      <w:r w:rsidR="00782BBD" w:rsidRPr="009F3C7F">
        <w:rPr>
          <w:rFonts w:asciiTheme="majorBidi" w:hAnsiTheme="majorBidi" w:cstheme="majorBidi"/>
          <w:bCs/>
          <w:sz w:val="24"/>
          <w:szCs w:val="24"/>
          <w:lang w:val="en-GB"/>
        </w:rPr>
        <w:t>modelling</w:t>
      </w:r>
      <w:r w:rsidRPr="009F3C7F">
        <w:rPr>
          <w:rFonts w:asciiTheme="majorBidi" w:hAnsiTheme="majorBidi" w:cstheme="majorBidi"/>
          <w:bCs/>
          <w:sz w:val="24"/>
          <w:szCs w:val="24"/>
          <w:lang w:val="en-GB"/>
        </w:rPr>
        <w:t xml:space="preserve"> to the effectiveness evaluation committee on state of the environment.</w:t>
      </w:r>
    </w:p>
    <w:p w14:paraId="038A67FC" w14:textId="77777777" w:rsidR="009F3C7F" w:rsidRPr="00782BBD" w:rsidRDefault="009F3C7F" w:rsidP="00782BBD">
      <w:pPr>
        <w:pStyle w:val="Normal-pool"/>
        <w:spacing w:after="160"/>
        <w:ind w:left="360"/>
        <w:rPr>
          <w:rFonts w:asciiTheme="majorBidi" w:hAnsiTheme="majorBidi" w:cstheme="majorBidi"/>
          <w:b/>
          <w:sz w:val="24"/>
          <w:szCs w:val="24"/>
          <w:lang w:val="en-GB"/>
        </w:rPr>
      </w:pPr>
      <w:r w:rsidRPr="00782BBD">
        <w:rPr>
          <w:rFonts w:asciiTheme="majorBidi" w:hAnsiTheme="majorBidi" w:cstheme="majorBidi"/>
          <w:b/>
          <w:sz w:val="24"/>
          <w:szCs w:val="24"/>
          <w:lang w:val="en-GB"/>
        </w:rPr>
        <w:t>Language</w:t>
      </w:r>
    </w:p>
    <w:p w14:paraId="722F782E" w14:textId="5D84DCAE" w:rsidR="00F870B3" w:rsidRPr="00782BBD" w:rsidRDefault="009F3C7F" w:rsidP="00782BBD">
      <w:pPr>
        <w:pStyle w:val="Normal-pool"/>
        <w:tabs>
          <w:tab w:val="clear" w:pos="1247"/>
          <w:tab w:val="clear" w:pos="1814"/>
          <w:tab w:val="clear" w:pos="2381"/>
          <w:tab w:val="clear" w:pos="2948"/>
          <w:tab w:val="clear" w:pos="3515"/>
        </w:tabs>
        <w:spacing w:after="160"/>
        <w:ind w:left="360"/>
        <w:rPr>
          <w:rFonts w:asciiTheme="majorBidi" w:hAnsiTheme="majorBidi" w:cstheme="majorBidi"/>
          <w:bCs/>
          <w:sz w:val="24"/>
          <w:szCs w:val="24"/>
          <w:lang w:val="en-GB"/>
        </w:rPr>
      </w:pPr>
      <w:r w:rsidRPr="009F3C7F">
        <w:rPr>
          <w:rFonts w:asciiTheme="majorBidi" w:hAnsiTheme="majorBidi" w:cstheme="majorBidi"/>
          <w:bCs/>
          <w:sz w:val="24"/>
          <w:szCs w:val="24"/>
          <w:lang w:val="en-GB"/>
        </w:rPr>
        <w:t>English will be the working language of the group.</w:t>
      </w:r>
      <w:r w:rsidR="00F870B3">
        <w:rPr>
          <w:rFonts w:asciiTheme="majorBidi" w:hAnsiTheme="majorBidi" w:cstheme="majorBidi"/>
          <w:i/>
          <w:iCs/>
          <w:sz w:val="24"/>
          <w:szCs w:val="24"/>
          <w:u w:color="4F81BD"/>
        </w:rPr>
        <w:br w:type="page"/>
      </w:r>
    </w:p>
    <w:p w14:paraId="49C443ED" w14:textId="2E4FAE16" w:rsidR="00F870B3" w:rsidRPr="00FC73F5" w:rsidRDefault="00F870B3" w:rsidP="00F870B3">
      <w:pPr>
        <w:pStyle w:val="ZZAnxtitle"/>
        <w:ind w:left="0"/>
        <w:rPr>
          <w:rFonts w:asciiTheme="majorBidi" w:hAnsiTheme="majorBidi" w:cstheme="majorBidi"/>
          <w:lang w:val="en-GB"/>
        </w:rPr>
      </w:pPr>
      <w:r w:rsidRPr="00FC73F5">
        <w:rPr>
          <w:rFonts w:asciiTheme="majorBidi" w:hAnsiTheme="majorBidi" w:cstheme="majorBidi"/>
          <w:lang w:val="en-GB"/>
        </w:rPr>
        <w:lastRenderedPageBreak/>
        <w:t xml:space="preserve">Annex </w:t>
      </w:r>
      <w:r>
        <w:rPr>
          <w:rFonts w:asciiTheme="majorBidi" w:hAnsiTheme="majorBidi" w:cstheme="majorBidi"/>
          <w:lang w:val="en-GB"/>
        </w:rPr>
        <w:t>4</w:t>
      </w:r>
      <w:r w:rsidRPr="00FC73F5">
        <w:rPr>
          <w:rFonts w:asciiTheme="majorBidi" w:hAnsiTheme="majorBidi" w:cstheme="majorBidi"/>
          <w:lang w:val="en-GB"/>
        </w:rPr>
        <w:t xml:space="preserve">: </w:t>
      </w:r>
      <w:r w:rsidR="009F07AD" w:rsidRPr="009F07AD">
        <w:rPr>
          <w:rFonts w:asciiTheme="majorBidi" w:hAnsiTheme="majorBidi" w:cstheme="majorBidi"/>
          <w:lang w:val="en-GB"/>
        </w:rPr>
        <w:t>Description of the reports to be prepared for the Effectiveness Evaluation Committee</w:t>
      </w:r>
      <w:bookmarkStart w:id="6" w:name="_GoBack"/>
      <w:bookmarkEnd w:id="6"/>
    </w:p>
    <w:p w14:paraId="7A4228C6" w14:textId="77777777" w:rsidR="00F870B3" w:rsidRPr="00FC73F5" w:rsidRDefault="00F870B3" w:rsidP="00F870B3">
      <w:pPr>
        <w:pStyle w:val="TextB"/>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s>
        <w:spacing w:line="259" w:lineRule="auto"/>
        <w:rPr>
          <w:rStyle w:val="dn"/>
          <w:rFonts w:asciiTheme="majorBidi" w:hAnsiTheme="majorBidi" w:cstheme="majorBidi"/>
          <w:b/>
          <w:bCs/>
          <w:color w:val="auto"/>
          <w:sz w:val="24"/>
          <w:szCs w:val="24"/>
          <w:u w:color="FF0000"/>
          <w:lang w:val="en-GB"/>
        </w:rPr>
      </w:pPr>
    </w:p>
    <w:p w14:paraId="5F52D3D8" w14:textId="77777777" w:rsidR="00E301B4" w:rsidRPr="00FC73F5" w:rsidRDefault="00E301B4" w:rsidP="00E301B4">
      <w:pPr>
        <w:pStyle w:val="TextB"/>
        <w:tabs>
          <w:tab w:val="clear" w:pos="1247"/>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s>
        <w:spacing w:line="259" w:lineRule="auto"/>
        <w:rPr>
          <w:rStyle w:val="dn"/>
          <w:rFonts w:asciiTheme="majorBidi" w:hAnsiTheme="majorBidi" w:cstheme="majorBidi"/>
          <w:b/>
          <w:bCs/>
          <w:color w:val="auto"/>
          <w:sz w:val="24"/>
          <w:szCs w:val="24"/>
          <w:u w:color="FF0000"/>
          <w:lang w:val="en-GB"/>
        </w:rPr>
      </w:pPr>
    </w:p>
    <w:p w14:paraId="07960154" w14:textId="4A554C58" w:rsidR="00E301B4" w:rsidRPr="00727C91" w:rsidRDefault="00E301B4" w:rsidP="0025348A">
      <w:pPr>
        <w:pStyle w:val="ListParagraph"/>
        <w:numPr>
          <w:ilvl w:val="0"/>
          <w:numId w:val="31"/>
        </w:numPr>
        <w:spacing w:after="160"/>
        <w:rPr>
          <w:rFonts w:asciiTheme="majorBidi" w:hAnsiTheme="majorBidi" w:cstheme="majorBidi"/>
          <w:sz w:val="24"/>
          <w:szCs w:val="24"/>
          <w:lang w:val="en-GB"/>
        </w:rPr>
      </w:pPr>
      <w:r w:rsidRPr="00727C91">
        <w:rPr>
          <w:rFonts w:asciiTheme="majorBidi" w:hAnsiTheme="majorBidi" w:cstheme="majorBidi"/>
          <w:iCs/>
          <w:sz w:val="24"/>
          <w:szCs w:val="24"/>
          <w:u w:color="4F81BD"/>
        </w:rPr>
        <w:t xml:space="preserve">The framework foresees five reports being prepared for consideration by the Effectiveness Evaluation </w:t>
      </w:r>
      <w:r w:rsidRPr="00E301B4">
        <w:rPr>
          <w:rFonts w:asciiTheme="majorBidi" w:hAnsiTheme="majorBidi" w:cstheme="majorBidi"/>
          <w:iCs/>
          <w:sz w:val="24"/>
          <w:szCs w:val="24"/>
          <w:u w:color="4F81BD"/>
        </w:rPr>
        <w:t xml:space="preserve">Committee (see </w:t>
      </w:r>
      <w:r w:rsidR="00E11E0B">
        <w:rPr>
          <w:rFonts w:asciiTheme="majorBidi" w:hAnsiTheme="majorBidi" w:cstheme="majorBidi"/>
          <w:iCs/>
          <w:sz w:val="24"/>
          <w:szCs w:val="24"/>
          <w:u w:color="4F81BD"/>
        </w:rPr>
        <w:t>Section</w:t>
      </w:r>
      <w:r w:rsidRPr="00E301B4">
        <w:rPr>
          <w:rFonts w:asciiTheme="majorBidi" w:hAnsiTheme="majorBidi" w:cstheme="majorBidi"/>
          <w:iCs/>
          <w:sz w:val="24"/>
          <w:szCs w:val="24"/>
          <w:u w:color="4F81BD"/>
        </w:rPr>
        <w:t xml:space="preserve"> III</w:t>
      </w:r>
      <w:r w:rsidR="00E11E0B">
        <w:rPr>
          <w:rFonts w:asciiTheme="majorBidi" w:hAnsiTheme="majorBidi" w:cstheme="majorBidi"/>
          <w:iCs/>
          <w:sz w:val="24"/>
          <w:szCs w:val="24"/>
          <w:u w:color="4F81BD"/>
        </w:rPr>
        <w:t xml:space="preserve"> of the Report</w:t>
      </w:r>
      <w:r w:rsidRPr="00E301B4">
        <w:rPr>
          <w:rFonts w:asciiTheme="majorBidi" w:hAnsiTheme="majorBidi" w:cstheme="majorBidi"/>
          <w:iCs/>
          <w:sz w:val="24"/>
          <w:szCs w:val="24"/>
          <w:u w:color="4F81BD"/>
        </w:rPr>
        <w:t>).</w:t>
      </w:r>
      <w:r w:rsidRPr="00727C91">
        <w:rPr>
          <w:rFonts w:asciiTheme="majorBidi" w:hAnsiTheme="majorBidi" w:cstheme="majorBidi"/>
          <w:iCs/>
          <w:sz w:val="24"/>
          <w:szCs w:val="24"/>
          <w:u w:color="4F81BD"/>
        </w:rPr>
        <w:t xml:space="preserve"> </w:t>
      </w:r>
    </w:p>
    <w:p w14:paraId="20BDB0A9" w14:textId="77777777" w:rsidR="00E301B4" w:rsidRPr="00411C76" w:rsidRDefault="00E301B4" w:rsidP="00E301B4">
      <w:pPr>
        <w:ind w:left="360"/>
        <w:rPr>
          <w:rFonts w:asciiTheme="majorBidi" w:hAnsiTheme="majorBidi" w:cstheme="majorBidi"/>
          <w:sz w:val="24"/>
          <w:szCs w:val="24"/>
          <w:u w:color="000000"/>
        </w:rPr>
      </w:pPr>
      <w:r w:rsidRPr="00376721">
        <w:rPr>
          <w:rFonts w:asciiTheme="majorBidi" w:hAnsiTheme="majorBidi" w:cstheme="majorBidi"/>
          <w:b/>
          <w:bCs/>
          <w:sz w:val="24"/>
          <w:szCs w:val="24"/>
        </w:rPr>
        <w:t>Synthesis Reports</w:t>
      </w:r>
    </w:p>
    <w:p w14:paraId="282EFF44" w14:textId="77777777" w:rsidR="00E301B4" w:rsidRPr="00B96FAE" w:rsidRDefault="00E301B4" w:rsidP="0025348A">
      <w:pPr>
        <w:pStyle w:val="ListParagraph"/>
        <w:numPr>
          <w:ilvl w:val="0"/>
          <w:numId w:val="31"/>
        </w:numPr>
        <w:spacing w:after="160"/>
        <w:rPr>
          <w:rFonts w:asciiTheme="majorBidi" w:hAnsiTheme="majorBidi" w:cstheme="majorBidi"/>
          <w:sz w:val="24"/>
          <w:szCs w:val="24"/>
        </w:rPr>
      </w:pPr>
      <w:r w:rsidRPr="00B96FAE">
        <w:rPr>
          <w:rFonts w:asciiTheme="majorBidi" w:hAnsiTheme="majorBidi" w:cstheme="majorBidi"/>
          <w:iCs/>
          <w:sz w:val="24"/>
          <w:szCs w:val="24"/>
          <w:u w:color="4F81BD"/>
          <w:lang w:val="en-GB"/>
        </w:rPr>
        <w:t xml:space="preserve">Four synthesis reports are to be prepared (level 1 to 3) to respond to the first three policy questions. </w:t>
      </w:r>
      <w:r w:rsidRPr="00B96FAE">
        <w:rPr>
          <w:rFonts w:asciiTheme="majorBidi" w:hAnsiTheme="majorBidi" w:cstheme="majorBidi"/>
          <w:sz w:val="24"/>
          <w:szCs w:val="24"/>
          <w:lang w:val="en-GB"/>
        </w:rPr>
        <w:t xml:space="preserve">Two streams of information feed into these reports: (i) information provided by Parties based on Article 21 reporting, and (ii) information and knowledge that is scientific, peer-reviewed and publicly available. </w:t>
      </w:r>
    </w:p>
    <w:p w14:paraId="2E038C33" w14:textId="77777777" w:rsidR="00E301B4" w:rsidRDefault="00E301B4" w:rsidP="0025348A">
      <w:pPr>
        <w:pStyle w:val="ListParagraph"/>
        <w:numPr>
          <w:ilvl w:val="0"/>
          <w:numId w:val="31"/>
        </w:numPr>
        <w:spacing w:after="160"/>
        <w:rPr>
          <w:rFonts w:asciiTheme="majorBidi" w:hAnsiTheme="majorBidi" w:cstheme="majorBidi"/>
          <w:sz w:val="24"/>
          <w:szCs w:val="24"/>
          <w:lang w:val="en-GB"/>
        </w:rPr>
      </w:pPr>
      <w:r>
        <w:rPr>
          <w:rFonts w:asciiTheme="majorBidi" w:hAnsiTheme="majorBidi" w:cstheme="majorBidi"/>
          <w:sz w:val="24"/>
          <w:szCs w:val="24"/>
          <w:lang w:val="en-GB"/>
        </w:rPr>
        <w:t>The content envisaged under each synthesis report is set out below, as are the tasks that need to be completed, and the expertise required.</w:t>
      </w:r>
    </w:p>
    <w:p w14:paraId="592658B7" w14:textId="36D33332" w:rsidR="00E301B4" w:rsidRDefault="00E301B4" w:rsidP="0025348A">
      <w:pPr>
        <w:pStyle w:val="ListParagraph"/>
        <w:numPr>
          <w:ilvl w:val="1"/>
          <w:numId w:val="42"/>
        </w:numPr>
        <w:spacing w:after="160"/>
        <w:rPr>
          <w:rFonts w:asciiTheme="majorBidi" w:hAnsiTheme="majorBidi" w:cstheme="majorBidi"/>
          <w:sz w:val="24"/>
          <w:szCs w:val="24"/>
          <w:lang w:val="en-GB"/>
        </w:rPr>
      </w:pPr>
      <w:r>
        <w:rPr>
          <w:rFonts w:asciiTheme="majorBidi" w:hAnsiTheme="majorBidi" w:cstheme="majorBidi"/>
          <w:sz w:val="24"/>
          <w:szCs w:val="24"/>
          <w:lang w:val="en-GB"/>
        </w:rPr>
        <w:t xml:space="preserve">The </w:t>
      </w:r>
      <w:r>
        <w:rPr>
          <w:rFonts w:asciiTheme="majorBidi" w:hAnsiTheme="majorBidi" w:cstheme="majorBidi"/>
          <w:b/>
          <w:bCs/>
          <w:sz w:val="24"/>
          <w:szCs w:val="24"/>
          <w:lang w:val="en-GB"/>
        </w:rPr>
        <w:t>Emissions and Releases Report</w:t>
      </w:r>
      <w:r>
        <w:rPr>
          <w:rFonts w:asciiTheme="majorBidi" w:hAnsiTheme="majorBidi" w:cstheme="majorBidi"/>
          <w:sz w:val="24"/>
          <w:szCs w:val="24"/>
          <w:lang w:val="en-GB"/>
        </w:rPr>
        <w:t xml:space="preserve"> is to gather, analyse and synthesise relevant information on emissions and releases inventories from relevant sources, as specified in Article 8 and 9, as well as information on the measures taken by Parties to control mercury emissions and releases, and relevant changes in emissions and releases. The expertise required for this task </w:t>
      </w:r>
      <w:r w:rsidR="006B24F9">
        <w:rPr>
          <w:rFonts w:asciiTheme="majorBidi" w:hAnsiTheme="majorBidi" w:cstheme="majorBidi"/>
          <w:sz w:val="24"/>
          <w:szCs w:val="24"/>
          <w:lang w:val="en-GB"/>
        </w:rPr>
        <w:t>includes emissions/releases inventories, developing or implementing measures to control mercury emissions and releases from relevant sources, including best available techniques and best environmental practices, modelling and inventories on temporal and spatial trends and variability.</w:t>
      </w:r>
    </w:p>
    <w:p w14:paraId="2F265CAB" w14:textId="14AF59C6" w:rsidR="00E301B4" w:rsidRDefault="00E301B4" w:rsidP="0025348A">
      <w:pPr>
        <w:pStyle w:val="ListParagraph"/>
        <w:numPr>
          <w:ilvl w:val="1"/>
          <w:numId w:val="42"/>
        </w:numPr>
        <w:spacing w:after="160"/>
        <w:rPr>
          <w:rFonts w:asciiTheme="majorBidi" w:hAnsiTheme="majorBidi" w:cstheme="majorBidi"/>
          <w:sz w:val="24"/>
          <w:szCs w:val="24"/>
          <w:lang w:val="en-GB"/>
        </w:rPr>
      </w:pPr>
      <w:r>
        <w:rPr>
          <w:rFonts w:asciiTheme="majorBidi" w:hAnsiTheme="majorBidi" w:cstheme="majorBidi"/>
          <w:sz w:val="24"/>
          <w:szCs w:val="24"/>
          <w:lang w:val="en-GB"/>
        </w:rPr>
        <w:t xml:space="preserve">The </w:t>
      </w:r>
      <w:r>
        <w:rPr>
          <w:rFonts w:asciiTheme="majorBidi" w:hAnsiTheme="majorBidi" w:cstheme="majorBidi"/>
          <w:b/>
          <w:bCs/>
          <w:sz w:val="24"/>
          <w:szCs w:val="24"/>
          <w:lang w:val="en-GB"/>
        </w:rPr>
        <w:t>Trade, Supply and Demand Report</w:t>
      </w:r>
      <w:r>
        <w:rPr>
          <w:rFonts w:asciiTheme="majorBidi" w:hAnsiTheme="majorBidi" w:cstheme="majorBidi"/>
          <w:sz w:val="24"/>
          <w:szCs w:val="24"/>
          <w:lang w:val="en-GB"/>
        </w:rPr>
        <w:t xml:space="preserve"> is to gather, analyse and synthesise relevant information on the mercury flows and social stocks, on trends in trade, supply and demand for mercury, and on regulatory frameworks and implementation. The expertise required for this task inclu</w:t>
      </w:r>
      <w:r w:rsidRPr="006B24F9">
        <w:rPr>
          <w:rFonts w:asciiTheme="majorBidi" w:hAnsiTheme="majorBidi" w:cstheme="majorBidi"/>
          <w:sz w:val="24"/>
          <w:szCs w:val="24"/>
          <w:lang w:val="en-GB"/>
        </w:rPr>
        <w:t xml:space="preserve">des: trade analytics, sectoral analysis, ASGM </w:t>
      </w:r>
      <w:r w:rsidR="006B24F9">
        <w:rPr>
          <w:rFonts w:asciiTheme="majorBidi" w:hAnsiTheme="majorBidi" w:cstheme="majorBidi"/>
          <w:sz w:val="24"/>
          <w:szCs w:val="24"/>
          <w:lang w:val="en-GB"/>
        </w:rPr>
        <w:t>expertise, use, changes and alternatives to mercury in products and processes.</w:t>
      </w:r>
    </w:p>
    <w:p w14:paraId="6DBDCD15" w14:textId="77777777" w:rsidR="00E301B4" w:rsidRPr="00CE4877" w:rsidRDefault="00E301B4" w:rsidP="0025348A">
      <w:pPr>
        <w:pStyle w:val="ListParagraph"/>
        <w:numPr>
          <w:ilvl w:val="1"/>
          <w:numId w:val="42"/>
        </w:numPr>
        <w:spacing w:after="160"/>
        <w:rPr>
          <w:rFonts w:asciiTheme="majorBidi" w:hAnsiTheme="majorBidi" w:cstheme="majorBidi"/>
          <w:sz w:val="24"/>
          <w:szCs w:val="24"/>
          <w:lang w:val="en-GB"/>
        </w:rPr>
      </w:pPr>
      <w:r>
        <w:rPr>
          <w:rFonts w:asciiTheme="majorBidi" w:hAnsiTheme="majorBidi" w:cstheme="majorBidi"/>
          <w:sz w:val="24"/>
          <w:szCs w:val="24"/>
          <w:lang w:val="en-GB"/>
        </w:rPr>
        <w:t xml:space="preserve">The </w:t>
      </w:r>
      <w:r>
        <w:rPr>
          <w:rFonts w:asciiTheme="majorBidi" w:hAnsiTheme="majorBidi" w:cstheme="majorBidi"/>
          <w:b/>
          <w:bCs/>
          <w:sz w:val="24"/>
          <w:szCs w:val="24"/>
          <w:lang w:val="en-GB"/>
        </w:rPr>
        <w:t>Waste Management Report</w:t>
      </w:r>
      <w:r>
        <w:rPr>
          <w:rFonts w:asciiTheme="majorBidi" w:hAnsiTheme="majorBidi" w:cstheme="majorBidi"/>
          <w:sz w:val="24"/>
          <w:szCs w:val="24"/>
          <w:lang w:val="en-GB"/>
        </w:rPr>
        <w:t xml:space="preserve"> is to gather, analyse and synthesise relevant information on mercury waste flows and stocks, track mercury waste management practices and recycling, and on regulatory frameworks and implementation, as well as gaps. The expertise required for this task include: inter-industry relation analysis, waste management policy </w:t>
      </w:r>
      <w:r w:rsidRPr="00CE4877">
        <w:rPr>
          <w:rFonts w:asciiTheme="majorBidi" w:hAnsiTheme="majorBidi" w:cstheme="majorBidi"/>
          <w:sz w:val="24"/>
          <w:szCs w:val="24"/>
          <w:lang w:val="en-GB"/>
        </w:rPr>
        <w:t xml:space="preserve">and practices, and waste disposal engineering. </w:t>
      </w:r>
    </w:p>
    <w:p w14:paraId="25718AFA" w14:textId="05943318" w:rsidR="00E301B4" w:rsidRPr="00CE4877" w:rsidRDefault="00E301B4" w:rsidP="0025348A">
      <w:pPr>
        <w:pStyle w:val="ListParagraph"/>
        <w:numPr>
          <w:ilvl w:val="1"/>
          <w:numId w:val="42"/>
        </w:numPr>
        <w:spacing w:after="160"/>
        <w:rPr>
          <w:rFonts w:asciiTheme="majorBidi" w:hAnsiTheme="majorBidi" w:cstheme="majorBidi"/>
          <w:sz w:val="24"/>
          <w:szCs w:val="24"/>
          <w:lang w:val="en-GB"/>
        </w:rPr>
      </w:pPr>
      <w:r w:rsidRPr="00CE4877">
        <w:rPr>
          <w:rFonts w:asciiTheme="majorBidi" w:hAnsiTheme="majorBidi" w:cstheme="majorBidi"/>
          <w:sz w:val="24"/>
          <w:szCs w:val="24"/>
          <w:lang w:val="en-GB"/>
        </w:rPr>
        <w:t xml:space="preserve">The </w:t>
      </w:r>
      <w:r w:rsidRPr="00CE4877">
        <w:rPr>
          <w:rFonts w:asciiTheme="majorBidi" w:hAnsiTheme="majorBidi" w:cstheme="majorBidi"/>
          <w:b/>
          <w:bCs/>
          <w:sz w:val="24"/>
          <w:szCs w:val="24"/>
          <w:lang w:val="en-GB"/>
        </w:rPr>
        <w:t>Global Monitoring Report</w:t>
      </w:r>
      <w:r w:rsidRPr="00CE4877">
        <w:rPr>
          <w:rFonts w:asciiTheme="majorBidi" w:hAnsiTheme="majorBidi" w:cstheme="majorBidi"/>
          <w:sz w:val="24"/>
          <w:szCs w:val="24"/>
          <w:lang w:val="en-GB"/>
        </w:rPr>
        <w:t xml:space="preserve"> is to gather information from mercury monitoring activities and compile relevant information including national and scientific data on changes in levels of mercury, taking into account the work already achieved, and drawing on the experience of existing networks on mercury</w:t>
      </w:r>
      <w:r w:rsidR="006B24F9">
        <w:rPr>
          <w:rFonts w:asciiTheme="majorBidi" w:hAnsiTheme="majorBidi" w:cstheme="majorBidi"/>
          <w:sz w:val="24"/>
          <w:szCs w:val="24"/>
          <w:lang w:val="en-GB"/>
        </w:rPr>
        <w:t>, trends and models</w:t>
      </w:r>
      <w:r w:rsidRPr="00CE4877">
        <w:rPr>
          <w:rFonts w:asciiTheme="majorBidi" w:hAnsiTheme="majorBidi" w:cstheme="majorBidi"/>
          <w:sz w:val="24"/>
          <w:szCs w:val="24"/>
          <w:lang w:val="en-GB"/>
        </w:rPr>
        <w:t>. (See Annex III for detailed information).</w:t>
      </w:r>
    </w:p>
    <w:p w14:paraId="0FED657A" w14:textId="77777777" w:rsidR="00E301B4" w:rsidRPr="00A3372E" w:rsidRDefault="00E301B4" w:rsidP="00E301B4">
      <w:pPr>
        <w:ind w:left="360"/>
        <w:rPr>
          <w:rFonts w:asciiTheme="majorBidi" w:hAnsiTheme="majorBidi" w:cstheme="majorBidi"/>
          <w:sz w:val="24"/>
          <w:szCs w:val="24"/>
        </w:rPr>
      </w:pPr>
      <w:r>
        <w:rPr>
          <w:rFonts w:asciiTheme="majorBidi" w:hAnsiTheme="majorBidi" w:cstheme="majorBidi"/>
          <w:b/>
          <w:bCs/>
          <w:sz w:val="24"/>
          <w:szCs w:val="24"/>
        </w:rPr>
        <w:t>Integrated Assessment Report</w:t>
      </w:r>
      <w:r w:rsidRPr="00A3372E">
        <w:rPr>
          <w:rFonts w:asciiTheme="majorBidi" w:hAnsiTheme="majorBidi" w:cstheme="majorBidi"/>
          <w:sz w:val="24"/>
          <w:szCs w:val="24"/>
        </w:rPr>
        <w:t xml:space="preserve"> </w:t>
      </w:r>
    </w:p>
    <w:p w14:paraId="215AA5D4" w14:textId="77777777" w:rsidR="00E301B4" w:rsidRPr="00DB6BFB" w:rsidRDefault="00E301B4" w:rsidP="0025348A">
      <w:pPr>
        <w:pStyle w:val="ListParagraph"/>
        <w:numPr>
          <w:ilvl w:val="0"/>
          <w:numId w:val="31"/>
        </w:numPr>
        <w:spacing w:after="160"/>
        <w:rPr>
          <w:rFonts w:asciiTheme="majorBidi" w:hAnsiTheme="majorBidi" w:cstheme="majorBidi"/>
          <w:sz w:val="24"/>
          <w:szCs w:val="24"/>
          <w:lang w:val="en-GB"/>
        </w:rPr>
      </w:pPr>
      <w:r>
        <w:rPr>
          <w:rFonts w:asciiTheme="majorBidi" w:hAnsiTheme="majorBidi" w:cstheme="majorBidi"/>
          <w:sz w:val="24"/>
          <w:szCs w:val="24"/>
          <w:lang w:val="en-GB"/>
        </w:rPr>
        <w:lastRenderedPageBreak/>
        <w:t xml:space="preserve">Based on the synthesis reports and other information </w:t>
      </w:r>
      <w:r w:rsidRPr="00B11354">
        <w:rPr>
          <w:rFonts w:asciiTheme="majorBidi" w:hAnsiTheme="majorBidi" w:cstheme="majorBidi"/>
          <w:sz w:val="24"/>
          <w:szCs w:val="24"/>
          <w:lang w:val="en-GB"/>
        </w:rPr>
        <w:t xml:space="preserve">linkages </w:t>
      </w:r>
      <w:r>
        <w:rPr>
          <w:rFonts w:asciiTheme="majorBidi" w:hAnsiTheme="majorBidi" w:cstheme="majorBidi"/>
          <w:sz w:val="24"/>
          <w:szCs w:val="24"/>
          <w:lang w:val="en-GB"/>
        </w:rPr>
        <w:t xml:space="preserve">need to be made </w:t>
      </w:r>
      <w:r w:rsidRPr="00B11354">
        <w:rPr>
          <w:rFonts w:asciiTheme="majorBidi" w:hAnsiTheme="majorBidi" w:cstheme="majorBidi"/>
          <w:sz w:val="24"/>
          <w:szCs w:val="24"/>
          <w:lang w:val="en-GB"/>
        </w:rPr>
        <w:t xml:space="preserve">between policy actions, emission reductions and resulting mercury levels, using available data sources, modelling techniques and analytical tools drawn from natural and social sciences. </w:t>
      </w:r>
      <w:r>
        <w:rPr>
          <w:rFonts w:asciiTheme="majorBidi" w:hAnsiTheme="majorBidi" w:cstheme="majorBidi"/>
          <w:sz w:val="24"/>
          <w:szCs w:val="24"/>
          <w:lang w:val="en-GB"/>
        </w:rPr>
        <w:t xml:space="preserve">This will be done in the </w:t>
      </w:r>
      <w:r w:rsidRPr="00BF2C89">
        <w:rPr>
          <w:rFonts w:asciiTheme="majorBidi" w:hAnsiTheme="majorBidi" w:cstheme="majorBidi"/>
          <w:b/>
          <w:bCs/>
          <w:sz w:val="24"/>
          <w:szCs w:val="24"/>
          <w:lang w:val="en-GB"/>
        </w:rPr>
        <w:t>Integrated Assessment Report</w:t>
      </w:r>
      <w:r>
        <w:rPr>
          <w:rFonts w:asciiTheme="majorBidi" w:hAnsiTheme="majorBidi" w:cstheme="majorBidi"/>
          <w:sz w:val="24"/>
          <w:szCs w:val="24"/>
          <w:lang w:val="en-GB"/>
        </w:rPr>
        <w:t>.</w:t>
      </w:r>
    </w:p>
    <w:p w14:paraId="2D988BCF" w14:textId="77777777" w:rsidR="00E301B4" w:rsidRDefault="00E301B4" w:rsidP="0025348A">
      <w:pPr>
        <w:pStyle w:val="ListParagraph"/>
        <w:numPr>
          <w:ilvl w:val="0"/>
          <w:numId w:val="31"/>
        </w:numPr>
        <w:spacing w:after="160"/>
        <w:rPr>
          <w:rFonts w:asciiTheme="majorBidi" w:hAnsiTheme="majorBidi" w:cstheme="majorBidi"/>
          <w:sz w:val="24"/>
          <w:szCs w:val="24"/>
          <w:lang w:val="en-GB"/>
        </w:rPr>
      </w:pPr>
      <w:r>
        <w:rPr>
          <w:rFonts w:asciiTheme="majorBidi" w:hAnsiTheme="majorBidi" w:cstheme="majorBidi"/>
          <w:sz w:val="24"/>
          <w:szCs w:val="24"/>
          <w:lang w:val="en-GB"/>
        </w:rPr>
        <w:t>It is to be noted that t</w:t>
      </w:r>
      <w:r w:rsidRPr="00B11354">
        <w:rPr>
          <w:rFonts w:asciiTheme="majorBidi" w:hAnsiTheme="majorBidi" w:cstheme="majorBidi"/>
          <w:sz w:val="24"/>
          <w:szCs w:val="24"/>
          <w:lang w:val="en-GB"/>
        </w:rPr>
        <w:t>he integrated assessment function will evolve as our understanding of mercury improves over time. For the first round of the effectiveness evaluation, when no previous assessment is available, several ground studies to provide the basis of the evaluation, will need to be conducted</w:t>
      </w:r>
      <w:r w:rsidRPr="005F3203">
        <w:rPr>
          <w:rFonts w:asciiTheme="majorBidi" w:hAnsiTheme="majorBidi" w:cstheme="majorBidi"/>
          <w:sz w:val="24"/>
          <w:szCs w:val="24"/>
          <w:lang w:val="en-GB"/>
        </w:rPr>
        <w:t xml:space="preserve">. </w:t>
      </w:r>
    </w:p>
    <w:p w14:paraId="50385D37" w14:textId="77777777" w:rsidR="00E301B4" w:rsidRDefault="00E301B4" w:rsidP="0025348A">
      <w:pPr>
        <w:pStyle w:val="ListParagraph"/>
        <w:numPr>
          <w:ilvl w:val="0"/>
          <w:numId w:val="31"/>
        </w:numPr>
        <w:spacing w:after="160"/>
        <w:rPr>
          <w:rFonts w:asciiTheme="majorBidi" w:hAnsiTheme="majorBidi" w:cstheme="majorBidi"/>
          <w:sz w:val="24"/>
          <w:szCs w:val="24"/>
          <w:lang w:val="en-GB"/>
        </w:rPr>
      </w:pPr>
      <w:r>
        <w:rPr>
          <w:rFonts w:asciiTheme="majorBidi" w:hAnsiTheme="majorBidi" w:cstheme="majorBidi"/>
          <w:sz w:val="24"/>
          <w:szCs w:val="24"/>
          <w:lang w:val="en-GB"/>
        </w:rPr>
        <w:t xml:space="preserve">With this as </w:t>
      </w:r>
      <w:r w:rsidRPr="00AC265A">
        <w:rPr>
          <w:rFonts w:asciiTheme="majorBidi" w:hAnsiTheme="majorBidi" w:cstheme="majorBidi"/>
          <w:sz w:val="24"/>
          <w:szCs w:val="24"/>
          <w:lang w:val="en-GB"/>
        </w:rPr>
        <w:t>background, the content of the integrated assessment report is expected to contain:</w:t>
      </w:r>
    </w:p>
    <w:p w14:paraId="1D5CD8BB" w14:textId="77777777" w:rsidR="00E301B4" w:rsidRPr="005F3203" w:rsidRDefault="00E301B4" w:rsidP="0025348A">
      <w:pPr>
        <w:pStyle w:val="ListParagraph"/>
        <w:numPr>
          <w:ilvl w:val="1"/>
          <w:numId w:val="32"/>
        </w:numPr>
        <w:rPr>
          <w:rFonts w:asciiTheme="majorBidi" w:hAnsiTheme="majorBidi" w:cstheme="majorBidi"/>
          <w:sz w:val="24"/>
          <w:szCs w:val="24"/>
          <w:lang w:val="en-GB"/>
        </w:rPr>
      </w:pPr>
      <w:r>
        <w:rPr>
          <w:rFonts w:asciiTheme="majorBidi" w:hAnsiTheme="majorBidi" w:cstheme="majorBidi"/>
          <w:sz w:val="24"/>
          <w:szCs w:val="24"/>
        </w:rPr>
        <w:t xml:space="preserve"> </w:t>
      </w:r>
      <w:r w:rsidRPr="005F3203">
        <w:rPr>
          <w:rFonts w:asciiTheme="majorBidi" w:hAnsiTheme="majorBidi" w:cstheme="majorBidi"/>
          <w:sz w:val="24"/>
          <w:szCs w:val="24"/>
        </w:rPr>
        <w:t xml:space="preserve">The examination of time lags between actions and outcomes observed by the subsequent evaluations: Significant time lags for years or even decades due to </w:t>
      </w:r>
      <w:r>
        <w:rPr>
          <w:rFonts w:asciiTheme="majorBidi" w:hAnsiTheme="majorBidi" w:cstheme="majorBidi"/>
          <w:sz w:val="24"/>
          <w:szCs w:val="24"/>
        </w:rPr>
        <w:t xml:space="preserve">the </w:t>
      </w:r>
      <w:r w:rsidRPr="005F3203">
        <w:rPr>
          <w:rFonts w:asciiTheme="majorBidi" w:hAnsiTheme="majorBidi" w:cstheme="majorBidi"/>
          <w:sz w:val="24"/>
          <w:szCs w:val="24"/>
        </w:rPr>
        <w:t>slow pace of change in socio-economic systems</w:t>
      </w:r>
      <w:r>
        <w:rPr>
          <w:rFonts w:asciiTheme="majorBidi" w:hAnsiTheme="majorBidi" w:cstheme="majorBidi"/>
          <w:sz w:val="24"/>
          <w:szCs w:val="24"/>
        </w:rPr>
        <w:t>,</w:t>
      </w:r>
      <w:r w:rsidRPr="005F3203">
        <w:rPr>
          <w:rFonts w:asciiTheme="majorBidi" w:hAnsiTheme="majorBidi" w:cstheme="majorBidi"/>
          <w:sz w:val="24"/>
          <w:szCs w:val="24"/>
        </w:rPr>
        <w:t xml:space="preserve"> and in </w:t>
      </w:r>
      <w:r>
        <w:rPr>
          <w:rFonts w:asciiTheme="majorBidi" w:hAnsiTheme="majorBidi" w:cstheme="majorBidi"/>
          <w:sz w:val="24"/>
          <w:szCs w:val="24"/>
        </w:rPr>
        <w:t xml:space="preserve">the </w:t>
      </w:r>
      <w:r w:rsidRPr="005F3203">
        <w:rPr>
          <w:rFonts w:asciiTheme="majorBidi" w:hAnsiTheme="majorBidi" w:cstheme="majorBidi"/>
          <w:sz w:val="24"/>
          <w:szCs w:val="24"/>
        </w:rPr>
        <w:t xml:space="preserve">physical and biological dynamics of the Earth system will </w:t>
      </w:r>
      <w:r>
        <w:rPr>
          <w:rFonts w:asciiTheme="majorBidi" w:hAnsiTheme="majorBidi" w:cstheme="majorBidi"/>
          <w:sz w:val="24"/>
          <w:szCs w:val="24"/>
        </w:rPr>
        <w:t xml:space="preserve">need to </w:t>
      </w:r>
      <w:r w:rsidRPr="005F3203">
        <w:rPr>
          <w:rFonts w:asciiTheme="majorBidi" w:hAnsiTheme="majorBidi" w:cstheme="majorBidi"/>
          <w:sz w:val="24"/>
          <w:szCs w:val="24"/>
        </w:rPr>
        <w:t>be discussed</w:t>
      </w:r>
      <w:r>
        <w:rPr>
          <w:rFonts w:asciiTheme="majorBidi" w:hAnsiTheme="majorBidi" w:cstheme="majorBidi"/>
          <w:sz w:val="24"/>
          <w:szCs w:val="24"/>
        </w:rPr>
        <w:t>.</w:t>
      </w:r>
    </w:p>
    <w:p w14:paraId="0DF337EE" w14:textId="77777777" w:rsidR="00E301B4" w:rsidRPr="005F3203" w:rsidRDefault="00E301B4" w:rsidP="0025348A">
      <w:pPr>
        <w:pStyle w:val="ListParagraph"/>
        <w:numPr>
          <w:ilvl w:val="1"/>
          <w:numId w:val="32"/>
        </w:numPr>
        <w:rPr>
          <w:rFonts w:asciiTheme="majorBidi" w:hAnsiTheme="majorBidi" w:cstheme="majorBidi"/>
          <w:sz w:val="24"/>
          <w:szCs w:val="24"/>
          <w:lang w:val="en-GB"/>
        </w:rPr>
      </w:pPr>
      <w:r w:rsidRPr="005F3203">
        <w:rPr>
          <w:rFonts w:asciiTheme="majorBidi" w:hAnsiTheme="majorBidi" w:cstheme="majorBidi"/>
          <w:sz w:val="24"/>
          <w:szCs w:val="24"/>
        </w:rPr>
        <w:t>The</w:t>
      </w:r>
      <w:r>
        <w:rPr>
          <w:rFonts w:asciiTheme="majorBidi" w:hAnsiTheme="majorBidi" w:cstheme="majorBidi"/>
          <w:sz w:val="24"/>
          <w:szCs w:val="24"/>
        </w:rPr>
        <w:t xml:space="preserve"> examination of the</w:t>
      </w:r>
      <w:r w:rsidRPr="005F3203">
        <w:rPr>
          <w:rFonts w:asciiTheme="majorBidi" w:hAnsiTheme="majorBidi" w:cstheme="majorBidi"/>
          <w:sz w:val="24"/>
          <w:szCs w:val="24"/>
        </w:rPr>
        <w:t xml:space="preserve"> baseline scenario, which draws </w:t>
      </w:r>
      <w:r>
        <w:rPr>
          <w:rFonts w:asciiTheme="majorBidi" w:hAnsiTheme="majorBidi" w:cstheme="majorBidi"/>
          <w:sz w:val="24"/>
          <w:szCs w:val="24"/>
        </w:rPr>
        <w:t xml:space="preserve">on </w:t>
      </w:r>
      <w:r w:rsidRPr="005F3203">
        <w:rPr>
          <w:rFonts w:asciiTheme="majorBidi" w:hAnsiTheme="majorBidi" w:cstheme="majorBidi"/>
          <w:sz w:val="24"/>
          <w:szCs w:val="24"/>
        </w:rPr>
        <w:t xml:space="preserve">a hypothetical ‘business as usual’ setting </w:t>
      </w:r>
      <w:r>
        <w:rPr>
          <w:rFonts w:asciiTheme="majorBidi" w:hAnsiTheme="majorBidi" w:cstheme="majorBidi"/>
          <w:sz w:val="24"/>
          <w:szCs w:val="24"/>
        </w:rPr>
        <w:t xml:space="preserve">for </w:t>
      </w:r>
      <w:r w:rsidRPr="005F3203">
        <w:rPr>
          <w:rFonts w:asciiTheme="majorBidi" w:hAnsiTheme="majorBidi" w:cstheme="majorBidi"/>
          <w:sz w:val="24"/>
          <w:szCs w:val="24"/>
        </w:rPr>
        <w:t xml:space="preserve">when the Convention had not </w:t>
      </w:r>
      <w:r w:rsidRPr="00104E0F">
        <w:rPr>
          <w:rFonts w:asciiTheme="majorBidi" w:hAnsiTheme="majorBidi" w:cstheme="majorBidi"/>
          <w:sz w:val="24"/>
          <w:szCs w:val="24"/>
        </w:rPr>
        <w:t>been implemented: The hypothesis will employ assumptions and interpretations that could go beyond the factual presentation. As far as practical, different scenarios will be developed for future forecasting, given that it is expected that population growth, economic development, and global warming will alter the mercury baseline due to the changes in consumption patterns and global material flows.</w:t>
      </w:r>
    </w:p>
    <w:p w14:paraId="46B56F91" w14:textId="77777777" w:rsidR="00E301B4" w:rsidRPr="005F3203" w:rsidRDefault="00E301B4" w:rsidP="0025348A">
      <w:pPr>
        <w:pStyle w:val="ListParagraph"/>
        <w:numPr>
          <w:ilvl w:val="1"/>
          <w:numId w:val="32"/>
        </w:numPr>
        <w:rPr>
          <w:rFonts w:asciiTheme="majorBidi" w:hAnsiTheme="majorBidi" w:cstheme="majorBidi"/>
          <w:sz w:val="24"/>
          <w:szCs w:val="24"/>
          <w:lang w:val="en-GB"/>
        </w:rPr>
      </w:pPr>
      <w:r w:rsidRPr="005F3203">
        <w:rPr>
          <w:rFonts w:asciiTheme="majorBidi" w:hAnsiTheme="majorBidi" w:cstheme="majorBidi"/>
          <w:sz w:val="24"/>
          <w:szCs w:val="24"/>
        </w:rPr>
        <w:t>The assessment of the four policy questions</w:t>
      </w:r>
      <w:r>
        <w:rPr>
          <w:rFonts w:asciiTheme="majorBidi" w:hAnsiTheme="majorBidi" w:cstheme="majorBidi"/>
          <w:sz w:val="24"/>
          <w:szCs w:val="24"/>
        </w:rPr>
        <w:t>,</w:t>
      </w:r>
      <w:r w:rsidRPr="005F3203">
        <w:rPr>
          <w:rFonts w:asciiTheme="majorBidi" w:hAnsiTheme="majorBidi" w:cstheme="majorBidi"/>
          <w:sz w:val="24"/>
          <w:szCs w:val="24"/>
        </w:rPr>
        <w:t xml:space="preserve"> that could go </w:t>
      </w:r>
      <w:r>
        <w:rPr>
          <w:rFonts w:asciiTheme="majorBidi" w:hAnsiTheme="majorBidi" w:cstheme="majorBidi"/>
          <w:sz w:val="24"/>
          <w:szCs w:val="24"/>
        </w:rPr>
        <w:t xml:space="preserve">as far as </w:t>
      </w:r>
      <w:r w:rsidRPr="005F3203">
        <w:rPr>
          <w:rFonts w:asciiTheme="majorBidi" w:hAnsiTheme="majorBidi" w:cstheme="majorBidi"/>
          <w:sz w:val="24"/>
          <w:szCs w:val="24"/>
        </w:rPr>
        <w:t xml:space="preserve">forecasting </w:t>
      </w:r>
      <w:r>
        <w:rPr>
          <w:rFonts w:asciiTheme="majorBidi" w:hAnsiTheme="majorBidi" w:cstheme="majorBidi"/>
          <w:sz w:val="24"/>
          <w:szCs w:val="24"/>
        </w:rPr>
        <w:t>based on</w:t>
      </w:r>
      <w:r w:rsidRPr="005F3203">
        <w:rPr>
          <w:rFonts w:asciiTheme="majorBidi" w:hAnsiTheme="majorBidi" w:cstheme="majorBidi"/>
          <w:sz w:val="24"/>
          <w:szCs w:val="24"/>
        </w:rPr>
        <w:t xml:space="preserve"> appropriate extrapolation: Several types of modelling </w:t>
      </w:r>
      <w:r>
        <w:rPr>
          <w:rFonts w:asciiTheme="majorBidi" w:hAnsiTheme="majorBidi" w:cstheme="majorBidi"/>
          <w:sz w:val="24"/>
          <w:szCs w:val="24"/>
        </w:rPr>
        <w:t>can</w:t>
      </w:r>
      <w:r w:rsidRPr="005F3203">
        <w:rPr>
          <w:rFonts w:asciiTheme="majorBidi" w:hAnsiTheme="majorBidi" w:cstheme="majorBidi"/>
          <w:sz w:val="24"/>
          <w:szCs w:val="24"/>
        </w:rPr>
        <w:t xml:space="preserve"> help such </w:t>
      </w:r>
      <w:r>
        <w:rPr>
          <w:rFonts w:asciiTheme="majorBidi" w:hAnsiTheme="majorBidi" w:cstheme="majorBidi"/>
          <w:sz w:val="24"/>
          <w:szCs w:val="24"/>
        </w:rPr>
        <w:t xml:space="preserve">an </w:t>
      </w:r>
      <w:r w:rsidRPr="005F3203">
        <w:rPr>
          <w:rFonts w:asciiTheme="majorBidi" w:hAnsiTheme="majorBidi" w:cstheme="majorBidi"/>
          <w:sz w:val="24"/>
          <w:szCs w:val="24"/>
        </w:rPr>
        <w:t xml:space="preserve">assessment. </w:t>
      </w:r>
      <w:r>
        <w:rPr>
          <w:rFonts w:asciiTheme="majorBidi" w:hAnsiTheme="majorBidi" w:cstheme="majorBidi"/>
          <w:sz w:val="24"/>
          <w:szCs w:val="24"/>
        </w:rPr>
        <w:t>(</w:t>
      </w:r>
      <w:r w:rsidRPr="005F3203">
        <w:rPr>
          <w:rFonts w:asciiTheme="majorBidi" w:hAnsiTheme="majorBidi" w:cstheme="majorBidi"/>
          <w:sz w:val="24"/>
          <w:szCs w:val="24"/>
        </w:rPr>
        <w:t xml:space="preserve">It has to be noted, however, that present science has not yet developed reliable models </w:t>
      </w:r>
      <w:r>
        <w:rPr>
          <w:rFonts w:asciiTheme="majorBidi" w:hAnsiTheme="majorBidi" w:cstheme="majorBidi"/>
          <w:sz w:val="24"/>
          <w:szCs w:val="24"/>
        </w:rPr>
        <w:t>to</w:t>
      </w:r>
      <w:r w:rsidRPr="005F3203">
        <w:rPr>
          <w:rFonts w:asciiTheme="majorBidi" w:hAnsiTheme="majorBidi" w:cstheme="majorBidi"/>
          <w:sz w:val="24"/>
          <w:szCs w:val="24"/>
        </w:rPr>
        <w:t xml:space="preserve"> forecast long-term changes in mercury levels resulting from emissions reductions that take into account the full complexities of mercury in the environment.</w:t>
      </w:r>
      <w:r>
        <w:rPr>
          <w:rFonts w:asciiTheme="majorBidi" w:hAnsiTheme="majorBidi" w:cstheme="majorBidi"/>
          <w:sz w:val="24"/>
          <w:szCs w:val="24"/>
        </w:rPr>
        <w:t>)</w:t>
      </w:r>
      <w:r w:rsidRPr="005F3203">
        <w:rPr>
          <w:rFonts w:asciiTheme="majorBidi" w:hAnsiTheme="majorBidi" w:cstheme="majorBidi"/>
          <w:sz w:val="24"/>
          <w:szCs w:val="24"/>
        </w:rPr>
        <w:t xml:space="preserve"> Therefore, earlier evaluations on the effectiveness of the Minamata Convention must rely on simpler forecasting method</w:t>
      </w:r>
      <w:r>
        <w:rPr>
          <w:rFonts w:asciiTheme="majorBidi" w:hAnsiTheme="majorBidi" w:cstheme="majorBidi"/>
          <w:sz w:val="24"/>
          <w:szCs w:val="24"/>
        </w:rPr>
        <w:t>s</w:t>
      </w:r>
      <w:r w:rsidRPr="005F3203">
        <w:rPr>
          <w:rFonts w:asciiTheme="majorBidi" w:hAnsiTheme="majorBidi" w:cstheme="majorBidi"/>
          <w:sz w:val="24"/>
          <w:szCs w:val="24"/>
        </w:rPr>
        <w:t xml:space="preserve"> and will have greater uncertainty than later evaluations when improvements to such forecasting models become available.</w:t>
      </w:r>
    </w:p>
    <w:p w14:paraId="3985D9CE" w14:textId="77777777" w:rsidR="00E301B4" w:rsidRPr="00B11354" w:rsidRDefault="00E301B4" w:rsidP="0025348A">
      <w:pPr>
        <w:pStyle w:val="ListParagraph"/>
        <w:numPr>
          <w:ilvl w:val="1"/>
          <w:numId w:val="32"/>
        </w:numPr>
        <w:spacing w:after="160"/>
        <w:rPr>
          <w:rFonts w:asciiTheme="majorBidi" w:hAnsiTheme="majorBidi" w:cstheme="majorBidi"/>
          <w:sz w:val="24"/>
          <w:szCs w:val="24"/>
          <w:lang w:val="en-GB"/>
        </w:rPr>
      </w:pPr>
      <w:r w:rsidRPr="005F3203">
        <w:rPr>
          <w:rFonts w:asciiTheme="majorBidi" w:hAnsiTheme="majorBidi" w:cstheme="majorBidi"/>
          <w:sz w:val="24"/>
          <w:szCs w:val="24"/>
        </w:rPr>
        <w:t>The comprehensive analysis of the interaction between different indicators for identifying important synergies and trade-offs: Understanding the relation</w:t>
      </w:r>
      <w:r>
        <w:rPr>
          <w:rFonts w:asciiTheme="majorBidi" w:hAnsiTheme="majorBidi" w:cstheme="majorBidi"/>
          <w:sz w:val="24"/>
          <w:szCs w:val="24"/>
        </w:rPr>
        <w:t>ship</w:t>
      </w:r>
      <w:r w:rsidRPr="005F3203">
        <w:rPr>
          <w:rFonts w:asciiTheme="majorBidi" w:hAnsiTheme="majorBidi" w:cstheme="majorBidi"/>
          <w:sz w:val="24"/>
          <w:szCs w:val="24"/>
        </w:rPr>
        <w:t xml:space="preserve"> between indicators is important for improving implementation efficiency.</w:t>
      </w:r>
    </w:p>
    <w:p w14:paraId="5F017C4A" w14:textId="77777777" w:rsidR="00E301B4" w:rsidRDefault="00E301B4" w:rsidP="0025348A">
      <w:pPr>
        <w:pStyle w:val="ListParagraph"/>
        <w:numPr>
          <w:ilvl w:val="0"/>
          <w:numId w:val="31"/>
        </w:numPr>
        <w:spacing w:after="160"/>
        <w:rPr>
          <w:rFonts w:asciiTheme="majorBidi" w:hAnsiTheme="majorBidi" w:cstheme="majorBidi"/>
          <w:sz w:val="24"/>
          <w:szCs w:val="24"/>
          <w:lang w:val="en-GB"/>
        </w:rPr>
      </w:pPr>
      <w:r>
        <w:rPr>
          <w:rFonts w:asciiTheme="majorBidi" w:hAnsiTheme="majorBidi" w:cstheme="majorBidi"/>
          <w:sz w:val="24"/>
          <w:szCs w:val="24"/>
          <w:lang w:val="en-GB"/>
        </w:rPr>
        <w:t xml:space="preserve">The following chapters are suggested for the Integrated Assessment Report: </w:t>
      </w:r>
    </w:p>
    <w:p w14:paraId="570A1586" w14:textId="77777777" w:rsidR="00E301B4" w:rsidRPr="006B24F9" w:rsidRDefault="00E301B4" w:rsidP="006B24F9">
      <w:pPr>
        <w:pStyle w:val="ListParagraph"/>
        <w:rPr>
          <w:rFonts w:asciiTheme="majorBidi" w:hAnsiTheme="majorBidi" w:cstheme="majorBidi"/>
          <w:b/>
          <w:bCs/>
          <w:sz w:val="24"/>
          <w:szCs w:val="24"/>
          <w:lang w:val="en-GB"/>
        </w:rPr>
      </w:pPr>
      <w:r w:rsidRPr="006B24F9">
        <w:rPr>
          <w:rFonts w:asciiTheme="majorBidi" w:hAnsiTheme="majorBidi" w:cstheme="majorBidi"/>
          <w:b/>
          <w:bCs/>
          <w:sz w:val="24"/>
          <w:szCs w:val="24"/>
          <w:lang w:val="en-GB"/>
        </w:rPr>
        <w:t xml:space="preserve">Assumptions and baseline scenario setting for the integrated assessment </w:t>
      </w:r>
    </w:p>
    <w:p w14:paraId="38E88C13" w14:textId="77777777" w:rsidR="00E301B4" w:rsidRPr="006B24F9" w:rsidRDefault="00E301B4" w:rsidP="006B24F9">
      <w:pPr>
        <w:pStyle w:val="ListParagraph"/>
        <w:rPr>
          <w:rFonts w:asciiTheme="majorBidi" w:hAnsiTheme="majorBidi" w:cstheme="majorBidi"/>
          <w:b/>
          <w:bCs/>
          <w:sz w:val="24"/>
          <w:szCs w:val="24"/>
          <w:lang w:val="en-GB"/>
        </w:rPr>
      </w:pPr>
      <w:r w:rsidRPr="006B24F9">
        <w:rPr>
          <w:rFonts w:asciiTheme="majorBidi" w:hAnsiTheme="majorBidi" w:cstheme="majorBidi"/>
          <w:b/>
          <w:bCs/>
          <w:sz w:val="24"/>
          <w:szCs w:val="24"/>
          <w:lang w:val="en-GB"/>
        </w:rPr>
        <w:t>Assessment of the policy questions</w:t>
      </w:r>
    </w:p>
    <w:p w14:paraId="4C5278F0" w14:textId="77777777" w:rsidR="00E301B4" w:rsidRPr="000D40E3" w:rsidRDefault="00E301B4" w:rsidP="006B24F9">
      <w:pPr>
        <w:pStyle w:val="ListParagraph"/>
        <w:rPr>
          <w:rFonts w:asciiTheme="majorBidi" w:hAnsiTheme="majorBidi" w:cstheme="majorBidi"/>
          <w:sz w:val="24"/>
          <w:szCs w:val="24"/>
          <w:lang w:val="en-GB"/>
        </w:rPr>
      </w:pPr>
      <w:r w:rsidRPr="000D40E3">
        <w:rPr>
          <w:rFonts w:asciiTheme="majorBidi" w:hAnsiTheme="majorBidi" w:cstheme="majorBidi"/>
          <w:i/>
          <w:iCs/>
          <w:sz w:val="24"/>
          <w:szCs w:val="24"/>
          <w:lang w:val="en-GB"/>
        </w:rPr>
        <w:t>Policy question 1:</w:t>
      </w:r>
      <w:r w:rsidRPr="000D40E3">
        <w:rPr>
          <w:rFonts w:asciiTheme="majorBidi" w:hAnsiTheme="majorBidi" w:cstheme="majorBidi"/>
          <w:sz w:val="24"/>
          <w:szCs w:val="24"/>
          <w:lang w:val="en-GB"/>
        </w:rPr>
        <w:t xml:space="preserve"> Have the Parties taken actions to implement the Minamata Convention?</w:t>
      </w:r>
    </w:p>
    <w:p w14:paraId="12F66655" w14:textId="77777777" w:rsidR="00E301B4" w:rsidRPr="000D40E3" w:rsidRDefault="00E301B4" w:rsidP="006B24F9">
      <w:pPr>
        <w:pStyle w:val="ListParagraph"/>
        <w:rPr>
          <w:rFonts w:asciiTheme="majorBidi" w:hAnsiTheme="majorBidi" w:cstheme="majorBidi"/>
          <w:sz w:val="24"/>
          <w:szCs w:val="24"/>
          <w:lang w:val="en-GB"/>
        </w:rPr>
      </w:pPr>
      <w:r w:rsidRPr="000D40E3">
        <w:rPr>
          <w:rFonts w:asciiTheme="majorBidi" w:hAnsiTheme="majorBidi" w:cstheme="majorBidi"/>
          <w:i/>
          <w:iCs/>
          <w:sz w:val="24"/>
          <w:szCs w:val="24"/>
          <w:lang w:val="en-GB"/>
        </w:rPr>
        <w:t>Policy question 2:</w:t>
      </w:r>
      <w:r w:rsidRPr="000D40E3">
        <w:rPr>
          <w:rFonts w:asciiTheme="majorBidi" w:hAnsiTheme="majorBidi" w:cstheme="majorBidi"/>
          <w:sz w:val="24"/>
          <w:szCs w:val="24"/>
          <w:lang w:val="en-GB"/>
        </w:rPr>
        <w:t xml:space="preserve"> Have these actions resulted in changes in emissions and releases of mercury to the environment?</w:t>
      </w:r>
    </w:p>
    <w:p w14:paraId="11C087E0" w14:textId="77777777" w:rsidR="00E301B4" w:rsidRPr="000D40E3" w:rsidRDefault="00E301B4" w:rsidP="006B24F9">
      <w:pPr>
        <w:pStyle w:val="ListParagraph"/>
        <w:rPr>
          <w:rFonts w:asciiTheme="majorBidi" w:hAnsiTheme="majorBidi" w:cstheme="majorBidi"/>
          <w:sz w:val="24"/>
          <w:szCs w:val="24"/>
          <w:lang w:val="en-GB"/>
        </w:rPr>
      </w:pPr>
      <w:r w:rsidRPr="000D40E3">
        <w:rPr>
          <w:rFonts w:asciiTheme="majorBidi" w:hAnsiTheme="majorBidi" w:cstheme="majorBidi"/>
          <w:i/>
          <w:iCs/>
          <w:sz w:val="24"/>
          <w:szCs w:val="24"/>
          <w:lang w:val="en-GB"/>
        </w:rPr>
        <w:t>Policy question 3:</w:t>
      </w:r>
      <w:r w:rsidRPr="000D40E3">
        <w:rPr>
          <w:rFonts w:asciiTheme="majorBidi" w:hAnsiTheme="majorBidi" w:cstheme="majorBidi"/>
          <w:sz w:val="24"/>
          <w:szCs w:val="24"/>
          <w:lang w:val="en-GB"/>
        </w:rPr>
        <w:t xml:space="preserve"> Have these changes in emissions and releases resulted in changes in levels of mercury in the environment, biota and humans attributable to the Convention?</w:t>
      </w:r>
    </w:p>
    <w:p w14:paraId="22294A4F" w14:textId="77777777" w:rsidR="00E301B4" w:rsidRPr="000D40E3" w:rsidRDefault="00E301B4" w:rsidP="006B24F9">
      <w:pPr>
        <w:pStyle w:val="ListParagraph"/>
        <w:rPr>
          <w:rFonts w:asciiTheme="majorBidi" w:hAnsiTheme="majorBidi" w:cstheme="majorBidi"/>
          <w:sz w:val="24"/>
          <w:szCs w:val="24"/>
          <w:lang w:val="en-GB"/>
        </w:rPr>
      </w:pPr>
      <w:r w:rsidRPr="000D40E3">
        <w:rPr>
          <w:rFonts w:asciiTheme="majorBidi" w:hAnsiTheme="majorBidi" w:cstheme="majorBidi"/>
          <w:i/>
          <w:iCs/>
          <w:sz w:val="24"/>
          <w:szCs w:val="24"/>
          <w:lang w:val="en-GB"/>
        </w:rPr>
        <w:t>Policy question 4:</w:t>
      </w:r>
      <w:r w:rsidRPr="000D40E3">
        <w:rPr>
          <w:rFonts w:asciiTheme="majorBidi" w:hAnsiTheme="majorBidi" w:cstheme="majorBidi"/>
          <w:sz w:val="24"/>
          <w:szCs w:val="24"/>
          <w:lang w:val="en-GB"/>
        </w:rPr>
        <w:t xml:space="preserve"> Will existing measures under the Minamata Convention be sufficient to meet its objectives of protecting human health and environment from mercury?</w:t>
      </w:r>
    </w:p>
    <w:p w14:paraId="25147970" w14:textId="77777777" w:rsidR="00E301B4" w:rsidRPr="006B24F9" w:rsidRDefault="00E301B4" w:rsidP="006B24F9">
      <w:pPr>
        <w:pStyle w:val="ListParagraph"/>
        <w:rPr>
          <w:rFonts w:asciiTheme="majorBidi" w:hAnsiTheme="majorBidi" w:cstheme="majorBidi"/>
          <w:b/>
          <w:bCs/>
          <w:sz w:val="24"/>
          <w:szCs w:val="24"/>
          <w:lang w:val="en-GB"/>
        </w:rPr>
      </w:pPr>
      <w:r w:rsidRPr="006B24F9">
        <w:rPr>
          <w:rFonts w:asciiTheme="majorBidi" w:hAnsiTheme="majorBidi" w:cstheme="majorBidi"/>
          <w:b/>
          <w:bCs/>
          <w:sz w:val="24"/>
          <w:szCs w:val="24"/>
          <w:lang w:val="en-GB"/>
        </w:rPr>
        <w:lastRenderedPageBreak/>
        <w:t>Synergies and trade-offs between indicators for improving implementation efficiency</w:t>
      </w:r>
    </w:p>
    <w:p w14:paraId="1D839522" w14:textId="77777777" w:rsidR="00E301B4" w:rsidRPr="006B24F9" w:rsidRDefault="00E301B4" w:rsidP="006B24F9">
      <w:pPr>
        <w:pStyle w:val="ListParagraph"/>
        <w:rPr>
          <w:rFonts w:asciiTheme="majorBidi" w:hAnsiTheme="majorBidi" w:cstheme="majorBidi"/>
          <w:b/>
          <w:bCs/>
          <w:sz w:val="24"/>
          <w:szCs w:val="24"/>
          <w:lang w:val="en-GB"/>
        </w:rPr>
      </w:pPr>
      <w:r w:rsidRPr="006B24F9">
        <w:rPr>
          <w:rFonts w:asciiTheme="majorBidi" w:hAnsiTheme="majorBidi" w:cstheme="majorBidi"/>
          <w:b/>
          <w:bCs/>
          <w:sz w:val="24"/>
          <w:szCs w:val="24"/>
          <w:lang w:val="en-GB"/>
        </w:rPr>
        <w:t>Time lags between actions and outcomes</w:t>
      </w:r>
    </w:p>
    <w:p w14:paraId="5BFCEBDA" w14:textId="77777777" w:rsidR="00E301B4" w:rsidRPr="006B24F9" w:rsidRDefault="00E301B4" w:rsidP="006B24F9">
      <w:pPr>
        <w:pStyle w:val="ListParagraph"/>
        <w:rPr>
          <w:rFonts w:asciiTheme="majorBidi" w:hAnsiTheme="majorBidi" w:cstheme="majorBidi"/>
          <w:b/>
          <w:bCs/>
          <w:sz w:val="24"/>
          <w:szCs w:val="24"/>
          <w:lang w:val="en-GB"/>
        </w:rPr>
      </w:pPr>
      <w:r w:rsidRPr="006B24F9">
        <w:rPr>
          <w:rFonts w:asciiTheme="majorBidi" w:hAnsiTheme="majorBidi" w:cstheme="majorBidi"/>
          <w:b/>
          <w:bCs/>
          <w:sz w:val="24"/>
          <w:szCs w:val="24"/>
          <w:lang w:val="en-GB"/>
        </w:rPr>
        <w:t>Conclusions</w:t>
      </w:r>
    </w:p>
    <w:p w14:paraId="10F0F45F" w14:textId="77777777" w:rsidR="00E301B4" w:rsidRPr="006B24F9" w:rsidRDefault="00E301B4" w:rsidP="006B24F9">
      <w:pPr>
        <w:pStyle w:val="ListParagraph"/>
        <w:spacing w:after="160"/>
        <w:rPr>
          <w:rFonts w:asciiTheme="majorBidi" w:hAnsiTheme="majorBidi" w:cstheme="majorBidi"/>
          <w:b/>
          <w:bCs/>
          <w:sz w:val="24"/>
          <w:szCs w:val="24"/>
          <w:lang w:val="en-GB"/>
        </w:rPr>
      </w:pPr>
      <w:r w:rsidRPr="006B24F9">
        <w:rPr>
          <w:rFonts w:asciiTheme="majorBidi" w:hAnsiTheme="majorBidi" w:cstheme="majorBidi"/>
          <w:b/>
          <w:bCs/>
          <w:sz w:val="24"/>
          <w:szCs w:val="24"/>
          <w:lang w:val="en-GB"/>
        </w:rPr>
        <w:t>Appendix: Result “Dashboard” - progress of the indicators in the evaluation framework</w:t>
      </w:r>
    </w:p>
    <w:p w14:paraId="17DF0AE9" w14:textId="17A6DE19" w:rsidR="00B11354" w:rsidRPr="006B24F9" w:rsidRDefault="00B11354" w:rsidP="006B24F9">
      <w:pPr>
        <w:rPr>
          <w:rFonts w:asciiTheme="majorBidi" w:hAnsiTheme="majorBidi" w:cstheme="majorBidi"/>
          <w:sz w:val="24"/>
          <w:szCs w:val="24"/>
        </w:rPr>
      </w:pPr>
    </w:p>
    <w:sectPr w:rsidR="00B11354" w:rsidRPr="006B24F9" w:rsidSect="00057931">
      <w:pgSz w:w="12240" w:h="15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1665F" w14:textId="77777777" w:rsidR="002A0874" w:rsidRDefault="002A0874" w:rsidP="00E062F7">
      <w:pPr>
        <w:spacing w:after="0" w:line="240" w:lineRule="auto"/>
      </w:pPr>
      <w:r>
        <w:separator/>
      </w:r>
    </w:p>
  </w:endnote>
  <w:endnote w:type="continuationSeparator" w:id="0">
    <w:p w14:paraId="4B7219E5" w14:textId="77777777" w:rsidR="002A0874" w:rsidRDefault="002A0874" w:rsidP="00E06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21002A87" w:usb1="090F0000" w:usb2="00000010"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2E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Helvetica Neue">
    <w:altName w:val="Arial"/>
    <w:charset w:val="00"/>
    <w:family w:val="roman"/>
    <w:pitch w:val="default"/>
  </w:font>
  <w:font w:name="MyriadPro-Regular">
    <w:altName w:val="Calibri"/>
    <w:panose1 w:val="00000000000000000000"/>
    <w:charset w:val="80"/>
    <w:family w:val="swiss"/>
    <w:notTrueType/>
    <w:pitch w:val="default"/>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rPr>
      <w:id w:val="-809084489"/>
      <w:docPartObj>
        <w:docPartGallery w:val="Page Numbers (Bottom of Page)"/>
        <w:docPartUnique/>
      </w:docPartObj>
    </w:sdtPr>
    <w:sdtEndPr>
      <w:rPr>
        <w:noProof/>
      </w:rPr>
    </w:sdtEndPr>
    <w:sdtContent>
      <w:p w14:paraId="53956B38" w14:textId="5EA5A1DD" w:rsidR="004E705B" w:rsidRPr="00A05FB3" w:rsidRDefault="004E705B">
        <w:pPr>
          <w:pStyle w:val="Footer"/>
          <w:jc w:val="right"/>
          <w:rPr>
            <w:rFonts w:asciiTheme="majorBidi" w:hAnsiTheme="majorBidi" w:cstheme="majorBidi"/>
          </w:rPr>
        </w:pPr>
        <w:r w:rsidRPr="00A05FB3">
          <w:rPr>
            <w:rFonts w:asciiTheme="majorBidi" w:hAnsiTheme="majorBidi" w:cstheme="majorBidi"/>
          </w:rPr>
          <w:fldChar w:fldCharType="begin"/>
        </w:r>
        <w:r w:rsidRPr="00A05FB3">
          <w:rPr>
            <w:rFonts w:asciiTheme="majorBidi" w:hAnsiTheme="majorBidi" w:cstheme="majorBidi"/>
          </w:rPr>
          <w:instrText xml:space="preserve"> PAGE   \* MERGEFORMAT </w:instrText>
        </w:r>
        <w:r w:rsidRPr="00A05FB3">
          <w:rPr>
            <w:rFonts w:asciiTheme="majorBidi" w:hAnsiTheme="majorBidi" w:cstheme="majorBidi"/>
          </w:rPr>
          <w:fldChar w:fldCharType="separate"/>
        </w:r>
        <w:r w:rsidRPr="00A05FB3">
          <w:rPr>
            <w:rFonts w:asciiTheme="majorBidi" w:hAnsiTheme="majorBidi" w:cstheme="majorBidi"/>
            <w:noProof/>
          </w:rPr>
          <w:t>2</w:t>
        </w:r>
        <w:r w:rsidRPr="00A05FB3">
          <w:rPr>
            <w:rFonts w:asciiTheme="majorBidi" w:hAnsiTheme="majorBidi" w:cstheme="majorBidi"/>
            <w:noProof/>
          </w:rPr>
          <w:fldChar w:fldCharType="end"/>
        </w:r>
      </w:p>
    </w:sdtContent>
  </w:sdt>
  <w:p w14:paraId="61DAED2E" w14:textId="77777777" w:rsidR="004E705B" w:rsidRDefault="004E7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9FA31" w14:textId="77777777" w:rsidR="002A0874" w:rsidRDefault="002A0874" w:rsidP="00E062F7">
      <w:pPr>
        <w:spacing w:after="0" w:line="240" w:lineRule="auto"/>
      </w:pPr>
      <w:r>
        <w:separator/>
      </w:r>
    </w:p>
  </w:footnote>
  <w:footnote w:type="continuationSeparator" w:id="0">
    <w:p w14:paraId="4B43CA25" w14:textId="77777777" w:rsidR="002A0874" w:rsidRDefault="002A0874" w:rsidP="00E062F7">
      <w:pPr>
        <w:spacing w:after="0" w:line="240" w:lineRule="auto"/>
      </w:pPr>
      <w:r>
        <w:continuationSeparator/>
      </w:r>
    </w:p>
  </w:footnote>
  <w:footnote w:id="1">
    <w:p w14:paraId="08D078F4" w14:textId="618F8509" w:rsidR="004E705B" w:rsidRPr="00412A29" w:rsidRDefault="004E705B" w:rsidP="00B430B1">
      <w:pPr>
        <w:pStyle w:val="FootnoteText"/>
        <w:rPr>
          <w:rFonts w:asciiTheme="majorBidi" w:hAnsiTheme="majorBidi" w:cstheme="majorBidi"/>
        </w:rPr>
      </w:pPr>
      <w:r w:rsidRPr="00412A29">
        <w:rPr>
          <w:rStyle w:val="FootnoteReference"/>
          <w:rFonts w:asciiTheme="majorBidi" w:hAnsiTheme="majorBidi" w:cstheme="majorBidi"/>
        </w:rPr>
        <w:footnoteRef/>
      </w:r>
      <w:r w:rsidRPr="00412A29">
        <w:rPr>
          <w:rFonts w:asciiTheme="majorBidi" w:hAnsiTheme="majorBidi" w:cstheme="majorBidi"/>
        </w:rPr>
        <w:t xml:space="preserve"> MC-1/9 on the Establishment of arrangements in regard to effectiveness evaluation established the ad hoc group of experts on the arrangements for providing the Conference of the Parties with comparable monitoring data, and elements of an effectiveness evaluation framework under article 22 of the Minamata Convention (hereafter referred to as the ad hoc expert group). The decision also laid out a roadmap for establishing arrangements for providing the Conference of the Parties with comparable monitoring data, and elements of an effectiveness evaluation framework under article 22 of the Minamata Convention. The ad hoc expert group produced a report which was presented to the second meeting of the Conference of the Parties (See UNEP/MC/COP.2/13 and UNEP/MC/COP.INF/8). </w:t>
      </w:r>
    </w:p>
    <w:p w14:paraId="2A43A654" w14:textId="77777777" w:rsidR="004E705B" w:rsidRPr="00412A29" w:rsidRDefault="004E705B" w:rsidP="00B430B1">
      <w:pPr>
        <w:pStyle w:val="FootnoteText"/>
        <w:rPr>
          <w:rFonts w:asciiTheme="majorBidi" w:hAnsiTheme="majorBidi" w:cstheme="majorBidi"/>
        </w:rPr>
      </w:pPr>
    </w:p>
    <w:p w14:paraId="2E2782A5" w14:textId="4315E2B5" w:rsidR="004E705B" w:rsidRPr="00412A29" w:rsidRDefault="004E705B" w:rsidP="00B430B1">
      <w:pPr>
        <w:pStyle w:val="FootnoteText"/>
        <w:rPr>
          <w:rFonts w:asciiTheme="majorBidi" w:hAnsiTheme="majorBidi" w:cstheme="majorBidi"/>
        </w:rPr>
      </w:pPr>
      <w:r w:rsidRPr="00412A29">
        <w:rPr>
          <w:rFonts w:asciiTheme="majorBidi" w:hAnsiTheme="majorBidi" w:cstheme="majorBidi"/>
        </w:rPr>
        <w:t xml:space="preserve">Subsequently, MC-2/10 extended the terms of reference of the ad hoc technical expert group, adopted a roadmap for the subsequent work, requested the ad hoc expert group to develop the terms of reference for global monitoring arrangements, and requested the ad hoc expert group to report its progress to the third meeting of the Conference of the Parties. </w:t>
      </w:r>
    </w:p>
    <w:p w14:paraId="39A712EB" w14:textId="77777777" w:rsidR="004E705B" w:rsidRPr="00412A29" w:rsidRDefault="004E705B" w:rsidP="00B430B1">
      <w:pPr>
        <w:pStyle w:val="FootnoteText"/>
        <w:rPr>
          <w:rFonts w:asciiTheme="majorBidi" w:hAnsiTheme="majorBidi" w:cstheme="majorBidi"/>
        </w:rPr>
      </w:pPr>
    </w:p>
  </w:footnote>
  <w:footnote w:id="2">
    <w:p w14:paraId="65312DAF" w14:textId="29686E34" w:rsidR="004E705B" w:rsidRPr="00412A29" w:rsidRDefault="004E705B">
      <w:pPr>
        <w:pStyle w:val="FootnoteText"/>
        <w:rPr>
          <w:rFonts w:asciiTheme="majorBidi" w:hAnsiTheme="majorBidi" w:cstheme="majorBidi"/>
        </w:rPr>
      </w:pPr>
      <w:r w:rsidRPr="00412A29">
        <w:rPr>
          <w:rStyle w:val="FootnoteReference"/>
          <w:rFonts w:asciiTheme="majorBidi" w:hAnsiTheme="majorBidi" w:cstheme="majorBidi"/>
        </w:rPr>
        <w:footnoteRef/>
      </w:r>
      <w:r w:rsidRPr="00412A29">
        <w:rPr>
          <w:rFonts w:asciiTheme="majorBidi" w:hAnsiTheme="majorBidi" w:cstheme="majorBidi"/>
        </w:rPr>
        <w:t xml:space="preserve"> While the first effectiveness evaluation of the Minamata Convention on Mercury is to take place within six years of the entry into force of the Convention, the Conference of the Parties is to decide on the future interval of the effectiveness evaluations. </w:t>
      </w:r>
    </w:p>
  </w:footnote>
  <w:footnote w:id="3">
    <w:p w14:paraId="6E81094B" w14:textId="45845B05" w:rsidR="004E705B" w:rsidRPr="009F07AD" w:rsidRDefault="004E705B">
      <w:pPr>
        <w:pStyle w:val="FootnoteText"/>
        <w:rPr>
          <w:rFonts w:asciiTheme="majorBidi" w:hAnsiTheme="majorBidi" w:cstheme="majorBidi"/>
          <w:lang w:val="en-US"/>
        </w:rPr>
      </w:pPr>
      <w:r w:rsidRPr="00412A29">
        <w:rPr>
          <w:rStyle w:val="FootnoteReference"/>
          <w:rFonts w:asciiTheme="majorBidi" w:hAnsiTheme="majorBidi" w:cstheme="majorBidi"/>
        </w:rPr>
        <w:footnoteRef/>
      </w:r>
      <w:r w:rsidRPr="00412A29">
        <w:rPr>
          <w:rFonts w:asciiTheme="majorBidi" w:hAnsiTheme="majorBidi" w:cstheme="majorBidi"/>
        </w:rPr>
        <w:t xml:space="preserve"> </w:t>
      </w:r>
      <w:r w:rsidRPr="00412A29">
        <w:rPr>
          <w:rFonts w:asciiTheme="majorBidi" w:hAnsiTheme="majorBidi" w:cstheme="majorBidi"/>
          <w:sz w:val="24"/>
          <w:szCs w:val="24"/>
        </w:rPr>
        <w:t>At this meeting, the ad hoc technical group had before it a compilation of comments on the effectiveness evaluation framework (UNEP/MC/EE.2/5), submitted information (UNEP/MC/EE.2/3) and the compilation of comments on the report of the group submitted to the Conference of the Parties at its second session (UNEP/MC/EE.2/4).</w:t>
      </w:r>
    </w:p>
  </w:footnote>
  <w:footnote w:id="4">
    <w:p w14:paraId="50FC83C5" w14:textId="1F6C85B2" w:rsidR="004E705B" w:rsidRPr="009F07AD" w:rsidRDefault="004E705B">
      <w:pPr>
        <w:pStyle w:val="FootnoteText"/>
        <w:rPr>
          <w:rFonts w:asciiTheme="majorBidi" w:hAnsiTheme="majorBidi" w:cstheme="majorBidi"/>
          <w:lang w:val="en-US"/>
        </w:rPr>
      </w:pPr>
    </w:p>
  </w:footnote>
  <w:footnote w:id="5">
    <w:p w14:paraId="2BFDB240" w14:textId="77777777" w:rsidR="004E705B" w:rsidRPr="00412A29" w:rsidRDefault="004E705B" w:rsidP="005107FA">
      <w:pPr>
        <w:pStyle w:val="FootnoteText"/>
        <w:rPr>
          <w:rFonts w:asciiTheme="majorBidi" w:hAnsiTheme="majorBidi" w:cstheme="majorBidi"/>
        </w:rPr>
      </w:pPr>
      <w:r w:rsidRPr="00412A29">
        <w:rPr>
          <w:rStyle w:val="FootnoteReference"/>
          <w:rFonts w:asciiTheme="majorBidi" w:hAnsiTheme="majorBidi" w:cstheme="majorBidi"/>
        </w:rPr>
        <w:footnoteRef/>
      </w:r>
      <w:r w:rsidRPr="00412A29">
        <w:rPr>
          <w:rFonts w:asciiTheme="majorBidi" w:hAnsiTheme="majorBidi" w:cstheme="majorBidi"/>
        </w:rPr>
        <w:t xml:space="preserve"> Assessment of prenatal exposure to mercury: human biomonitoring survey (2018) - the first survey protocol </w:t>
      </w:r>
    </w:p>
    <w:p w14:paraId="3EAC074F" w14:textId="77777777" w:rsidR="004E705B" w:rsidRPr="00412A29" w:rsidRDefault="004E705B" w:rsidP="005107FA">
      <w:pPr>
        <w:pStyle w:val="FootnoteText"/>
        <w:rPr>
          <w:rFonts w:asciiTheme="majorBidi" w:hAnsiTheme="majorBidi" w:cstheme="majorBidi"/>
        </w:rPr>
      </w:pPr>
      <w:r w:rsidRPr="00412A29">
        <w:rPr>
          <w:rFonts w:asciiTheme="majorBidi" w:hAnsiTheme="majorBidi" w:cstheme="majorBidi"/>
        </w:rPr>
        <w:t xml:space="preserve"> http://www.euro.who.int/en/health-topics/environment-and-health/chemical-safety/publications/2018/assessment-of-prenatal-exposure-to-mercury-human-biomonitoring-survey-2018</w:t>
      </w:r>
    </w:p>
  </w:footnote>
  <w:footnote w:id="6">
    <w:p w14:paraId="68A1352B" w14:textId="77777777" w:rsidR="004E705B" w:rsidRPr="00412A29" w:rsidRDefault="004E705B" w:rsidP="005107FA">
      <w:pPr>
        <w:pStyle w:val="FootnoteText"/>
        <w:rPr>
          <w:rFonts w:asciiTheme="majorBidi" w:hAnsiTheme="majorBidi" w:cstheme="majorBidi"/>
        </w:rPr>
      </w:pPr>
      <w:r w:rsidRPr="00412A29">
        <w:rPr>
          <w:rStyle w:val="FootnoteReference"/>
          <w:rFonts w:asciiTheme="majorBidi" w:hAnsiTheme="majorBidi" w:cstheme="majorBidi"/>
        </w:rPr>
        <w:footnoteRef/>
      </w:r>
      <w:r w:rsidRPr="00412A29">
        <w:rPr>
          <w:rFonts w:asciiTheme="majorBidi" w:eastAsia="Arial Unicode MS" w:hAnsiTheme="majorBidi" w:cstheme="majorBidi"/>
        </w:rPr>
        <w:t xml:space="preserve"> For more information, see also </w:t>
      </w:r>
      <w:hyperlink r:id="rId1" w:history="1">
        <w:r w:rsidRPr="00412A29">
          <w:rPr>
            <w:rStyle w:val="Hyperlink0"/>
            <w:rFonts w:asciiTheme="majorBidi" w:hAnsiTheme="majorBidi" w:cstheme="majorBidi"/>
            <w:sz w:val="20"/>
            <w:szCs w:val="20"/>
          </w:rPr>
          <w:t>http://www.briloon.org/uploads/BRI_Documents/Mercury_Center/Publications/For%20Web%20GBMS%20Booklet%202018%20.pdf</w:t>
        </w:r>
      </w:hyperlink>
    </w:p>
  </w:footnote>
  <w:footnote w:id="7">
    <w:p w14:paraId="0B8199CD" w14:textId="77777777" w:rsidR="004E705B" w:rsidRPr="00412A29" w:rsidRDefault="004E705B" w:rsidP="005107FA">
      <w:pPr>
        <w:pStyle w:val="FootnoteText"/>
        <w:rPr>
          <w:rFonts w:asciiTheme="majorBidi" w:hAnsiTheme="majorBidi" w:cstheme="majorBidi"/>
        </w:rPr>
      </w:pPr>
      <w:r w:rsidRPr="00412A29">
        <w:rPr>
          <w:rStyle w:val="FootnoteReference"/>
          <w:rFonts w:asciiTheme="majorBidi" w:hAnsiTheme="majorBidi" w:cstheme="majorBidi"/>
        </w:rPr>
        <w:footnoteRef/>
      </w:r>
      <w:r w:rsidRPr="00412A29">
        <w:rPr>
          <w:rFonts w:asciiTheme="majorBidi" w:hAnsiTheme="majorBidi" w:cstheme="majorBidi"/>
        </w:rPr>
        <w:t xml:space="preserve"> A list of existing reference materials can be found in UNEP/MC/COP.3/INF/XX Part II.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0AA9"/>
    <w:multiLevelType w:val="hybridMultilevel"/>
    <w:tmpl w:val="E0222A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EA02082">
      <w:start w:val="1"/>
      <w:numFmt w:val="lowerLetter"/>
      <w:lvlText w:val="(%4)"/>
      <w:lvlJc w:val="left"/>
      <w:pPr>
        <w:ind w:left="2880" w:hanging="360"/>
      </w:pPr>
      <w:rPr>
        <w:rFonts w:hint="default"/>
      </w:rPr>
    </w:lvl>
    <w:lvl w:ilvl="4" w:tplc="D956372C">
      <w:numFmt w:val="bullet"/>
      <w:lvlText w:val="•"/>
      <w:lvlJc w:val="left"/>
      <w:pPr>
        <w:ind w:left="3810" w:hanging="570"/>
      </w:pPr>
      <w:rPr>
        <w:rFonts w:ascii="Times New Roman" w:eastAsia="Arial Unicode MS"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F638B"/>
    <w:multiLevelType w:val="hybridMultilevel"/>
    <w:tmpl w:val="429CBD92"/>
    <w:lvl w:ilvl="0" w:tplc="04090005">
      <w:start w:val="1"/>
      <w:numFmt w:val="bullet"/>
      <w:lvlText w:val=""/>
      <w:lvlJc w:val="left"/>
      <w:pPr>
        <w:tabs>
          <w:tab w:val="left" w:pos="97"/>
          <w:tab w:val="left" w:pos="1247"/>
          <w:tab w:val="num" w:pos="1814"/>
          <w:tab w:val="left" w:pos="2381"/>
          <w:tab w:val="left" w:pos="2948"/>
          <w:tab w:val="left" w:pos="3515"/>
          <w:tab w:val="left" w:pos="4082"/>
          <w:tab w:val="left" w:pos="4368"/>
          <w:tab w:val="left" w:pos="4992"/>
          <w:tab w:val="left" w:pos="5616"/>
          <w:tab w:val="left" w:pos="6240"/>
          <w:tab w:val="left" w:pos="6864"/>
          <w:tab w:val="left" w:pos="7488"/>
          <w:tab w:val="left" w:pos="8112"/>
          <w:tab w:val="left" w:pos="8520"/>
        </w:tabs>
        <w:ind w:left="1344" w:hanging="624"/>
      </w:pPr>
      <w:rPr>
        <w:rFonts w:ascii="Wingdings" w:hAnsi="Wingdings"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058C75A">
      <w:start w:val="1"/>
      <w:numFmt w:val="bullet"/>
      <w:lvlText w:val="o"/>
      <w:lvlJc w:val="left"/>
      <w:pPr>
        <w:tabs>
          <w:tab w:val="left" w:pos="97"/>
          <w:tab w:val="left" w:pos="1247"/>
          <w:tab w:val="left" w:pos="1814"/>
          <w:tab w:val="num" w:pos="2381"/>
          <w:tab w:val="left" w:pos="2948"/>
          <w:tab w:val="left" w:pos="3515"/>
          <w:tab w:val="left" w:pos="4082"/>
          <w:tab w:val="left" w:pos="4368"/>
          <w:tab w:val="left" w:pos="4992"/>
          <w:tab w:val="left" w:pos="5616"/>
          <w:tab w:val="left" w:pos="6240"/>
          <w:tab w:val="left" w:pos="6864"/>
          <w:tab w:val="left" w:pos="7488"/>
          <w:tab w:val="left" w:pos="8112"/>
          <w:tab w:val="left" w:pos="8520"/>
        </w:tabs>
        <w:ind w:left="1911" w:hanging="47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83E465A">
      <w:start w:val="1"/>
      <w:numFmt w:val="bullet"/>
      <w:lvlText w:val="▪"/>
      <w:lvlJc w:val="left"/>
      <w:pPr>
        <w:tabs>
          <w:tab w:val="left" w:pos="97"/>
          <w:tab w:val="left" w:pos="1247"/>
          <w:tab w:val="left" w:pos="1814"/>
          <w:tab w:val="left" w:pos="2381"/>
          <w:tab w:val="num" w:pos="2948"/>
          <w:tab w:val="left" w:pos="3515"/>
          <w:tab w:val="left" w:pos="4082"/>
          <w:tab w:val="left" w:pos="4368"/>
          <w:tab w:val="left" w:pos="4992"/>
          <w:tab w:val="left" w:pos="5616"/>
          <w:tab w:val="left" w:pos="6240"/>
          <w:tab w:val="left" w:pos="6864"/>
          <w:tab w:val="left" w:pos="7488"/>
          <w:tab w:val="left" w:pos="8112"/>
          <w:tab w:val="left" w:pos="8520"/>
        </w:tabs>
        <w:ind w:left="2478" w:hanging="31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5505B92">
      <w:start w:val="1"/>
      <w:numFmt w:val="bullet"/>
      <w:lvlText w:val="·"/>
      <w:lvlJc w:val="left"/>
      <w:pPr>
        <w:tabs>
          <w:tab w:val="left" w:pos="97"/>
          <w:tab w:val="left" w:pos="1247"/>
          <w:tab w:val="left" w:pos="1814"/>
          <w:tab w:val="left" w:pos="2381"/>
          <w:tab w:val="left" w:pos="2948"/>
          <w:tab w:val="num" w:pos="3515"/>
          <w:tab w:val="left" w:pos="4082"/>
          <w:tab w:val="left" w:pos="4368"/>
          <w:tab w:val="left" w:pos="4992"/>
          <w:tab w:val="left" w:pos="5616"/>
          <w:tab w:val="left" w:pos="6240"/>
          <w:tab w:val="left" w:pos="6864"/>
          <w:tab w:val="left" w:pos="7488"/>
          <w:tab w:val="left" w:pos="8112"/>
          <w:tab w:val="left" w:pos="8520"/>
        </w:tabs>
        <w:ind w:left="3045" w:hanging="16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556D3C2">
      <w:start w:val="1"/>
      <w:numFmt w:val="bullet"/>
      <w:lvlText w:val="o"/>
      <w:lvlJc w:val="left"/>
      <w:pPr>
        <w:tabs>
          <w:tab w:val="left" w:pos="97"/>
          <w:tab w:val="left" w:pos="1247"/>
          <w:tab w:val="left" w:pos="1814"/>
          <w:tab w:val="left" w:pos="2381"/>
          <w:tab w:val="left" w:pos="2948"/>
          <w:tab w:val="left" w:pos="3515"/>
          <w:tab w:val="left" w:pos="4082"/>
          <w:tab w:val="num" w:pos="4751"/>
          <w:tab w:val="left" w:pos="4992"/>
          <w:tab w:val="left" w:pos="5616"/>
          <w:tab w:val="left" w:pos="6240"/>
          <w:tab w:val="left" w:pos="6864"/>
          <w:tab w:val="left" w:pos="7488"/>
          <w:tab w:val="left" w:pos="8112"/>
          <w:tab w:val="left" w:pos="8520"/>
        </w:tabs>
        <w:ind w:left="4281" w:hanging="68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5009A70">
      <w:start w:val="1"/>
      <w:numFmt w:val="bullet"/>
      <w:lvlText w:val="▪"/>
      <w:lvlJc w:val="left"/>
      <w:pPr>
        <w:tabs>
          <w:tab w:val="left" w:pos="97"/>
          <w:tab w:val="left" w:pos="1247"/>
          <w:tab w:val="left" w:pos="1814"/>
          <w:tab w:val="left" w:pos="2381"/>
          <w:tab w:val="left" w:pos="2948"/>
          <w:tab w:val="left" w:pos="3515"/>
          <w:tab w:val="left" w:pos="4082"/>
          <w:tab w:val="left" w:pos="4368"/>
          <w:tab w:val="num" w:pos="5471"/>
          <w:tab w:val="left" w:pos="5616"/>
          <w:tab w:val="left" w:pos="6240"/>
          <w:tab w:val="left" w:pos="6864"/>
          <w:tab w:val="left" w:pos="7488"/>
          <w:tab w:val="left" w:pos="8112"/>
          <w:tab w:val="left" w:pos="8520"/>
        </w:tabs>
        <w:ind w:left="5001" w:hanging="68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A06D37C">
      <w:start w:val="1"/>
      <w:numFmt w:val="bullet"/>
      <w:lvlText w:val="·"/>
      <w:lvlJc w:val="left"/>
      <w:pPr>
        <w:tabs>
          <w:tab w:val="left" w:pos="97"/>
          <w:tab w:val="left" w:pos="1247"/>
          <w:tab w:val="left" w:pos="1814"/>
          <w:tab w:val="left" w:pos="2381"/>
          <w:tab w:val="left" w:pos="2948"/>
          <w:tab w:val="left" w:pos="3515"/>
          <w:tab w:val="left" w:pos="4082"/>
          <w:tab w:val="left" w:pos="4368"/>
          <w:tab w:val="left" w:pos="4992"/>
          <w:tab w:val="left" w:pos="5616"/>
          <w:tab w:val="num" w:pos="6191"/>
          <w:tab w:val="left" w:pos="6240"/>
          <w:tab w:val="left" w:pos="6864"/>
          <w:tab w:val="left" w:pos="7488"/>
          <w:tab w:val="left" w:pos="8112"/>
          <w:tab w:val="left" w:pos="8520"/>
        </w:tabs>
        <w:ind w:left="5721" w:hanging="68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25CEEEA">
      <w:start w:val="1"/>
      <w:numFmt w:val="bullet"/>
      <w:lvlText w:val="o"/>
      <w:lvlJc w:val="left"/>
      <w:pPr>
        <w:tabs>
          <w:tab w:val="left" w:pos="97"/>
          <w:tab w:val="left" w:pos="1247"/>
          <w:tab w:val="left" w:pos="1814"/>
          <w:tab w:val="left" w:pos="2381"/>
          <w:tab w:val="left" w:pos="2948"/>
          <w:tab w:val="left" w:pos="3515"/>
          <w:tab w:val="left" w:pos="4082"/>
          <w:tab w:val="left" w:pos="4368"/>
          <w:tab w:val="left" w:pos="4992"/>
          <w:tab w:val="left" w:pos="5616"/>
          <w:tab w:val="left" w:pos="6240"/>
          <w:tab w:val="num" w:pos="6911"/>
          <w:tab w:val="left" w:pos="7488"/>
          <w:tab w:val="left" w:pos="8112"/>
          <w:tab w:val="left" w:pos="8520"/>
        </w:tabs>
        <w:ind w:left="6441" w:hanging="68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4422E2C">
      <w:start w:val="1"/>
      <w:numFmt w:val="bullet"/>
      <w:lvlText w:val="▪"/>
      <w:lvlJc w:val="left"/>
      <w:pPr>
        <w:tabs>
          <w:tab w:val="left" w:pos="97"/>
          <w:tab w:val="left" w:pos="1247"/>
          <w:tab w:val="left" w:pos="1814"/>
          <w:tab w:val="left" w:pos="2381"/>
          <w:tab w:val="left" w:pos="2948"/>
          <w:tab w:val="left" w:pos="3515"/>
          <w:tab w:val="left" w:pos="4082"/>
          <w:tab w:val="left" w:pos="4368"/>
          <w:tab w:val="left" w:pos="4992"/>
          <w:tab w:val="left" w:pos="5616"/>
          <w:tab w:val="left" w:pos="6240"/>
          <w:tab w:val="left" w:pos="6864"/>
          <w:tab w:val="num" w:pos="7631"/>
          <w:tab w:val="left" w:pos="8112"/>
          <w:tab w:val="left" w:pos="8520"/>
        </w:tabs>
        <w:ind w:left="7161" w:hanging="68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0544388F"/>
    <w:multiLevelType w:val="hybridMultilevel"/>
    <w:tmpl w:val="0408E60A"/>
    <w:styleLink w:val="Importovanstyl4"/>
    <w:lvl w:ilvl="0" w:tplc="9412F3FC">
      <w:start w:val="1"/>
      <w:numFmt w:val="lowerLetter"/>
      <w:lvlText w:val="%1."/>
      <w:lvlJc w:val="left"/>
      <w:pPr>
        <w:tabs>
          <w:tab w:val="num" w:pos="1440"/>
        </w:tabs>
        <w:ind w:left="1786" w:hanging="706"/>
      </w:pPr>
      <w:rPr>
        <w:rFonts w:hAnsi="Arial Unicode MS"/>
        <w:caps w:val="0"/>
        <w:smallCaps w:val="0"/>
        <w:strike w:val="0"/>
        <w:dstrike w:val="0"/>
        <w:outline w:val="0"/>
        <w:emboss w:val="0"/>
        <w:imprint w:val="0"/>
        <w:spacing w:val="0"/>
        <w:w w:val="100"/>
        <w:kern w:val="0"/>
        <w:position w:val="0"/>
        <w:highlight w:val="none"/>
        <w:vertAlign w:val="baseline"/>
      </w:rPr>
    </w:lvl>
    <w:lvl w:ilvl="1" w:tplc="9BC6A5EA">
      <w:start w:val="1"/>
      <w:numFmt w:val="lowerRoman"/>
      <w:suff w:val="nothing"/>
      <w:lvlText w:val="%2."/>
      <w:lvlJc w:val="left"/>
      <w:pPr>
        <w:ind w:left="2160" w:hanging="472"/>
      </w:pPr>
      <w:rPr>
        <w:rFonts w:hAnsi="Arial Unicode MS"/>
        <w:caps w:val="0"/>
        <w:smallCaps w:val="0"/>
        <w:strike w:val="0"/>
        <w:dstrike w:val="0"/>
        <w:outline w:val="0"/>
        <w:emboss w:val="0"/>
        <w:imprint w:val="0"/>
        <w:spacing w:val="0"/>
        <w:w w:val="100"/>
        <w:kern w:val="0"/>
        <w:position w:val="0"/>
        <w:highlight w:val="none"/>
        <w:vertAlign w:val="baseline"/>
      </w:rPr>
    </w:lvl>
    <w:lvl w:ilvl="2" w:tplc="9F9A66B6">
      <w:start w:val="1"/>
      <w:numFmt w:val="lowerRoman"/>
      <w:lvlText w:val="%3."/>
      <w:lvlJc w:val="left"/>
      <w:pPr>
        <w:tabs>
          <w:tab w:val="num" w:pos="2880"/>
        </w:tabs>
        <w:ind w:left="3226" w:hanging="638"/>
      </w:pPr>
      <w:rPr>
        <w:rFonts w:hAnsi="Arial Unicode MS"/>
        <w:caps w:val="0"/>
        <w:smallCaps w:val="0"/>
        <w:strike w:val="0"/>
        <w:dstrike w:val="0"/>
        <w:outline w:val="0"/>
        <w:emboss w:val="0"/>
        <w:imprint w:val="0"/>
        <w:spacing w:val="0"/>
        <w:w w:val="100"/>
        <w:kern w:val="0"/>
        <w:position w:val="0"/>
        <w:highlight w:val="none"/>
        <w:vertAlign w:val="baseline"/>
      </w:rPr>
    </w:lvl>
    <w:lvl w:ilvl="3" w:tplc="AD922EFE">
      <w:start w:val="1"/>
      <w:numFmt w:val="decimal"/>
      <w:lvlText w:val="%4."/>
      <w:lvlJc w:val="left"/>
      <w:pPr>
        <w:tabs>
          <w:tab w:val="num" w:pos="3515"/>
        </w:tabs>
        <w:ind w:left="3861" w:hanging="621"/>
      </w:pPr>
      <w:rPr>
        <w:rFonts w:hAnsi="Arial Unicode MS"/>
        <w:caps w:val="0"/>
        <w:smallCaps w:val="0"/>
        <w:strike w:val="0"/>
        <w:dstrike w:val="0"/>
        <w:outline w:val="0"/>
        <w:emboss w:val="0"/>
        <w:imprint w:val="0"/>
        <w:spacing w:val="0"/>
        <w:w w:val="100"/>
        <w:kern w:val="0"/>
        <w:position w:val="0"/>
        <w:highlight w:val="none"/>
        <w:vertAlign w:val="baseline"/>
      </w:rPr>
    </w:lvl>
    <w:lvl w:ilvl="4" w:tplc="44E2E300">
      <w:start w:val="1"/>
      <w:numFmt w:val="lowerLetter"/>
      <w:lvlText w:val="%5."/>
      <w:lvlJc w:val="left"/>
      <w:pPr>
        <w:tabs>
          <w:tab w:val="num" w:pos="4320"/>
        </w:tabs>
        <w:ind w:left="4666" w:hanging="706"/>
      </w:pPr>
      <w:rPr>
        <w:rFonts w:hAnsi="Arial Unicode MS"/>
        <w:caps w:val="0"/>
        <w:smallCaps w:val="0"/>
        <w:strike w:val="0"/>
        <w:dstrike w:val="0"/>
        <w:outline w:val="0"/>
        <w:emboss w:val="0"/>
        <w:imprint w:val="0"/>
        <w:spacing w:val="0"/>
        <w:w w:val="100"/>
        <w:kern w:val="0"/>
        <w:position w:val="0"/>
        <w:highlight w:val="none"/>
        <w:vertAlign w:val="baseline"/>
      </w:rPr>
    </w:lvl>
    <w:lvl w:ilvl="5" w:tplc="2D683CDE">
      <w:start w:val="1"/>
      <w:numFmt w:val="lowerRoman"/>
      <w:lvlText w:val="%6."/>
      <w:lvlJc w:val="left"/>
      <w:pPr>
        <w:tabs>
          <w:tab w:val="num" w:pos="5040"/>
        </w:tabs>
        <w:ind w:left="5386" w:hanging="638"/>
      </w:pPr>
      <w:rPr>
        <w:rFonts w:hAnsi="Arial Unicode MS"/>
        <w:caps w:val="0"/>
        <w:smallCaps w:val="0"/>
        <w:strike w:val="0"/>
        <w:dstrike w:val="0"/>
        <w:outline w:val="0"/>
        <w:emboss w:val="0"/>
        <w:imprint w:val="0"/>
        <w:spacing w:val="0"/>
        <w:w w:val="100"/>
        <w:kern w:val="0"/>
        <w:position w:val="0"/>
        <w:highlight w:val="none"/>
        <w:vertAlign w:val="baseline"/>
      </w:rPr>
    </w:lvl>
    <w:lvl w:ilvl="6" w:tplc="6786E180">
      <w:start w:val="1"/>
      <w:numFmt w:val="decimal"/>
      <w:lvlText w:val="%7."/>
      <w:lvlJc w:val="left"/>
      <w:pPr>
        <w:tabs>
          <w:tab w:val="num" w:pos="5760"/>
        </w:tabs>
        <w:ind w:left="6106" w:hanging="706"/>
      </w:pPr>
      <w:rPr>
        <w:rFonts w:hAnsi="Arial Unicode MS"/>
        <w:caps w:val="0"/>
        <w:smallCaps w:val="0"/>
        <w:strike w:val="0"/>
        <w:dstrike w:val="0"/>
        <w:outline w:val="0"/>
        <w:emboss w:val="0"/>
        <w:imprint w:val="0"/>
        <w:spacing w:val="0"/>
        <w:w w:val="100"/>
        <w:kern w:val="0"/>
        <w:position w:val="0"/>
        <w:highlight w:val="none"/>
        <w:vertAlign w:val="baseline"/>
      </w:rPr>
    </w:lvl>
    <w:lvl w:ilvl="7" w:tplc="7DF6D208">
      <w:start w:val="1"/>
      <w:numFmt w:val="lowerLetter"/>
      <w:lvlText w:val="%8."/>
      <w:lvlJc w:val="left"/>
      <w:pPr>
        <w:tabs>
          <w:tab w:val="num" w:pos="6480"/>
        </w:tabs>
        <w:ind w:left="6826" w:hanging="706"/>
      </w:pPr>
      <w:rPr>
        <w:rFonts w:hAnsi="Arial Unicode MS"/>
        <w:caps w:val="0"/>
        <w:smallCaps w:val="0"/>
        <w:strike w:val="0"/>
        <w:dstrike w:val="0"/>
        <w:outline w:val="0"/>
        <w:emboss w:val="0"/>
        <w:imprint w:val="0"/>
        <w:spacing w:val="0"/>
        <w:w w:val="100"/>
        <w:kern w:val="0"/>
        <w:position w:val="0"/>
        <w:highlight w:val="none"/>
        <w:vertAlign w:val="baseline"/>
      </w:rPr>
    </w:lvl>
    <w:lvl w:ilvl="8" w:tplc="F3F0C4F2">
      <w:start w:val="1"/>
      <w:numFmt w:val="lowerRoman"/>
      <w:lvlText w:val="%9."/>
      <w:lvlJc w:val="left"/>
      <w:pPr>
        <w:tabs>
          <w:tab w:val="num" w:pos="7200"/>
        </w:tabs>
        <w:ind w:left="7546" w:hanging="6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4FE07E7"/>
    <w:multiLevelType w:val="hybridMultilevel"/>
    <w:tmpl w:val="DCDED984"/>
    <w:lvl w:ilvl="0" w:tplc="0409000F">
      <w:start w:val="1"/>
      <w:numFmt w:val="decimal"/>
      <w:lvlText w:val="%1."/>
      <w:lvlJc w:val="left"/>
      <w:pPr>
        <w:ind w:left="720" w:hanging="360"/>
      </w:pPr>
    </w:lvl>
    <w:lvl w:ilvl="1" w:tplc="2EA0208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2EA02082">
      <w:start w:val="1"/>
      <w:numFmt w:val="lowerLetter"/>
      <w:lvlText w:val="(%4)"/>
      <w:lvlJc w:val="left"/>
      <w:pPr>
        <w:ind w:left="2880" w:hanging="360"/>
      </w:pPr>
      <w:rPr>
        <w:rFonts w:hint="default"/>
      </w:rPr>
    </w:lvl>
    <w:lvl w:ilvl="4" w:tplc="2918F1AE">
      <w:start w:val="21"/>
      <w:numFmt w:val="bullet"/>
      <w:lvlText w:val="-"/>
      <w:lvlJc w:val="left"/>
      <w:pPr>
        <w:ind w:left="3600" w:hanging="360"/>
      </w:pPr>
      <w:rPr>
        <w:rFonts w:ascii="Times New Roman" w:eastAsia="Roboto"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E3D71"/>
    <w:multiLevelType w:val="hybridMultilevel"/>
    <w:tmpl w:val="C08C59BE"/>
    <w:lvl w:ilvl="0" w:tplc="04090005">
      <w:start w:val="1"/>
      <w:numFmt w:val="bullet"/>
      <w:lvlText w:val=""/>
      <w:lvlJc w:val="left"/>
      <w:pPr>
        <w:ind w:left="144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DA86722"/>
    <w:multiLevelType w:val="hybridMultilevel"/>
    <w:tmpl w:val="87E28CEE"/>
    <w:lvl w:ilvl="0" w:tplc="2EA02082">
      <w:start w:val="1"/>
      <w:numFmt w:val="lowerLetter"/>
      <w:lvlText w:val="(%1)"/>
      <w:lvlJc w:val="left"/>
      <w:pPr>
        <w:ind w:left="1440" w:hanging="360"/>
      </w:pPr>
      <w:rPr>
        <w:rFonts w:hint="default"/>
      </w:rPr>
    </w:lvl>
    <w:lvl w:ilvl="1" w:tplc="2EA02082">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1892A9A"/>
    <w:multiLevelType w:val="hybridMultilevel"/>
    <w:tmpl w:val="1F6CE0A0"/>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2EA0208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916B79"/>
    <w:multiLevelType w:val="hybridMultilevel"/>
    <w:tmpl w:val="E06060C0"/>
    <w:lvl w:ilvl="0" w:tplc="4038FB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1E6EEE"/>
    <w:multiLevelType w:val="hybridMultilevel"/>
    <w:tmpl w:val="EFD454D8"/>
    <w:styleLink w:val="Importovanstyl1"/>
    <w:lvl w:ilvl="0" w:tplc="4038FB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6E4CC8">
      <w:start w:val="1"/>
      <w:numFmt w:val="lowerLetter"/>
      <w:suff w:val="nothing"/>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9C9E56">
      <w:start w:val="1"/>
      <w:numFmt w:val="lowerRoman"/>
      <w:lvlText w:val="%3."/>
      <w:lvlJc w:val="left"/>
      <w:pPr>
        <w:tabs>
          <w:tab w:val="num" w:pos="2160"/>
        </w:tabs>
        <w:ind w:left="2353" w:hanging="485"/>
      </w:pPr>
      <w:rPr>
        <w:rFonts w:hAnsi="Arial Unicode MS"/>
        <w:caps w:val="0"/>
        <w:smallCaps w:val="0"/>
        <w:strike w:val="0"/>
        <w:dstrike w:val="0"/>
        <w:outline w:val="0"/>
        <w:emboss w:val="0"/>
        <w:imprint w:val="0"/>
        <w:spacing w:val="0"/>
        <w:w w:val="100"/>
        <w:kern w:val="0"/>
        <w:position w:val="0"/>
        <w:highlight w:val="none"/>
        <w:vertAlign w:val="baseline"/>
      </w:rPr>
    </w:lvl>
    <w:lvl w:ilvl="3" w:tplc="C55277AE">
      <w:start w:val="1"/>
      <w:numFmt w:val="lowerLetter"/>
      <w:lvlText w:val="(%4)"/>
      <w:lvlJc w:val="left"/>
      <w:pPr>
        <w:tabs>
          <w:tab w:val="num" w:pos="2880"/>
        </w:tabs>
        <w:ind w:left="3073" w:hanging="553"/>
      </w:pPr>
      <w:rPr>
        <w:rFonts w:hAnsi="Arial Unicode MS"/>
        <w:caps w:val="0"/>
        <w:smallCaps w:val="0"/>
        <w:strike w:val="0"/>
        <w:dstrike w:val="0"/>
        <w:outline w:val="0"/>
        <w:emboss w:val="0"/>
        <w:imprint w:val="0"/>
        <w:spacing w:val="0"/>
        <w:w w:val="100"/>
        <w:kern w:val="0"/>
        <w:position w:val="0"/>
        <w:highlight w:val="none"/>
        <w:vertAlign w:val="baseline"/>
      </w:rPr>
    </w:lvl>
    <w:lvl w:ilvl="4" w:tplc="AF4EE106">
      <w:start w:val="1"/>
      <w:numFmt w:val="lowerLetter"/>
      <w:lvlText w:val="%5."/>
      <w:lvlJc w:val="left"/>
      <w:pPr>
        <w:tabs>
          <w:tab w:val="num" w:pos="3515"/>
        </w:tabs>
        <w:ind w:left="3708" w:hanging="468"/>
      </w:pPr>
      <w:rPr>
        <w:rFonts w:hAnsi="Arial Unicode MS"/>
        <w:caps w:val="0"/>
        <w:smallCaps w:val="0"/>
        <w:strike w:val="0"/>
        <w:dstrike w:val="0"/>
        <w:outline w:val="0"/>
        <w:emboss w:val="0"/>
        <w:imprint w:val="0"/>
        <w:spacing w:val="0"/>
        <w:w w:val="100"/>
        <w:kern w:val="0"/>
        <w:position w:val="0"/>
        <w:highlight w:val="none"/>
        <w:vertAlign w:val="baseline"/>
      </w:rPr>
    </w:lvl>
    <w:lvl w:ilvl="5" w:tplc="1CD2007E">
      <w:start w:val="1"/>
      <w:numFmt w:val="lowerRoman"/>
      <w:lvlText w:val="%6."/>
      <w:lvlJc w:val="left"/>
      <w:pPr>
        <w:tabs>
          <w:tab w:val="num" w:pos="4320"/>
        </w:tabs>
        <w:ind w:left="4513" w:hanging="485"/>
      </w:pPr>
      <w:rPr>
        <w:rFonts w:hAnsi="Arial Unicode MS"/>
        <w:caps w:val="0"/>
        <w:smallCaps w:val="0"/>
        <w:strike w:val="0"/>
        <w:dstrike w:val="0"/>
        <w:outline w:val="0"/>
        <w:emboss w:val="0"/>
        <w:imprint w:val="0"/>
        <w:spacing w:val="0"/>
        <w:w w:val="100"/>
        <w:kern w:val="0"/>
        <w:position w:val="0"/>
        <w:highlight w:val="none"/>
        <w:vertAlign w:val="baseline"/>
      </w:rPr>
    </w:lvl>
    <w:lvl w:ilvl="6" w:tplc="19E85380">
      <w:start w:val="1"/>
      <w:numFmt w:val="decimal"/>
      <w:lvlText w:val="%7."/>
      <w:lvlJc w:val="left"/>
      <w:pPr>
        <w:tabs>
          <w:tab w:val="num" w:pos="5040"/>
        </w:tabs>
        <w:ind w:left="5233" w:hanging="553"/>
      </w:pPr>
      <w:rPr>
        <w:rFonts w:hAnsi="Arial Unicode MS"/>
        <w:caps w:val="0"/>
        <w:smallCaps w:val="0"/>
        <w:strike w:val="0"/>
        <w:dstrike w:val="0"/>
        <w:outline w:val="0"/>
        <w:emboss w:val="0"/>
        <w:imprint w:val="0"/>
        <w:spacing w:val="0"/>
        <w:w w:val="100"/>
        <w:kern w:val="0"/>
        <w:position w:val="0"/>
        <w:highlight w:val="none"/>
        <w:vertAlign w:val="baseline"/>
      </w:rPr>
    </w:lvl>
    <w:lvl w:ilvl="7" w:tplc="D43A2B02">
      <w:start w:val="1"/>
      <w:numFmt w:val="lowerLetter"/>
      <w:lvlText w:val="%8."/>
      <w:lvlJc w:val="left"/>
      <w:pPr>
        <w:tabs>
          <w:tab w:val="num" w:pos="5760"/>
        </w:tabs>
        <w:ind w:left="5953" w:hanging="553"/>
      </w:pPr>
      <w:rPr>
        <w:rFonts w:hAnsi="Arial Unicode MS"/>
        <w:caps w:val="0"/>
        <w:smallCaps w:val="0"/>
        <w:strike w:val="0"/>
        <w:dstrike w:val="0"/>
        <w:outline w:val="0"/>
        <w:emboss w:val="0"/>
        <w:imprint w:val="0"/>
        <w:spacing w:val="0"/>
        <w:w w:val="100"/>
        <w:kern w:val="0"/>
        <w:position w:val="0"/>
        <w:highlight w:val="none"/>
        <w:vertAlign w:val="baseline"/>
      </w:rPr>
    </w:lvl>
    <w:lvl w:ilvl="8" w:tplc="3BEAD162">
      <w:start w:val="1"/>
      <w:numFmt w:val="lowerRoman"/>
      <w:lvlText w:val="%9."/>
      <w:lvlJc w:val="left"/>
      <w:pPr>
        <w:tabs>
          <w:tab w:val="num" w:pos="6480"/>
        </w:tabs>
        <w:ind w:left="6673" w:hanging="4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CFB5CBA"/>
    <w:multiLevelType w:val="hybridMultilevel"/>
    <w:tmpl w:val="1464AD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34E24"/>
    <w:multiLevelType w:val="hybridMultilevel"/>
    <w:tmpl w:val="7CC067B0"/>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E4204118">
      <w:start w:val="1"/>
      <w:numFmt w:val="decimal"/>
      <w:lvlText w:val="%3."/>
      <w:lvlJc w:val="left"/>
      <w:pPr>
        <w:ind w:left="3060" w:hanging="360"/>
      </w:pPr>
      <w:rPr>
        <w:rFonts w:hint="default"/>
      </w:rPr>
    </w:lvl>
    <w:lvl w:ilvl="3" w:tplc="5F5CA58A">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E75F67"/>
    <w:multiLevelType w:val="hybridMultilevel"/>
    <w:tmpl w:val="9F04D07C"/>
    <w:lvl w:ilvl="0" w:tplc="04090005">
      <w:start w:val="1"/>
      <w:numFmt w:val="bullet"/>
      <w:lvlText w:val=""/>
      <w:lvlJc w:val="left"/>
      <w:pPr>
        <w:tabs>
          <w:tab w:val="left" w:pos="196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144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DDCDB78">
      <w:start w:val="1"/>
      <w:numFmt w:val="bullet"/>
      <w:lvlText w:val="o"/>
      <w:lvlJc w:val="left"/>
      <w:pPr>
        <w:tabs>
          <w:tab w:val="left" w:pos="196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1967" w:hanging="1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3D696EA">
      <w:start w:val="1"/>
      <w:numFmt w:val="bullet"/>
      <w:lvlText w:val="▪"/>
      <w:lvlJc w:val="left"/>
      <w:pPr>
        <w:tabs>
          <w:tab w:val="left" w:pos="1967"/>
          <w:tab w:val="left" w:pos="1248"/>
          <w:tab w:val="left" w:pos="1814"/>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05C947C">
      <w:start w:val="1"/>
      <w:numFmt w:val="bullet"/>
      <w:lvlText w:val="•"/>
      <w:lvlJc w:val="left"/>
      <w:pPr>
        <w:tabs>
          <w:tab w:val="left" w:pos="196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B2C0FCA">
      <w:start w:val="1"/>
      <w:numFmt w:val="bullet"/>
      <w:lvlText w:val="o"/>
      <w:lvlJc w:val="left"/>
      <w:pPr>
        <w:tabs>
          <w:tab w:val="left" w:pos="1967"/>
          <w:tab w:val="left" w:pos="1248"/>
          <w:tab w:val="left" w:pos="1814"/>
          <w:tab w:val="left" w:pos="1872"/>
          <w:tab w:val="left" w:pos="2381"/>
          <w:tab w:val="left" w:pos="2496"/>
          <w:tab w:val="left" w:pos="2948"/>
          <w:tab w:val="left" w:pos="3120"/>
          <w:tab w:val="left" w:pos="3744"/>
          <w:tab w:val="left" w:pos="4082"/>
          <w:tab w:val="left" w:pos="4368"/>
          <w:tab w:val="left" w:pos="4992"/>
          <w:tab w:val="left" w:pos="5616"/>
          <w:tab w:val="left" w:pos="6240"/>
          <w:tab w:val="left" w:pos="6864"/>
          <w:tab w:val="left" w:pos="7488"/>
          <w:tab w:val="left" w:pos="8112"/>
          <w:tab w:val="left" w:pos="8520"/>
        </w:tabs>
        <w:ind w:left="423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6327EA4">
      <w:start w:val="1"/>
      <w:numFmt w:val="bullet"/>
      <w:lvlText w:val="▪"/>
      <w:lvlJc w:val="left"/>
      <w:pPr>
        <w:tabs>
          <w:tab w:val="left" w:pos="1967"/>
          <w:tab w:val="left" w:pos="1248"/>
          <w:tab w:val="left" w:pos="1814"/>
          <w:tab w:val="left" w:pos="1872"/>
          <w:tab w:val="left" w:pos="2381"/>
          <w:tab w:val="left" w:pos="2496"/>
          <w:tab w:val="left" w:pos="2948"/>
          <w:tab w:val="left" w:pos="3120"/>
          <w:tab w:val="left" w:pos="3515"/>
          <w:tab w:val="left" w:pos="3744"/>
          <w:tab w:val="left" w:pos="4368"/>
          <w:tab w:val="left" w:pos="4992"/>
          <w:tab w:val="left" w:pos="5616"/>
          <w:tab w:val="left" w:pos="6240"/>
          <w:tab w:val="left" w:pos="6864"/>
          <w:tab w:val="left" w:pos="7488"/>
          <w:tab w:val="left" w:pos="8112"/>
          <w:tab w:val="left" w:pos="8520"/>
        </w:tabs>
        <w:ind w:left="4802" w:hanging="1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F0CBEE4">
      <w:start w:val="1"/>
      <w:numFmt w:val="bullet"/>
      <w:lvlText w:val="•"/>
      <w:lvlJc w:val="left"/>
      <w:pPr>
        <w:tabs>
          <w:tab w:val="left" w:pos="1967"/>
          <w:tab w:val="left" w:pos="1248"/>
          <w:tab w:val="left" w:pos="1814"/>
          <w:tab w:val="left" w:pos="1872"/>
          <w:tab w:val="left" w:pos="2381"/>
          <w:tab w:val="left" w:pos="2496"/>
          <w:tab w:val="left" w:pos="2948"/>
          <w:tab w:val="left" w:pos="3120"/>
          <w:tab w:val="left" w:pos="3515"/>
          <w:tab w:val="left" w:pos="3744"/>
          <w:tab w:val="left" w:pos="4082"/>
          <w:tab w:val="left" w:pos="4368"/>
          <w:tab w:val="left" w:pos="5616"/>
          <w:tab w:val="left" w:pos="6240"/>
          <w:tab w:val="left" w:pos="6864"/>
          <w:tab w:val="left" w:pos="7488"/>
          <w:tab w:val="left" w:pos="8112"/>
          <w:tab w:val="left" w:pos="85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1AC2C30">
      <w:start w:val="1"/>
      <w:numFmt w:val="bullet"/>
      <w:lvlText w:val="o"/>
      <w:lvlJc w:val="left"/>
      <w:pPr>
        <w:tabs>
          <w:tab w:val="left" w:pos="196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6240"/>
          <w:tab w:val="left" w:pos="6864"/>
          <w:tab w:val="left" w:pos="7488"/>
          <w:tab w:val="left" w:pos="8112"/>
          <w:tab w:val="left" w:pos="85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732A204">
      <w:start w:val="1"/>
      <w:numFmt w:val="bullet"/>
      <w:lvlText w:val="▪"/>
      <w:lvlJc w:val="left"/>
      <w:pPr>
        <w:tabs>
          <w:tab w:val="left" w:pos="196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left" w:pos="6864"/>
          <w:tab w:val="left" w:pos="7488"/>
          <w:tab w:val="left" w:pos="8112"/>
          <w:tab w:val="left" w:pos="8520"/>
        </w:tabs>
        <w:ind w:left="72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54967AF"/>
    <w:multiLevelType w:val="hybridMultilevel"/>
    <w:tmpl w:val="F3664BC0"/>
    <w:styleLink w:val="Importovanstyl3"/>
    <w:lvl w:ilvl="0" w:tplc="999A58CC">
      <w:start w:val="1"/>
      <w:numFmt w:val="lowerLetter"/>
      <w:suff w:val="nothing"/>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C80656">
      <w:start w:val="1"/>
      <w:numFmt w:val="lowerLetter"/>
      <w:lvlText w:val="%2."/>
      <w:lvlJc w:val="left"/>
      <w:pPr>
        <w:tabs>
          <w:tab w:val="num" w:pos="2160"/>
        </w:tabs>
        <w:ind w:left="2353" w:hanging="553"/>
      </w:pPr>
      <w:rPr>
        <w:rFonts w:hAnsi="Arial Unicode MS"/>
        <w:caps w:val="0"/>
        <w:smallCaps w:val="0"/>
        <w:strike w:val="0"/>
        <w:dstrike w:val="0"/>
        <w:outline w:val="0"/>
        <w:emboss w:val="0"/>
        <w:imprint w:val="0"/>
        <w:spacing w:val="0"/>
        <w:w w:val="100"/>
        <w:kern w:val="0"/>
        <w:position w:val="0"/>
        <w:highlight w:val="none"/>
        <w:vertAlign w:val="baseline"/>
      </w:rPr>
    </w:lvl>
    <w:lvl w:ilvl="2" w:tplc="91A87AF0">
      <w:start w:val="1"/>
      <w:numFmt w:val="lowerRoman"/>
      <w:lvlText w:val="%3."/>
      <w:lvlJc w:val="left"/>
      <w:pPr>
        <w:tabs>
          <w:tab w:val="num" w:pos="2880"/>
        </w:tabs>
        <w:ind w:left="3073" w:hanging="485"/>
      </w:pPr>
      <w:rPr>
        <w:rFonts w:hAnsi="Arial Unicode MS"/>
        <w:caps w:val="0"/>
        <w:smallCaps w:val="0"/>
        <w:strike w:val="0"/>
        <w:dstrike w:val="0"/>
        <w:outline w:val="0"/>
        <w:emboss w:val="0"/>
        <w:imprint w:val="0"/>
        <w:spacing w:val="0"/>
        <w:w w:val="100"/>
        <w:kern w:val="0"/>
        <w:position w:val="0"/>
        <w:highlight w:val="none"/>
        <w:vertAlign w:val="baseline"/>
      </w:rPr>
    </w:lvl>
    <w:lvl w:ilvl="3" w:tplc="A8EC0044">
      <w:start w:val="1"/>
      <w:numFmt w:val="decimal"/>
      <w:lvlText w:val="%4."/>
      <w:lvlJc w:val="left"/>
      <w:pPr>
        <w:tabs>
          <w:tab w:val="num" w:pos="3515"/>
        </w:tabs>
        <w:ind w:left="3708" w:hanging="468"/>
      </w:pPr>
      <w:rPr>
        <w:rFonts w:hAnsi="Arial Unicode MS"/>
        <w:caps w:val="0"/>
        <w:smallCaps w:val="0"/>
        <w:strike w:val="0"/>
        <w:dstrike w:val="0"/>
        <w:outline w:val="0"/>
        <w:emboss w:val="0"/>
        <w:imprint w:val="0"/>
        <w:spacing w:val="0"/>
        <w:w w:val="100"/>
        <w:kern w:val="0"/>
        <w:position w:val="0"/>
        <w:highlight w:val="none"/>
        <w:vertAlign w:val="baseline"/>
      </w:rPr>
    </w:lvl>
    <w:lvl w:ilvl="4" w:tplc="ABD0C4FC">
      <w:start w:val="1"/>
      <w:numFmt w:val="lowerLetter"/>
      <w:lvlText w:val="%5."/>
      <w:lvlJc w:val="left"/>
      <w:pPr>
        <w:tabs>
          <w:tab w:val="num" w:pos="4320"/>
        </w:tabs>
        <w:ind w:left="4513" w:hanging="553"/>
      </w:pPr>
      <w:rPr>
        <w:rFonts w:hAnsi="Arial Unicode MS"/>
        <w:caps w:val="0"/>
        <w:smallCaps w:val="0"/>
        <w:strike w:val="0"/>
        <w:dstrike w:val="0"/>
        <w:outline w:val="0"/>
        <w:emboss w:val="0"/>
        <w:imprint w:val="0"/>
        <w:spacing w:val="0"/>
        <w:w w:val="100"/>
        <w:kern w:val="0"/>
        <w:position w:val="0"/>
        <w:highlight w:val="none"/>
        <w:vertAlign w:val="baseline"/>
      </w:rPr>
    </w:lvl>
    <w:lvl w:ilvl="5" w:tplc="9F82E998">
      <w:start w:val="1"/>
      <w:numFmt w:val="lowerRoman"/>
      <w:lvlText w:val="%6."/>
      <w:lvlJc w:val="left"/>
      <w:pPr>
        <w:tabs>
          <w:tab w:val="num" w:pos="5040"/>
        </w:tabs>
        <w:ind w:left="5233" w:hanging="485"/>
      </w:pPr>
      <w:rPr>
        <w:rFonts w:hAnsi="Arial Unicode MS"/>
        <w:caps w:val="0"/>
        <w:smallCaps w:val="0"/>
        <w:strike w:val="0"/>
        <w:dstrike w:val="0"/>
        <w:outline w:val="0"/>
        <w:emboss w:val="0"/>
        <w:imprint w:val="0"/>
        <w:spacing w:val="0"/>
        <w:w w:val="100"/>
        <w:kern w:val="0"/>
        <w:position w:val="0"/>
        <w:highlight w:val="none"/>
        <w:vertAlign w:val="baseline"/>
      </w:rPr>
    </w:lvl>
    <w:lvl w:ilvl="6" w:tplc="FDECE55A">
      <w:start w:val="1"/>
      <w:numFmt w:val="decimal"/>
      <w:lvlText w:val="%7."/>
      <w:lvlJc w:val="left"/>
      <w:pPr>
        <w:tabs>
          <w:tab w:val="num" w:pos="5760"/>
        </w:tabs>
        <w:ind w:left="5953" w:hanging="553"/>
      </w:pPr>
      <w:rPr>
        <w:rFonts w:hAnsi="Arial Unicode MS"/>
        <w:caps w:val="0"/>
        <w:smallCaps w:val="0"/>
        <w:strike w:val="0"/>
        <w:dstrike w:val="0"/>
        <w:outline w:val="0"/>
        <w:emboss w:val="0"/>
        <w:imprint w:val="0"/>
        <w:spacing w:val="0"/>
        <w:w w:val="100"/>
        <w:kern w:val="0"/>
        <w:position w:val="0"/>
        <w:highlight w:val="none"/>
        <w:vertAlign w:val="baseline"/>
      </w:rPr>
    </w:lvl>
    <w:lvl w:ilvl="7" w:tplc="5DF04304">
      <w:start w:val="1"/>
      <w:numFmt w:val="lowerLetter"/>
      <w:lvlText w:val="%8."/>
      <w:lvlJc w:val="left"/>
      <w:pPr>
        <w:tabs>
          <w:tab w:val="num" w:pos="6480"/>
        </w:tabs>
        <w:ind w:left="6673" w:hanging="553"/>
      </w:pPr>
      <w:rPr>
        <w:rFonts w:hAnsi="Arial Unicode MS"/>
        <w:caps w:val="0"/>
        <w:smallCaps w:val="0"/>
        <w:strike w:val="0"/>
        <w:dstrike w:val="0"/>
        <w:outline w:val="0"/>
        <w:emboss w:val="0"/>
        <w:imprint w:val="0"/>
        <w:spacing w:val="0"/>
        <w:w w:val="100"/>
        <w:kern w:val="0"/>
        <w:position w:val="0"/>
        <w:highlight w:val="none"/>
        <w:vertAlign w:val="baseline"/>
      </w:rPr>
    </w:lvl>
    <w:lvl w:ilvl="8" w:tplc="5A70F954">
      <w:start w:val="1"/>
      <w:numFmt w:val="lowerRoman"/>
      <w:lvlText w:val="%9."/>
      <w:lvlJc w:val="left"/>
      <w:pPr>
        <w:tabs>
          <w:tab w:val="num" w:pos="7200"/>
        </w:tabs>
        <w:ind w:left="7393" w:hanging="4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74223A1"/>
    <w:multiLevelType w:val="hybridMultilevel"/>
    <w:tmpl w:val="12360778"/>
    <w:styleLink w:val="Importovanstyl2"/>
    <w:lvl w:ilvl="0" w:tplc="E0441F5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BEE9AAE">
      <w:start w:val="1"/>
      <w:numFmt w:val="lowerLetter"/>
      <w:suff w:val="nothing"/>
      <w:lvlText w:val="%2."/>
      <w:lvlJc w:val="left"/>
      <w:pPr>
        <w:ind w:left="1247" w:hanging="167"/>
      </w:pPr>
      <w:rPr>
        <w:rFonts w:hAnsi="Arial Unicode MS"/>
        <w:b/>
        <w:bCs/>
        <w:caps w:val="0"/>
        <w:smallCaps w:val="0"/>
        <w:strike w:val="0"/>
        <w:dstrike w:val="0"/>
        <w:outline w:val="0"/>
        <w:emboss w:val="0"/>
        <w:imprint w:val="0"/>
        <w:spacing w:val="0"/>
        <w:w w:val="100"/>
        <w:kern w:val="0"/>
        <w:position w:val="0"/>
        <w:highlight w:val="none"/>
        <w:vertAlign w:val="baseline"/>
      </w:rPr>
    </w:lvl>
    <w:lvl w:ilvl="2" w:tplc="9488BE26">
      <w:start w:val="1"/>
      <w:numFmt w:val="lowerRoman"/>
      <w:lvlText w:val="%3."/>
      <w:lvlJc w:val="left"/>
      <w:pPr>
        <w:ind w:left="216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3" w:tplc="298A013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1127BD8">
      <w:start w:val="1"/>
      <w:numFmt w:val="lowerLetter"/>
      <w:lvlText w:val="%5."/>
      <w:lvlJc w:val="left"/>
      <w:pPr>
        <w:ind w:left="3515"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5" w:tplc="A7469224">
      <w:start w:val="1"/>
      <w:numFmt w:val="lowerRoman"/>
      <w:lvlText w:val="%6."/>
      <w:lvlJc w:val="left"/>
      <w:pPr>
        <w:ind w:left="432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6" w:tplc="FA80A17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D76463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950DFE8">
      <w:start w:val="1"/>
      <w:numFmt w:val="lowerRoman"/>
      <w:lvlText w:val="%9."/>
      <w:lvlJc w:val="left"/>
      <w:pPr>
        <w:ind w:left="6480" w:hanging="29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7BD0907"/>
    <w:multiLevelType w:val="hybridMultilevel"/>
    <w:tmpl w:val="07BC295A"/>
    <w:lvl w:ilvl="0" w:tplc="0409000F">
      <w:start w:val="1"/>
      <w:numFmt w:val="decimal"/>
      <w:lvlText w:val="%1."/>
      <w:lvlJc w:val="left"/>
      <w:pPr>
        <w:ind w:left="1440" w:hanging="360"/>
      </w:pPr>
      <w:rPr>
        <w:rFont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5F2A72"/>
    <w:multiLevelType w:val="hybridMultilevel"/>
    <w:tmpl w:val="3EDE1BA2"/>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251FC0"/>
    <w:multiLevelType w:val="hybridMultilevel"/>
    <w:tmpl w:val="F5AC5400"/>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14588A"/>
    <w:multiLevelType w:val="hybridMultilevel"/>
    <w:tmpl w:val="0378658C"/>
    <w:lvl w:ilvl="0" w:tplc="04090005">
      <w:start w:val="1"/>
      <w:numFmt w:val="bullet"/>
      <w:lvlText w:val=""/>
      <w:lvlJc w:val="left"/>
      <w:pPr>
        <w:ind w:left="1967" w:hanging="360"/>
      </w:pPr>
      <w:rPr>
        <w:rFonts w:ascii="Wingdings" w:hAnsi="Wingdings" w:hint="default"/>
      </w:rPr>
    </w:lvl>
    <w:lvl w:ilvl="1" w:tplc="08090003">
      <w:start w:val="1"/>
      <w:numFmt w:val="bullet"/>
      <w:lvlText w:val="o"/>
      <w:lvlJc w:val="left"/>
      <w:pPr>
        <w:ind w:left="2687" w:hanging="360"/>
      </w:pPr>
      <w:rPr>
        <w:rFonts w:ascii="Courier New" w:hAnsi="Courier New" w:cs="Courier New" w:hint="default"/>
      </w:rPr>
    </w:lvl>
    <w:lvl w:ilvl="2" w:tplc="08090005">
      <w:start w:val="1"/>
      <w:numFmt w:val="bullet"/>
      <w:lvlText w:val=""/>
      <w:lvlJc w:val="left"/>
      <w:pPr>
        <w:ind w:left="3407" w:hanging="360"/>
      </w:pPr>
      <w:rPr>
        <w:rFonts w:ascii="Wingdings" w:hAnsi="Wingdings" w:hint="default"/>
      </w:rPr>
    </w:lvl>
    <w:lvl w:ilvl="3" w:tplc="08090001">
      <w:start w:val="1"/>
      <w:numFmt w:val="bullet"/>
      <w:lvlText w:val=""/>
      <w:lvlJc w:val="left"/>
      <w:pPr>
        <w:ind w:left="4127" w:hanging="360"/>
      </w:pPr>
      <w:rPr>
        <w:rFonts w:ascii="Symbol" w:hAnsi="Symbol" w:hint="default"/>
      </w:rPr>
    </w:lvl>
    <w:lvl w:ilvl="4" w:tplc="08090003">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8" w15:restartNumberingAfterBreak="0">
    <w:nsid w:val="41505400"/>
    <w:multiLevelType w:val="hybridMultilevel"/>
    <w:tmpl w:val="A64ADA34"/>
    <w:styleLink w:val="Importovanstyl6"/>
    <w:lvl w:ilvl="0" w:tplc="7B446134">
      <w:start w:val="1"/>
      <w:numFmt w:val="lowerRoman"/>
      <w:lvlText w:val="(%1)"/>
      <w:lvlJc w:val="left"/>
      <w:pPr>
        <w:tabs>
          <w:tab w:val="left" w:pos="624"/>
          <w:tab w:val="num" w:pos="1247"/>
          <w:tab w:val="left" w:pos="1814"/>
          <w:tab w:val="left" w:pos="2381"/>
          <w:tab w:val="left" w:pos="2948"/>
          <w:tab w:val="left" w:pos="3515"/>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127F10">
      <w:start w:val="1"/>
      <w:numFmt w:val="lowerLetter"/>
      <w:lvlText w:val="%2."/>
      <w:lvlJc w:val="left"/>
      <w:pPr>
        <w:tabs>
          <w:tab w:val="left" w:pos="624"/>
          <w:tab w:val="left" w:pos="1247"/>
          <w:tab w:val="num" w:pos="1620"/>
          <w:tab w:val="left" w:pos="1814"/>
          <w:tab w:val="left" w:pos="2381"/>
          <w:tab w:val="left" w:pos="2948"/>
          <w:tab w:val="left" w:pos="3515"/>
        </w:tabs>
        <w:ind w:left="1633" w:hanging="1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907B42">
      <w:start w:val="1"/>
      <w:numFmt w:val="lowerRoman"/>
      <w:suff w:val="nothing"/>
      <w:lvlText w:val="%3."/>
      <w:lvlJc w:val="left"/>
      <w:pPr>
        <w:tabs>
          <w:tab w:val="left" w:pos="624"/>
          <w:tab w:val="left" w:pos="1247"/>
          <w:tab w:val="left" w:pos="1814"/>
          <w:tab w:val="left" w:pos="2381"/>
          <w:tab w:val="left" w:pos="2948"/>
          <w:tab w:val="left" w:pos="3515"/>
        </w:tabs>
        <w:ind w:left="2353" w:hanging="1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D69BA4">
      <w:start w:val="1"/>
      <w:numFmt w:val="decimal"/>
      <w:lvlText w:val="%4."/>
      <w:lvlJc w:val="left"/>
      <w:pPr>
        <w:tabs>
          <w:tab w:val="left" w:pos="624"/>
          <w:tab w:val="left" w:pos="1247"/>
          <w:tab w:val="left" w:pos="1814"/>
          <w:tab w:val="left" w:pos="2381"/>
          <w:tab w:val="left" w:pos="2948"/>
          <w:tab w:val="num" w:pos="3060"/>
          <w:tab w:val="left" w:pos="3515"/>
        </w:tabs>
        <w:ind w:left="3073" w:hanging="1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2A2F72">
      <w:start w:val="1"/>
      <w:numFmt w:val="lowerLetter"/>
      <w:lvlText w:val="%5."/>
      <w:lvlJc w:val="left"/>
      <w:pPr>
        <w:tabs>
          <w:tab w:val="left" w:pos="624"/>
          <w:tab w:val="left" w:pos="1247"/>
          <w:tab w:val="left" w:pos="1814"/>
          <w:tab w:val="left" w:pos="2381"/>
          <w:tab w:val="left" w:pos="2948"/>
          <w:tab w:val="left" w:pos="3515"/>
          <w:tab w:val="num" w:pos="3780"/>
        </w:tabs>
        <w:ind w:left="3793" w:hanging="1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6A8F06">
      <w:start w:val="1"/>
      <w:numFmt w:val="lowerRoman"/>
      <w:lvlText w:val="%6."/>
      <w:lvlJc w:val="left"/>
      <w:pPr>
        <w:tabs>
          <w:tab w:val="left" w:pos="624"/>
          <w:tab w:val="left" w:pos="1247"/>
          <w:tab w:val="left" w:pos="1814"/>
          <w:tab w:val="left" w:pos="2381"/>
          <w:tab w:val="left" w:pos="2948"/>
          <w:tab w:val="left" w:pos="3515"/>
          <w:tab w:val="num" w:pos="4500"/>
        </w:tabs>
        <w:ind w:left="4513"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E28712">
      <w:start w:val="1"/>
      <w:numFmt w:val="decimal"/>
      <w:lvlText w:val="%7."/>
      <w:lvlJc w:val="left"/>
      <w:pPr>
        <w:tabs>
          <w:tab w:val="left" w:pos="624"/>
          <w:tab w:val="left" w:pos="1247"/>
          <w:tab w:val="left" w:pos="1814"/>
          <w:tab w:val="left" w:pos="2381"/>
          <w:tab w:val="left" w:pos="2948"/>
          <w:tab w:val="left" w:pos="3515"/>
          <w:tab w:val="num" w:pos="5220"/>
        </w:tabs>
        <w:ind w:left="5233" w:hanging="1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D8D5FA">
      <w:start w:val="1"/>
      <w:numFmt w:val="lowerLetter"/>
      <w:lvlText w:val="%8."/>
      <w:lvlJc w:val="left"/>
      <w:pPr>
        <w:tabs>
          <w:tab w:val="left" w:pos="624"/>
          <w:tab w:val="left" w:pos="1247"/>
          <w:tab w:val="left" w:pos="1814"/>
          <w:tab w:val="left" w:pos="2381"/>
          <w:tab w:val="left" w:pos="2948"/>
          <w:tab w:val="left" w:pos="3515"/>
          <w:tab w:val="num" w:pos="5940"/>
        </w:tabs>
        <w:ind w:left="5953" w:hanging="1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B6C704">
      <w:start w:val="1"/>
      <w:numFmt w:val="lowerRoman"/>
      <w:lvlText w:val="%9."/>
      <w:lvlJc w:val="left"/>
      <w:pPr>
        <w:tabs>
          <w:tab w:val="left" w:pos="624"/>
          <w:tab w:val="left" w:pos="1247"/>
          <w:tab w:val="left" w:pos="1814"/>
          <w:tab w:val="left" w:pos="2381"/>
          <w:tab w:val="left" w:pos="2948"/>
          <w:tab w:val="left" w:pos="3515"/>
          <w:tab w:val="num" w:pos="6660"/>
        </w:tabs>
        <w:ind w:left="6673"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2EE5F4F"/>
    <w:multiLevelType w:val="hybridMultilevel"/>
    <w:tmpl w:val="39A4AB6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42429"/>
    <w:multiLevelType w:val="hybridMultilevel"/>
    <w:tmpl w:val="C49C2976"/>
    <w:lvl w:ilvl="0" w:tplc="0409000F">
      <w:start w:val="1"/>
      <w:numFmt w:val="decimal"/>
      <w:lvlText w:val="%1."/>
      <w:lvlJc w:val="left"/>
      <w:pPr>
        <w:ind w:left="1440" w:hanging="360"/>
      </w:pPr>
      <w:rPr>
        <w:rFonts w:hint="default"/>
      </w:rPr>
    </w:lvl>
    <w:lvl w:ilvl="1" w:tplc="2EA02082">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482799A"/>
    <w:multiLevelType w:val="hybridMultilevel"/>
    <w:tmpl w:val="AF247018"/>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5127921"/>
    <w:multiLevelType w:val="hybridMultilevel"/>
    <w:tmpl w:val="83107D40"/>
    <w:lvl w:ilvl="0" w:tplc="04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64468E6"/>
    <w:multiLevelType w:val="hybridMultilevel"/>
    <w:tmpl w:val="3508E94A"/>
    <w:styleLink w:val="Importovanstyl7"/>
    <w:lvl w:ilvl="0" w:tplc="5FAEEF74">
      <w:start w:val="1"/>
      <w:numFmt w:val="decimal"/>
      <w:lvlText w:val="%1."/>
      <w:lvlJc w:val="left"/>
      <w:pPr>
        <w:tabs>
          <w:tab w:val="left" w:pos="624"/>
          <w:tab w:val="left" w:pos="1247"/>
          <w:tab w:val="num" w:pos="1814"/>
          <w:tab w:val="left" w:pos="1872"/>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ind w:left="1247"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C156B4DA">
      <w:start w:val="1"/>
      <w:numFmt w:val="lowerLetter"/>
      <w:lvlText w:val="%2."/>
      <w:lvlJc w:val="left"/>
      <w:pPr>
        <w:tabs>
          <w:tab w:val="left" w:pos="624"/>
          <w:tab w:val="left" w:pos="1247"/>
          <w:tab w:val="left" w:pos="1814"/>
          <w:tab w:val="left" w:pos="1872"/>
          <w:tab w:val="num" w:pos="2534"/>
          <w:tab w:val="left" w:pos="2948"/>
          <w:tab w:val="left" w:pos="3515"/>
          <w:tab w:val="left" w:pos="4082"/>
          <w:tab w:val="left" w:pos="4368"/>
          <w:tab w:val="left" w:pos="4992"/>
          <w:tab w:val="left" w:pos="5616"/>
          <w:tab w:val="left" w:pos="6240"/>
          <w:tab w:val="left" w:pos="6864"/>
          <w:tab w:val="left" w:pos="7488"/>
          <w:tab w:val="left" w:pos="8112"/>
          <w:tab w:val="left" w:pos="8736"/>
        </w:tabs>
        <w:ind w:left="1967" w:firstLine="249"/>
      </w:pPr>
      <w:rPr>
        <w:rFonts w:hAnsi="Arial Unicode MS"/>
        <w:caps w:val="0"/>
        <w:smallCaps w:val="0"/>
        <w:strike w:val="0"/>
        <w:dstrike w:val="0"/>
        <w:outline w:val="0"/>
        <w:emboss w:val="0"/>
        <w:imprint w:val="0"/>
        <w:spacing w:val="0"/>
        <w:w w:val="100"/>
        <w:kern w:val="0"/>
        <w:position w:val="0"/>
        <w:highlight w:val="none"/>
        <w:vertAlign w:val="baseline"/>
      </w:rPr>
    </w:lvl>
    <w:lvl w:ilvl="2" w:tplc="B28C3058">
      <w:start w:val="1"/>
      <w:numFmt w:val="lowerRoman"/>
      <w:lvlText w:val="%3."/>
      <w:lvlJc w:val="left"/>
      <w:pPr>
        <w:tabs>
          <w:tab w:val="left" w:pos="624"/>
          <w:tab w:val="left" w:pos="1247"/>
          <w:tab w:val="left" w:pos="1814"/>
          <w:tab w:val="left" w:pos="1872"/>
          <w:tab w:val="left" w:pos="2381"/>
          <w:tab w:val="left" w:pos="2948"/>
          <w:tab w:val="num" w:pos="3254"/>
          <w:tab w:val="left" w:pos="3515"/>
          <w:tab w:val="left" w:pos="4082"/>
          <w:tab w:val="left" w:pos="4368"/>
          <w:tab w:val="left" w:pos="4992"/>
          <w:tab w:val="left" w:pos="5616"/>
          <w:tab w:val="left" w:pos="6240"/>
          <w:tab w:val="left" w:pos="6864"/>
          <w:tab w:val="left" w:pos="7488"/>
          <w:tab w:val="left" w:pos="8112"/>
          <w:tab w:val="left" w:pos="8736"/>
        </w:tabs>
        <w:ind w:left="2687" w:firstLine="214"/>
      </w:pPr>
      <w:rPr>
        <w:rFonts w:hAnsi="Arial Unicode MS"/>
        <w:caps w:val="0"/>
        <w:smallCaps w:val="0"/>
        <w:strike w:val="0"/>
        <w:dstrike w:val="0"/>
        <w:outline w:val="0"/>
        <w:emboss w:val="0"/>
        <w:imprint w:val="0"/>
        <w:spacing w:val="0"/>
        <w:w w:val="100"/>
        <w:kern w:val="0"/>
        <w:position w:val="0"/>
        <w:highlight w:val="none"/>
        <w:vertAlign w:val="baseline"/>
      </w:rPr>
    </w:lvl>
    <w:lvl w:ilvl="3" w:tplc="22AEB576">
      <w:start w:val="1"/>
      <w:numFmt w:val="decimal"/>
      <w:lvlText w:val="%4."/>
      <w:lvlJc w:val="left"/>
      <w:pPr>
        <w:tabs>
          <w:tab w:val="left" w:pos="624"/>
          <w:tab w:val="left" w:pos="1247"/>
          <w:tab w:val="left" w:pos="1814"/>
          <w:tab w:val="left" w:pos="1872"/>
          <w:tab w:val="left" w:pos="2381"/>
          <w:tab w:val="left" w:pos="2948"/>
          <w:tab w:val="left" w:pos="3515"/>
          <w:tab w:val="num" w:pos="3974"/>
          <w:tab w:val="left" w:pos="4082"/>
          <w:tab w:val="left" w:pos="4368"/>
          <w:tab w:val="left" w:pos="4992"/>
          <w:tab w:val="left" w:pos="5616"/>
          <w:tab w:val="left" w:pos="6240"/>
          <w:tab w:val="left" w:pos="6864"/>
          <w:tab w:val="left" w:pos="7488"/>
          <w:tab w:val="left" w:pos="8112"/>
          <w:tab w:val="left" w:pos="8736"/>
        </w:tabs>
        <w:ind w:left="3407" w:firstLine="230"/>
      </w:pPr>
      <w:rPr>
        <w:rFonts w:hAnsi="Arial Unicode MS"/>
        <w:caps w:val="0"/>
        <w:smallCaps w:val="0"/>
        <w:strike w:val="0"/>
        <w:dstrike w:val="0"/>
        <w:outline w:val="0"/>
        <w:emboss w:val="0"/>
        <w:imprint w:val="0"/>
        <w:spacing w:val="0"/>
        <w:w w:val="100"/>
        <w:kern w:val="0"/>
        <w:position w:val="0"/>
        <w:highlight w:val="none"/>
        <w:vertAlign w:val="baseline"/>
      </w:rPr>
    </w:lvl>
    <w:lvl w:ilvl="4" w:tplc="16B43460">
      <w:start w:val="1"/>
      <w:numFmt w:val="lowerLetter"/>
      <w:lvlText w:val="%5."/>
      <w:lvlJc w:val="left"/>
      <w:pPr>
        <w:tabs>
          <w:tab w:val="left" w:pos="624"/>
          <w:tab w:val="left" w:pos="1247"/>
          <w:tab w:val="left" w:pos="1814"/>
          <w:tab w:val="left" w:pos="1872"/>
          <w:tab w:val="left" w:pos="2381"/>
          <w:tab w:val="left" w:pos="2948"/>
          <w:tab w:val="left" w:pos="3515"/>
          <w:tab w:val="left" w:pos="4082"/>
          <w:tab w:val="left" w:pos="4368"/>
          <w:tab w:val="num" w:pos="4694"/>
          <w:tab w:val="left" w:pos="4992"/>
          <w:tab w:val="left" w:pos="5616"/>
          <w:tab w:val="left" w:pos="6240"/>
          <w:tab w:val="left" w:pos="6864"/>
          <w:tab w:val="left" w:pos="7488"/>
          <w:tab w:val="left" w:pos="8112"/>
          <w:tab w:val="left" w:pos="8736"/>
        </w:tabs>
        <w:ind w:left="4127" w:firstLine="326"/>
      </w:pPr>
      <w:rPr>
        <w:rFonts w:hAnsi="Arial Unicode MS"/>
        <w:caps w:val="0"/>
        <w:smallCaps w:val="0"/>
        <w:strike w:val="0"/>
        <w:dstrike w:val="0"/>
        <w:outline w:val="0"/>
        <w:emboss w:val="0"/>
        <w:imprint w:val="0"/>
        <w:spacing w:val="0"/>
        <w:w w:val="100"/>
        <w:kern w:val="0"/>
        <w:position w:val="0"/>
        <w:highlight w:val="none"/>
        <w:vertAlign w:val="baseline"/>
      </w:rPr>
    </w:lvl>
    <w:lvl w:ilvl="5" w:tplc="A112D4CC">
      <w:start w:val="1"/>
      <w:numFmt w:val="lowerRoman"/>
      <w:lvlText w:val="%6."/>
      <w:lvlJc w:val="left"/>
      <w:pPr>
        <w:tabs>
          <w:tab w:val="left" w:pos="624"/>
          <w:tab w:val="left" w:pos="1247"/>
          <w:tab w:val="left" w:pos="1814"/>
          <w:tab w:val="left" w:pos="1872"/>
          <w:tab w:val="left" w:pos="2381"/>
          <w:tab w:val="left" w:pos="2948"/>
          <w:tab w:val="left" w:pos="3515"/>
          <w:tab w:val="left" w:pos="4082"/>
          <w:tab w:val="left" w:pos="4368"/>
          <w:tab w:val="num" w:pos="5414"/>
          <w:tab w:val="left" w:pos="5616"/>
          <w:tab w:val="left" w:pos="6240"/>
          <w:tab w:val="left" w:pos="6864"/>
          <w:tab w:val="left" w:pos="7488"/>
          <w:tab w:val="left" w:pos="8112"/>
          <w:tab w:val="left" w:pos="8736"/>
        </w:tabs>
        <w:ind w:left="4847" w:hanging="122"/>
      </w:pPr>
      <w:rPr>
        <w:rFonts w:hAnsi="Arial Unicode MS"/>
        <w:caps w:val="0"/>
        <w:smallCaps w:val="0"/>
        <w:strike w:val="0"/>
        <w:dstrike w:val="0"/>
        <w:outline w:val="0"/>
        <w:emboss w:val="0"/>
        <w:imprint w:val="0"/>
        <w:spacing w:val="0"/>
        <w:w w:val="100"/>
        <w:kern w:val="0"/>
        <w:position w:val="0"/>
        <w:highlight w:val="none"/>
        <w:vertAlign w:val="baseline"/>
      </w:rPr>
    </w:lvl>
    <w:lvl w:ilvl="6" w:tplc="1068CB3E">
      <w:start w:val="1"/>
      <w:numFmt w:val="decimal"/>
      <w:lvlText w:val="%7."/>
      <w:lvlJc w:val="left"/>
      <w:pPr>
        <w:tabs>
          <w:tab w:val="left" w:pos="624"/>
          <w:tab w:val="left" w:pos="1247"/>
          <w:tab w:val="left" w:pos="1814"/>
          <w:tab w:val="left" w:pos="1872"/>
          <w:tab w:val="left" w:pos="2381"/>
          <w:tab w:val="left" w:pos="2948"/>
          <w:tab w:val="left" w:pos="3515"/>
          <w:tab w:val="left" w:pos="4082"/>
          <w:tab w:val="left" w:pos="4368"/>
          <w:tab w:val="left" w:pos="4992"/>
          <w:tab w:val="num" w:pos="6134"/>
          <w:tab w:val="left" w:pos="6240"/>
          <w:tab w:val="left" w:pos="6864"/>
          <w:tab w:val="left" w:pos="7488"/>
          <w:tab w:val="left" w:pos="8112"/>
          <w:tab w:val="left" w:pos="8736"/>
        </w:tabs>
        <w:ind w:left="5567" w:hanging="106"/>
      </w:pPr>
      <w:rPr>
        <w:rFonts w:hAnsi="Arial Unicode MS"/>
        <w:caps w:val="0"/>
        <w:smallCaps w:val="0"/>
        <w:strike w:val="0"/>
        <w:dstrike w:val="0"/>
        <w:outline w:val="0"/>
        <w:emboss w:val="0"/>
        <w:imprint w:val="0"/>
        <w:spacing w:val="0"/>
        <w:w w:val="100"/>
        <w:kern w:val="0"/>
        <w:position w:val="0"/>
        <w:highlight w:val="none"/>
        <w:vertAlign w:val="baseline"/>
      </w:rPr>
    </w:lvl>
    <w:lvl w:ilvl="7" w:tplc="893896F6">
      <w:start w:val="1"/>
      <w:numFmt w:val="lowerLetter"/>
      <w:lvlText w:val="%8."/>
      <w:lvlJc w:val="left"/>
      <w:pPr>
        <w:tabs>
          <w:tab w:val="left" w:pos="624"/>
          <w:tab w:val="left" w:pos="1247"/>
          <w:tab w:val="left" w:pos="1814"/>
          <w:tab w:val="left" w:pos="1872"/>
          <w:tab w:val="left" w:pos="2381"/>
          <w:tab w:val="left" w:pos="2948"/>
          <w:tab w:val="left" w:pos="3515"/>
          <w:tab w:val="left" w:pos="4082"/>
          <w:tab w:val="left" w:pos="4368"/>
          <w:tab w:val="left" w:pos="4992"/>
          <w:tab w:val="left" w:pos="5616"/>
          <w:tab w:val="left" w:pos="6240"/>
          <w:tab w:val="num" w:pos="6854"/>
          <w:tab w:val="left" w:pos="6864"/>
          <w:tab w:val="left" w:pos="7488"/>
          <w:tab w:val="left" w:pos="8112"/>
          <w:tab w:val="left" w:pos="8736"/>
        </w:tabs>
        <w:ind w:left="6287" w:hanging="10"/>
      </w:pPr>
      <w:rPr>
        <w:rFonts w:hAnsi="Arial Unicode MS"/>
        <w:caps w:val="0"/>
        <w:smallCaps w:val="0"/>
        <w:strike w:val="0"/>
        <w:dstrike w:val="0"/>
        <w:outline w:val="0"/>
        <w:emboss w:val="0"/>
        <w:imprint w:val="0"/>
        <w:spacing w:val="0"/>
        <w:w w:val="100"/>
        <w:kern w:val="0"/>
        <w:position w:val="0"/>
        <w:highlight w:val="none"/>
        <w:vertAlign w:val="baseline"/>
      </w:rPr>
    </w:lvl>
    <w:lvl w:ilvl="8" w:tplc="D3AC2610">
      <w:start w:val="1"/>
      <w:numFmt w:val="lowerRoman"/>
      <w:lvlText w:val="%9."/>
      <w:lvlJc w:val="left"/>
      <w:pPr>
        <w:tabs>
          <w:tab w:val="left" w:pos="624"/>
          <w:tab w:val="left" w:pos="1247"/>
          <w:tab w:val="left" w:pos="1814"/>
          <w:tab w:val="left" w:pos="1872"/>
          <w:tab w:val="left" w:pos="2381"/>
          <w:tab w:val="left" w:pos="2948"/>
          <w:tab w:val="left" w:pos="3515"/>
          <w:tab w:val="left" w:pos="4082"/>
          <w:tab w:val="left" w:pos="4368"/>
          <w:tab w:val="left" w:pos="4992"/>
          <w:tab w:val="left" w:pos="5616"/>
          <w:tab w:val="left" w:pos="6240"/>
          <w:tab w:val="left" w:pos="6864"/>
          <w:tab w:val="num" w:pos="7574"/>
          <w:tab w:val="left" w:pos="8112"/>
          <w:tab w:val="left" w:pos="8736"/>
        </w:tabs>
        <w:ind w:left="7007" w:firstLine="1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6D93F56"/>
    <w:multiLevelType w:val="hybridMultilevel"/>
    <w:tmpl w:val="EFD454D8"/>
    <w:numStyleLink w:val="Importovanstyl1"/>
  </w:abstractNum>
  <w:abstractNum w:abstractNumId="25" w15:restartNumberingAfterBreak="0">
    <w:nsid w:val="4CB62FDF"/>
    <w:multiLevelType w:val="hybridMultilevel"/>
    <w:tmpl w:val="1B922A92"/>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834C79"/>
    <w:multiLevelType w:val="hybridMultilevel"/>
    <w:tmpl w:val="EEBE7C46"/>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0117036"/>
    <w:multiLevelType w:val="hybridMultilevel"/>
    <w:tmpl w:val="12360778"/>
    <w:numStyleLink w:val="Importovanstyl2"/>
  </w:abstractNum>
  <w:abstractNum w:abstractNumId="28" w15:restartNumberingAfterBreak="0">
    <w:nsid w:val="50836A61"/>
    <w:multiLevelType w:val="hybridMultilevel"/>
    <w:tmpl w:val="E9F4FA48"/>
    <w:numStyleLink w:val="Importovanstyl11"/>
  </w:abstractNum>
  <w:abstractNum w:abstractNumId="29" w15:restartNumberingAfterBreak="0">
    <w:nsid w:val="52A66A9D"/>
    <w:multiLevelType w:val="multilevel"/>
    <w:tmpl w:val="9EA82CB4"/>
    <w:styleLink w:val="Normallist"/>
    <w:lvl w:ilvl="0">
      <w:start w:val="1"/>
      <w:numFmt w:val="decimal"/>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0" w15:restartNumberingAfterBreak="0">
    <w:nsid w:val="5CB4301B"/>
    <w:multiLevelType w:val="hybridMultilevel"/>
    <w:tmpl w:val="6A70E2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103A86"/>
    <w:multiLevelType w:val="hybridMultilevel"/>
    <w:tmpl w:val="B6D6A768"/>
    <w:styleLink w:val="Importovanstyl40"/>
    <w:lvl w:ilvl="0" w:tplc="B972F866">
      <w:start w:val="1"/>
      <w:numFmt w:val="bullet"/>
      <w:lvlText w:val="·"/>
      <w:lvlJc w:val="left"/>
      <w:pPr>
        <w:tabs>
          <w:tab w:val="num"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8A8338">
      <w:start w:val="1"/>
      <w:numFmt w:val="bullet"/>
      <w:lvlText w:val="o"/>
      <w:lvlJc w:val="left"/>
      <w:pPr>
        <w:tabs>
          <w:tab w:val="left" w:pos="624"/>
          <w:tab w:val="num" w:pos="1440"/>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s>
        <w:ind w:left="153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129948">
      <w:start w:val="1"/>
      <w:numFmt w:val="bullet"/>
      <w:lvlText w:val="▪"/>
      <w:lvlJc w:val="left"/>
      <w:pPr>
        <w:tabs>
          <w:tab w:val="left" w:pos="624"/>
          <w:tab w:val="left" w:pos="1248"/>
          <w:tab w:val="left" w:pos="1872"/>
          <w:tab w:val="num" w:pos="2160"/>
          <w:tab w:val="left" w:pos="2496"/>
          <w:tab w:val="left" w:pos="3120"/>
          <w:tab w:val="left" w:pos="3744"/>
          <w:tab w:val="left" w:pos="4368"/>
          <w:tab w:val="left" w:pos="4992"/>
          <w:tab w:val="left" w:pos="5616"/>
          <w:tab w:val="left" w:pos="6240"/>
          <w:tab w:val="left" w:pos="6864"/>
          <w:tab w:val="left" w:pos="7488"/>
          <w:tab w:val="left" w:pos="8112"/>
          <w:tab w:val="left" w:pos="8736"/>
        </w:tabs>
        <w:ind w:left="225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3012AA">
      <w:start w:val="1"/>
      <w:numFmt w:val="bullet"/>
      <w:lvlText w:val="·"/>
      <w:lvlJc w:val="left"/>
      <w:pPr>
        <w:tabs>
          <w:tab w:val="left" w:pos="624"/>
          <w:tab w:val="left" w:pos="1248"/>
          <w:tab w:val="left" w:pos="1872"/>
          <w:tab w:val="left" w:pos="2496"/>
          <w:tab w:val="num" w:pos="2880"/>
          <w:tab w:val="left" w:pos="3120"/>
          <w:tab w:val="left" w:pos="3744"/>
          <w:tab w:val="left" w:pos="4368"/>
          <w:tab w:val="left" w:pos="4992"/>
          <w:tab w:val="left" w:pos="5616"/>
          <w:tab w:val="left" w:pos="6240"/>
          <w:tab w:val="left" w:pos="6864"/>
          <w:tab w:val="left" w:pos="7488"/>
          <w:tab w:val="left" w:pos="8112"/>
          <w:tab w:val="left" w:pos="8736"/>
        </w:tabs>
        <w:ind w:left="297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D2B684">
      <w:start w:val="1"/>
      <w:numFmt w:val="bullet"/>
      <w:lvlText w:val="o"/>
      <w:lvlJc w:val="left"/>
      <w:pPr>
        <w:tabs>
          <w:tab w:val="left" w:pos="624"/>
          <w:tab w:val="left" w:pos="1248"/>
          <w:tab w:val="left" w:pos="1872"/>
          <w:tab w:val="left" w:pos="2496"/>
          <w:tab w:val="left" w:pos="3120"/>
          <w:tab w:val="num" w:pos="3600"/>
          <w:tab w:val="left" w:pos="3744"/>
          <w:tab w:val="left" w:pos="4368"/>
          <w:tab w:val="left" w:pos="4992"/>
          <w:tab w:val="left" w:pos="5616"/>
          <w:tab w:val="left" w:pos="6240"/>
          <w:tab w:val="left" w:pos="6864"/>
          <w:tab w:val="left" w:pos="7488"/>
          <w:tab w:val="left" w:pos="8112"/>
          <w:tab w:val="left" w:pos="8736"/>
        </w:tabs>
        <w:ind w:left="369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E25E0A">
      <w:start w:val="1"/>
      <w:numFmt w:val="bullet"/>
      <w:lvlText w:val="▪"/>
      <w:lvlJc w:val="left"/>
      <w:pPr>
        <w:tabs>
          <w:tab w:val="left" w:pos="624"/>
          <w:tab w:val="left" w:pos="1248"/>
          <w:tab w:val="left" w:pos="1872"/>
          <w:tab w:val="left" w:pos="2496"/>
          <w:tab w:val="left" w:pos="3120"/>
          <w:tab w:val="left" w:pos="3744"/>
          <w:tab w:val="num" w:pos="4320"/>
          <w:tab w:val="left" w:pos="4368"/>
          <w:tab w:val="left" w:pos="4992"/>
          <w:tab w:val="left" w:pos="5616"/>
          <w:tab w:val="left" w:pos="6240"/>
          <w:tab w:val="left" w:pos="6864"/>
          <w:tab w:val="left" w:pos="7488"/>
          <w:tab w:val="left" w:pos="8112"/>
          <w:tab w:val="left" w:pos="8736"/>
        </w:tabs>
        <w:ind w:left="44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AC2C9E">
      <w:start w:val="1"/>
      <w:numFmt w:val="bullet"/>
      <w:lvlText w:val="·"/>
      <w:lvlJc w:val="left"/>
      <w:pPr>
        <w:tabs>
          <w:tab w:val="left" w:pos="624"/>
          <w:tab w:val="left" w:pos="1248"/>
          <w:tab w:val="left" w:pos="1872"/>
          <w:tab w:val="left" w:pos="2496"/>
          <w:tab w:val="left" w:pos="3120"/>
          <w:tab w:val="left" w:pos="3744"/>
          <w:tab w:val="left" w:pos="4368"/>
          <w:tab w:val="num" w:pos="5040"/>
          <w:tab w:val="left" w:pos="5616"/>
          <w:tab w:val="left" w:pos="6240"/>
          <w:tab w:val="left" w:pos="6864"/>
          <w:tab w:val="left" w:pos="7488"/>
          <w:tab w:val="left" w:pos="8112"/>
          <w:tab w:val="left" w:pos="8736"/>
        </w:tabs>
        <w:ind w:left="513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14D5A6">
      <w:start w:val="1"/>
      <w:numFmt w:val="bullet"/>
      <w:lvlText w:val="o"/>
      <w:lvlJc w:val="left"/>
      <w:pPr>
        <w:tabs>
          <w:tab w:val="left" w:pos="624"/>
          <w:tab w:val="left" w:pos="1248"/>
          <w:tab w:val="left" w:pos="1872"/>
          <w:tab w:val="left" w:pos="2496"/>
          <w:tab w:val="left" w:pos="3120"/>
          <w:tab w:val="left" w:pos="3744"/>
          <w:tab w:val="left" w:pos="4368"/>
          <w:tab w:val="left" w:pos="4992"/>
          <w:tab w:val="num" w:pos="5760"/>
          <w:tab w:val="left" w:pos="6240"/>
          <w:tab w:val="left" w:pos="6864"/>
          <w:tab w:val="left" w:pos="7488"/>
          <w:tab w:val="left" w:pos="8112"/>
          <w:tab w:val="left" w:pos="8736"/>
        </w:tabs>
        <w:ind w:left="585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FC9EF4">
      <w:start w:val="1"/>
      <w:numFmt w:val="bullet"/>
      <w:lvlText w:val="▪"/>
      <w:lvlJc w:val="left"/>
      <w:pPr>
        <w:tabs>
          <w:tab w:val="left" w:pos="624"/>
          <w:tab w:val="left" w:pos="1248"/>
          <w:tab w:val="left" w:pos="1872"/>
          <w:tab w:val="left" w:pos="2496"/>
          <w:tab w:val="left" w:pos="3120"/>
          <w:tab w:val="left" w:pos="3744"/>
          <w:tab w:val="left" w:pos="4368"/>
          <w:tab w:val="left" w:pos="4992"/>
          <w:tab w:val="left" w:pos="5616"/>
          <w:tab w:val="num" w:pos="6480"/>
          <w:tab w:val="left" w:pos="6864"/>
          <w:tab w:val="left" w:pos="7488"/>
          <w:tab w:val="left" w:pos="8112"/>
          <w:tab w:val="left" w:pos="8736"/>
        </w:tabs>
        <w:ind w:left="657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1136A50"/>
    <w:multiLevelType w:val="hybridMultilevel"/>
    <w:tmpl w:val="86ACEC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EA0208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B87149"/>
    <w:multiLevelType w:val="hybridMultilevel"/>
    <w:tmpl w:val="84E837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1E0634"/>
    <w:multiLevelType w:val="hybridMultilevel"/>
    <w:tmpl w:val="538EE860"/>
    <w:lvl w:ilvl="0" w:tplc="04090005">
      <w:start w:val="1"/>
      <w:numFmt w:val="bullet"/>
      <w:lvlText w:val=""/>
      <w:lvlJc w:val="left"/>
      <w:pPr>
        <w:ind w:left="108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0B773A"/>
    <w:multiLevelType w:val="hybridMultilevel"/>
    <w:tmpl w:val="9A5A0E24"/>
    <w:lvl w:ilvl="0" w:tplc="04090005">
      <w:start w:val="1"/>
      <w:numFmt w:val="bullet"/>
      <w:lvlText w:val=""/>
      <w:lvlJc w:val="left"/>
      <w:pPr>
        <w:tabs>
          <w:tab w:val="num"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108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5349AE8">
      <w:start w:val="1"/>
      <w:numFmt w:val="bullet"/>
      <w:lvlText w:val="o"/>
      <w:lvlJc w:val="left"/>
      <w:pPr>
        <w:tabs>
          <w:tab w:val="left" w:pos="984"/>
          <w:tab w:val="num"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1703" w:hanging="2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5E5544">
      <w:start w:val="1"/>
      <w:numFmt w:val="bullet"/>
      <w:lvlText w:val="▪"/>
      <w:lvlJc w:val="left"/>
      <w:pPr>
        <w:tabs>
          <w:tab w:val="left" w:pos="984"/>
          <w:tab w:val="left" w:pos="1247"/>
          <w:tab w:val="left" w:pos="1248"/>
          <w:tab w:val="left" w:pos="1814"/>
          <w:tab w:val="left" w:pos="1872"/>
          <w:tab w:val="num" w:pos="2160"/>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26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D0D36C">
      <w:start w:val="1"/>
      <w:numFmt w:val="bullet"/>
      <w:lvlText w:val="·"/>
      <w:lvlJc w:val="left"/>
      <w:pPr>
        <w:tabs>
          <w:tab w:val="left" w:pos="984"/>
          <w:tab w:val="left" w:pos="1247"/>
          <w:tab w:val="left" w:pos="1248"/>
          <w:tab w:val="left" w:pos="1814"/>
          <w:tab w:val="left" w:pos="1872"/>
          <w:tab w:val="left" w:pos="2381"/>
          <w:tab w:val="left" w:pos="2496"/>
          <w:tab w:val="num" w:pos="2880"/>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333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8C4F5C">
      <w:start w:val="1"/>
      <w:numFmt w:val="bullet"/>
      <w:lvlText w:val="o"/>
      <w:lvlJc w:val="left"/>
      <w:pPr>
        <w:tabs>
          <w:tab w:val="left" w:pos="984"/>
          <w:tab w:val="left" w:pos="1247"/>
          <w:tab w:val="left" w:pos="1248"/>
          <w:tab w:val="left" w:pos="1814"/>
          <w:tab w:val="left" w:pos="1872"/>
          <w:tab w:val="left" w:pos="2381"/>
          <w:tab w:val="left" w:pos="2496"/>
          <w:tab w:val="left" w:pos="2948"/>
          <w:tab w:val="left" w:pos="3120"/>
          <w:tab w:val="num" w:pos="3515"/>
          <w:tab w:val="left" w:pos="3744"/>
          <w:tab w:val="left" w:pos="4082"/>
          <w:tab w:val="left" w:pos="4368"/>
          <w:tab w:val="left" w:pos="4992"/>
          <w:tab w:val="left" w:pos="5616"/>
          <w:tab w:val="left" w:pos="6240"/>
          <w:tab w:val="left" w:pos="6864"/>
          <w:tab w:val="left" w:pos="7488"/>
          <w:tab w:val="left" w:pos="8112"/>
          <w:tab w:val="left" w:pos="8520"/>
        </w:tabs>
        <w:ind w:left="3971" w:hanging="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C00EC0">
      <w:start w:val="1"/>
      <w:numFmt w:val="bullet"/>
      <w:suff w:val="nothing"/>
      <w:lvlText w:val="▪"/>
      <w:lvlJc w:val="left"/>
      <w:pPr>
        <w:tabs>
          <w:tab w:val="left"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4527" w:hanging="20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B0B74C">
      <w:start w:val="1"/>
      <w:numFmt w:val="bullet"/>
      <w:lvlText w:val="·"/>
      <w:lvlJc w:val="left"/>
      <w:pPr>
        <w:tabs>
          <w:tab w:val="left"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num" w:pos="5040"/>
          <w:tab w:val="left" w:pos="5616"/>
          <w:tab w:val="left" w:pos="6240"/>
          <w:tab w:val="left" w:pos="6864"/>
          <w:tab w:val="left" w:pos="7488"/>
          <w:tab w:val="left" w:pos="8112"/>
          <w:tab w:val="left" w:pos="8520"/>
        </w:tabs>
        <w:ind w:left="549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067D82">
      <w:start w:val="1"/>
      <w:numFmt w:val="bullet"/>
      <w:lvlText w:val="o"/>
      <w:lvlJc w:val="left"/>
      <w:pPr>
        <w:tabs>
          <w:tab w:val="left"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num" w:pos="5760"/>
          <w:tab w:val="left" w:pos="6240"/>
          <w:tab w:val="left" w:pos="6864"/>
          <w:tab w:val="left" w:pos="7488"/>
          <w:tab w:val="left" w:pos="8112"/>
          <w:tab w:val="left" w:pos="8520"/>
        </w:tabs>
        <w:ind w:left="62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A80E14">
      <w:start w:val="1"/>
      <w:numFmt w:val="bullet"/>
      <w:lvlText w:val="▪"/>
      <w:lvlJc w:val="left"/>
      <w:pPr>
        <w:tabs>
          <w:tab w:val="left"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num" w:pos="6480"/>
          <w:tab w:val="left" w:pos="6864"/>
          <w:tab w:val="left" w:pos="7488"/>
          <w:tab w:val="left" w:pos="8112"/>
          <w:tab w:val="left" w:pos="8520"/>
        </w:tabs>
        <w:ind w:left="693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B695F26"/>
    <w:multiLevelType w:val="hybridMultilevel"/>
    <w:tmpl w:val="E9F4FA48"/>
    <w:styleLink w:val="Importovanstyl11"/>
    <w:lvl w:ilvl="0" w:tplc="20BAD746">
      <w:start w:val="1"/>
      <w:numFmt w:val="decimal"/>
      <w:suff w:val="nothing"/>
      <w:lvlText w:val="%1."/>
      <w:lvlJc w:val="left"/>
      <w:pPr>
        <w:tabs>
          <w:tab w:val="left" w:pos="624"/>
          <w:tab w:val="left" w:pos="1247"/>
          <w:tab w:val="left" w:pos="1814"/>
          <w:tab w:val="left" w:pos="2160"/>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ind w:left="2634" w:firstLine="81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E8E30B6">
      <w:start w:val="1"/>
      <w:numFmt w:val="lowerLetter"/>
      <w:suff w:val="nothing"/>
      <w:lvlText w:val="%2."/>
      <w:lvlJc w:val="left"/>
      <w:pPr>
        <w:tabs>
          <w:tab w:val="left" w:pos="624"/>
          <w:tab w:val="left" w:pos="1247"/>
          <w:tab w:val="left" w:pos="1814"/>
          <w:tab w:val="left" w:pos="2160"/>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ind w:left="2634" w:firstLine="81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6A49142">
      <w:start w:val="1"/>
      <w:numFmt w:val="lowerRoman"/>
      <w:lvlText w:val="%3."/>
      <w:lvlJc w:val="left"/>
      <w:pPr>
        <w:tabs>
          <w:tab w:val="left" w:pos="624"/>
          <w:tab w:val="left" w:pos="1247"/>
          <w:tab w:val="left" w:pos="1814"/>
          <w:tab w:val="left" w:pos="2160"/>
          <w:tab w:val="left" w:pos="2381"/>
          <w:tab w:val="left" w:pos="2948"/>
          <w:tab w:val="left" w:pos="3515"/>
          <w:tab w:val="left" w:pos="4082"/>
          <w:tab w:val="num" w:pos="4260"/>
          <w:tab w:val="left" w:pos="4368"/>
          <w:tab w:val="left" w:pos="4992"/>
          <w:tab w:val="left" w:pos="5616"/>
          <w:tab w:val="left" w:pos="6240"/>
          <w:tab w:val="left" w:pos="6864"/>
          <w:tab w:val="left" w:pos="7488"/>
          <w:tab w:val="left" w:pos="8112"/>
          <w:tab w:val="left" w:pos="8736"/>
        </w:tabs>
        <w:ind w:left="3347" w:firstLine="74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7DA7866">
      <w:start w:val="1"/>
      <w:numFmt w:val="decimal"/>
      <w:lvlText w:val="%4."/>
      <w:lvlJc w:val="left"/>
      <w:pPr>
        <w:tabs>
          <w:tab w:val="left" w:pos="624"/>
          <w:tab w:val="left" w:pos="1247"/>
          <w:tab w:val="left" w:pos="1814"/>
          <w:tab w:val="num" w:pos="2128"/>
          <w:tab w:val="left" w:pos="2160"/>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ind w:left="1215" w:firstLine="75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942738C">
      <w:start w:val="1"/>
      <w:numFmt w:val="lowerLetter"/>
      <w:lvlText w:val="(%5)"/>
      <w:lvlJc w:val="left"/>
      <w:pPr>
        <w:tabs>
          <w:tab w:val="left" w:pos="624"/>
          <w:tab w:val="left" w:pos="1247"/>
          <w:tab w:val="left" w:pos="1814"/>
          <w:tab w:val="num" w:pos="2160"/>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ind w:left="1247" w:firstLine="62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3E691E8">
      <w:start w:val="1"/>
      <w:numFmt w:val="lowerRoman"/>
      <w:lvlText w:val="%6."/>
      <w:lvlJc w:val="left"/>
      <w:pPr>
        <w:tabs>
          <w:tab w:val="left" w:pos="624"/>
          <w:tab w:val="left" w:pos="1247"/>
          <w:tab w:val="left" w:pos="1814"/>
          <w:tab w:val="left" w:pos="2160"/>
          <w:tab w:val="left" w:pos="2381"/>
          <w:tab w:val="num" w:pos="3294"/>
          <w:tab w:val="left" w:pos="3515"/>
          <w:tab w:val="left" w:pos="4082"/>
          <w:tab w:val="left" w:pos="4368"/>
          <w:tab w:val="left" w:pos="4992"/>
          <w:tab w:val="left" w:pos="5616"/>
          <w:tab w:val="left" w:pos="6240"/>
          <w:tab w:val="left" w:pos="6864"/>
          <w:tab w:val="left" w:pos="7488"/>
          <w:tab w:val="left" w:pos="8112"/>
          <w:tab w:val="left" w:pos="8736"/>
        </w:tabs>
        <w:ind w:left="2381" w:firstLine="35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1F61142">
      <w:start w:val="1"/>
      <w:numFmt w:val="decimal"/>
      <w:lvlText w:val="%7."/>
      <w:lvlJc w:val="left"/>
      <w:pPr>
        <w:tabs>
          <w:tab w:val="left" w:pos="624"/>
          <w:tab w:val="left" w:pos="1247"/>
          <w:tab w:val="left" w:pos="1814"/>
          <w:tab w:val="left" w:pos="2160"/>
          <w:tab w:val="left" w:pos="2381"/>
          <w:tab w:val="num" w:pos="3294"/>
          <w:tab w:val="left" w:pos="3515"/>
          <w:tab w:val="left" w:pos="4082"/>
          <w:tab w:val="left" w:pos="4368"/>
          <w:tab w:val="left" w:pos="4992"/>
          <w:tab w:val="left" w:pos="5616"/>
          <w:tab w:val="left" w:pos="6240"/>
          <w:tab w:val="left" w:pos="6864"/>
          <w:tab w:val="left" w:pos="7488"/>
          <w:tab w:val="left" w:pos="8112"/>
          <w:tab w:val="left" w:pos="8736"/>
        </w:tabs>
        <w:ind w:left="2381" w:firstLine="35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83AAB78">
      <w:start w:val="1"/>
      <w:numFmt w:val="lowerLetter"/>
      <w:suff w:val="nothing"/>
      <w:lvlText w:val="%8."/>
      <w:lvlJc w:val="left"/>
      <w:pPr>
        <w:tabs>
          <w:tab w:val="left" w:pos="624"/>
          <w:tab w:val="left" w:pos="1247"/>
          <w:tab w:val="left" w:pos="1814"/>
          <w:tab w:val="left" w:pos="2160"/>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ind w:left="2381" w:firstLine="78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DA4EE7E">
      <w:start w:val="1"/>
      <w:numFmt w:val="lowerRoman"/>
      <w:lvlText w:val="%9."/>
      <w:lvlJc w:val="left"/>
      <w:pPr>
        <w:tabs>
          <w:tab w:val="left" w:pos="624"/>
          <w:tab w:val="left" w:pos="1247"/>
          <w:tab w:val="left" w:pos="1814"/>
          <w:tab w:val="left" w:pos="2160"/>
          <w:tab w:val="left" w:pos="2381"/>
          <w:tab w:val="left" w:pos="2948"/>
          <w:tab w:val="left" w:pos="3515"/>
          <w:tab w:val="left" w:pos="4082"/>
          <w:tab w:val="num" w:pos="4428"/>
          <w:tab w:val="left" w:pos="4992"/>
          <w:tab w:val="left" w:pos="5616"/>
          <w:tab w:val="left" w:pos="6240"/>
          <w:tab w:val="left" w:pos="6864"/>
          <w:tab w:val="left" w:pos="7488"/>
          <w:tab w:val="left" w:pos="8112"/>
          <w:tab w:val="left" w:pos="8736"/>
        </w:tabs>
        <w:ind w:left="3515" w:firstLine="444"/>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7" w15:restartNumberingAfterBreak="0">
    <w:nsid w:val="6F097094"/>
    <w:multiLevelType w:val="hybridMultilevel"/>
    <w:tmpl w:val="3FC6F656"/>
    <w:styleLink w:val="Importovanstyl10"/>
    <w:lvl w:ilvl="0" w:tplc="DED069C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ECE05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0493B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EE261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58FF5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6E5FF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FAFDA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6A755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6435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2CD74B7"/>
    <w:multiLevelType w:val="hybridMultilevel"/>
    <w:tmpl w:val="36E44A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EA0208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9458C8"/>
    <w:multiLevelType w:val="hybridMultilevel"/>
    <w:tmpl w:val="70CEFD60"/>
    <w:lvl w:ilvl="0" w:tplc="04090017">
      <w:start w:val="1"/>
      <w:numFmt w:val="lowerLetter"/>
      <w:lvlText w:val="%1)"/>
      <w:lvlJc w:val="left"/>
      <w:pPr>
        <w:ind w:left="1970" w:hanging="360"/>
      </w:pPr>
    </w:lvl>
    <w:lvl w:ilvl="1" w:tplc="08090019" w:tentative="1">
      <w:start w:val="1"/>
      <w:numFmt w:val="lowerLetter"/>
      <w:lvlText w:val="%2."/>
      <w:lvlJc w:val="left"/>
      <w:pPr>
        <w:ind w:left="2690" w:hanging="360"/>
      </w:pPr>
    </w:lvl>
    <w:lvl w:ilvl="2" w:tplc="0809001B" w:tentative="1">
      <w:start w:val="1"/>
      <w:numFmt w:val="lowerRoman"/>
      <w:lvlText w:val="%3."/>
      <w:lvlJc w:val="right"/>
      <w:pPr>
        <w:ind w:left="3410" w:hanging="180"/>
      </w:pPr>
    </w:lvl>
    <w:lvl w:ilvl="3" w:tplc="0809000F" w:tentative="1">
      <w:start w:val="1"/>
      <w:numFmt w:val="decimal"/>
      <w:lvlText w:val="%4."/>
      <w:lvlJc w:val="left"/>
      <w:pPr>
        <w:ind w:left="4130" w:hanging="360"/>
      </w:pPr>
    </w:lvl>
    <w:lvl w:ilvl="4" w:tplc="08090019" w:tentative="1">
      <w:start w:val="1"/>
      <w:numFmt w:val="lowerLetter"/>
      <w:lvlText w:val="%5."/>
      <w:lvlJc w:val="left"/>
      <w:pPr>
        <w:ind w:left="4850" w:hanging="360"/>
      </w:pPr>
    </w:lvl>
    <w:lvl w:ilvl="5" w:tplc="0809001B" w:tentative="1">
      <w:start w:val="1"/>
      <w:numFmt w:val="lowerRoman"/>
      <w:lvlText w:val="%6."/>
      <w:lvlJc w:val="right"/>
      <w:pPr>
        <w:ind w:left="5570" w:hanging="180"/>
      </w:pPr>
    </w:lvl>
    <w:lvl w:ilvl="6" w:tplc="0809000F" w:tentative="1">
      <w:start w:val="1"/>
      <w:numFmt w:val="decimal"/>
      <w:lvlText w:val="%7."/>
      <w:lvlJc w:val="left"/>
      <w:pPr>
        <w:ind w:left="6290" w:hanging="360"/>
      </w:pPr>
    </w:lvl>
    <w:lvl w:ilvl="7" w:tplc="08090019" w:tentative="1">
      <w:start w:val="1"/>
      <w:numFmt w:val="lowerLetter"/>
      <w:lvlText w:val="%8."/>
      <w:lvlJc w:val="left"/>
      <w:pPr>
        <w:ind w:left="7010" w:hanging="360"/>
      </w:pPr>
    </w:lvl>
    <w:lvl w:ilvl="8" w:tplc="0809001B" w:tentative="1">
      <w:start w:val="1"/>
      <w:numFmt w:val="lowerRoman"/>
      <w:lvlText w:val="%9."/>
      <w:lvlJc w:val="right"/>
      <w:pPr>
        <w:ind w:left="7730" w:hanging="180"/>
      </w:pPr>
    </w:lvl>
  </w:abstractNum>
  <w:abstractNum w:abstractNumId="40" w15:restartNumberingAfterBreak="0">
    <w:nsid w:val="74DB4FF4"/>
    <w:multiLevelType w:val="hybridMultilevel"/>
    <w:tmpl w:val="27FC333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6E80358"/>
    <w:multiLevelType w:val="hybridMultilevel"/>
    <w:tmpl w:val="CEC84688"/>
    <w:lvl w:ilvl="0" w:tplc="04090005">
      <w:start w:val="1"/>
      <w:numFmt w:val="bullet"/>
      <w:lvlText w:val=""/>
      <w:lvlJc w:val="left"/>
      <w:pPr>
        <w:tabs>
          <w:tab w:val="num"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108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5349AE8">
      <w:start w:val="1"/>
      <w:numFmt w:val="bullet"/>
      <w:lvlText w:val="o"/>
      <w:lvlJc w:val="left"/>
      <w:pPr>
        <w:tabs>
          <w:tab w:val="left" w:pos="984"/>
          <w:tab w:val="num"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1703" w:hanging="2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5E5544">
      <w:start w:val="1"/>
      <w:numFmt w:val="bullet"/>
      <w:lvlText w:val="▪"/>
      <w:lvlJc w:val="left"/>
      <w:pPr>
        <w:tabs>
          <w:tab w:val="left" w:pos="984"/>
          <w:tab w:val="left" w:pos="1247"/>
          <w:tab w:val="left" w:pos="1248"/>
          <w:tab w:val="left" w:pos="1814"/>
          <w:tab w:val="left" w:pos="1872"/>
          <w:tab w:val="num" w:pos="2160"/>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26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D0D36C">
      <w:start w:val="1"/>
      <w:numFmt w:val="bullet"/>
      <w:lvlText w:val="·"/>
      <w:lvlJc w:val="left"/>
      <w:pPr>
        <w:tabs>
          <w:tab w:val="left" w:pos="984"/>
          <w:tab w:val="left" w:pos="1247"/>
          <w:tab w:val="left" w:pos="1248"/>
          <w:tab w:val="left" w:pos="1814"/>
          <w:tab w:val="left" w:pos="1872"/>
          <w:tab w:val="left" w:pos="2381"/>
          <w:tab w:val="left" w:pos="2496"/>
          <w:tab w:val="num" w:pos="2880"/>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333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8C4F5C">
      <w:start w:val="1"/>
      <w:numFmt w:val="bullet"/>
      <w:lvlText w:val="o"/>
      <w:lvlJc w:val="left"/>
      <w:pPr>
        <w:tabs>
          <w:tab w:val="left" w:pos="984"/>
          <w:tab w:val="left" w:pos="1247"/>
          <w:tab w:val="left" w:pos="1248"/>
          <w:tab w:val="left" w:pos="1814"/>
          <w:tab w:val="left" w:pos="1872"/>
          <w:tab w:val="left" w:pos="2381"/>
          <w:tab w:val="left" w:pos="2496"/>
          <w:tab w:val="left" w:pos="2948"/>
          <w:tab w:val="left" w:pos="3120"/>
          <w:tab w:val="num" w:pos="3515"/>
          <w:tab w:val="left" w:pos="3744"/>
          <w:tab w:val="left" w:pos="4082"/>
          <w:tab w:val="left" w:pos="4368"/>
          <w:tab w:val="left" w:pos="4992"/>
          <w:tab w:val="left" w:pos="5616"/>
          <w:tab w:val="left" w:pos="6240"/>
          <w:tab w:val="left" w:pos="6864"/>
          <w:tab w:val="left" w:pos="7488"/>
          <w:tab w:val="left" w:pos="8112"/>
          <w:tab w:val="left" w:pos="8520"/>
        </w:tabs>
        <w:ind w:left="3971" w:hanging="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C00EC0">
      <w:start w:val="1"/>
      <w:numFmt w:val="bullet"/>
      <w:suff w:val="nothing"/>
      <w:lvlText w:val="▪"/>
      <w:lvlJc w:val="left"/>
      <w:pPr>
        <w:tabs>
          <w:tab w:val="left"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4527" w:hanging="20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B0B74C">
      <w:start w:val="1"/>
      <w:numFmt w:val="bullet"/>
      <w:lvlText w:val="·"/>
      <w:lvlJc w:val="left"/>
      <w:pPr>
        <w:tabs>
          <w:tab w:val="left"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num" w:pos="5040"/>
          <w:tab w:val="left" w:pos="5616"/>
          <w:tab w:val="left" w:pos="6240"/>
          <w:tab w:val="left" w:pos="6864"/>
          <w:tab w:val="left" w:pos="7488"/>
          <w:tab w:val="left" w:pos="8112"/>
          <w:tab w:val="left" w:pos="8520"/>
        </w:tabs>
        <w:ind w:left="549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067D82">
      <w:start w:val="1"/>
      <w:numFmt w:val="bullet"/>
      <w:lvlText w:val="o"/>
      <w:lvlJc w:val="left"/>
      <w:pPr>
        <w:tabs>
          <w:tab w:val="left"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num" w:pos="5760"/>
          <w:tab w:val="left" w:pos="6240"/>
          <w:tab w:val="left" w:pos="6864"/>
          <w:tab w:val="left" w:pos="7488"/>
          <w:tab w:val="left" w:pos="8112"/>
          <w:tab w:val="left" w:pos="8520"/>
        </w:tabs>
        <w:ind w:left="62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A80E14">
      <w:start w:val="1"/>
      <w:numFmt w:val="bullet"/>
      <w:lvlText w:val="▪"/>
      <w:lvlJc w:val="left"/>
      <w:pPr>
        <w:tabs>
          <w:tab w:val="left"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num" w:pos="6480"/>
          <w:tab w:val="left" w:pos="6864"/>
          <w:tab w:val="left" w:pos="7488"/>
          <w:tab w:val="left" w:pos="8112"/>
          <w:tab w:val="left" w:pos="8520"/>
        </w:tabs>
        <w:ind w:left="693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7D216E5"/>
    <w:multiLevelType w:val="hybridMultilevel"/>
    <w:tmpl w:val="67A47A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EA0208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D02ED3"/>
    <w:multiLevelType w:val="hybridMultilevel"/>
    <w:tmpl w:val="3508E94A"/>
    <w:numStyleLink w:val="Importovanstyl7"/>
  </w:abstractNum>
  <w:abstractNum w:abstractNumId="44" w15:restartNumberingAfterBreak="0">
    <w:nsid w:val="7C0C2742"/>
    <w:multiLevelType w:val="hybridMultilevel"/>
    <w:tmpl w:val="B1906DA0"/>
    <w:styleLink w:val="Importovanstyl9"/>
    <w:lvl w:ilvl="0" w:tplc="EE780ACA">
      <w:start w:val="1"/>
      <w:numFmt w:val="bullet"/>
      <w:lvlText w:val="·"/>
      <w:lvlJc w:val="left"/>
      <w:pPr>
        <w:tabs>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8C05CA8">
      <w:start w:val="1"/>
      <w:numFmt w:val="bullet"/>
      <w:lvlText w:val="o"/>
      <w:lvlJc w:val="left"/>
      <w:pPr>
        <w:tabs>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s>
        <w:ind w:left="1247" w:hanging="1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C8DE5E">
      <w:start w:val="1"/>
      <w:numFmt w:val="bullet"/>
      <w:lvlText w:val="▪"/>
      <w:lvlJc w:val="left"/>
      <w:pPr>
        <w:tabs>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92E3D0">
      <w:start w:val="1"/>
      <w:numFmt w:val="bullet"/>
      <w:lvlText w:val="·"/>
      <w:lvlJc w:val="left"/>
      <w:pPr>
        <w:tabs>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08CBF4">
      <w:start w:val="1"/>
      <w:numFmt w:val="bullet"/>
      <w:lvlText w:val="o"/>
      <w:lvlJc w:val="left"/>
      <w:pPr>
        <w:tabs>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s>
        <w:ind w:left="3515" w:hanging="2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0E9FCC">
      <w:start w:val="1"/>
      <w:numFmt w:val="bullet"/>
      <w:lvlText w:val="▪"/>
      <w:lvlJc w:val="left"/>
      <w:pPr>
        <w:tabs>
          <w:tab w:val="left" w:pos="624"/>
          <w:tab w:val="left" w:pos="1248"/>
          <w:tab w:val="left" w:pos="1872"/>
          <w:tab w:val="left" w:pos="2496"/>
          <w:tab w:val="left" w:pos="3120"/>
          <w:tab w:val="left" w:pos="3744"/>
          <w:tab w:val="left" w:pos="4368"/>
          <w:tab w:val="left" w:pos="4992"/>
          <w:tab w:val="left" w:pos="5616"/>
          <w:tab w:val="left" w:pos="6240"/>
          <w:tab w:val="left" w:pos="6864"/>
          <w:tab w:val="left" w:pos="7488"/>
          <w:tab w:val="left" w:pos="8112"/>
          <w:tab w:val="left" w:pos="8736"/>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7661EE">
      <w:start w:val="1"/>
      <w:numFmt w:val="bullet"/>
      <w:lvlText w:val="·"/>
      <w:lvlJc w:val="left"/>
      <w:pPr>
        <w:tabs>
          <w:tab w:val="left" w:pos="624"/>
          <w:tab w:val="left" w:pos="1248"/>
          <w:tab w:val="left" w:pos="1872"/>
          <w:tab w:val="left" w:pos="2496"/>
          <w:tab w:val="left" w:pos="3120"/>
          <w:tab w:val="left" w:pos="3744"/>
          <w:tab w:val="left" w:pos="4368"/>
          <w:tab w:val="left" w:pos="5616"/>
          <w:tab w:val="left" w:pos="6240"/>
          <w:tab w:val="left" w:pos="6864"/>
          <w:tab w:val="left" w:pos="7488"/>
          <w:tab w:val="left" w:pos="8112"/>
          <w:tab w:val="left" w:pos="8736"/>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762F10">
      <w:start w:val="1"/>
      <w:numFmt w:val="bullet"/>
      <w:lvlText w:val="o"/>
      <w:lvlJc w:val="left"/>
      <w:pPr>
        <w:tabs>
          <w:tab w:val="left" w:pos="624"/>
          <w:tab w:val="left" w:pos="1248"/>
          <w:tab w:val="left" w:pos="1872"/>
          <w:tab w:val="left" w:pos="2496"/>
          <w:tab w:val="left" w:pos="3120"/>
          <w:tab w:val="left" w:pos="3744"/>
          <w:tab w:val="left" w:pos="4368"/>
          <w:tab w:val="left" w:pos="4992"/>
          <w:tab w:val="left" w:pos="6240"/>
          <w:tab w:val="left" w:pos="6864"/>
          <w:tab w:val="left" w:pos="7488"/>
          <w:tab w:val="left" w:pos="8112"/>
          <w:tab w:val="left" w:pos="8736"/>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626FC2">
      <w:start w:val="1"/>
      <w:numFmt w:val="bullet"/>
      <w:lvlText w:val="▪"/>
      <w:lvlJc w:val="left"/>
      <w:pPr>
        <w:tabs>
          <w:tab w:val="left" w:pos="624"/>
          <w:tab w:val="left" w:pos="1248"/>
          <w:tab w:val="left" w:pos="1872"/>
          <w:tab w:val="left" w:pos="2496"/>
          <w:tab w:val="left" w:pos="3120"/>
          <w:tab w:val="left" w:pos="3744"/>
          <w:tab w:val="left" w:pos="4368"/>
          <w:tab w:val="left" w:pos="4992"/>
          <w:tab w:val="left" w:pos="5616"/>
          <w:tab w:val="left" w:pos="6864"/>
          <w:tab w:val="left" w:pos="7488"/>
          <w:tab w:val="left" w:pos="8112"/>
          <w:tab w:val="left" w:pos="8736"/>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D230679"/>
    <w:multiLevelType w:val="hybridMultilevel"/>
    <w:tmpl w:val="FAA09120"/>
    <w:lvl w:ilvl="0" w:tplc="04090005">
      <w:start w:val="1"/>
      <w:numFmt w:val="bullet"/>
      <w:lvlText w:val=""/>
      <w:lvlJc w:val="left"/>
      <w:pPr>
        <w:tabs>
          <w:tab w:val="num"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108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A8984E68">
      <w:start w:val="1"/>
      <w:numFmt w:val="bullet"/>
      <w:lvlText w:val="o"/>
      <w:lvlJc w:val="left"/>
      <w:pPr>
        <w:tabs>
          <w:tab w:val="left" w:pos="984"/>
          <w:tab w:val="num"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1703" w:hanging="2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E68234">
      <w:start w:val="1"/>
      <w:numFmt w:val="bullet"/>
      <w:lvlText w:val="▪"/>
      <w:lvlJc w:val="left"/>
      <w:pPr>
        <w:tabs>
          <w:tab w:val="left" w:pos="984"/>
          <w:tab w:val="left" w:pos="1247"/>
          <w:tab w:val="left" w:pos="1248"/>
          <w:tab w:val="left" w:pos="1814"/>
          <w:tab w:val="left" w:pos="1872"/>
          <w:tab w:val="num" w:pos="2160"/>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26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0E8436">
      <w:start w:val="1"/>
      <w:numFmt w:val="bullet"/>
      <w:lvlText w:val="·"/>
      <w:lvlJc w:val="left"/>
      <w:pPr>
        <w:tabs>
          <w:tab w:val="left" w:pos="984"/>
          <w:tab w:val="left" w:pos="1247"/>
          <w:tab w:val="left" w:pos="1248"/>
          <w:tab w:val="left" w:pos="1814"/>
          <w:tab w:val="left" w:pos="1872"/>
          <w:tab w:val="left" w:pos="2381"/>
          <w:tab w:val="left" w:pos="2496"/>
          <w:tab w:val="num" w:pos="2880"/>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333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2C32A0">
      <w:start w:val="1"/>
      <w:numFmt w:val="bullet"/>
      <w:lvlText w:val="o"/>
      <w:lvlJc w:val="left"/>
      <w:pPr>
        <w:tabs>
          <w:tab w:val="left" w:pos="984"/>
          <w:tab w:val="left" w:pos="1247"/>
          <w:tab w:val="left" w:pos="1248"/>
          <w:tab w:val="left" w:pos="1814"/>
          <w:tab w:val="left" w:pos="1872"/>
          <w:tab w:val="left" w:pos="2381"/>
          <w:tab w:val="left" w:pos="2496"/>
          <w:tab w:val="left" w:pos="2948"/>
          <w:tab w:val="left" w:pos="3120"/>
          <w:tab w:val="num" w:pos="3515"/>
          <w:tab w:val="left" w:pos="3744"/>
          <w:tab w:val="left" w:pos="4082"/>
          <w:tab w:val="left" w:pos="4368"/>
          <w:tab w:val="left" w:pos="4992"/>
          <w:tab w:val="left" w:pos="5616"/>
          <w:tab w:val="left" w:pos="6240"/>
          <w:tab w:val="left" w:pos="6864"/>
          <w:tab w:val="left" w:pos="7488"/>
          <w:tab w:val="left" w:pos="8112"/>
          <w:tab w:val="left" w:pos="8520"/>
        </w:tabs>
        <w:ind w:left="3971" w:hanging="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82A128">
      <w:start w:val="1"/>
      <w:numFmt w:val="bullet"/>
      <w:suff w:val="nothing"/>
      <w:lvlText w:val="▪"/>
      <w:lvlJc w:val="left"/>
      <w:pPr>
        <w:tabs>
          <w:tab w:val="left"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left" w:pos="6240"/>
          <w:tab w:val="left" w:pos="6864"/>
          <w:tab w:val="left" w:pos="7488"/>
          <w:tab w:val="left" w:pos="8112"/>
          <w:tab w:val="left" w:pos="8520"/>
        </w:tabs>
        <w:ind w:left="4527" w:hanging="20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B2987C">
      <w:start w:val="1"/>
      <w:numFmt w:val="bullet"/>
      <w:lvlText w:val="·"/>
      <w:lvlJc w:val="left"/>
      <w:pPr>
        <w:tabs>
          <w:tab w:val="left"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num" w:pos="5040"/>
          <w:tab w:val="left" w:pos="5616"/>
          <w:tab w:val="left" w:pos="6240"/>
          <w:tab w:val="left" w:pos="6864"/>
          <w:tab w:val="left" w:pos="7488"/>
          <w:tab w:val="left" w:pos="8112"/>
          <w:tab w:val="left" w:pos="8520"/>
        </w:tabs>
        <w:ind w:left="549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FC4450">
      <w:start w:val="1"/>
      <w:numFmt w:val="bullet"/>
      <w:lvlText w:val="o"/>
      <w:lvlJc w:val="left"/>
      <w:pPr>
        <w:tabs>
          <w:tab w:val="left"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num" w:pos="5760"/>
          <w:tab w:val="left" w:pos="6240"/>
          <w:tab w:val="left" w:pos="6864"/>
          <w:tab w:val="left" w:pos="7488"/>
          <w:tab w:val="left" w:pos="8112"/>
          <w:tab w:val="left" w:pos="8520"/>
        </w:tabs>
        <w:ind w:left="62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3C7144">
      <w:start w:val="1"/>
      <w:numFmt w:val="bullet"/>
      <w:lvlText w:val="▪"/>
      <w:lvlJc w:val="left"/>
      <w:pPr>
        <w:tabs>
          <w:tab w:val="left" w:pos="984"/>
          <w:tab w:val="left" w:pos="1247"/>
          <w:tab w:val="left" w:pos="1248"/>
          <w:tab w:val="left" w:pos="1814"/>
          <w:tab w:val="left" w:pos="1872"/>
          <w:tab w:val="left" w:pos="2381"/>
          <w:tab w:val="left" w:pos="2496"/>
          <w:tab w:val="left" w:pos="2948"/>
          <w:tab w:val="left" w:pos="3120"/>
          <w:tab w:val="left" w:pos="3515"/>
          <w:tab w:val="left" w:pos="3744"/>
          <w:tab w:val="left" w:pos="4082"/>
          <w:tab w:val="left" w:pos="4368"/>
          <w:tab w:val="left" w:pos="4992"/>
          <w:tab w:val="left" w:pos="5616"/>
          <w:tab w:val="num" w:pos="6480"/>
          <w:tab w:val="left" w:pos="6864"/>
          <w:tab w:val="left" w:pos="7488"/>
          <w:tab w:val="left" w:pos="8112"/>
          <w:tab w:val="left" w:pos="8520"/>
        </w:tabs>
        <w:ind w:left="693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8"/>
  </w:num>
  <w:num w:numId="2">
    <w:abstractNumId w:val="10"/>
  </w:num>
  <w:num w:numId="3">
    <w:abstractNumId w:val="37"/>
  </w:num>
  <w:num w:numId="4">
    <w:abstractNumId w:val="18"/>
  </w:num>
  <w:num w:numId="5">
    <w:abstractNumId w:val="29"/>
  </w:num>
  <w:num w:numId="6">
    <w:abstractNumId w:val="13"/>
  </w:num>
  <w:num w:numId="7">
    <w:abstractNumId w:val="12"/>
  </w:num>
  <w:num w:numId="8">
    <w:abstractNumId w:val="8"/>
  </w:num>
  <w:num w:numId="9">
    <w:abstractNumId w:val="2"/>
  </w:num>
  <w:num w:numId="10">
    <w:abstractNumId w:val="31"/>
  </w:num>
  <w:num w:numId="11">
    <w:abstractNumId w:val="23"/>
  </w:num>
  <w:num w:numId="12">
    <w:abstractNumId w:val="43"/>
  </w:num>
  <w:num w:numId="13">
    <w:abstractNumId w:val="36"/>
  </w:num>
  <w:num w:numId="14">
    <w:abstractNumId w:val="28"/>
  </w:num>
  <w:num w:numId="15">
    <w:abstractNumId w:val="43"/>
    <w:lvlOverride w:ilvl="0">
      <w:startOverride w:val="4"/>
    </w:lvlOverride>
  </w:num>
  <w:num w:numId="16">
    <w:abstractNumId w:val="43"/>
    <w:lvlOverride w:ilvl="0">
      <w:lvl w:ilvl="0" w:tplc="156AFA5E">
        <w:start w:val="1"/>
        <w:numFmt w:val="decimal"/>
        <w:lvlText w:val="%1."/>
        <w:lvlJc w:val="left"/>
        <w:pPr>
          <w:tabs>
            <w:tab w:val="left" w:pos="624"/>
            <w:tab w:val="left" w:pos="1247"/>
            <w:tab w:val="num" w:pos="1814"/>
            <w:tab w:val="left" w:pos="1872"/>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ind w:left="1247"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95461A5A">
        <w:start w:val="1"/>
        <w:numFmt w:val="lowerLetter"/>
        <w:lvlText w:val="%2."/>
        <w:lvlJc w:val="left"/>
        <w:pPr>
          <w:tabs>
            <w:tab w:val="left" w:pos="624"/>
            <w:tab w:val="left" w:pos="1247"/>
            <w:tab w:val="left" w:pos="1814"/>
            <w:tab w:val="left" w:pos="1872"/>
            <w:tab w:val="num" w:pos="2534"/>
            <w:tab w:val="left" w:pos="2948"/>
            <w:tab w:val="left" w:pos="3515"/>
            <w:tab w:val="left" w:pos="4082"/>
            <w:tab w:val="left" w:pos="4368"/>
            <w:tab w:val="left" w:pos="4992"/>
            <w:tab w:val="left" w:pos="5616"/>
            <w:tab w:val="left" w:pos="6240"/>
            <w:tab w:val="left" w:pos="6864"/>
            <w:tab w:val="left" w:pos="7488"/>
            <w:tab w:val="left" w:pos="8112"/>
            <w:tab w:val="left" w:pos="8736"/>
          </w:tabs>
          <w:ind w:left="1967" w:firstLine="249"/>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68309926">
        <w:start w:val="1"/>
        <w:numFmt w:val="lowerRoman"/>
        <w:lvlText w:val="%3."/>
        <w:lvlJc w:val="left"/>
        <w:pPr>
          <w:tabs>
            <w:tab w:val="left" w:pos="624"/>
            <w:tab w:val="left" w:pos="1247"/>
            <w:tab w:val="left" w:pos="1814"/>
            <w:tab w:val="left" w:pos="1872"/>
            <w:tab w:val="left" w:pos="2381"/>
            <w:tab w:val="left" w:pos="2948"/>
            <w:tab w:val="num" w:pos="3254"/>
            <w:tab w:val="left" w:pos="3515"/>
            <w:tab w:val="left" w:pos="4082"/>
            <w:tab w:val="left" w:pos="4368"/>
            <w:tab w:val="left" w:pos="4992"/>
            <w:tab w:val="left" w:pos="5616"/>
            <w:tab w:val="left" w:pos="6240"/>
            <w:tab w:val="left" w:pos="6864"/>
            <w:tab w:val="left" w:pos="7488"/>
            <w:tab w:val="left" w:pos="8112"/>
            <w:tab w:val="left" w:pos="8736"/>
          </w:tabs>
          <w:ind w:left="2687" w:firstLine="20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C3FAE488">
        <w:start w:val="1"/>
        <w:numFmt w:val="decimal"/>
        <w:lvlText w:val="%4."/>
        <w:lvlJc w:val="left"/>
        <w:pPr>
          <w:tabs>
            <w:tab w:val="left" w:pos="624"/>
            <w:tab w:val="left" w:pos="1247"/>
            <w:tab w:val="left" w:pos="1814"/>
            <w:tab w:val="left" w:pos="1872"/>
            <w:tab w:val="left" w:pos="2381"/>
            <w:tab w:val="left" w:pos="2948"/>
            <w:tab w:val="left" w:pos="3515"/>
            <w:tab w:val="num" w:pos="3974"/>
            <w:tab w:val="left" w:pos="4082"/>
            <w:tab w:val="left" w:pos="4368"/>
            <w:tab w:val="left" w:pos="4992"/>
            <w:tab w:val="left" w:pos="5616"/>
            <w:tab w:val="left" w:pos="6240"/>
            <w:tab w:val="left" w:pos="6864"/>
            <w:tab w:val="left" w:pos="7488"/>
            <w:tab w:val="left" w:pos="8112"/>
            <w:tab w:val="left" w:pos="8736"/>
          </w:tabs>
          <w:ind w:left="3407" w:firstLine="2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B33EEE7E">
        <w:start w:val="1"/>
        <w:numFmt w:val="lowerLetter"/>
        <w:lvlText w:val="%5."/>
        <w:lvlJc w:val="left"/>
        <w:pPr>
          <w:tabs>
            <w:tab w:val="left" w:pos="624"/>
            <w:tab w:val="left" w:pos="1247"/>
            <w:tab w:val="left" w:pos="1814"/>
            <w:tab w:val="left" w:pos="1872"/>
            <w:tab w:val="left" w:pos="2381"/>
            <w:tab w:val="left" w:pos="2948"/>
            <w:tab w:val="left" w:pos="3515"/>
            <w:tab w:val="left" w:pos="4082"/>
            <w:tab w:val="left" w:pos="4368"/>
            <w:tab w:val="num" w:pos="4694"/>
            <w:tab w:val="left" w:pos="4992"/>
            <w:tab w:val="left" w:pos="5616"/>
            <w:tab w:val="left" w:pos="6240"/>
            <w:tab w:val="left" w:pos="6864"/>
            <w:tab w:val="left" w:pos="7488"/>
            <w:tab w:val="left" w:pos="8112"/>
            <w:tab w:val="left" w:pos="8736"/>
          </w:tabs>
          <w:ind w:left="4127" w:firstLine="32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1AACA948">
        <w:start w:val="1"/>
        <w:numFmt w:val="lowerRoman"/>
        <w:lvlText w:val="%6."/>
        <w:lvlJc w:val="left"/>
        <w:pPr>
          <w:tabs>
            <w:tab w:val="left" w:pos="624"/>
            <w:tab w:val="left" w:pos="1247"/>
            <w:tab w:val="left" w:pos="1814"/>
            <w:tab w:val="left" w:pos="1872"/>
            <w:tab w:val="left" w:pos="2381"/>
            <w:tab w:val="left" w:pos="2948"/>
            <w:tab w:val="left" w:pos="3515"/>
            <w:tab w:val="left" w:pos="4082"/>
            <w:tab w:val="left" w:pos="4368"/>
            <w:tab w:val="num" w:pos="5414"/>
            <w:tab w:val="left" w:pos="5616"/>
            <w:tab w:val="left" w:pos="6240"/>
            <w:tab w:val="left" w:pos="6864"/>
            <w:tab w:val="left" w:pos="7488"/>
            <w:tab w:val="left" w:pos="8112"/>
            <w:tab w:val="left" w:pos="8736"/>
          </w:tabs>
          <w:ind w:left="4847" w:hanging="13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DAA80D80">
        <w:start w:val="1"/>
        <w:numFmt w:val="decimal"/>
        <w:lvlText w:val="%7."/>
        <w:lvlJc w:val="left"/>
        <w:pPr>
          <w:tabs>
            <w:tab w:val="left" w:pos="624"/>
            <w:tab w:val="left" w:pos="1247"/>
            <w:tab w:val="left" w:pos="1814"/>
            <w:tab w:val="left" w:pos="1872"/>
            <w:tab w:val="left" w:pos="2381"/>
            <w:tab w:val="left" w:pos="2948"/>
            <w:tab w:val="left" w:pos="3515"/>
            <w:tab w:val="left" w:pos="4082"/>
            <w:tab w:val="left" w:pos="4368"/>
            <w:tab w:val="left" w:pos="4992"/>
            <w:tab w:val="left" w:pos="5616"/>
            <w:tab w:val="num" w:pos="6134"/>
            <w:tab w:val="left" w:pos="6240"/>
            <w:tab w:val="left" w:pos="6864"/>
            <w:tab w:val="left" w:pos="7488"/>
            <w:tab w:val="left" w:pos="8112"/>
            <w:tab w:val="left" w:pos="8736"/>
          </w:tabs>
          <w:ind w:left="5567" w:hanging="10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6A3294A4">
        <w:start w:val="1"/>
        <w:numFmt w:val="lowerLetter"/>
        <w:lvlText w:val="%8."/>
        <w:lvlJc w:val="left"/>
        <w:pPr>
          <w:tabs>
            <w:tab w:val="left" w:pos="624"/>
            <w:tab w:val="left" w:pos="1247"/>
            <w:tab w:val="left" w:pos="1814"/>
            <w:tab w:val="left" w:pos="1872"/>
            <w:tab w:val="left" w:pos="2381"/>
            <w:tab w:val="left" w:pos="2948"/>
            <w:tab w:val="left" w:pos="3515"/>
            <w:tab w:val="left" w:pos="4082"/>
            <w:tab w:val="left" w:pos="4368"/>
            <w:tab w:val="left" w:pos="4992"/>
            <w:tab w:val="left" w:pos="5616"/>
            <w:tab w:val="left" w:pos="6240"/>
            <w:tab w:val="num" w:pos="6854"/>
            <w:tab w:val="left" w:pos="6864"/>
            <w:tab w:val="left" w:pos="7488"/>
            <w:tab w:val="left" w:pos="8112"/>
            <w:tab w:val="left" w:pos="8736"/>
          </w:tabs>
          <w:ind w:left="6287" w:hanging="1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0A83DB4">
        <w:start w:val="1"/>
        <w:numFmt w:val="lowerRoman"/>
        <w:lvlText w:val="%9."/>
        <w:lvlJc w:val="left"/>
        <w:pPr>
          <w:tabs>
            <w:tab w:val="left" w:pos="624"/>
            <w:tab w:val="left" w:pos="1247"/>
            <w:tab w:val="left" w:pos="1814"/>
            <w:tab w:val="left" w:pos="1872"/>
            <w:tab w:val="left" w:pos="2381"/>
            <w:tab w:val="left" w:pos="2948"/>
            <w:tab w:val="left" w:pos="3515"/>
            <w:tab w:val="left" w:pos="4082"/>
            <w:tab w:val="left" w:pos="4368"/>
            <w:tab w:val="left" w:pos="4992"/>
            <w:tab w:val="left" w:pos="5616"/>
            <w:tab w:val="left" w:pos="6240"/>
            <w:tab w:val="left" w:pos="6864"/>
            <w:tab w:val="num" w:pos="7574"/>
            <w:tab w:val="left" w:pos="8112"/>
            <w:tab w:val="left" w:pos="8736"/>
          </w:tabs>
          <w:ind w:left="7007" w:firstLine="15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17">
    <w:abstractNumId w:val="43"/>
    <w:lvlOverride w:ilvl="0">
      <w:lvl w:ilvl="0" w:tplc="156AFA5E">
        <w:start w:val="1"/>
        <w:numFmt w:val="decimal"/>
        <w:lvlText w:val="%1."/>
        <w:lvlJc w:val="left"/>
        <w:pPr>
          <w:tabs>
            <w:tab w:val="left" w:pos="624"/>
            <w:tab w:val="left" w:pos="1247"/>
            <w:tab w:val="num" w:pos="1814"/>
            <w:tab w:val="left" w:pos="1815"/>
            <w:tab w:val="left" w:pos="2381"/>
            <w:tab w:val="left" w:pos="2948"/>
            <w:tab w:val="left" w:pos="3515"/>
            <w:tab w:val="left" w:pos="4082"/>
            <w:tab w:val="left" w:pos="4368"/>
            <w:tab w:val="left" w:pos="4992"/>
            <w:tab w:val="left" w:pos="5616"/>
            <w:tab w:val="left" w:pos="6240"/>
            <w:tab w:val="left" w:pos="6864"/>
            <w:tab w:val="left" w:pos="7488"/>
            <w:tab w:val="left" w:pos="8112"/>
            <w:tab w:val="left" w:pos="8736"/>
          </w:tabs>
          <w:ind w:left="1190" w:firstLine="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5461A5A">
        <w:start w:val="1"/>
        <w:numFmt w:val="lowerLetter"/>
        <w:lvlText w:val="%2."/>
        <w:lvlJc w:val="left"/>
        <w:pPr>
          <w:tabs>
            <w:tab w:val="left" w:pos="624"/>
            <w:tab w:val="left" w:pos="1247"/>
            <w:tab w:val="left" w:pos="1814"/>
            <w:tab w:val="left" w:pos="1815"/>
            <w:tab w:val="num" w:pos="2543"/>
            <w:tab w:val="left" w:pos="2948"/>
            <w:tab w:val="left" w:pos="3515"/>
            <w:tab w:val="left" w:pos="4082"/>
            <w:tab w:val="left" w:pos="4368"/>
            <w:tab w:val="left" w:pos="4992"/>
            <w:tab w:val="left" w:pos="5616"/>
            <w:tab w:val="left" w:pos="6240"/>
            <w:tab w:val="left" w:pos="6864"/>
            <w:tab w:val="left" w:pos="7488"/>
            <w:tab w:val="left" w:pos="8112"/>
            <w:tab w:val="left" w:pos="8736"/>
          </w:tabs>
          <w:ind w:left="1919" w:firstLine="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8309926">
        <w:start w:val="1"/>
        <w:numFmt w:val="lowerRoman"/>
        <w:lvlText w:val="%3."/>
        <w:lvlJc w:val="left"/>
        <w:pPr>
          <w:tabs>
            <w:tab w:val="left" w:pos="624"/>
            <w:tab w:val="left" w:pos="1247"/>
            <w:tab w:val="left" w:pos="1814"/>
            <w:tab w:val="left" w:pos="1815"/>
            <w:tab w:val="left" w:pos="2381"/>
            <w:tab w:val="left" w:pos="2948"/>
            <w:tab w:val="num" w:pos="3279"/>
            <w:tab w:val="left" w:pos="3515"/>
            <w:tab w:val="left" w:pos="4082"/>
            <w:tab w:val="left" w:pos="4368"/>
            <w:tab w:val="left" w:pos="4992"/>
            <w:tab w:val="left" w:pos="5616"/>
            <w:tab w:val="left" w:pos="6240"/>
            <w:tab w:val="left" w:pos="6864"/>
            <w:tab w:val="left" w:pos="7488"/>
            <w:tab w:val="left" w:pos="8112"/>
            <w:tab w:val="left" w:pos="8736"/>
          </w:tabs>
          <w:ind w:left="2655" w:firstLine="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3FAE488">
        <w:start w:val="1"/>
        <w:numFmt w:val="decimal"/>
        <w:lvlText w:val="%4."/>
        <w:lvlJc w:val="left"/>
        <w:pPr>
          <w:tabs>
            <w:tab w:val="left" w:pos="624"/>
            <w:tab w:val="left" w:pos="1247"/>
            <w:tab w:val="left" w:pos="1814"/>
            <w:tab w:val="left" w:pos="1815"/>
            <w:tab w:val="left" w:pos="2381"/>
            <w:tab w:val="left" w:pos="2948"/>
            <w:tab w:val="left" w:pos="3515"/>
            <w:tab w:val="num" w:pos="4000"/>
            <w:tab w:val="left" w:pos="4082"/>
            <w:tab w:val="left" w:pos="4368"/>
            <w:tab w:val="left" w:pos="4992"/>
            <w:tab w:val="left" w:pos="5616"/>
            <w:tab w:val="left" w:pos="6240"/>
            <w:tab w:val="left" w:pos="6864"/>
            <w:tab w:val="left" w:pos="7488"/>
            <w:tab w:val="left" w:pos="8112"/>
            <w:tab w:val="left" w:pos="8736"/>
          </w:tabs>
          <w:ind w:left="3376" w:firstLine="3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33EEE7E">
        <w:start w:val="1"/>
        <w:numFmt w:val="lowerLetter"/>
        <w:lvlText w:val="%5."/>
        <w:lvlJc w:val="left"/>
        <w:pPr>
          <w:tabs>
            <w:tab w:val="left" w:pos="624"/>
            <w:tab w:val="left" w:pos="1247"/>
            <w:tab w:val="left" w:pos="1814"/>
            <w:tab w:val="left" w:pos="1815"/>
            <w:tab w:val="left" w:pos="2381"/>
            <w:tab w:val="left" w:pos="2948"/>
            <w:tab w:val="left" w:pos="3515"/>
            <w:tab w:val="left" w:pos="4082"/>
            <w:tab w:val="left" w:pos="4368"/>
            <w:tab w:val="num" w:pos="4729"/>
            <w:tab w:val="left" w:pos="4992"/>
            <w:tab w:val="left" w:pos="5616"/>
            <w:tab w:val="left" w:pos="6240"/>
            <w:tab w:val="left" w:pos="6864"/>
            <w:tab w:val="left" w:pos="7488"/>
            <w:tab w:val="left" w:pos="8112"/>
            <w:tab w:val="left" w:pos="8736"/>
          </w:tabs>
          <w:ind w:left="4105" w:firstLine="4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AACA948">
        <w:start w:val="1"/>
        <w:numFmt w:val="lowerRoman"/>
        <w:lvlText w:val="%6."/>
        <w:lvlJc w:val="left"/>
        <w:pPr>
          <w:tabs>
            <w:tab w:val="left" w:pos="624"/>
            <w:tab w:val="left" w:pos="1247"/>
            <w:tab w:val="left" w:pos="1814"/>
            <w:tab w:val="left" w:pos="1815"/>
            <w:tab w:val="left" w:pos="2381"/>
            <w:tab w:val="left" w:pos="2948"/>
            <w:tab w:val="left" w:pos="3515"/>
            <w:tab w:val="left" w:pos="4082"/>
            <w:tab w:val="left" w:pos="4368"/>
            <w:tab w:val="num" w:pos="5408"/>
            <w:tab w:val="left" w:pos="5616"/>
            <w:tab w:val="left" w:pos="6240"/>
            <w:tab w:val="left" w:pos="6864"/>
            <w:tab w:val="left" w:pos="7488"/>
            <w:tab w:val="left" w:pos="8112"/>
            <w:tab w:val="left" w:pos="8736"/>
          </w:tabs>
          <w:ind w:left="4784" w:hanging="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AA80D80">
        <w:start w:val="1"/>
        <w:numFmt w:val="decimal"/>
        <w:lvlText w:val="%7."/>
        <w:lvlJc w:val="left"/>
        <w:pPr>
          <w:tabs>
            <w:tab w:val="left" w:pos="624"/>
            <w:tab w:val="left" w:pos="1247"/>
            <w:tab w:val="left" w:pos="1814"/>
            <w:tab w:val="left" w:pos="1815"/>
            <w:tab w:val="left" w:pos="2381"/>
            <w:tab w:val="left" w:pos="2948"/>
            <w:tab w:val="left" w:pos="3515"/>
            <w:tab w:val="left" w:pos="4082"/>
            <w:tab w:val="left" w:pos="4368"/>
            <w:tab w:val="left" w:pos="4992"/>
            <w:tab w:val="left" w:pos="5616"/>
            <w:tab w:val="num" w:pos="6130"/>
            <w:tab w:val="left" w:pos="6240"/>
            <w:tab w:val="left" w:pos="6864"/>
            <w:tab w:val="left" w:pos="7488"/>
            <w:tab w:val="left" w:pos="8112"/>
            <w:tab w:val="left" w:pos="8736"/>
          </w:tabs>
          <w:ind w:left="5506" w:firstLine="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A3294A4">
        <w:start w:val="1"/>
        <w:numFmt w:val="lowerLetter"/>
        <w:lvlText w:val="%8."/>
        <w:lvlJc w:val="left"/>
        <w:pPr>
          <w:tabs>
            <w:tab w:val="left" w:pos="624"/>
            <w:tab w:val="left" w:pos="1247"/>
            <w:tab w:val="left" w:pos="1814"/>
            <w:tab w:val="left" w:pos="1815"/>
            <w:tab w:val="left" w:pos="2381"/>
            <w:tab w:val="left" w:pos="2948"/>
            <w:tab w:val="left" w:pos="3515"/>
            <w:tab w:val="left" w:pos="4082"/>
            <w:tab w:val="left" w:pos="4368"/>
            <w:tab w:val="left" w:pos="4992"/>
            <w:tab w:val="left" w:pos="5616"/>
            <w:tab w:val="left" w:pos="6240"/>
            <w:tab w:val="num" w:pos="6859"/>
            <w:tab w:val="left" w:pos="6864"/>
            <w:tab w:val="left" w:pos="7488"/>
            <w:tab w:val="left" w:pos="8112"/>
            <w:tab w:val="left" w:pos="8736"/>
          </w:tabs>
          <w:ind w:left="6235" w:firstLine="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0A83DB4">
        <w:start w:val="1"/>
        <w:numFmt w:val="lowerRoman"/>
        <w:lvlText w:val="%9."/>
        <w:lvlJc w:val="left"/>
        <w:pPr>
          <w:tabs>
            <w:tab w:val="left" w:pos="624"/>
            <w:tab w:val="left" w:pos="1247"/>
            <w:tab w:val="left" w:pos="1814"/>
            <w:tab w:val="left" w:pos="1815"/>
            <w:tab w:val="left" w:pos="2381"/>
            <w:tab w:val="left" w:pos="2948"/>
            <w:tab w:val="left" w:pos="3515"/>
            <w:tab w:val="left" w:pos="4082"/>
            <w:tab w:val="left" w:pos="4368"/>
            <w:tab w:val="left" w:pos="4992"/>
            <w:tab w:val="left" w:pos="5616"/>
            <w:tab w:val="left" w:pos="6240"/>
            <w:tab w:val="left" w:pos="6864"/>
            <w:tab w:val="num" w:pos="7595"/>
            <w:tab w:val="left" w:pos="8112"/>
            <w:tab w:val="left" w:pos="8736"/>
          </w:tabs>
          <w:ind w:left="6971" w:firstLine="25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44"/>
  </w:num>
  <w:num w:numId="19">
    <w:abstractNumId w:val="0"/>
  </w:num>
  <w:num w:numId="20">
    <w:abstractNumId w:val="34"/>
  </w:num>
  <w:num w:numId="21">
    <w:abstractNumId w:val="4"/>
  </w:num>
  <w:num w:numId="22">
    <w:abstractNumId w:val="21"/>
  </w:num>
  <w:num w:numId="23">
    <w:abstractNumId w:val="14"/>
  </w:num>
  <w:num w:numId="24">
    <w:abstractNumId w:val="5"/>
  </w:num>
  <w:num w:numId="25">
    <w:abstractNumId w:val="3"/>
  </w:num>
  <w:num w:numId="26">
    <w:abstractNumId w:val="20"/>
  </w:num>
  <w:num w:numId="27">
    <w:abstractNumId w:val="42"/>
  </w:num>
  <w:num w:numId="28">
    <w:abstractNumId w:val="9"/>
  </w:num>
  <w:num w:numId="29">
    <w:abstractNumId w:val="33"/>
  </w:num>
  <w:num w:numId="30">
    <w:abstractNumId w:val="30"/>
  </w:num>
  <w:num w:numId="31">
    <w:abstractNumId w:val="32"/>
  </w:num>
  <w:num w:numId="32">
    <w:abstractNumId w:val="7"/>
  </w:num>
  <w:num w:numId="33">
    <w:abstractNumId w:val="19"/>
  </w:num>
  <w:num w:numId="34">
    <w:abstractNumId w:val="40"/>
  </w:num>
  <w:num w:numId="35">
    <w:abstractNumId w:val="16"/>
  </w:num>
  <w:num w:numId="36">
    <w:abstractNumId w:val="15"/>
  </w:num>
  <w:num w:numId="37">
    <w:abstractNumId w:val="25"/>
  </w:num>
  <w:num w:numId="38">
    <w:abstractNumId w:val="27"/>
  </w:num>
  <w:num w:numId="39">
    <w:abstractNumId w:val="39"/>
  </w:num>
  <w:num w:numId="40">
    <w:abstractNumId w:val="22"/>
  </w:num>
  <w:num w:numId="41">
    <w:abstractNumId w:val="17"/>
  </w:num>
  <w:num w:numId="42">
    <w:abstractNumId w:val="6"/>
  </w:num>
  <w:num w:numId="43">
    <w:abstractNumId w:val="24"/>
  </w:num>
  <w:num w:numId="44">
    <w:abstractNumId w:val="24"/>
    <w:lvlOverride w:ilvl="0">
      <w:lvl w:ilvl="0" w:tplc="5D0E6630">
        <w:start w:val="1"/>
        <w:numFmt w:val="decimal"/>
        <w:lvlText w:val="%1."/>
        <w:lvlJc w:val="left"/>
        <w:pPr>
          <w:tabs>
            <w:tab w:val="left" w:pos="1247"/>
            <w:tab w:val="left" w:pos="1814"/>
            <w:tab w:val="left" w:pos="1872"/>
            <w:tab w:val="left" w:pos="2381"/>
            <w:tab w:val="left" w:pos="2496"/>
            <w:tab w:val="left" w:pos="2948"/>
            <w:tab w:val="left" w:pos="3120"/>
            <w:tab w:val="left" w:pos="3515"/>
            <w:tab w:val="left" w:pos="3744"/>
            <w:tab w:val="left" w:pos="4368"/>
            <w:tab w:val="left" w:pos="4992"/>
            <w:tab w:val="left" w:pos="5616"/>
            <w:tab w:val="left" w:pos="6240"/>
            <w:tab w:val="left" w:pos="6864"/>
            <w:tab w:val="left" w:pos="7488"/>
            <w:tab w:val="left" w:pos="8112"/>
            <w:tab w:val="left" w:pos="8520"/>
          </w:tabs>
          <w:ind w:left="624" w:hanging="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D404064">
        <w:start w:val="1"/>
        <w:numFmt w:val="lowerLetter"/>
        <w:lvlText w:val="%2."/>
        <w:lvlJc w:val="left"/>
        <w:pPr>
          <w:tabs>
            <w:tab w:val="left" w:pos="624"/>
            <w:tab w:val="left" w:pos="1247"/>
            <w:tab w:val="left" w:pos="1814"/>
            <w:tab w:val="left" w:pos="1872"/>
            <w:tab w:val="left" w:pos="2381"/>
            <w:tab w:val="left" w:pos="2496"/>
            <w:tab w:val="left" w:pos="2948"/>
            <w:tab w:val="left" w:pos="3120"/>
            <w:tab w:val="left" w:pos="3515"/>
            <w:tab w:val="left" w:pos="3744"/>
            <w:tab w:val="left" w:pos="4368"/>
            <w:tab w:val="left" w:pos="4992"/>
            <w:tab w:val="left" w:pos="5616"/>
            <w:tab w:val="left" w:pos="6240"/>
            <w:tab w:val="left" w:pos="6864"/>
            <w:tab w:val="left" w:pos="7488"/>
            <w:tab w:val="left" w:pos="8112"/>
            <w:tab w:val="left" w:pos="8520"/>
          </w:tabs>
          <w:ind w:left="527" w:hanging="5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1DAC6C0">
        <w:start w:val="1"/>
        <w:numFmt w:val="lowerRoman"/>
        <w:lvlText w:val="%3."/>
        <w:lvlJc w:val="left"/>
        <w:pPr>
          <w:tabs>
            <w:tab w:val="left" w:pos="624"/>
            <w:tab w:val="left" w:pos="1247"/>
            <w:tab w:val="left" w:pos="1814"/>
            <w:tab w:val="left" w:pos="1872"/>
            <w:tab w:val="left" w:pos="2381"/>
            <w:tab w:val="left" w:pos="2496"/>
            <w:tab w:val="left" w:pos="2948"/>
            <w:tab w:val="left" w:pos="3120"/>
            <w:tab w:val="left" w:pos="3515"/>
            <w:tab w:val="left" w:pos="3744"/>
            <w:tab w:val="left" w:pos="4368"/>
            <w:tab w:val="left" w:pos="4992"/>
            <w:tab w:val="left" w:pos="5616"/>
            <w:tab w:val="left" w:pos="6240"/>
            <w:tab w:val="left" w:pos="6864"/>
            <w:tab w:val="left" w:pos="7488"/>
            <w:tab w:val="left" w:pos="8112"/>
            <w:tab w:val="left" w:pos="8520"/>
          </w:tabs>
          <w:ind w:left="117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ACA1176">
        <w:start w:val="1"/>
        <w:numFmt w:val="decimal"/>
        <w:lvlText w:val="%4."/>
        <w:lvlJc w:val="left"/>
        <w:pPr>
          <w:tabs>
            <w:tab w:val="left" w:pos="624"/>
            <w:tab w:val="left" w:pos="1247"/>
            <w:tab w:val="left" w:pos="1814"/>
            <w:tab w:val="left" w:pos="2381"/>
            <w:tab w:val="left" w:pos="2496"/>
            <w:tab w:val="left" w:pos="2948"/>
            <w:tab w:val="left" w:pos="3120"/>
            <w:tab w:val="left" w:pos="3515"/>
            <w:tab w:val="left" w:pos="3744"/>
            <w:tab w:val="left" w:pos="4368"/>
            <w:tab w:val="left" w:pos="4992"/>
            <w:tab w:val="left" w:pos="5616"/>
            <w:tab w:val="left" w:pos="6240"/>
            <w:tab w:val="left" w:pos="6864"/>
            <w:tab w:val="left" w:pos="7488"/>
            <w:tab w:val="left" w:pos="8112"/>
            <w:tab w:val="left" w:pos="8520"/>
          </w:tabs>
          <w:ind w:left="1890"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ECA5724">
        <w:start w:val="1"/>
        <w:numFmt w:val="lowerLetter"/>
        <w:lvlText w:val="%5."/>
        <w:lvlJc w:val="left"/>
        <w:pPr>
          <w:tabs>
            <w:tab w:val="left" w:pos="624"/>
            <w:tab w:val="left" w:pos="1247"/>
            <w:tab w:val="left" w:pos="1814"/>
            <w:tab w:val="left" w:pos="1872"/>
            <w:tab w:val="left" w:pos="2381"/>
            <w:tab w:val="left" w:pos="2496"/>
            <w:tab w:val="left" w:pos="2948"/>
            <w:tab w:val="left" w:pos="3120"/>
            <w:tab w:val="left" w:pos="3515"/>
            <w:tab w:val="left" w:pos="3744"/>
            <w:tab w:val="left" w:pos="4368"/>
            <w:tab w:val="left" w:pos="4992"/>
            <w:tab w:val="left" w:pos="5616"/>
            <w:tab w:val="left" w:pos="6240"/>
            <w:tab w:val="left" w:pos="6864"/>
            <w:tab w:val="left" w:pos="7488"/>
            <w:tab w:val="left" w:pos="8112"/>
            <w:tab w:val="left" w:pos="8520"/>
          </w:tabs>
          <w:ind w:left="261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83EA2C0">
        <w:start w:val="1"/>
        <w:numFmt w:val="lowerRoman"/>
        <w:lvlText w:val="%6."/>
        <w:lvlJc w:val="left"/>
        <w:pPr>
          <w:tabs>
            <w:tab w:val="left" w:pos="624"/>
            <w:tab w:val="left" w:pos="1247"/>
            <w:tab w:val="left" w:pos="1814"/>
            <w:tab w:val="left" w:pos="1872"/>
            <w:tab w:val="left" w:pos="2381"/>
            <w:tab w:val="left" w:pos="2496"/>
            <w:tab w:val="left" w:pos="3515"/>
            <w:tab w:val="left" w:pos="3744"/>
            <w:tab w:val="left" w:pos="4368"/>
            <w:tab w:val="left" w:pos="4992"/>
            <w:tab w:val="left" w:pos="5616"/>
            <w:tab w:val="left" w:pos="6240"/>
            <w:tab w:val="left" w:pos="6864"/>
            <w:tab w:val="left" w:pos="7488"/>
            <w:tab w:val="left" w:pos="8112"/>
            <w:tab w:val="left" w:pos="8520"/>
          </w:tabs>
          <w:ind w:left="3330" w:hanging="6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EC820B0">
        <w:start w:val="1"/>
        <w:numFmt w:val="decimal"/>
        <w:lvlText w:val="%7."/>
        <w:lvlJc w:val="left"/>
        <w:pPr>
          <w:tabs>
            <w:tab w:val="left" w:pos="624"/>
            <w:tab w:val="left" w:pos="1247"/>
            <w:tab w:val="left" w:pos="1814"/>
            <w:tab w:val="left" w:pos="1872"/>
            <w:tab w:val="left" w:pos="2381"/>
            <w:tab w:val="left" w:pos="2496"/>
            <w:tab w:val="left" w:pos="2948"/>
            <w:tab w:val="left" w:pos="3120"/>
            <w:tab w:val="left" w:pos="3515"/>
            <w:tab w:val="left" w:pos="4368"/>
            <w:tab w:val="left" w:pos="4992"/>
            <w:tab w:val="left" w:pos="5616"/>
            <w:tab w:val="left" w:pos="6240"/>
            <w:tab w:val="left" w:pos="6864"/>
            <w:tab w:val="left" w:pos="7488"/>
            <w:tab w:val="left" w:pos="8112"/>
            <w:tab w:val="left" w:pos="8520"/>
          </w:tabs>
          <w:ind w:left="4050"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07A89A2">
        <w:start w:val="1"/>
        <w:numFmt w:val="lowerLetter"/>
        <w:lvlText w:val="%8."/>
        <w:lvlJc w:val="left"/>
        <w:pPr>
          <w:tabs>
            <w:tab w:val="left" w:pos="624"/>
            <w:tab w:val="left" w:pos="1247"/>
            <w:tab w:val="left" w:pos="1814"/>
            <w:tab w:val="left" w:pos="1872"/>
            <w:tab w:val="left" w:pos="2381"/>
            <w:tab w:val="left" w:pos="2496"/>
            <w:tab w:val="left" w:pos="2948"/>
            <w:tab w:val="left" w:pos="3120"/>
            <w:tab w:val="left" w:pos="3515"/>
            <w:tab w:val="left" w:pos="3744"/>
            <w:tab w:val="left" w:pos="4992"/>
            <w:tab w:val="left" w:pos="5616"/>
            <w:tab w:val="left" w:pos="6240"/>
            <w:tab w:val="left" w:pos="6864"/>
            <w:tab w:val="left" w:pos="7488"/>
            <w:tab w:val="left" w:pos="8112"/>
            <w:tab w:val="left" w:pos="8520"/>
          </w:tabs>
          <w:ind w:left="4770"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AE02386">
        <w:start w:val="1"/>
        <w:numFmt w:val="lowerRoman"/>
        <w:lvlText w:val="%9."/>
        <w:lvlJc w:val="left"/>
        <w:pPr>
          <w:tabs>
            <w:tab w:val="left" w:pos="624"/>
            <w:tab w:val="left" w:pos="1247"/>
            <w:tab w:val="left" w:pos="1814"/>
            <w:tab w:val="left" w:pos="1872"/>
            <w:tab w:val="left" w:pos="2381"/>
            <w:tab w:val="left" w:pos="2496"/>
            <w:tab w:val="left" w:pos="2948"/>
            <w:tab w:val="left" w:pos="3120"/>
            <w:tab w:val="left" w:pos="3515"/>
            <w:tab w:val="left" w:pos="3744"/>
            <w:tab w:val="left" w:pos="4368"/>
            <w:tab w:val="left" w:pos="4992"/>
            <w:tab w:val="left" w:pos="5616"/>
            <w:tab w:val="left" w:pos="6240"/>
            <w:tab w:val="left" w:pos="6864"/>
            <w:tab w:val="left" w:pos="7488"/>
            <w:tab w:val="left" w:pos="8112"/>
            <w:tab w:val="left" w:pos="8520"/>
          </w:tabs>
          <w:ind w:left="5490" w:hanging="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24"/>
    <w:lvlOverride w:ilvl="0">
      <w:startOverride w:val="9"/>
      <w:lvl w:ilvl="0" w:tplc="5D0E6630">
        <w:start w:val="9"/>
        <w:numFmt w:val="decimal"/>
        <w:lvlText w:val="%1."/>
        <w:lvlJc w:val="left"/>
        <w:pPr>
          <w:ind w:left="624" w:hanging="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D404064">
        <w:start w:val="1"/>
        <w:numFmt w:val="lowerLetter"/>
        <w:lvlText w:val="%2."/>
        <w:lvlJc w:val="left"/>
        <w:pPr>
          <w:ind w:left="527" w:hanging="5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DAC6C0">
        <w:start w:val="1"/>
        <w:numFmt w:val="lowerRoman"/>
        <w:lvlText w:val="%3."/>
        <w:lvlJc w:val="left"/>
        <w:pPr>
          <w:ind w:left="117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ACA1176">
        <w:start w:val="1"/>
        <w:numFmt w:val="decimal"/>
        <w:lvlText w:val="%4."/>
        <w:lvlJc w:val="left"/>
        <w:pPr>
          <w:ind w:left="1890"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ECA5724">
        <w:start w:val="1"/>
        <w:numFmt w:val="lowerLetter"/>
        <w:lvlText w:val="%5."/>
        <w:lvlJc w:val="left"/>
        <w:pPr>
          <w:ind w:left="261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83EA2C0">
        <w:start w:val="1"/>
        <w:numFmt w:val="lowerRoman"/>
        <w:lvlText w:val="%6."/>
        <w:lvlJc w:val="left"/>
        <w:pPr>
          <w:ind w:left="3330" w:hanging="6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EC820B0">
        <w:start w:val="1"/>
        <w:numFmt w:val="decimal"/>
        <w:lvlText w:val="%7."/>
        <w:lvlJc w:val="left"/>
        <w:pPr>
          <w:ind w:left="4050"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07A89A2">
        <w:start w:val="1"/>
        <w:numFmt w:val="lowerLetter"/>
        <w:lvlText w:val="%8."/>
        <w:lvlJc w:val="left"/>
        <w:pPr>
          <w:ind w:left="4770"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AE02386">
        <w:start w:val="1"/>
        <w:numFmt w:val="lowerRoman"/>
        <w:lvlText w:val="%9."/>
        <w:lvlJc w:val="left"/>
        <w:pPr>
          <w:ind w:left="5490" w:hanging="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24"/>
    <w:lvlOverride w:ilvl="0">
      <w:startOverride w:val="15"/>
      <w:lvl w:ilvl="0" w:tplc="5D0E6630">
        <w:start w:val="15"/>
        <w:numFmt w:val="decimal"/>
        <w:lvlText w:val="%1."/>
        <w:lvlJc w:val="left"/>
        <w:pPr>
          <w:ind w:left="624" w:hanging="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D404064">
        <w:start w:val="1"/>
        <w:numFmt w:val="lowerLetter"/>
        <w:lvlText w:val="%2."/>
        <w:lvlJc w:val="left"/>
        <w:pPr>
          <w:ind w:left="527" w:hanging="5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DAC6C0">
        <w:start w:val="1"/>
        <w:numFmt w:val="lowerRoman"/>
        <w:lvlText w:val="%3."/>
        <w:lvlJc w:val="left"/>
        <w:pPr>
          <w:ind w:left="117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ACA1176">
        <w:start w:val="1"/>
        <w:numFmt w:val="decimal"/>
        <w:lvlText w:val="%4."/>
        <w:lvlJc w:val="left"/>
        <w:pPr>
          <w:ind w:left="1890"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ECA5724">
        <w:start w:val="1"/>
        <w:numFmt w:val="lowerLetter"/>
        <w:lvlText w:val="%5."/>
        <w:lvlJc w:val="left"/>
        <w:pPr>
          <w:ind w:left="261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83EA2C0">
        <w:start w:val="1"/>
        <w:numFmt w:val="lowerRoman"/>
        <w:lvlText w:val="%6."/>
        <w:lvlJc w:val="left"/>
        <w:pPr>
          <w:ind w:left="3330" w:hanging="6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EC820B0">
        <w:start w:val="1"/>
        <w:numFmt w:val="decimal"/>
        <w:lvlText w:val="%7."/>
        <w:lvlJc w:val="left"/>
        <w:pPr>
          <w:ind w:left="4050"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07A89A2">
        <w:start w:val="1"/>
        <w:numFmt w:val="lowerLetter"/>
        <w:lvlText w:val="%8."/>
        <w:lvlJc w:val="left"/>
        <w:pPr>
          <w:ind w:left="4770"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AE02386">
        <w:start w:val="1"/>
        <w:numFmt w:val="lowerRoman"/>
        <w:lvlText w:val="%9."/>
        <w:lvlJc w:val="left"/>
        <w:pPr>
          <w:ind w:left="5490" w:hanging="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
    <w:abstractNumId w:val="24"/>
    <w:lvlOverride w:ilvl="0">
      <w:startOverride w:val="21"/>
      <w:lvl w:ilvl="0" w:tplc="5D0E6630">
        <w:start w:val="21"/>
        <w:numFmt w:val="decimal"/>
        <w:lvlText w:val="%1."/>
        <w:lvlJc w:val="left"/>
        <w:pPr>
          <w:ind w:left="624" w:hanging="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D404064">
        <w:start w:val="1"/>
        <w:numFmt w:val="lowerLetter"/>
        <w:lvlText w:val="%2."/>
        <w:lvlJc w:val="left"/>
        <w:pPr>
          <w:ind w:left="527" w:hanging="5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DAC6C0">
        <w:start w:val="1"/>
        <w:numFmt w:val="lowerRoman"/>
        <w:lvlText w:val="%3."/>
        <w:lvlJc w:val="left"/>
        <w:pPr>
          <w:ind w:left="117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ACA1176">
        <w:start w:val="1"/>
        <w:numFmt w:val="decimal"/>
        <w:lvlText w:val="%4."/>
        <w:lvlJc w:val="left"/>
        <w:pPr>
          <w:ind w:left="1890"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ECA5724">
        <w:start w:val="1"/>
        <w:numFmt w:val="lowerLetter"/>
        <w:lvlText w:val="%5."/>
        <w:lvlJc w:val="left"/>
        <w:pPr>
          <w:ind w:left="261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83EA2C0">
        <w:start w:val="1"/>
        <w:numFmt w:val="lowerRoman"/>
        <w:lvlText w:val="%6."/>
        <w:lvlJc w:val="left"/>
        <w:pPr>
          <w:ind w:left="3330" w:hanging="6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EC820B0">
        <w:start w:val="1"/>
        <w:numFmt w:val="decimal"/>
        <w:lvlText w:val="%7."/>
        <w:lvlJc w:val="left"/>
        <w:pPr>
          <w:ind w:left="4050"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07A89A2">
        <w:start w:val="1"/>
        <w:numFmt w:val="lowerLetter"/>
        <w:lvlText w:val="%8."/>
        <w:lvlJc w:val="left"/>
        <w:pPr>
          <w:ind w:left="4770"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AE02386">
        <w:start w:val="1"/>
        <w:numFmt w:val="lowerRoman"/>
        <w:lvlText w:val="%9."/>
        <w:lvlJc w:val="left"/>
        <w:pPr>
          <w:ind w:left="5490" w:hanging="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
    <w:abstractNumId w:val="24"/>
    <w:lvlOverride w:ilvl="0">
      <w:startOverride w:val="23"/>
      <w:lvl w:ilvl="0" w:tplc="5D0E6630">
        <w:start w:val="23"/>
        <w:numFmt w:val="decimal"/>
        <w:lvlText w:val="%1."/>
        <w:lvlJc w:val="left"/>
        <w:pPr>
          <w:ind w:left="624" w:hanging="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D404064">
        <w:start w:val="1"/>
        <w:numFmt w:val="lowerLetter"/>
        <w:lvlText w:val="%2."/>
        <w:lvlJc w:val="left"/>
        <w:pPr>
          <w:ind w:left="527" w:hanging="5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DAC6C0">
        <w:start w:val="1"/>
        <w:numFmt w:val="lowerRoman"/>
        <w:lvlText w:val="%3."/>
        <w:lvlJc w:val="left"/>
        <w:pPr>
          <w:ind w:left="117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ACA1176">
        <w:start w:val="1"/>
        <w:numFmt w:val="decimal"/>
        <w:lvlText w:val="%4."/>
        <w:lvlJc w:val="left"/>
        <w:pPr>
          <w:ind w:left="1890"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ECA5724">
        <w:start w:val="1"/>
        <w:numFmt w:val="lowerLetter"/>
        <w:lvlText w:val="%5."/>
        <w:lvlJc w:val="left"/>
        <w:pPr>
          <w:ind w:left="261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83EA2C0">
        <w:start w:val="1"/>
        <w:numFmt w:val="lowerRoman"/>
        <w:lvlText w:val="%6."/>
        <w:lvlJc w:val="left"/>
        <w:pPr>
          <w:ind w:left="3330" w:hanging="6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EC820B0">
        <w:start w:val="1"/>
        <w:numFmt w:val="decimal"/>
        <w:lvlText w:val="%7."/>
        <w:lvlJc w:val="left"/>
        <w:pPr>
          <w:ind w:left="4050"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07A89A2">
        <w:start w:val="1"/>
        <w:numFmt w:val="lowerLetter"/>
        <w:lvlText w:val="%8."/>
        <w:lvlJc w:val="left"/>
        <w:pPr>
          <w:ind w:left="4770"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AE02386">
        <w:start w:val="1"/>
        <w:numFmt w:val="lowerRoman"/>
        <w:lvlText w:val="%9."/>
        <w:lvlJc w:val="left"/>
        <w:pPr>
          <w:ind w:left="5490" w:hanging="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
    <w:abstractNumId w:val="24"/>
    <w:lvlOverride w:ilvl="0">
      <w:startOverride w:val="26"/>
      <w:lvl w:ilvl="0" w:tplc="5D0E6630">
        <w:start w:val="26"/>
        <w:numFmt w:val="decimal"/>
        <w:lvlText w:val="%1."/>
        <w:lvlJc w:val="left"/>
        <w:pPr>
          <w:ind w:left="624" w:hanging="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D404064">
        <w:start w:val="1"/>
        <w:numFmt w:val="lowerLetter"/>
        <w:lvlText w:val="%2."/>
        <w:lvlJc w:val="left"/>
        <w:pPr>
          <w:ind w:left="527" w:hanging="5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DAC6C0">
        <w:start w:val="1"/>
        <w:numFmt w:val="lowerRoman"/>
        <w:lvlText w:val="%3."/>
        <w:lvlJc w:val="left"/>
        <w:pPr>
          <w:ind w:left="117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ACA1176">
        <w:start w:val="1"/>
        <w:numFmt w:val="decimal"/>
        <w:lvlText w:val="%4."/>
        <w:lvlJc w:val="left"/>
        <w:pPr>
          <w:ind w:left="1890"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ECA5724">
        <w:start w:val="1"/>
        <w:numFmt w:val="lowerLetter"/>
        <w:lvlText w:val="%5."/>
        <w:lvlJc w:val="left"/>
        <w:pPr>
          <w:ind w:left="261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83EA2C0">
        <w:start w:val="1"/>
        <w:numFmt w:val="lowerRoman"/>
        <w:lvlText w:val="%6."/>
        <w:lvlJc w:val="left"/>
        <w:pPr>
          <w:ind w:left="3330" w:hanging="6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EC820B0">
        <w:start w:val="1"/>
        <w:numFmt w:val="decimal"/>
        <w:lvlText w:val="%7."/>
        <w:lvlJc w:val="left"/>
        <w:pPr>
          <w:ind w:left="4050"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07A89A2">
        <w:start w:val="1"/>
        <w:numFmt w:val="lowerLetter"/>
        <w:lvlText w:val="%8."/>
        <w:lvlJc w:val="left"/>
        <w:pPr>
          <w:ind w:left="4770"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AE02386">
        <w:start w:val="1"/>
        <w:numFmt w:val="lowerRoman"/>
        <w:lvlText w:val="%9."/>
        <w:lvlJc w:val="left"/>
        <w:pPr>
          <w:ind w:left="5490" w:hanging="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
    <w:abstractNumId w:val="24"/>
    <w:lvlOverride w:ilvl="0">
      <w:startOverride w:val="33"/>
      <w:lvl w:ilvl="0" w:tplc="5D0E6630">
        <w:start w:val="33"/>
        <w:numFmt w:val="decimal"/>
        <w:lvlText w:val="%1."/>
        <w:lvlJc w:val="left"/>
        <w:pPr>
          <w:ind w:left="624" w:hanging="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D404064">
        <w:start w:val="1"/>
        <w:numFmt w:val="lowerLetter"/>
        <w:lvlText w:val="%2."/>
        <w:lvlJc w:val="left"/>
        <w:pPr>
          <w:ind w:left="527" w:hanging="5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DAC6C0">
        <w:start w:val="1"/>
        <w:numFmt w:val="lowerRoman"/>
        <w:lvlText w:val="%3."/>
        <w:lvlJc w:val="left"/>
        <w:pPr>
          <w:ind w:left="117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ACA1176">
        <w:start w:val="1"/>
        <w:numFmt w:val="decimal"/>
        <w:lvlText w:val="%4."/>
        <w:lvlJc w:val="left"/>
        <w:pPr>
          <w:ind w:left="1890"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ECA5724">
        <w:start w:val="1"/>
        <w:numFmt w:val="lowerLetter"/>
        <w:lvlText w:val="%5."/>
        <w:lvlJc w:val="left"/>
        <w:pPr>
          <w:ind w:left="261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83EA2C0">
        <w:start w:val="1"/>
        <w:numFmt w:val="lowerRoman"/>
        <w:lvlText w:val="%6."/>
        <w:lvlJc w:val="left"/>
        <w:pPr>
          <w:ind w:left="3330" w:hanging="6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EC820B0">
        <w:start w:val="1"/>
        <w:numFmt w:val="decimal"/>
        <w:lvlText w:val="%7."/>
        <w:lvlJc w:val="left"/>
        <w:pPr>
          <w:ind w:left="4050"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07A89A2">
        <w:start w:val="1"/>
        <w:numFmt w:val="lowerLetter"/>
        <w:lvlText w:val="%8."/>
        <w:lvlJc w:val="left"/>
        <w:pPr>
          <w:ind w:left="4770"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AE02386">
        <w:start w:val="1"/>
        <w:numFmt w:val="lowerRoman"/>
        <w:lvlText w:val="%9."/>
        <w:lvlJc w:val="left"/>
        <w:pPr>
          <w:ind w:left="5490" w:hanging="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24"/>
    <w:lvlOverride w:ilvl="0">
      <w:startOverride w:val="45"/>
      <w:lvl w:ilvl="0" w:tplc="5D0E6630">
        <w:start w:val="45"/>
        <w:numFmt w:val="decimal"/>
        <w:lvlText w:val="%1."/>
        <w:lvlJc w:val="left"/>
        <w:pPr>
          <w:ind w:left="624" w:hanging="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D404064">
        <w:start w:val="1"/>
        <w:numFmt w:val="lowerLetter"/>
        <w:lvlText w:val="%2."/>
        <w:lvlJc w:val="left"/>
        <w:pPr>
          <w:ind w:left="527" w:hanging="5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DAC6C0">
        <w:start w:val="1"/>
        <w:numFmt w:val="lowerRoman"/>
        <w:lvlText w:val="%3."/>
        <w:lvlJc w:val="left"/>
        <w:pPr>
          <w:ind w:left="117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ACA1176">
        <w:start w:val="1"/>
        <w:numFmt w:val="decimal"/>
        <w:lvlText w:val="%4."/>
        <w:lvlJc w:val="left"/>
        <w:pPr>
          <w:ind w:left="1890"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ECA5724">
        <w:start w:val="1"/>
        <w:numFmt w:val="lowerLetter"/>
        <w:lvlText w:val="%5."/>
        <w:lvlJc w:val="left"/>
        <w:pPr>
          <w:ind w:left="261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83EA2C0">
        <w:start w:val="1"/>
        <w:numFmt w:val="lowerRoman"/>
        <w:lvlText w:val="%6."/>
        <w:lvlJc w:val="left"/>
        <w:pPr>
          <w:ind w:left="3330" w:hanging="6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EC820B0">
        <w:start w:val="1"/>
        <w:numFmt w:val="decimal"/>
        <w:lvlText w:val="%7."/>
        <w:lvlJc w:val="left"/>
        <w:pPr>
          <w:ind w:left="4050"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07A89A2">
        <w:start w:val="1"/>
        <w:numFmt w:val="lowerLetter"/>
        <w:lvlText w:val="%8."/>
        <w:lvlJc w:val="left"/>
        <w:pPr>
          <w:ind w:left="4770"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AE02386">
        <w:start w:val="1"/>
        <w:numFmt w:val="lowerRoman"/>
        <w:lvlText w:val="%9."/>
        <w:lvlJc w:val="left"/>
        <w:pPr>
          <w:ind w:left="5490" w:hanging="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abstractNumId w:val="11"/>
  </w:num>
  <w:num w:numId="53">
    <w:abstractNumId w:val="45"/>
  </w:num>
  <w:num w:numId="54">
    <w:abstractNumId w:val="41"/>
  </w:num>
  <w:num w:numId="55">
    <w:abstractNumId w:val="1"/>
  </w:num>
  <w:num w:numId="56">
    <w:abstractNumId w:val="26"/>
  </w:num>
  <w:num w:numId="57">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2F7"/>
    <w:rsid w:val="000021F7"/>
    <w:rsid w:val="00002F16"/>
    <w:rsid w:val="00003591"/>
    <w:rsid w:val="0000776E"/>
    <w:rsid w:val="000134F7"/>
    <w:rsid w:val="0001540B"/>
    <w:rsid w:val="00020093"/>
    <w:rsid w:val="0003336C"/>
    <w:rsid w:val="00034BB4"/>
    <w:rsid w:val="00043A9E"/>
    <w:rsid w:val="0004498F"/>
    <w:rsid w:val="00045796"/>
    <w:rsid w:val="00046355"/>
    <w:rsid w:val="0005196D"/>
    <w:rsid w:val="00057931"/>
    <w:rsid w:val="00061115"/>
    <w:rsid w:val="000629FA"/>
    <w:rsid w:val="00064B0A"/>
    <w:rsid w:val="00065578"/>
    <w:rsid w:val="00071544"/>
    <w:rsid w:val="00073B48"/>
    <w:rsid w:val="00074895"/>
    <w:rsid w:val="00075314"/>
    <w:rsid w:val="0008093F"/>
    <w:rsid w:val="000828EF"/>
    <w:rsid w:val="000A0873"/>
    <w:rsid w:val="000A4E5C"/>
    <w:rsid w:val="000B217F"/>
    <w:rsid w:val="000B3334"/>
    <w:rsid w:val="000C56A5"/>
    <w:rsid w:val="000D34C7"/>
    <w:rsid w:val="000D40E3"/>
    <w:rsid w:val="000E16AF"/>
    <w:rsid w:val="000E7256"/>
    <w:rsid w:val="000F179A"/>
    <w:rsid w:val="000F5F3E"/>
    <w:rsid w:val="001049D1"/>
    <w:rsid w:val="00104E0F"/>
    <w:rsid w:val="00106FBD"/>
    <w:rsid w:val="00115975"/>
    <w:rsid w:val="00117B4C"/>
    <w:rsid w:val="00123EAE"/>
    <w:rsid w:val="00124C12"/>
    <w:rsid w:val="00125CC7"/>
    <w:rsid w:val="00130E11"/>
    <w:rsid w:val="001322DA"/>
    <w:rsid w:val="00134394"/>
    <w:rsid w:val="0014377B"/>
    <w:rsid w:val="00150A5C"/>
    <w:rsid w:val="00150D97"/>
    <w:rsid w:val="001552F3"/>
    <w:rsid w:val="00156D11"/>
    <w:rsid w:val="00162DCF"/>
    <w:rsid w:val="00164649"/>
    <w:rsid w:val="00167389"/>
    <w:rsid w:val="0017114F"/>
    <w:rsid w:val="0017249C"/>
    <w:rsid w:val="00174C6E"/>
    <w:rsid w:val="00180161"/>
    <w:rsid w:val="0018496D"/>
    <w:rsid w:val="00186797"/>
    <w:rsid w:val="001877BB"/>
    <w:rsid w:val="00193F2A"/>
    <w:rsid w:val="00194AE5"/>
    <w:rsid w:val="00195AC3"/>
    <w:rsid w:val="001A63E8"/>
    <w:rsid w:val="001C3D82"/>
    <w:rsid w:val="001C50F2"/>
    <w:rsid w:val="001C5E62"/>
    <w:rsid w:val="001C765B"/>
    <w:rsid w:val="001D1461"/>
    <w:rsid w:val="001D51FA"/>
    <w:rsid w:val="001E114C"/>
    <w:rsid w:val="001E4483"/>
    <w:rsid w:val="001E7384"/>
    <w:rsid w:val="001F0AC6"/>
    <w:rsid w:val="001F118C"/>
    <w:rsid w:val="001F1D3F"/>
    <w:rsid w:val="00200557"/>
    <w:rsid w:val="00202041"/>
    <w:rsid w:val="00207737"/>
    <w:rsid w:val="00211F9C"/>
    <w:rsid w:val="00213DA0"/>
    <w:rsid w:val="00220C38"/>
    <w:rsid w:val="0022456E"/>
    <w:rsid w:val="00226FA4"/>
    <w:rsid w:val="0023412D"/>
    <w:rsid w:val="002343DC"/>
    <w:rsid w:val="00236B0C"/>
    <w:rsid w:val="0024786B"/>
    <w:rsid w:val="00247FAE"/>
    <w:rsid w:val="00251895"/>
    <w:rsid w:val="0025348A"/>
    <w:rsid w:val="00253802"/>
    <w:rsid w:val="002544DB"/>
    <w:rsid w:val="002565C3"/>
    <w:rsid w:val="00257474"/>
    <w:rsid w:val="00262458"/>
    <w:rsid w:val="0026321F"/>
    <w:rsid w:val="002649F9"/>
    <w:rsid w:val="0026560E"/>
    <w:rsid w:val="002678EA"/>
    <w:rsid w:val="002739E2"/>
    <w:rsid w:val="00280050"/>
    <w:rsid w:val="00280B7B"/>
    <w:rsid w:val="00280F9E"/>
    <w:rsid w:val="00281682"/>
    <w:rsid w:val="0028247F"/>
    <w:rsid w:val="002A0874"/>
    <w:rsid w:val="002B0296"/>
    <w:rsid w:val="002B0557"/>
    <w:rsid w:val="002B4674"/>
    <w:rsid w:val="002B55F3"/>
    <w:rsid w:val="002B6BE0"/>
    <w:rsid w:val="002B6EC0"/>
    <w:rsid w:val="002B7BD9"/>
    <w:rsid w:val="002C0CB1"/>
    <w:rsid w:val="002C1B1B"/>
    <w:rsid w:val="002C4857"/>
    <w:rsid w:val="002C54BC"/>
    <w:rsid w:val="002C5615"/>
    <w:rsid w:val="002D24F7"/>
    <w:rsid w:val="002D2A43"/>
    <w:rsid w:val="002D3F59"/>
    <w:rsid w:val="002D4E3D"/>
    <w:rsid w:val="002D6383"/>
    <w:rsid w:val="002D64D3"/>
    <w:rsid w:val="002D7126"/>
    <w:rsid w:val="002D7147"/>
    <w:rsid w:val="002E51FE"/>
    <w:rsid w:val="002F1A0B"/>
    <w:rsid w:val="002F7194"/>
    <w:rsid w:val="002F7401"/>
    <w:rsid w:val="003108DA"/>
    <w:rsid w:val="003109AA"/>
    <w:rsid w:val="00310A89"/>
    <w:rsid w:val="00312E8B"/>
    <w:rsid w:val="00315FB7"/>
    <w:rsid w:val="00322180"/>
    <w:rsid w:val="00347E9A"/>
    <w:rsid w:val="003679DD"/>
    <w:rsid w:val="00371505"/>
    <w:rsid w:val="00373386"/>
    <w:rsid w:val="00374CB0"/>
    <w:rsid w:val="0037538F"/>
    <w:rsid w:val="0037572B"/>
    <w:rsid w:val="00376721"/>
    <w:rsid w:val="00376A4F"/>
    <w:rsid w:val="0038156C"/>
    <w:rsid w:val="00382815"/>
    <w:rsid w:val="00382BAA"/>
    <w:rsid w:val="00385CBF"/>
    <w:rsid w:val="0039112C"/>
    <w:rsid w:val="00393C6E"/>
    <w:rsid w:val="0039636B"/>
    <w:rsid w:val="003A039E"/>
    <w:rsid w:val="003A2A0E"/>
    <w:rsid w:val="003B0096"/>
    <w:rsid w:val="003B06E0"/>
    <w:rsid w:val="003B07AA"/>
    <w:rsid w:val="003B0E3A"/>
    <w:rsid w:val="003B292E"/>
    <w:rsid w:val="003C27FD"/>
    <w:rsid w:val="003C2F59"/>
    <w:rsid w:val="003C308A"/>
    <w:rsid w:val="003C45D4"/>
    <w:rsid w:val="003C7735"/>
    <w:rsid w:val="003D1229"/>
    <w:rsid w:val="003D3B13"/>
    <w:rsid w:val="003D4E39"/>
    <w:rsid w:val="003D60C4"/>
    <w:rsid w:val="003E41AD"/>
    <w:rsid w:val="003E69A4"/>
    <w:rsid w:val="003E7865"/>
    <w:rsid w:val="00400ACB"/>
    <w:rsid w:val="00403DEE"/>
    <w:rsid w:val="00406E72"/>
    <w:rsid w:val="00410107"/>
    <w:rsid w:val="0041020E"/>
    <w:rsid w:val="00412A29"/>
    <w:rsid w:val="004138D7"/>
    <w:rsid w:val="0041560B"/>
    <w:rsid w:val="00422ADD"/>
    <w:rsid w:val="004253E8"/>
    <w:rsid w:val="00427FAD"/>
    <w:rsid w:val="004307BC"/>
    <w:rsid w:val="00431A22"/>
    <w:rsid w:val="00441E15"/>
    <w:rsid w:val="00442FEC"/>
    <w:rsid w:val="00443A56"/>
    <w:rsid w:val="00447C1B"/>
    <w:rsid w:val="00454584"/>
    <w:rsid w:val="00457BAB"/>
    <w:rsid w:val="0046059F"/>
    <w:rsid w:val="0046498C"/>
    <w:rsid w:val="00464AAF"/>
    <w:rsid w:val="00464EB2"/>
    <w:rsid w:val="00472872"/>
    <w:rsid w:val="00476E69"/>
    <w:rsid w:val="00482E4B"/>
    <w:rsid w:val="00483331"/>
    <w:rsid w:val="0048543A"/>
    <w:rsid w:val="00486BD7"/>
    <w:rsid w:val="004952D1"/>
    <w:rsid w:val="004A1579"/>
    <w:rsid w:val="004A4E7A"/>
    <w:rsid w:val="004A6F4D"/>
    <w:rsid w:val="004B4590"/>
    <w:rsid w:val="004C06A5"/>
    <w:rsid w:val="004D1269"/>
    <w:rsid w:val="004D2147"/>
    <w:rsid w:val="004D2E6C"/>
    <w:rsid w:val="004D469E"/>
    <w:rsid w:val="004E2569"/>
    <w:rsid w:val="004E54FD"/>
    <w:rsid w:val="004E6CA2"/>
    <w:rsid w:val="004E705B"/>
    <w:rsid w:val="004F007B"/>
    <w:rsid w:val="004F0DD6"/>
    <w:rsid w:val="005107FA"/>
    <w:rsid w:val="00517783"/>
    <w:rsid w:val="0052055E"/>
    <w:rsid w:val="00521398"/>
    <w:rsid w:val="00521C95"/>
    <w:rsid w:val="00526525"/>
    <w:rsid w:val="00534A6A"/>
    <w:rsid w:val="00535127"/>
    <w:rsid w:val="00541E01"/>
    <w:rsid w:val="0054228B"/>
    <w:rsid w:val="00542359"/>
    <w:rsid w:val="00547E9C"/>
    <w:rsid w:val="005511A2"/>
    <w:rsid w:val="0055443A"/>
    <w:rsid w:val="00554A63"/>
    <w:rsid w:val="00554CE0"/>
    <w:rsid w:val="0055583C"/>
    <w:rsid w:val="00567037"/>
    <w:rsid w:val="00576186"/>
    <w:rsid w:val="0058496F"/>
    <w:rsid w:val="0059758E"/>
    <w:rsid w:val="005A38D6"/>
    <w:rsid w:val="005C2FA4"/>
    <w:rsid w:val="005C3FE9"/>
    <w:rsid w:val="005C7095"/>
    <w:rsid w:val="005D1BB5"/>
    <w:rsid w:val="005D5244"/>
    <w:rsid w:val="005D5A23"/>
    <w:rsid w:val="005E13EE"/>
    <w:rsid w:val="005E5C51"/>
    <w:rsid w:val="005E6EC5"/>
    <w:rsid w:val="005F178F"/>
    <w:rsid w:val="005F3203"/>
    <w:rsid w:val="00600504"/>
    <w:rsid w:val="00600C49"/>
    <w:rsid w:val="00602E3C"/>
    <w:rsid w:val="006038DF"/>
    <w:rsid w:val="00610661"/>
    <w:rsid w:val="00612A44"/>
    <w:rsid w:val="00624C8C"/>
    <w:rsid w:val="00627384"/>
    <w:rsid w:val="00627F29"/>
    <w:rsid w:val="00627FBE"/>
    <w:rsid w:val="006331B7"/>
    <w:rsid w:val="006354A6"/>
    <w:rsid w:val="0063598E"/>
    <w:rsid w:val="00635F7F"/>
    <w:rsid w:val="00636C4A"/>
    <w:rsid w:val="00653041"/>
    <w:rsid w:val="0065607D"/>
    <w:rsid w:val="00664279"/>
    <w:rsid w:val="00665517"/>
    <w:rsid w:val="00680418"/>
    <w:rsid w:val="00682181"/>
    <w:rsid w:val="006823BA"/>
    <w:rsid w:val="006836D1"/>
    <w:rsid w:val="006879C2"/>
    <w:rsid w:val="006909BD"/>
    <w:rsid w:val="0069375E"/>
    <w:rsid w:val="00694A48"/>
    <w:rsid w:val="00694E1A"/>
    <w:rsid w:val="00696C1E"/>
    <w:rsid w:val="00697C04"/>
    <w:rsid w:val="006A3C39"/>
    <w:rsid w:val="006B1713"/>
    <w:rsid w:val="006B24F9"/>
    <w:rsid w:val="006B43EB"/>
    <w:rsid w:val="006B4B23"/>
    <w:rsid w:val="006B6372"/>
    <w:rsid w:val="006C176D"/>
    <w:rsid w:val="006C25A6"/>
    <w:rsid w:val="006C3E27"/>
    <w:rsid w:val="006D1D26"/>
    <w:rsid w:val="006D20F0"/>
    <w:rsid w:val="006D27D6"/>
    <w:rsid w:val="006D61BA"/>
    <w:rsid w:val="006D6410"/>
    <w:rsid w:val="006E07BC"/>
    <w:rsid w:val="006E1DA8"/>
    <w:rsid w:val="006E4EC6"/>
    <w:rsid w:val="006E6182"/>
    <w:rsid w:val="006E6B0D"/>
    <w:rsid w:val="006E6E55"/>
    <w:rsid w:val="006E6FE5"/>
    <w:rsid w:val="007012DB"/>
    <w:rsid w:val="00710801"/>
    <w:rsid w:val="0072242B"/>
    <w:rsid w:val="007239C1"/>
    <w:rsid w:val="00725689"/>
    <w:rsid w:val="00726222"/>
    <w:rsid w:val="00730EE7"/>
    <w:rsid w:val="00745228"/>
    <w:rsid w:val="00752E45"/>
    <w:rsid w:val="0075342F"/>
    <w:rsid w:val="007535ED"/>
    <w:rsid w:val="007545CE"/>
    <w:rsid w:val="007568DE"/>
    <w:rsid w:val="00771944"/>
    <w:rsid w:val="00771EA1"/>
    <w:rsid w:val="00773E67"/>
    <w:rsid w:val="007744E9"/>
    <w:rsid w:val="00782BBD"/>
    <w:rsid w:val="00792AAE"/>
    <w:rsid w:val="00795221"/>
    <w:rsid w:val="00795732"/>
    <w:rsid w:val="0079738B"/>
    <w:rsid w:val="007A272C"/>
    <w:rsid w:val="007B08C3"/>
    <w:rsid w:val="007B1DA8"/>
    <w:rsid w:val="007B2A7D"/>
    <w:rsid w:val="007B7623"/>
    <w:rsid w:val="007C248D"/>
    <w:rsid w:val="007C55E3"/>
    <w:rsid w:val="007D3B55"/>
    <w:rsid w:val="007D738D"/>
    <w:rsid w:val="007E3BAC"/>
    <w:rsid w:val="007E4D28"/>
    <w:rsid w:val="007F0D77"/>
    <w:rsid w:val="007F1313"/>
    <w:rsid w:val="007F62DC"/>
    <w:rsid w:val="007F6F72"/>
    <w:rsid w:val="008006AA"/>
    <w:rsid w:val="008047C7"/>
    <w:rsid w:val="008062D8"/>
    <w:rsid w:val="00817F8B"/>
    <w:rsid w:val="00821F81"/>
    <w:rsid w:val="008274D6"/>
    <w:rsid w:val="00831F92"/>
    <w:rsid w:val="00834ADD"/>
    <w:rsid w:val="00835066"/>
    <w:rsid w:val="00840576"/>
    <w:rsid w:val="008425E7"/>
    <w:rsid w:val="00860989"/>
    <w:rsid w:val="0086104E"/>
    <w:rsid w:val="00862955"/>
    <w:rsid w:val="00862E72"/>
    <w:rsid w:val="00873F03"/>
    <w:rsid w:val="00881C30"/>
    <w:rsid w:val="00886F11"/>
    <w:rsid w:val="00886F66"/>
    <w:rsid w:val="008A213E"/>
    <w:rsid w:val="008B32B9"/>
    <w:rsid w:val="008B3E07"/>
    <w:rsid w:val="008B46F2"/>
    <w:rsid w:val="008C11F5"/>
    <w:rsid w:val="008D248D"/>
    <w:rsid w:val="008D397D"/>
    <w:rsid w:val="008D5551"/>
    <w:rsid w:val="008D764A"/>
    <w:rsid w:val="008D7EAC"/>
    <w:rsid w:val="008E123D"/>
    <w:rsid w:val="008E2CDB"/>
    <w:rsid w:val="008F1339"/>
    <w:rsid w:val="008F28B3"/>
    <w:rsid w:val="008F3CAA"/>
    <w:rsid w:val="0090735A"/>
    <w:rsid w:val="00914E5C"/>
    <w:rsid w:val="009171DA"/>
    <w:rsid w:val="0092763B"/>
    <w:rsid w:val="00930E4D"/>
    <w:rsid w:val="00934875"/>
    <w:rsid w:val="009353FD"/>
    <w:rsid w:val="009441DA"/>
    <w:rsid w:val="009456EF"/>
    <w:rsid w:val="009548C4"/>
    <w:rsid w:val="00956B45"/>
    <w:rsid w:val="00956D56"/>
    <w:rsid w:val="00966E7D"/>
    <w:rsid w:val="00967F54"/>
    <w:rsid w:val="00970E03"/>
    <w:rsid w:val="00973BDA"/>
    <w:rsid w:val="00990F45"/>
    <w:rsid w:val="0099206F"/>
    <w:rsid w:val="009939AC"/>
    <w:rsid w:val="00993A57"/>
    <w:rsid w:val="00995DA5"/>
    <w:rsid w:val="009A1C38"/>
    <w:rsid w:val="009A1D36"/>
    <w:rsid w:val="009A53D2"/>
    <w:rsid w:val="009B0EAA"/>
    <w:rsid w:val="009B4373"/>
    <w:rsid w:val="009B7699"/>
    <w:rsid w:val="009C2A4B"/>
    <w:rsid w:val="009C59C3"/>
    <w:rsid w:val="009D21E0"/>
    <w:rsid w:val="009D5BC7"/>
    <w:rsid w:val="009D6CFC"/>
    <w:rsid w:val="009D75C6"/>
    <w:rsid w:val="009E7437"/>
    <w:rsid w:val="009E76C6"/>
    <w:rsid w:val="009F07AD"/>
    <w:rsid w:val="009F3C7F"/>
    <w:rsid w:val="009F66F5"/>
    <w:rsid w:val="00A03499"/>
    <w:rsid w:val="00A04064"/>
    <w:rsid w:val="00A05FB3"/>
    <w:rsid w:val="00A075B3"/>
    <w:rsid w:val="00A07FE2"/>
    <w:rsid w:val="00A2005E"/>
    <w:rsid w:val="00A25B41"/>
    <w:rsid w:val="00A26324"/>
    <w:rsid w:val="00A26DB6"/>
    <w:rsid w:val="00A317C9"/>
    <w:rsid w:val="00A32C9A"/>
    <w:rsid w:val="00A3372E"/>
    <w:rsid w:val="00A352F6"/>
    <w:rsid w:val="00A46899"/>
    <w:rsid w:val="00A63DD1"/>
    <w:rsid w:val="00A656FD"/>
    <w:rsid w:val="00A65E20"/>
    <w:rsid w:val="00A663FF"/>
    <w:rsid w:val="00A70B3F"/>
    <w:rsid w:val="00A728F8"/>
    <w:rsid w:val="00A752E5"/>
    <w:rsid w:val="00A7734F"/>
    <w:rsid w:val="00A77C4C"/>
    <w:rsid w:val="00A77D77"/>
    <w:rsid w:val="00A8500D"/>
    <w:rsid w:val="00A95E41"/>
    <w:rsid w:val="00AA0E9C"/>
    <w:rsid w:val="00AA3BF9"/>
    <w:rsid w:val="00AA685E"/>
    <w:rsid w:val="00AB5B19"/>
    <w:rsid w:val="00AB65F6"/>
    <w:rsid w:val="00AB745C"/>
    <w:rsid w:val="00AC156B"/>
    <w:rsid w:val="00AC4D96"/>
    <w:rsid w:val="00AC75E5"/>
    <w:rsid w:val="00AD0935"/>
    <w:rsid w:val="00AD5056"/>
    <w:rsid w:val="00AE051D"/>
    <w:rsid w:val="00AE0547"/>
    <w:rsid w:val="00AE0E2C"/>
    <w:rsid w:val="00AE35B5"/>
    <w:rsid w:val="00AF34D3"/>
    <w:rsid w:val="00AF5DDF"/>
    <w:rsid w:val="00AF6E4D"/>
    <w:rsid w:val="00B058B2"/>
    <w:rsid w:val="00B0592D"/>
    <w:rsid w:val="00B11354"/>
    <w:rsid w:val="00B13668"/>
    <w:rsid w:val="00B13A01"/>
    <w:rsid w:val="00B1440A"/>
    <w:rsid w:val="00B24B29"/>
    <w:rsid w:val="00B279C1"/>
    <w:rsid w:val="00B30DB7"/>
    <w:rsid w:val="00B370AD"/>
    <w:rsid w:val="00B430B1"/>
    <w:rsid w:val="00B4784E"/>
    <w:rsid w:val="00B65DF6"/>
    <w:rsid w:val="00B750A1"/>
    <w:rsid w:val="00B75951"/>
    <w:rsid w:val="00B92C8F"/>
    <w:rsid w:val="00BA09CD"/>
    <w:rsid w:val="00BA3A79"/>
    <w:rsid w:val="00BA68B2"/>
    <w:rsid w:val="00BB1E09"/>
    <w:rsid w:val="00BB53EF"/>
    <w:rsid w:val="00BC0AA7"/>
    <w:rsid w:val="00BC3A3B"/>
    <w:rsid w:val="00BC5CD7"/>
    <w:rsid w:val="00BD0F30"/>
    <w:rsid w:val="00BD49CE"/>
    <w:rsid w:val="00BE5F1B"/>
    <w:rsid w:val="00BE704C"/>
    <w:rsid w:val="00BE72DA"/>
    <w:rsid w:val="00BF1A91"/>
    <w:rsid w:val="00C010CA"/>
    <w:rsid w:val="00C016FE"/>
    <w:rsid w:val="00C10CD1"/>
    <w:rsid w:val="00C16E43"/>
    <w:rsid w:val="00C21B88"/>
    <w:rsid w:val="00C31C35"/>
    <w:rsid w:val="00C32638"/>
    <w:rsid w:val="00C37B97"/>
    <w:rsid w:val="00C41588"/>
    <w:rsid w:val="00C47D38"/>
    <w:rsid w:val="00C504E2"/>
    <w:rsid w:val="00C5127D"/>
    <w:rsid w:val="00C57220"/>
    <w:rsid w:val="00C5729F"/>
    <w:rsid w:val="00C620B6"/>
    <w:rsid w:val="00C636FB"/>
    <w:rsid w:val="00C64BA3"/>
    <w:rsid w:val="00C72F3C"/>
    <w:rsid w:val="00C733E3"/>
    <w:rsid w:val="00C75C97"/>
    <w:rsid w:val="00C77DBC"/>
    <w:rsid w:val="00C80287"/>
    <w:rsid w:val="00C8249A"/>
    <w:rsid w:val="00C862A0"/>
    <w:rsid w:val="00C87536"/>
    <w:rsid w:val="00C92F03"/>
    <w:rsid w:val="00C97CD2"/>
    <w:rsid w:val="00CB0747"/>
    <w:rsid w:val="00CB0809"/>
    <w:rsid w:val="00CB4DC6"/>
    <w:rsid w:val="00CB524E"/>
    <w:rsid w:val="00CB5A44"/>
    <w:rsid w:val="00CB6BA8"/>
    <w:rsid w:val="00CC26BA"/>
    <w:rsid w:val="00CC7FFC"/>
    <w:rsid w:val="00CD11D8"/>
    <w:rsid w:val="00CD4A10"/>
    <w:rsid w:val="00CD7809"/>
    <w:rsid w:val="00CE0D4F"/>
    <w:rsid w:val="00CE4C7E"/>
    <w:rsid w:val="00CF425A"/>
    <w:rsid w:val="00CF7AFE"/>
    <w:rsid w:val="00D02CD1"/>
    <w:rsid w:val="00D06D04"/>
    <w:rsid w:val="00D10148"/>
    <w:rsid w:val="00D11C80"/>
    <w:rsid w:val="00D14C9A"/>
    <w:rsid w:val="00D150D4"/>
    <w:rsid w:val="00D16EF3"/>
    <w:rsid w:val="00D21DF9"/>
    <w:rsid w:val="00D225C5"/>
    <w:rsid w:val="00D24B38"/>
    <w:rsid w:val="00D31C77"/>
    <w:rsid w:val="00D3439F"/>
    <w:rsid w:val="00D422D4"/>
    <w:rsid w:val="00D51FAE"/>
    <w:rsid w:val="00D53332"/>
    <w:rsid w:val="00D55D20"/>
    <w:rsid w:val="00D64494"/>
    <w:rsid w:val="00D71E9F"/>
    <w:rsid w:val="00D73813"/>
    <w:rsid w:val="00D74206"/>
    <w:rsid w:val="00D75965"/>
    <w:rsid w:val="00D80D7C"/>
    <w:rsid w:val="00D83005"/>
    <w:rsid w:val="00D8405F"/>
    <w:rsid w:val="00D86CED"/>
    <w:rsid w:val="00D91AB5"/>
    <w:rsid w:val="00D92484"/>
    <w:rsid w:val="00DA2887"/>
    <w:rsid w:val="00DA2CF2"/>
    <w:rsid w:val="00DA4579"/>
    <w:rsid w:val="00DA6FA8"/>
    <w:rsid w:val="00DB0D34"/>
    <w:rsid w:val="00DB1F66"/>
    <w:rsid w:val="00DB2543"/>
    <w:rsid w:val="00DB6ECC"/>
    <w:rsid w:val="00DD1ECB"/>
    <w:rsid w:val="00DE46AF"/>
    <w:rsid w:val="00DE4A80"/>
    <w:rsid w:val="00DE53DB"/>
    <w:rsid w:val="00DF0176"/>
    <w:rsid w:val="00DF5496"/>
    <w:rsid w:val="00E00092"/>
    <w:rsid w:val="00E05E85"/>
    <w:rsid w:val="00E062F7"/>
    <w:rsid w:val="00E10354"/>
    <w:rsid w:val="00E11E0B"/>
    <w:rsid w:val="00E157A9"/>
    <w:rsid w:val="00E167C1"/>
    <w:rsid w:val="00E16F23"/>
    <w:rsid w:val="00E17CE5"/>
    <w:rsid w:val="00E22DBA"/>
    <w:rsid w:val="00E24A72"/>
    <w:rsid w:val="00E301B4"/>
    <w:rsid w:val="00E41FDD"/>
    <w:rsid w:val="00E5071A"/>
    <w:rsid w:val="00E57EA5"/>
    <w:rsid w:val="00E6640C"/>
    <w:rsid w:val="00E67CD1"/>
    <w:rsid w:val="00E731EA"/>
    <w:rsid w:val="00E752DD"/>
    <w:rsid w:val="00E81B86"/>
    <w:rsid w:val="00E90CFD"/>
    <w:rsid w:val="00EA027D"/>
    <w:rsid w:val="00EA0CA0"/>
    <w:rsid w:val="00EA775A"/>
    <w:rsid w:val="00EB3AA7"/>
    <w:rsid w:val="00EB6659"/>
    <w:rsid w:val="00ED0D6B"/>
    <w:rsid w:val="00ED2C85"/>
    <w:rsid w:val="00ED4DC0"/>
    <w:rsid w:val="00ED6154"/>
    <w:rsid w:val="00EE0F34"/>
    <w:rsid w:val="00EE1C88"/>
    <w:rsid w:val="00EF0DBF"/>
    <w:rsid w:val="00EF2103"/>
    <w:rsid w:val="00F00000"/>
    <w:rsid w:val="00F00C18"/>
    <w:rsid w:val="00F033B1"/>
    <w:rsid w:val="00F06005"/>
    <w:rsid w:val="00F12F6E"/>
    <w:rsid w:val="00F14244"/>
    <w:rsid w:val="00F14877"/>
    <w:rsid w:val="00F14AAF"/>
    <w:rsid w:val="00F30EC6"/>
    <w:rsid w:val="00F37CA1"/>
    <w:rsid w:val="00F44030"/>
    <w:rsid w:val="00F4581B"/>
    <w:rsid w:val="00F5170F"/>
    <w:rsid w:val="00F548FC"/>
    <w:rsid w:val="00F650CE"/>
    <w:rsid w:val="00F65676"/>
    <w:rsid w:val="00F65F1B"/>
    <w:rsid w:val="00F7054E"/>
    <w:rsid w:val="00F7387E"/>
    <w:rsid w:val="00F8126C"/>
    <w:rsid w:val="00F863DA"/>
    <w:rsid w:val="00F870B3"/>
    <w:rsid w:val="00F92E0D"/>
    <w:rsid w:val="00F9557F"/>
    <w:rsid w:val="00F95A8A"/>
    <w:rsid w:val="00F97DE4"/>
    <w:rsid w:val="00FA1BFE"/>
    <w:rsid w:val="00FA267C"/>
    <w:rsid w:val="00FA6DCC"/>
    <w:rsid w:val="00FB4391"/>
    <w:rsid w:val="00FC050E"/>
    <w:rsid w:val="00FC6E61"/>
    <w:rsid w:val="00FC72FA"/>
    <w:rsid w:val="00FC73F5"/>
    <w:rsid w:val="00FD03DF"/>
    <w:rsid w:val="00FD5C7E"/>
    <w:rsid w:val="00FE042E"/>
    <w:rsid w:val="00FE11DE"/>
    <w:rsid w:val="00FE1F19"/>
    <w:rsid w:val="00FE3F8F"/>
    <w:rsid w:val="00FE7B7E"/>
    <w:rsid w:val="00FF22D3"/>
    <w:rsid w:val="00FF4B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9D5D7D"/>
  <w15:docId w15:val="{3D3FDD7C-3E91-46DC-94D2-2CF73587F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2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2F7"/>
    <w:rPr>
      <w:lang w:val="en-GB"/>
    </w:rPr>
  </w:style>
  <w:style w:type="paragraph" w:styleId="Footer">
    <w:name w:val="footer"/>
    <w:basedOn w:val="Normal"/>
    <w:link w:val="FooterChar"/>
    <w:uiPriority w:val="99"/>
    <w:unhideWhenUsed/>
    <w:rsid w:val="00E062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2F7"/>
    <w:rPr>
      <w:lang w:val="en-GB"/>
    </w:rPr>
  </w:style>
  <w:style w:type="paragraph" w:customStyle="1" w:styleId="ZZAnxtitle">
    <w:name w:val="ZZ_Anx_title"/>
    <w:rsid w:val="00D64494"/>
    <w:pPr>
      <w:pBdr>
        <w:top w:val="nil"/>
        <w:left w:val="nil"/>
        <w:bottom w:val="nil"/>
        <w:right w:val="nil"/>
        <w:between w:val="nil"/>
        <w:bar w:val="nil"/>
      </w:pBdr>
      <w:tabs>
        <w:tab w:val="left" w:pos="1247"/>
        <w:tab w:val="left" w:pos="1814"/>
        <w:tab w:val="left" w:pos="2381"/>
        <w:tab w:val="left" w:pos="2948"/>
        <w:tab w:val="left" w:pos="3515"/>
        <w:tab w:val="left" w:pos="4082"/>
      </w:tabs>
      <w:spacing w:before="360" w:after="120" w:line="240" w:lineRule="auto"/>
      <w:ind w:left="1247"/>
    </w:pPr>
    <w:rPr>
      <w:rFonts w:ascii="Times New Roman" w:eastAsia="Arial Unicode MS" w:hAnsi="Times New Roman" w:cs="Arial Unicode MS"/>
      <w:b/>
      <w:bCs/>
      <w:color w:val="000000"/>
      <w:sz w:val="28"/>
      <w:szCs w:val="28"/>
      <w:u w:color="000000"/>
      <w:bdr w:val="nil"/>
    </w:rPr>
  </w:style>
  <w:style w:type="paragraph" w:customStyle="1" w:styleId="TextA">
    <w:name w:val="Text A"/>
    <w:rsid w:val="00D64494"/>
    <w:pPr>
      <w:pBdr>
        <w:top w:val="nil"/>
        <w:left w:val="nil"/>
        <w:bottom w:val="nil"/>
        <w:right w:val="nil"/>
        <w:between w:val="nil"/>
        <w:bar w:val="nil"/>
      </w:pBdr>
      <w:tabs>
        <w:tab w:val="left" w:pos="1247"/>
        <w:tab w:val="left" w:pos="1814"/>
        <w:tab w:val="left" w:pos="2381"/>
        <w:tab w:val="left" w:pos="2948"/>
        <w:tab w:val="left" w:pos="3515"/>
      </w:tabs>
    </w:pPr>
    <w:rPr>
      <w:rFonts w:ascii="Calibri" w:eastAsia="Arial Unicode MS" w:hAnsi="Calibri" w:cs="Arial Unicode MS"/>
      <w:color w:val="000000"/>
      <w:u w:color="000000"/>
      <w:bdr w:val="nil"/>
    </w:rPr>
  </w:style>
  <w:style w:type="paragraph" w:customStyle="1" w:styleId="Normal-pool">
    <w:name w:val="Normal-pool"/>
    <w:link w:val="Normal-poolChar"/>
    <w:rsid w:val="00D64494"/>
    <w:pPr>
      <w:pBdr>
        <w:top w:val="nil"/>
        <w:left w:val="nil"/>
        <w:bottom w:val="nil"/>
        <w:right w:val="nil"/>
        <w:between w:val="nil"/>
        <w:bar w:val="nil"/>
      </w:pBdr>
      <w:tabs>
        <w:tab w:val="left" w:pos="1247"/>
        <w:tab w:val="left" w:pos="1814"/>
        <w:tab w:val="left" w:pos="2381"/>
        <w:tab w:val="left" w:pos="2948"/>
        <w:tab w:val="left" w:pos="3515"/>
        <w:tab w:val="left" w:pos="4082"/>
      </w:tabs>
      <w:spacing w:after="0" w:line="240" w:lineRule="auto"/>
    </w:pPr>
    <w:rPr>
      <w:rFonts w:ascii="Times New Roman" w:eastAsia="Arial Unicode MS" w:hAnsi="Times New Roman" w:cs="Arial Unicode MS"/>
      <w:color w:val="000000"/>
      <w:sz w:val="20"/>
      <w:szCs w:val="20"/>
      <w:u w:color="000000"/>
      <w:bdr w:val="nil"/>
    </w:rPr>
  </w:style>
  <w:style w:type="paragraph" w:styleId="FootnoteText">
    <w:name w:val="footnote text"/>
    <w:aliases w:val="Fußnotentextf, Char1,DNV-FT,Geneva 9,Font: Geneva 9,Boston 10,f,footnote3,text,Geneva,92,Font:,Boston,10,FOOTNOTES,fn,single space,Footnote Text Rail EIS,ft,Footnotes,Footnote ak,fn cafc,Footnotes Char Char,Footnote Text Char Char,93,Char"/>
    <w:basedOn w:val="Normal"/>
    <w:link w:val="FootnoteTextChar"/>
    <w:unhideWhenUsed/>
    <w:qFormat/>
    <w:rsid w:val="00C862A0"/>
    <w:pPr>
      <w:spacing w:after="0" w:line="240" w:lineRule="auto"/>
    </w:pPr>
    <w:rPr>
      <w:sz w:val="20"/>
      <w:szCs w:val="20"/>
    </w:rPr>
  </w:style>
  <w:style w:type="character" w:customStyle="1" w:styleId="FootnoteTextChar">
    <w:name w:val="Footnote Text Char"/>
    <w:aliases w:val="Fußnotentextf Char, Char1 Char,DNV-FT Char,Geneva 9 Char,Font: Geneva 9 Char,Boston 10 Char,f Char,footnote3 Char,text Char,Geneva Char,92 Char,Font: Char,Boston Char,10 Char,FOOTNOTES Char,fn Char,single space Char,ft Char,93 Char"/>
    <w:basedOn w:val="DefaultParagraphFont"/>
    <w:link w:val="FootnoteText"/>
    <w:rsid w:val="00C862A0"/>
    <w:rPr>
      <w:sz w:val="20"/>
      <w:szCs w:val="20"/>
      <w:lang w:val="en-GB"/>
    </w:rPr>
  </w:style>
  <w:style w:type="character" w:styleId="FootnoteReference">
    <w:name w:val="footnote reference"/>
    <w:basedOn w:val="DefaultParagraphFont"/>
    <w:unhideWhenUsed/>
    <w:rsid w:val="00C862A0"/>
    <w:rPr>
      <w:vertAlign w:val="superscript"/>
    </w:rPr>
  </w:style>
  <w:style w:type="paragraph" w:styleId="ListParagraph">
    <w:name w:val="List Paragraph"/>
    <w:aliases w:val="Unordered List,List Paragraph 2,Dot pt,F5 List Paragraph,List Paragraph1,No Spacing1,List Paragraph Char Char Char,Indicator Text,Numbered Para 1,Bullet 1,List Paragraph12,Bullet Points,MAIN CONTENT,Colorful List - Accent 11"/>
    <w:link w:val="ListParagraphChar"/>
    <w:qFormat/>
    <w:rsid w:val="000E16AF"/>
    <w:pPr>
      <w:pBdr>
        <w:top w:val="nil"/>
        <w:left w:val="nil"/>
        <w:bottom w:val="nil"/>
        <w:right w:val="nil"/>
        <w:between w:val="nil"/>
        <w:bar w:val="nil"/>
      </w:pBdr>
      <w:tabs>
        <w:tab w:val="left" w:pos="1247"/>
        <w:tab w:val="left" w:pos="1814"/>
        <w:tab w:val="left" w:pos="2381"/>
        <w:tab w:val="left" w:pos="2948"/>
        <w:tab w:val="left" w:pos="3515"/>
      </w:tabs>
      <w:spacing w:after="0" w:line="240" w:lineRule="auto"/>
      <w:ind w:left="720"/>
    </w:pPr>
    <w:rPr>
      <w:rFonts w:ascii="Times New Roman" w:eastAsia="Arial Unicode MS" w:hAnsi="Times New Roman" w:cs="Arial Unicode MS"/>
      <w:color w:val="000000"/>
      <w:sz w:val="20"/>
      <w:szCs w:val="20"/>
      <w:u w:color="000000"/>
      <w:bdr w:val="nil"/>
    </w:rPr>
  </w:style>
  <w:style w:type="paragraph" w:customStyle="1" w:styleId="Text">
    <w:name w:val="Text"/>
    <w:rsid w:val="00745228"/>
    <w:pPr>
      <w:pBdr>
        <w:top w:val="nil"/>
        <w:left w:val="nil"/>
        <w:bottom w:val="nil"/>
        <w:right w:val="nil"/>
        <w:between w:val="nil"/>
        <w:bar w:val="nil"/>
      </w:pBdr>
      <w:tabs>
        <w:tab w:val="left" w:pos="1247"/>
        <w:tab w:val="left" w:pos="1814"/>
        <w:tab w:val="left" w:pos="2381"/>
        <w:tab w:val="left" w:pos="2948"/>
        <w:tab w:val="left" w:pos="3515"/>
      </w:tabs>
      <w:spacing w:after="0" w:line="240" w:lineRule="auto"/>
    </w:pPr>
    <w:rPr>
      <w:rFonts w:ascii="Times New Roman" w:eastAsia="Times New Roman" w:hAnsi="Times New Roman" w:cs="Times New Roman"/>
      <w:color w:val="000000"/>
      <w:sz w:val="20"/>
      <w:szCs w:val="20"/>
      <w:u w:color="000000"/>
      <w:bdr w:val="nil"/>
    </w:rPr>
  </w:style>
  <w:style w:type="paragraph" w:styleId="BalloonText">
    <w:name w:val="Balloon Text"/>
    <w:basedOn w:val="Normal"/>
    <w:link w:val="BalloonTextChar"/>
    <w:uiPriority w:val="99"/>
    <w:semiHidden/>
    <w:unhideWhenUsed/>
    <w:rsid w:val="00AF34D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F34D3"/>
    <w:rPr>
      <w:rFonts w:ascii="Lucida Grande" w:hAnsi="Lucida Grande"/>
      <w:sz w:val="18"/>
      <w:szCs w:val="18"/>
      <w:lang w:val="en-GB"/>
    </w:rPr>
  </w:style>
  <w:style w:type="numbering" w:customStyle="1" w:styleId="Importovanstyl10">
    <w:name w:val="Importovaný styl 10"/>
    <w:rsid w:val="004138D7"/>
    <w:pPr>
      <w:numPr>
        <w:numId w:val="3"/>
      </w:numPr>
    </w:pPr>
  </w:style>
  <w:style w:type="numbering" w:customStyle="1" w:styleId="Normallist">
    <w:name w:val="Normal_list"/>
    <w:basedOn w:val="NoList"/>
    <w:rsid w:val="003D60C4"/>
    <w:pPr>
      <w:numPr>
        <w:numId w:val="5"/>
      </w:numPr>
    </w:pPr>
  </w:style>
  <w:style w:type="paragraph" w:customStyle="1" w:styleId="Normalnumber">
    <w:name w:val="Normal_number"/>
    <w:basedOn w:val="Normal"/>
    <w:link w:val="NormalnumberChar"/>
    <w:rsid w:val="003D60C4"/>
    <w:pPr>
      <w:tabs>
        <w:tab w:val="left" w:pos="624"/>
      </w:tabs>
      <w:spacing w:after="120" w:line="240" w:lineRule="auto"/>
    </w:pPr>
    <w:rPr>
      <w:rFonts w:ascii="Times New Roman" w:eastAsia="Times New Roman" w:hAnsi="Times New Roman" w:cs="Times New Roman"/>
      <w:sz w:val="20"/>
      <w:szCs w:val="20"/>
      <w:lang w:eastAsia="en-US"/>
    </w:rPr>
  </w:style>
  <w:style w:type="character" w:customStyle="1" w:styleId="ListParagraphChar">
    <w:name w:val="List Paragraph Char"/>
    <w:aliases w:val="Unordered List Char,List Paragraph 2 Char,Dot pt Char,F5 List Paragraph Char,List Paragraph1 Char,No Spacing1 Char,List Paragraph Char Char Char Char,Indicator Text Char,Numbered Para 1 Char,Bullet 1 Char,List Paragraph12 Char"/>
    <w:basedOn w:val="DefaultParagraphFont"/>
    <w:link w:val="ListParagraph"/>
    <w:rsid w:val="003D60C4"/>
    <w:rPr>
      <w:rFonts w:ascii="Times New Roman" w:eastAsia="Arial Unicode MS" w:hAnsi="Times New Roman" w:cs="Arial Unicode MS"/>
      <w:color w:val="000000"/>
      <w:sz w:val="20"/>
      <w:szCs w:val="20"/>
      <w:u w:color="000000"/>
      <w:bdr w:val="nil"/>
    </w:rPr>
  </w:style>
  <w:style w:type="character" w:customStyle="1" w:styleId="NormalnumberChar">
    <w:name w:val="Normal_number Char"/>
    <w:link w:val="Normalnumber"/>
    <w:locked/>
    <w:rsid w:val="003D60C4"/>
    <w:rPr>
      <w:rFonts w:ascii="Times New Roman" w:eastAsia="Times New Roman" w:hAnsi="Times New Roman" w:cs="Times New Roman"/>
      <w:sz w:val="20"/>
      <w:szCs w:val="20"/>
      <w:lang w:val="en-GB" w:eastAsia="en-US"/>
    </w:rPr>
  </w:style>
  <w:style w:type="numbering" w:customStyle="1" w:styleId="Importovanstyl6">
    <w:name w:val="Importovaný styl 6"/>
    <w:rsid w:val="003D60C4"/>
    <w:pPr>
      <w:numPr>
        <w:numId w:val="4"/>
      </w:numPr>
    </w:pPr>
  </w:style>
  <w:style w:type="table" w:styleId="TableGrid">
    <w:name w:val="Table Grid"/>
    <w:basedOn w:val="TableNormal"/>
    <w:uiPriority w:val="39"/>
    <w:rsid w:val="00374CB0"/>
    <w:pPr>
      <w:spacing w:after="0" w:line="240" w:lineRule="auto"/>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
    <w:name w:val="Brödtext"/>
    <w:rsid w:val="00374CB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left" w:pos="1247"/>
        <w:tab w:val="left" w:pos="1814"/>
        <w:tab w:val="left" w:pos="2381"/>
        <w:tab w:val="left" w:pos="2948"/>
        <w:tab w:val="left" w:pos="3515"/>
      </w:tabs>
      <w:spacing w:after="0" w:line="240" w:lineRule="auto"/>
    </w:pPr>
    <w:rPr>
      <w:rFonts w:ascii="Times New Roman" w:eastAsia="Arial Unicode MS" w:hAnsi="Times New Roman" w:cs="Times New Roman"/>
      <w:color w:val="000000"/>
      <w:sz w:val="24"/>
      <w:szCs w:val="24"/>
      <w:u w:color="000000"/>
      <w:lang w:val="en-GB"/>
    </w:rPr>
  </w:style>
  <w:style w:type="numbering" w:customStyle="1" w:styleId="Importovanstyl2">
    <w:name w:val="Importovaný styl 2"/>
    <w:rsid w:val="00AD5056"/>
    <w:pPr>
      <w:numPr>
        <w:numId w:val="6"/>
      </w:numPr>
    </w:pPr>
  </w:style>
  <w:style w:type="numbering" w:customStyle="1" w:styleId="Importovanstyl3">
    <w:name w:val="Importovaný styl 3"/>
    <w:rsid w:val="00AD5056"/>
    <w:pPr>
      <w:numPr>
        <w:numId w:val="7"/>
      </w:numPr>
    </w:pPr>
  </w:style>
  <w:style w:type="paragraph" w:customStyle="1" w:styleId="Vchoz">
    <w:name w:val="Výchozí"/>
    <w:rsid w:val="00AD5056"/>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GB"/>
    </w:rPr>
  </w:style>
  <w:style w:type="numbering" w:customStyle="1" w:styleId="Importovanstyl1">
    <w:name w:val="Importovaný styl 1"/>
    <w:rsid w:val="00A77D77"/>
    <w:pPr>
      <w:numPr>
        <w:numId w:val="8"/>
      </w:numPr>
    </w:pPr>
  </w:style>
  <w:style w:type="paragraph" w:customStyle="1" w:styleId="TextB">
    <w:name w:val="Text B"/>
    <w:rsid w:val="004952D1"/>
    <w:pPr>
      <w:pBdr>
        <w:top w:val="nil"/>
        <w:left w:val="nil"/>
        <w:bottom w:val="nil"/>
        <w:right w:val="nil"/>
        <w:between w:val="nil"/>
        <w:bar w:val="nil"/>
      </w:pBdr>
      <w:tabs>
        <w:tab w:val="left" w:pos="1247"/>
        <w:tab w:val="left" w:pos="1814"/>
        <w:tab w:val="left" w:pos="2381"/>
        <w:tab w:val="left" w:pos="2948"/>
        <w:tab w:val="left" w:pos="3515"/>
      </w:tabs>
      <w:spacing w:after="0" w:line="240" w:lineRule="auto"/>
    </w:pPr>
    <w:rPr>
      <w:rFonts w:ascii="Times New Roman" w:eastAsia="Arial Unicode MS" w:hAnsi="Times New Roman" w:cs="Arial Unicode MS"/>
      <w:color w:val="000000"/>
      <w:sz w:val="20"/>
      <w:szCs w:val="20"/>
      <w:u w:color="000000"/>
      <w:bdr w:val="nil"/>
    </w:rPr>
  </w:style>
  <w:style w:type="numbering" w:customStyle="1" w:styleId="Importovanstyl4">
    <w:name w:val="Importovaný styl 4"/>
    <w:rsid w:val="00C016FE"/>
    <w:pPr>
      <w:numPr>
        <w:numId w:val="9"/>
      </w:numPr>
    </w:pPr>
  </w:style>
  <w:style w:type="numbering" w:customStyle="1" w:styleId="Importovanstyl40">
    <w:name w:val="Importovaný styl 4.0"/>
    <w:rsid w:val="00821F81"/>
    <w:pPr>
      <w:numPr>
        <w:numId w:val="10"/>
      </w:numPr>
    </w:pPr>
  </w:style>
  <w:style w:type="character" w:customStyle="1" w:styleId="dn">
    <w:name w:val="Žádný"/>
    <w:rsid w:val="00821F81"/>
  </w:style>
  <w:style w:type="numbering" w:customStyle="1" w:styleId="Importovanstyl7">
    <w:name w:val="Importovaný styl 7"/>
    <w:rsid w:val="00821F81"/>
    <w:pPr>
      <w:numPr>
        <w:numId w:val="11"/>
      </w:numPr>
    </w:pPr>
  </w:style>
  <w:style w:type="numbering" w:customStyle="1" w:styleId="Importovanstyl11">
    <w:name w:val="Importovaný styl 11"/>
    <w:rsid w:val="00821F81"/>
    <w:pPr>
      <w:numPr>
        <w:numId w:val="13"/>
      </w:numPr>
    </w:pPr>
  </w:style>
  <w:style w:type="numbering" w:customStyle="1" w:styleId="Importovanstyl9">
    <w:name w:val="Importovaný styl 9"/>
    <w:rsid w:val="00821F81"/>
    <w:pPr>
      <w:numPr>
        <w:numId w:val="18"/>
      </w:numPr>
    </w:pPr>
  </w:style>
  <w:style w:type="character" w:styleId="Hyperlink">
    <w:name w:val="Hyperlink"/>
    <w:basedOn w:val="DefaultParagraphFont"/>
    <w:uiPriority w:val="99"/>
    <w:unhideWhenUsed/>
    <w:rsid w:val="00973BDA"/>
    <w:rPr>
      <w:color w:val="0563C1" w:themeColor="hyperlink"/>
      <w:u w:val="single"/>
    </w:rPr>
  </w:style>
  <w:style w:type="character" w:styleId="UnresolvedMention">
    <w:name w:val="Unresolved Mention"/>
    <w:basedOn w:val="DefaultParagraphFont"/>
    <w:uiPriority w:val="99"/>
    <w:semiHidden/>
    <w:unhideWhenUsed/>
    <w:rsid w:val="00973BDA"/>
    <w:rPr>
      <w:color w:val="605E5C"/>
      <w:shd w:val="clear" w:color="auto" w:fill="E1DFDD"/>
    </w:rPr>
  </w:style>
  <w:style w:type="character" w:styleId="CommentReference">
    <w:name w:val="annotation reference"/>
    <w:basedOn w:val="DefaultParagraphFont"/>
    <w:uiPriority w:val="99"/>
    <w:semiHidden/>
    <w:unhideWhenUsed/>
    <w:rsid w:val="00213DA0"/>
    <w:rPr>
      <w:sz w:val="16"/>
      <w:szCs w:val="16"/>
    </w:rPr>
  </w:style>
  <w:style w:type="paragraph" w:styleId="CommentText">
    <w:name w:val="annotation text"/>
    <w:basedOn w:val="Normal"/>
    <w:link w:val="CommentTextChar"/>
    <w:uiPriority w:val="99"/>
    <w:semiHidden/>
    <w:unhideWhenUsed/>
    <w:rsid w:val="00213DA0"/>
    <w:pPr>
      <w:spacing w:line="240" w:lineRule="auto"/>
    </w:pPr>
    <w:rPr>
      <w:sz w:val="20"/>
      <w:szCs w:val="20"/>
    </w:rPr>
  </w:style>
  <w:style w:type="character" w:customStyle="1" w:styleId="CommentTextChar">
    <w:name w:val="Comment Text Char"/>
    <w:basedOn w:val="DefaultParagraphFont"/>
    <w:link w:val="CommentText"/>
    <w:uiPriority w:val="99"/>
    <w:semiHidden/>
    <w:rsid w:val="00213DA0"/>
    <w:rPr>
      <w:sz w:val="20"/>
      <w:szCs w:val="20"/>
      <w:lang w:val="en-GB"/>
    </w:rPr>
  </w:style>
  <w:style w:type="character" w:styleId="LineNumber">
    <w:name w:val="line number"/>
    <w:basedOn w:val="DefaultParagraphFont"/>
    <w:uiPriority w:val="99"/>
    <w:semiHidden/>
    <w:unhideWhenUsed/>
    <w:rsid w:val="00A752E5"/>
  </w:style>
  <w:style w:type="character" w:customStyle="1" w:styleId="Normal-poolChar">
    <w:name w:val="Normal-pool Char"/>
    <w:link w:val="Normal-pool"/>
    <w:rsid w:val="00914E5C"/>
    <w:rPr>
      <w:rFonts w:ascii="Times New Roman" w:eastAsia="Arial Unicode MS" w:hAnsi="Times New Roman" w:cs="Arial Unicode MS"/>
      <w:color w:val="000000"/>
      <w:sz w:val="20"/>
      <w:szCs w:val="20"/>
      <w:u w:color="000000"/>
      <w:bdr w:val="nil"/>
    </w:rPr>
  </w:style>
  <w:style w:type="paragraph" w:customStyle="1" w:styleId="CH2">
    <w:name w:val="CH2"/>
    <w:basedOn w:val="Normal"/>
    <w:next w:val="Normalnumber"/>
    <w:link w:val="CH2Char"/>
    <w:rsid w:val="007744E9"/>
    <w:pPr>
      <w:keepNext/>
      <w:keepLines/>
      <w:tabs>
        <w:tab w:val="right" w:pos="851"/>
        <w:tab w:val="left" w:pos="1247"/>
        <w:tab w:val="left" w:pos="1814"/>
        <w:tab w:val="left" w:pos="2381"/>
        <w:tab w:val="left" w:pos="2948"/>
        <w:tab w:val="left" w:pos="3515"/>
        <w:tab w:val="left" w:pos="4082"/>
      </w:tabs>
      <w:suppressAutoHyphens/>
      <w:spacing w:before="80" w:after="120" w:line="240" w:lineRule="auto"/>
      <w:ind w:left="1247" w:right="284" w:hanging="1247"/>
    </w:pPr>
    <w:rPr>
      <w:rFonts w:ascii="Times New Roman" w:eastAsia="Times New Roman" w:hAnsi="Times New Roman" w:cs="Times New Roman"/>
      <w:b/>
      <w:sz w:val="24"/>
      <w:szCs w:val="24"/>
      <w:lang w:eastAsia="en-US"/>
    </w:rPr>
  </w:style>
  <w:style w:type="character" w:customStyle="1" w:styleId="CH2Char">
    <w:name w:val="CH2 Char"/>
    <w:link w:val="CH2"/>
    <w:locked/>
    <w:rsid w:val="007744E9"/>
    <w:rPr>
      <w:rFonts w:ascii="Times New Roman" w:eastAsia="Times New Roman" w:hAnsi="Times New Roman" w:cs="Times New Roman"/>
      <w:b/>
      <w:sz w:val="24"/>
      <w:szCs w:val="24"/>
      <w:lang w:val="en-GB" w:eastAsia="en-US"/>
    </w:rPr>
  </w:style>
  <w:style w:type="paragraph" w:customStyle="1" w:styleId="VchozA">
    <w:name w:val="Výchozí A"/>
    <w:rsid w:val="0039112C"/>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character" w:customStyle="1" w:styleId="Hyperlink0">
    <w:name w:val="Hyperlink.0"/>
    <w:basedOn w:val="dn"/>
    <w:rsid w:val="005107FA"/>
    <w:rPr>
      <w:sz w:val="16"/>
      <w:szCs w:val="16"/>
    </w:rPr>
  </w:style>
  <w:style w:type="paragraph" w:customStyle="1" w:styleId="TextC">
    <w:name w:val="Text C"/>
    <w:rsid w:val="005107FA"/>
    <w:pPr>
      <w:pBdr>
        <w:top w:val="nil"/>
        <w:left w:val="nil"/>
        <w:bottom w:val="nil"/>
        <w:right w:val="nil"/>
        <w:between w:val="nil"/>
        <w:bar w:val="nil"/>
      </w:pBdr>
    </w:pPr>
    <w:rPr>
      <w:rFonts w:ascii="Calibri" w:eastAsia="Calibri" w:hAnsi="Calibri" w:cs="Calibri"/>
      <w:color w:val="000000"/>
      <w:u w:color="000000"/>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a-minamatasecretariat@un.org" TargetMode="Externa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Eisaku.Toda@un.org" TargetMode="External"/><Relationship Id="rId4" Type="http://schemas.openxmlformats.org/officeDocument/2006/relationships/settings" Target="settings.xml"/><Relationship Id="rId9" Type="http://schemas.openxmlformats.org/officeDocument/2006/relationships/hyperlink" Target="mailto:Claudia.tenHave@un.org"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briloon.org/uploads/BRI_Documents/Mercury_Center/Publications/For%2525252520Web%2525252520GBMS%2525252520Booklet%25252525202018%25252525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AAB5E-0050-42DD-BBFE-99CD73713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19552</Words>
  <Characters>111451</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TEN HAVE</dc:creator>
  <cp:keywords/>
  <dc:description/>
  <cp:lastModifiedBy>Fatema Johara</cp:lastModifiedBy>
  <cp:revision>2</cp:revision>
  <dcterms:created xsi:type="dcterms:W3CDTF">2019-08-06T09:37:00Z</dcterms:created>
  <dcterms:modified xsi:type="dcterms:W3CDTF">2019-08-06T09:37:00Z</dcterms:modified>
</cp:coreProperties>
</file>