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DA51" w14:textId="77777777" w:rsidR="00936FA2" w:rsidRDefault="00936FA2" w:rsidP="0018028C">
      <w:pPr>
        <w:pStyle w:val="AATitle"/>
        <w:keepNext w:val="0"/>
        <w:keepLines w:val="0"/>
      </w:pPr>
      <w:bookmarkStart w:id="0" w:name="_GoBack"/>
      <w:bookmarkEnd w:id="0"/>
    </w:p>
    <w:tbl>
      <w:tblPr>
        <w:tblW w:w="5000" w:type="pct"/>
        <w:jc w:val="right"/>
        <w:tblLayout w:type="fixed"/>
        <w:tblLook w:val="0000" w:firstRow="0" w:lastRow="0" w:firstColumn="0" w:lastColumn="0" w:noHBand="0" w:noVBand="0"/>
      </w:tblPr>
      <w:tblGrid>
        <w:gridCol w:w="1521"/>
        <w:gridCol w:w="4641"/>
        <w:gridCol w:w="3335"/>
      </w:tblGrid>
      <w:tr w:rsidR="00936FA2" w:rsidRPr="00D25175" w14:paraId="735E7E9D" w14:textId="77777777" w:rsidTr="00F13CB9">
        <w:trPr>
          <w:cantSplit/>
          <w:trHeight w:val="850"/>
          <w:jc w:val="right"/>
        </w:trPr>
        <w:tc>
          <w:tcPr>
            <w:tcW w:w="1521" w:type="dxa"/>
          </w:tcPr>
          <w:p w14:paraId="5B829C34" w14:textId="77777777" w:rsidR="00936FA2" w:rsidRPr="00D25175" w:rsidRDefault="00936FA2" w:rsidP="00F13CB9">
            <w:pPr>
              <w:rPr>
                <w:rFonts w:ascii="Univers" w:hAnsi="Univers"/>
                <w:b/>
                <w:noProof/>
                <w:sz w:val="27"/>
                <w:szCs w:val="27"/>
              </w:rPr>
            </w:pPr>
            <w:r w:rsidRPr="00D25175">
              <w:rPr>
                <w:rFonts w:ascii="Arial" w:hAnsi="Arial" w:cs="Arial"/>
                <w:b/>
                <w:noProof/>
                <w:sz w:val="27"/>
                <w:szCs w:val="27"/>
              </w:rPr>
              <w:t>UNITED</w:t>
            </w:r>
            <w:r>
              <w:rPr>
                <w:rFonts w:ascii="Arial" w:hAnsi="Arial" w:cs="Arial"/>
                <w:b/>
                <w:noProof/>
                <w:sz w:val="27"/>
                <w:szCs w:val="27"/>
              </w:rPr>
              <w:t xml:space="preserve"> </w:t>
            </w:r>
            <w:r w:rsidRPr="00D25175">
              <w:rPr>
                <w:rFonts w:ascii="Arial" w:hAnsi="Arial" w:cs="Arial"/>
                <w:b/>
                <w:noProof/>
                <w:sz w:val="27"/>
                <w:szCs w:val="27"/>
              </w:rPr>
              <w:br/>
              <w:t>NATIONS</w:t>
            </w:r>
          </w:p>
        </w:tc>
        <w:tc>
          <w:tcPr>
            <w:tcW w:w="4641" w:type="dxa"/>
          </w:tcPr>
          <w:p w14:paraId="3CAF6975" w14:textId="77777777" w:rsidR="00936FA2" w:rsidRPr="00D25175" w:rsidRDefault="00936FA2" w:rsidP="00F13CB9">
            <w:pPr>
              <w:rPr>
                <w:rFonts w:ascii="Univers" w:hAnsi="Univers"/>
                <w:b/>
                <w:sz w:val="27"/>
                <w:szCs w:val="27"/>
              </w:rPr>
            </w:pPr>
          </w:p>
        </w:tc>
        <w:tc>
          <w:tcPr>
            <w:tcW w:w="3335" w:type="dxa"/>
          </w:tcPr>
          <w:p w14:paraId="306D7CEE" w14:textId="77777777" w:rsidR="00936FA2" w:rsidRPr="00D25175" w:rsidRDefault="00936FA2" w:rsidP="00F13CB9">
            <w:pPr>
              <w:jc w:val="right"/>
              <w:rPr>
                <w:rFonts w:ascii="Arial" w:hAnsi="Arial" w:cs="Arial"/>
                <w:b/>
                <w:sz w:val="64"/>
                <w:szCs w:val="64"/>
              </w:rPr>
            </w:pPr>
            <w:r w:rsidRPr="00D25175">
              <w:rPr>
                <w:rFonts w:ascii="Arial" w:hAnsi="Arial" w:cs="Arial"/>
                <w:b/>
                <w:sz w:val="64"/>
                <w:szCs w:val="64"/>
              </w:rPr>
              <w:t>MC</w:t>
            </w:r>
          </w:p>
        </w:tc>
      </w:tr>
      <w:tr w:rsidR="00936FA2" w:rsidRPr="00D25175" w14:paraId="04FD6143" w14:textId="77777777" w:rsidTr="00F13CB9">
        <w:trPr>
          <w:cantSplit/>
          <w:trHeight w:val="281"/>
          <w:jc w:val="right"/>
        </w:trPr>
        <w:tc>
          <w:tcPr>
            <w:tcW w:w="1521" w:type="dxa"/>
            <w:tcBorders>
              <w:bottom w:val="single" w:sz="4" w:space="0" w:color="auto"/>
            </w:tcBorders>
          </w:tcPr>
          <w:p w14:paraId="0B2C4A2B" w14:textId="77777777" w:rsidR="00936FA2" w:rsidRPr="00D25175" w:rsidRDefault="00936FA2" w:rsidP="00F13CB9">
            <w:pPr>
              <w:rPr>
                <w:noProof/>
                <w:sz w:val="18"/>
                <w:szCs w:val="18"/>
              </w:rPr>
            </w:pPr>
          </w:p>
        </w:tc>
        <w:tc>
          <w:tcPr>
            <w:tcW w:w="4641" w:type="dxa"/>
            <w:tcBorders>
              <w:bottom w:val="single" w:sz="4" w:space="0" w:color="auto"/>
            </w:tcBorders>
          </w:tcPr>
          <w:p w14:paraId="3D261449" w14:textId="77777777" w:rsidR="00936FA2" w:rsidRPr="00D25175" w:rsidRDefault="00936FA2" w:rsidP="00F13CB9">
            <w:pPr>
              <w:rPr>
                <w:rFonts w:ascii="Univers" w:hAnsi="Univers"/>
                <w:b/>
                <w:sz w:val="18"/>
                <w:szCs w:val="18"/>
              </w:rPr>
            </w:pPr>
          </w:p>
        </w:tc>
        <w:tc>
          <w:tcPr>
            <w:tcW w:w="3335" w:type="dxa"/>
            <w:tcBorders>
              <w:bottom w:val="single" w:sz="4" w:space="0" w:color="auto"/>
            </w:tcBorders>
          </w:tcPr>
          <w:p w14:paraId="78E504FD" w14:textId="77777777" w:rsidR="00936FA2" w:rsidRPr="00D25175" w:rsidRDefault="00936FA2" w:rsidP="00F13CB9">
            <w:pPr>
              <w:rPr>
                <w:noProof/>
                <w:sz w:val="18"/>
                <w:szCs w:val="18"/>
              </w:rPr>
            </w:pPr>
            <w:r w:rsidRPr="00D25175">
              <w:rPr>
                <w:b/>
                <w:bCs/>
                <w:sz w:val="28"/>
              </w:rPr>
              <w:t>UNEP</w:t>
            </w:r>
            <w:bookmarkStart w:id="1" w:name="OLE_LINK1"/>
            <w:bookmarkStart w:id="2" w:name="OLE_LINK2"/>
            <w:r w:rsidRPr="0018028C">
              <w:rPr>
                <w:b/>
                <w:bCs/>
                <w:sz w:val="20"/>
                <w:szCs w:val="20"/>
              </w:rPr>
              <w:t>/</w:t>
            </w:r>
            <w:r w:rsidRPr="0018028C">
              <w:rPr>
                <w:sz w:val="20"/>
                <w:szCs w:val="20"/>
              </w:rPr>
              <w:t>MC/</w:t>
            </w:r>
            <w:bookmarkEnd w:id="1"/>
            <w:bookmarkEnd w:id="2"/>
            <w:r w:rsidRPr="0018028C">
              <w:rPr>
                <w:sz w:val="20"/>
                <w:szCs w:val="20"/>
              </w:rPr>
              <w:t>COP.2/INF/3</w:t>
            </w:r>
          </w:p>
        </w:tc>
      </w:tr>
      <w:bookmarkStart w:id="3" w:name="_MON_1021710482"/>
      <w:bookmarkEnd w:id="3"/>
      <w:bookmarkStart w:id="4" w:name="_MON_1021710510"/>
      <w:bookmarkEnd w:id="4"/>
      <w:tr w:rsidR="00936FA2" w:rsidRPr="00D25175" w14:paraId="4927334B" w14:textId="77777777" w:rsidTr="00F13CB9">
        <w:trPr>
          <w:cantSplit/>
          <w:trHeight w:val="2549"/>
          <w:jc w:val="right"/>
        </w:trPr>
        <w:tc>
          <w:tcPr>
            <w:tcW w:w="1521" w:type="dxa"/>
            <w:tcBorders>
              <w:top w:val="single" w:sz="4" w:space="0" w:color="auto"/>
              <w:bottom w:val="single" w:sz="24" w:space="0" w:color="auto"/>
            </w:tcBorders>
          </w:tcPr>
          <w:p w14:paraId="07890ADB" w14:textId="77777777" w:rsidR="00936FA2" w:rsidRPr="00D25175" w:rsidRDefault="00936FA2" w:rsidP="00F13CB9">
            <w:pPr>
              <w:rPr>
                <w:noProof/>
              </w:rPr>
            </w:pPr>
            <w:r w:rsidRPr="00D25175">
              <w:rPr>
                <w:noProof/>
              </w:rPr>
              <w:object w:dxaOrig="1831" w:dyaOrig="1726" w14:anchorId="7DFC8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1pt;height:62pt;mso-width-percent:0;mso-height-percent:0;mso-width-percent:0;mso-height-percent:0" o:ole="" fillcolor="window">
                  <v:imagedata r:id="rId8" o:title=""/>
                </v:shape>
                <o:OLEObject Type="Embed" ProgID="Word.Picture.8" ShapeID="_x0000_i1025" DrawAspect="Content" ObjectID="_1603632473" r:id="rId9"/>
              </w:object>
            </w:r>
            <w:r w:rsidRPr="00D25175">
              <w:rPr>
                <w:noProof/>
                <w:lang w:val="fr-FR" w:eastAsia="zh-CN"/>
              </w:rPr>
              <w:drawing>
                <wp:inline distT="0" distB="0" distL="0" distR="0" wp14:anchorId="7FE79278" wp14:editId="71EAF7B5">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1" w:type="dxa"/>
            <w:tcBorders>
              <w:top w:val="single" w:sz="4" w:space="0" w:color="auto"/>
              <w:bottom w:val="single" w:sz="24" w:space="0" w:color="auto"/>
            </w:tcBorders>
          </w:tcPr>
          <w:p w14:paraId="2F7219EC" w14:textId="77777777" w:rsidR="00936FA2" w:rsidRPr="00D25175" w:rsidRDefault="00936FA2" w:rsidP="00F13CB9">
            <w:pPr>
              <w:spacing w:before="1200"/>
              <w:rPr>
                <w:rFonts w:ascii="Arial" w:hAnsi="Arial" w:cs="Arial"/>
                <w:b/>
                <w:sz w:val="28"/>
              </w:rPr>
            </w:pPr>
            <w:r w:rsidRPr="00D25175">
              <w:rPr>
                <w:rFonts w:ascii="Arial" w:hAnsi="Arial" w:cs="Arial"/>
                <w:b/>
                <w:sz w:val="32"/>
                <w:szCs w:val="32"/>
              </w:rPr>
              <w:t>United Nations</w:t>
            </w:r>
            <w:r>
              <w:rPr>
                <w:rFonts w:ascii="Arial" w:hAnsi="Arial" w:cs="Arial"/>
                <w:b/>
                <w:sz w:val="32"/>
                <w:szCs w:val="32"/>
              </w:rPr>
              <w:t xml:space="preserve"> </w:t>
            </w:r>
            <w:r w:rsidRPr="00D25175">
              <w:rPr>
                <w:rFonts w:ascii="Arial" w:hAnsi="Arial" w:cs="Arial"/>
                <w:b/>
                <w:sz w:val="32"/>
                <w:szCs w:val="32"/>
              </w:rPr>
              <w:br w:type="textWrapping" w:clear="all"/>
              <w:t>Environment</w:t>
            </w:r>
            <w:r>
              <w:rPr>
                <w:rFonts w:ascii="Arial" w:hAnsi="Arial" w:cs="Arial"/>
                <w:b/>
                <w:sz w:val="32"/>
                <w:szCs w:val="32"/>
              </w:rPr>
              <w:t xml:space="preserve"> </w:t>
            </w:r>
            <w:r w:rsidRPr="00D25175">
              <w:rPr>
                <w:rFonts w:ascii="Arial" w:hAnsi="Arial" w:cs="Arial"/>
                <w:b/>
                <w:sz w:val="32"/>
                <w:szCs w:val="32"/>
              </w:rPr>
              <w:br w:type="textWrapping" w:clear="all"/>
            </w:r>
            <w:proofErr w:type="spellStart"/>
            <w:r w:rsidRPr="00D25175">
              <w:rPr>
                <w:rFonts w:ascii="Arial" w:hAnsi="Arial" w:cs="Arial"/>
                <w:b/>
                <w:sz w:val="32"/>
                <w:szCs w:val="32"/>
              </w:rPr>
              <w:t>Programme</w:t>
            </w:r>
            <w:proofErr w:type="spellEnd"/>
          </w:p>
        </w:tc>
        <w:tc>
          <w:tcPr>
            <w:tcW w:w="3335" w:type="dxa"/>
            <w:tcBorders>
              <w:top w:val="single" w:sz="4" w:space="0" w:color="auto"/>
              <w:bottom w:val="single" w:sz="24" w:space="0" w:color="auto"/>
            </w:tcBorders>
          </w:tcPr>
          <w:p w14:paraId="47594C93" w14:textId="53AFC266" w:rsidR="00936FA2" w:rsidRPr="0018028C" w:rsidRDefault="00936FA2" w:rsidP="00F13CB9">
            <w:pPr>
              <w:spacing w:before="120"/>
              <w:rPr>
                <w:sz w:val="20"/>
                <w:szCs w:val="20"/>
              </w:rPr>
            </w:pPr>
            <w:r w:rsidRPr="0018028C">
              <w:rPr>
                <w:sz w:val="20"/>
                <w:szCs w:val="20"/>
              </w:rPr>
              <w:t xml:space="preserve">Distr.: General </w:t>
            </w:r>
            <w:r w:rsidRPr="0018028C">
              <w:rPr>
                <w:sz w:val="20"/>
                <w:szCs w:val="20"/>
              </w:rPr>
              <w:br w:type="textWrapping" w:clear="all"/>
            </w:r>
            <w:r w:rsidR="008E2100">
              <w:rPr>
                <w:sz w:val="20"/>
                <w:szCs w:val="20"/>
              </w:rPr>
              <w:t>31</w:t>
            </w:r>
            <w:r w:rsidR="008E2100" w:rsidRPr="0018028C">
              <w:rPr>
                <w:sz w:val="20"/>
                <w:szCs w:val="20"/>
              </w:rPr>
              <w:t xml:space="preserve"> </w:t>
            </w:r>
            <w:r w:rsidRPr="0018028C">
              <w:rPr>
                <w:sz w:val="20"/>
                <w:szCs w:val="20"/>
              </w:rPr>
              <w:t>October 2018</w:t>
            </w:r>
          </w:p>
          <w:p w14:paraId="47DB7513" w14:textId="77777777" w:rsidR="00936FA2" w:rsidRPr="00D25175" w:rsidRDefault="00936FA2" w:rsidP="00F13CB9">
            <w:pPr>
              <w:spacing w:before="120"/>
            </w:pPr>
            <w:r w:rsidRPr="0018028C">
              <w:rPr>
                <w:sz w:val="20"/>
                <w:szCs w:val="20"/>
              </w:rPr>
              <w:t>English only</w:t>
            </w:r>
          </w:p>
        </w:tc>
      </w:tr>
    </w:tbl>
    <w:p w14:paraId="006D7290" w14:textId="3BF31F15" w:rsidR="0018028C" w:rsidRPr="00D25175" w:rsidRDefault="0018028C" w:rsidP="0018028C">
      <w:pPr>
        <w:pStyle w:val="AATitle"/>
        <w:keepNext w:val="0"/>
        <w:keepLines w:val="0"/>
      </w:pPr>
      <w:r w:rsidRPr="00D25175">
        <w:t>Conference of the Parties</w:t>
      </w:r>
      <w:r>
        <w:t xml:space="preserve"> to the </w:t>
      </w:r>
      <w:r>
        <w:br/>
      </w:r>
      <w:r w:rsidRPr="00D25175">
        <w:t>Minamata Convention on Mercury</w:t>
      </w:r>
    </w:p>
    <w:p w14:paraId="01D0A940" w14:textId="77777777" w:rsidR="0018028C" w:rsidRPr="001978FE" w:rsidRDefault="0018028C" w:rsidP="0018028C">
      <w:pPr>
        <w:pStyle w:val="AATitle"/>
        <w:keepNext w:val="0"/>
        <w:keepLines w:val="0"/>
      </w:pPr>
      <w:r w:rsidRPr="001978FE">
        <w:t>Second meeting</w:t>
      </w:r>
    </w:p>
    <w:p w14:paraId="3CF9B2CD" w14:textId="77777777" w:rsidR="0018028C" w:rsidRPr="001978FE" w:rsidRDefault="0018028C" w:rsidP="0018028C">
      <w:pPr>
        <w:pStyle w:val="AATitle"/>
        <w:rPr>
          <w:b w:val="0"/>
        </w:rPr>
      </w:pPr>
      <w:r w:rsidRPr="001978FE">
        <w:rPr>
          <w:b w:val="0"/>
        </w:rPr>
        <w:t>Geneva, 19–23 November 2018</w:t>
      </w:r>
    </w:p>
    <w:p w14:paraId="524D2A70" w14:textId="77777777" w:rsidR="0018028C" w:rsidRPr="001978FE" w:rsidRDefault="0018028C" w:rsidP="0018028C">
      <w:pPr>
        <w:pStyle w:val="AATitle"/>
        <w:keepNext w:val="0"/>
        <w:keepLines w:val="0"/>
        <w:rPr>
          <w:b w:val="0"/>
        </w:rPr>
      </w:pPr>
      <w:r w:rsidRPr="001978FE">
        <w:rPr>
          <w:b w:val="0"/>
        </w:rPr>
        <w:t>Item 5</w:t>
      </w:r>
      <w:r>
        <w:rPr>
          <w:b w:val="0"/>
        </w:rPr>
        <w:t xml:space="preserve"> </w:t>
      </w:r>
      <w:r w:rsidRPr="001978FE">
        <w:rPr>
          <w:b w:val="0"/>
        </w:rPr>
        <w:t xml:space="preserve">(e) </w:t>
      </w:r>
      <w:r>
        <w:rPr>
          <w:b w:val="0"/>
        </w:rPr>
        <w:t>(</w:t>
      </w:r>
      <w:proofErr w:type="spellStart"/>
      <w:r>
        <w:rPr>
          <w:b w:val="0"/>
        </w:rPr>
        <w:t>i</w:t>
      </w:r>
      <w:proofErr w:type="spellEnd"/>
      <w:r>
        <w:rPr>
          <w:b w:val="0"/>
        </w:rPr>
        <w:t xml:space="preserve">) </w:t>
      </w:r>
      <w:r w:rsidRPr="001978FE">
        <w:rPr>
          <w:b w:val="0"/>
        </w:rPr>
        <w:t>of the provisional agenda</w:t>
      </w:r>
      <w:r w:rsidRPr="001978FE">
        <w:rPr>
          <w:b w:val="0"/>
        </w:rPr>
        <w:footnoteReference w:customMarkFollows="1" w:id="2"/>
        <w:t>*</w:t>
      </w:r>
    </w:p>
    <w:p w14:paraId="7561F29C" w14:textId="77777777" w:rsidR="0018028C" w:rsidRDefault="0018028C" w:rsidP="0018028C">
      <w:pPr>
        <w:pStyle w:val="AATitle2"/>
        <w:spacing w:before="60"/>
      </w:pPr>
      <w:r w:rsidRPr="001978FE">
        <w:t xml:space="preserve">Matters for consideration or action by the Conference </w:t>
      </w:r>
      <w:r>
        <w:br/>
      </w:r>
      <w:r w:rsidRPr="001978FE">
        <w:t xml:space="preserve">of the Parties: </w:t>
      </w:r>
      <w:r>
        <w:t>o</w:t>
      </w:r>
      <w:r w:rsidRPr="001978FE">
        <w:t>peration of the financial mechanism: Global Environment Facility</w:t>
      </w:r>
    </w:p>
    <w:p w14:paraId="49A54867" w14:textId="069A7487" w:rsidR="0018028C" w:rsidRPr="00B00094" w:rsidRDefault="0018028C" w:rsidP="0018028C">
      <w:pPr>
        <w:pStyle w:val="BBTitle"/>
      </w:pPr>
      <w:r w:rsidRPr="00B00094">
        <w:t xml:space="preserve">Report </w:t>
      </w:r>
      <w:r>
        <w:t>of</w:t>
      </w:r>
      <w:r w:rsidRPr="00B00094">
        <w:t xml:space="preserve"> the Global Environment Facility to the Conference of the Parties to the Minamata Convention on Mercury</w:t>
      </w:r>
      <w:r>
        <w:t xml:space="preserve"> at its second meeting</w:t>
      </w:r>
    </w:p>
    <w:p w14:paraId="64D76976" w14:textId="77777777" w:rsidR="0018028C" w:rsidRDefault="0018028C" w:rsidP="0018028C">
      <w:pPr>
        <w:pStyle w:val="CH2"/>
      </w:pPr>
      <w:r>
        <w:tab/>
      </w:r>
      <w:r>
        <w:tab/>
        <w:t>Note by the secretariat</w:t>
      </w:r>
    </w:p>
    <w:p w14:paraId="36F5D019" w14:textId="7B00A7AE" w:rsidR="0018028C" w:rsidRDefault="0018028C" w:rsidP="0018028C">
      <w:pPr>
        <w:pStyle w:val="Normal-pool"/>
        <w:spacing w:after="120"/>
        <w:ind w:left="1247" w:firstLine="624"/>
      </w:pPr>
      <w:r>
        <w:rPr>
          <w:lang w:val="en-US"/>
        </w:rPr>
        <w:t xml:space="preserve">The annex to the present note sets out a report of the </w:t>
      </w:r>
      <w:r>
        <w:t>Global Environment Facility to the Conference of the Parties to the Minamata Convention on Mercury at its second meeting</w:t>
      </w:r>
      <w:r>
        <w:rPr>
          <w:lang w:val="en-US"/>
        </w:rPr>
        <w:t>. The report is reproduced as received, without formal editing</w:t>
      </w:r>
      <w:r>
        <w:t>.</w:t>
      </w:r>
    </w:p>
    <w:p w14:paraId="18F2C9EB" w14:textId="77777777" w:rsidR="0018028C" w:rsidRPr="0018028C" w:rsidRDefault="0018028C" w:rsidP="0018028C">
      <w:pPr>
        <w:pStyle w:val="Normal-pool"/>
        <w:spacing w:after="120"/>
        <w:ind w:left="1247" w:firstLine="624"/>
        <w:rPr>
          <w:lang w:val="en-US"/>
        </w:rPr>
      </w:pPr>
    </w:p>
    <w:p w14:paraId="6367943C" w14:textId="77777777" w:rsidR="0018028C" w:rsidRPr="0018028C" w:rsidRDefault="0018028C" w:rsidP="0018028C">
      <w:pPr>
        <w:pStyle w:val="Normal-pool"/>
        <w:spacing w:after="120"/>
        <w:ind w:left="1247" w:firstLine="624"/>
        <w:rPr>
          <w:lang w:val="en-US"/>
        </w:rPr>
      </w:pPr>
    </w:p>
    <w:p w14:paraId="25C87203" w14:textId="77777777" w:rsidR="0018028C" w:rsidRPr="0018028C" w:rsidRDefault="0018028C" w:rsidP="0018028C">
      <w:pPr>
        <w:pStyle w:val="Normal-pool"/>
        <w:spacing w:after="120"/>
        <w:ind w:left="1247" w:firstLine="624"/>
        <w:rPr>
          <w:lang w:val="en-US"/>
        </w:rPr>
      </w:pPr>
    </w:p>
    <w:p w14:paraId="7035DD6F" w14:textId="17AEBE55" w:rsidR="0018028C" w:rsidRDefault="0018028C">
      <w:pPr>
        <w:widowControl w:val="0"/>
        <w:autoSpaceDE w:val="0"/>
        <w:autoSpaceDN w:val="0"/>
        <w:rPr>
          <w:rFonts w:asciiTheme="minorHAnsi" w:hAnsiTheme="minorHAnsi"/>
          <w:sz w:val="20"/>
        </w:rPr>
      </w:pPr>
      <w:r>
        <w:rPr>
          <w:rFonts w:asciiTheme="minorHAnsi" w:hAnsiTheme="minorHAnsi"/>
          <w:sz w:val="20"/>
        </w:rPr>
        <w:br w:type="page"/>
      </w:r>
    </w:p>
    <w:p w14:paraId="0B804711" w14:textId="0059A508" w:rsidR="0000292F" w:rsidRDefault="0018028C" w:rsidP="0018028C">
      <w:pPr>
        <w:pStyle w:val="ZZAnxheader"/>
        <w:rPr>
          <w:rFonts w:asciiTheme="minorHAnsi" w:hAnsiTheme="minorHAnsi"/>
          <w:sz w:val="20"/>
        </w:rPr>
      </w:pPr>
      <w:r w:rsidRPr="0018028C">
        <w:lastRenderedPageBreak/>
        <w:t>Annex</w:t>
      </w:r>
    </w:p>
    <w:p w14:paraId="0A1CE2C6" w14:textId="7A844B6F" w:rsidR="0018028C" w:rsidRPr="00F97952" w:rsidRDefault="0018028C" w:rsidP="0018028C">
      <w:pPr>
        <w:pStyle w:val="ZZAnxtitle"/>
        <w:spacing w:before="600"/>
        <w:rPr>
          <w:rFonts w:asciiTheme="minorHAnsi" w:hAnsiTheme="minorHAnsi"/>
          <w:sz w:val="20"/>
        </w:rPr>
      </w:pPr>
      <w:r w:rsidRPr="00F97952">
        <w:rPr>
          <w:rFonts w:asciiTheme="minorHAnsi" w:hAnsiTheme="minorHAnsi"/>
          <w:noProof/>
          <w:sz w:val="20"/>
          <w:lang w:val="fr-FR" w:eastAsia="zh-CN"/>
        </w:rPr>
        <w:drawing>
          <wp:inline distT="0" distB="0" distL="0" distR="0" wp14:anchorId="404ECB46" wp14:editId="29D91047">
            <wp:extent cx="4362450" cy="9636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F_Brand_Long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67300" cy="964703"/>
                    </a:xfrm>
                    <a:prstGeom prst="rect">
                      <a:avLst/>
                    </a:prstGeom>
                  </pic:spPr>
                </pic:pic>
              </a:graphicData>
            </a:graphic>
          </wp:inline>
        </w:drawing>
      </w:r>
    </w:p>
    <w:p w14:paraId="3046C0CA" w14:textId="479F7E5E" w:rsidR="0000292F" w:rsidRPr="00F97952" w:rsidRDefault="0000292F" w:rsidP="0018028C">
      <w:pPr>
        <w:pStyle w:val="Corpsdetexte"/>
        <w:rPr>
          <w:rFonts w:asciiTheme="minorHAnsi" w:hAnsiTheme="minorHAnsi"/>
          <w:sz w:val="20"/>
        </w:rPr>
      </w:pPr>
    </w:p>
    <w:p w14:paraId="255EC23A" w14:textId="1A0CDCEE" w:rsidR="0000292F" w:rsidRPr="00F97952" w:rsidRDefault="0000292F" w:rsidP="00BF4281">
      <w:pPr>
        <w:pStyle w:val="Corpsdetexte"/>
        <w:rPr>
          <w:rFonts w:asciiTheme="minorHAnsi" w:hAnsiTheme="minorHAnsi"/>
          <w:sz w:val="20"/>
        </w:rPr>
      </w:pPr>
    </w:p>
    <w:p w14:paraId="3F4DF16E" w14:textId="77777777" w:rsidR="0000292F" w:rsidRPr="00F97952" w:rsidRDefault="00050753" w:rsidP="0018028C">
      <w:pPr>
        <w:pStyle w:val="Corpsdetexte"/>
        <w:rPr>
          <w:rFonts w:asciiTheme="minorHAnsi" w:hAnsiTheme="minorHAnsi"/>
          <w:sz w:val="11"/>
        </w:rPr>
      </w:pPr>
      <w:r w:rsidRPr="00F97952">
        <w:rPr>
          <w:rFonts w:asciiTheme="minorHAnsi" w:hAnsiTheme="minorHAnsi"/>
          <w:noProof/>
          <w:lang w:val="fr-FR" w:eastAsia="zh-CN"/>
        </w:rPr>
        <mc:AlternateContent>
          <mc:Choice Requires="wps">
            <w:drawing>
              <wp:anchor distT="0" distB="0" distL="0" distR="0" simplePos="0" relativeHeight="251658241" behindDoc="0" locked="0" layoutInCell="1" allowOverlap="1" wp14:anchorId="7D494D7C" wp14:editId="002E9A04">
                <wp:simplePos x="0" y="0"/>
                <wp:positionH relativeFrom="page">
                  <wp:posOffset>838200</wp:posOffset>
                </wp:positionH>
                <wp:positionV relativeFrom="paragraph">
                  <wp:posOffset>120650</wp:posOffset>
                </wp:positionV>
                <wp:extent cx="6090920" cy="0"/>
                <wp:effectExtent l="19050" t="16510" r="14605" b="21590"/>
                <wp:wrapTopAndBottom/>
                <wp:docPr id="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277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w:pict>
              <v:line w14:anchorId="7FB86610" id="Line 267"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5pt" to="54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RfFAIAACsEAAAOAAAAZHJzL2Uyb0RvYy54bWysU02P2yAQvVfqf0DcE3+s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" strokeweight=".77047mm">
                <w10:wrap type="topAndBottom" anchorx="page"/>
              </v:line>
            </w:pict>
          </mc:Fallback>
        </mc:AlternateContent>
      </w:r>
    </w:p>
    <w:p w14:paraId="2C33D1F1" w14:textId="77777777" w:rsidR="0000292F" w:rsidRPr="00F97952" w:rsidRDefault="0000292F" w:rsidP="00BF4281">
      <w:pPr>
        <w:pStyle w:val="Corpsdetexte"/>
        <w:rPr>
          <w:rFonts w:asciiTheme="minorHAnsi" w:hAnsiTheme="minorHAnsi"/>
          <w:sz w:val="20"/>
        </w:rPr>
      </w:pPr>
    </w:p>
    <w:p w14:paraId="5B09E13E" w14:textId="77777777" w:rsidR="0000292F" w:rsidRPr="00F97952" w:rsidRDefault="0000292F" w:rsidP="00BF4281">
      <w:pPr>
        <w:pStyle w:val="Corpsdetexte"/>
        <w:rPr>
          <w:rFonts w:asciiTheme="minorHAnsi" w:hAnsiTheme="minorHAnsi"/>
          <w:sz w:val="20"/>
        </w:rPr>
      </w:pPr>
    </w:p>
    <w:p w14:paraId="2512E76F" w14:textId="77777777" w:rsidR="0000292F" w:rsidRPr="00F97952" w:rsidRDefault="0000292F" w:rsidP="00BF4281">
      <w:pPr>
        <w:pStyle w:val="Corpsdetexte"/>
        <w:rPr>
          <w:rFonts w:asciiTheme="minorHAnsi" w:hAnsiTheme="minorHAnsi"/>
          <w:sz w:val="20"/>
        </w:rPr>
      </w:pPr>
    </w:p>
    <w:p w14:paraId="614553FB" w14:textId="77777777" w:rsidR="0000292F" w:rsidRPr="00F97952" w:rsidRDefault="0000292F" w:rsidP="00BF4281">
      <w:pPr>
        <w:pStyle w:val="Corpsdetexte"/>
        <w:rPr>
          <w:rFonts w:asciiTheme="minorHAnsi" w:hAnsiTheme="minorHAnsi"/>
          <w:sz w:val="20"/>
        </w:rPr>
      </w:pPr>
    </w:p>
    <w:p w14:paraId="3BB3A90A" w14:textId="77777777" w:rsidR="0000292F" w:rsidRPr="00F97952" w:rsidRDefault="0000292F" w:rsidP="00BF4281">
      <w:pPr>
        <w:pStyle w:val="Corpsdetexte"/>
        <w:rPr>
          <w:rFonts w:asciiTheme="minorHAnsi" w:hAnsiTheme="minorHAnsi"/>
          <w:sz w:val="20"/>
        </w:rPr>
      </w:pPr>
    </w:p>
    <w:p w14:paraId="7668AAD6" w14:textId="77777777" w:rsidR="0000292F" w:rsidRPr="00F97952" w:rsidRDefault="0000292F" w:rsidP="00BF4281">
      <w:pPr>
        <w:pStyle w:val="Corpsdetexte"/>
        <w:rPr>
          <w:rFonts w:asciiTheme="minorHAnsi" w:hAnsiTheme="minorHAnsi"/>
          <w:sz w:val="20"/>
        </w:rPr>
      </w:pPr>
    </w:p>
    <w:p w14:paraId="286EDB84" w14:textId="77777777" w:rsidR="0000292F" w:rsidRPr="00F97952" w:rsidRDefault="0000292F" w:rsidP="00BF4281">
      <w:pPr>
        <w:pStyle w:val="Corpsdetexte"/>
        <w:rPr>
          <w:rFonts w:asciiTheme="minorHAnsi" w:hAnsiTheme="minorHAnsi"/>
          <w:sz w:val="20"/>
        </w:rPr>
      </w:pPr>
    </w:p>
    <w:p w14:paraId="3FE80F86" w14:textId="77777777" w:rsidR="0000292F" w:rsidRPr="00F97952" w:rsidRDefault="0000292F" w:rsidP="00BF4281">
      <w:pPr>
        <w:pStyle w:val="Corpsdetexte"/>
        <w:rPr>
          <w:rFonts w:asciiTheme="minorHAnsi" w:hAnsiTheme="minorHAnsi" w:cstheme="minorHAnsi"/>
          <w:sz w:val="20"/>
        </w:rPr>
      </w:pPr>
    </w:p>
    <w:p w14:paraId="44A866D7" w14:textId="77777777" w:rsidR="0000292F" w:rsidRPr="00F97952" w:rsidRDefault="0000292F" w:rsidP="00BF4281">
      <w:pPr>
        <w:pStyle w:val="Corpsdetexte"/>
        <w:rPr>
          <w:rFonts w:asciiTheme="minorHAnsi" w:hAnsiTheme="minorHAnsi" w:cstheme="minorHAnsi"/>
          <w:sz w:val="20"/>
        </w:rPr>
      </w:pPr>
    </w:p>
    <w:p w14:paraId="0B7E13CF" w14:textId="77777777" w:rsidR="0000292F" w:rsidRPr="00F97952" w:rsidRDefault="0000292F" w:rsidP="00BF4281">
      <w:pPr>
        <w:pStyle w:val="Corpsdetexte"/>
        <w:rPr>
          <w:rFonts w:asciiTheme="minorHAnsi" w:hAnsiTheme="minorHAnsi" w:cstheme="minorHAnsi"/>
          <w:sz w:val="20"/>
        </w:rPr>
      </w:pPr>
    </w:p>
    <w:p w14:paraId="7ECAAD88" w14:textId="77777777" w:rsidR="0000292F" w:rsidRPr="00F97952" w:rsidRDefault="0000292F" w:rsidP="00BF4281">
      <w:pPr>
        <w:pStyle w:val="Corpsdetexte"/>
        <w:rPr>
          <w:rFonts w:asciiTheme="minorHAnsi" w:hAnsiTheme="minorHAnsi" w:cstheme="minorHAnsi"/>
          <w:sz w:val="20"/>
        </w:rPr>
      </w:pPr>
    </w:p>
    <w:p w14:paraId="40704998" w14:textId="77777777" w:rsidR="0000292F" w:rsidRPr="00F97952" w:rsidRDefault="0000292F" w:rsidP="00BF4281">
      <w:pPr>
        <w:pStyle w:val="Corpsdetexte"/>
        <w:rPr>
          <w:rFonts w:asciiTheme="minorHAnsi" w:hAnsiTheme="minorHAnsi" w:cstheme="minorHAnsi"/>
          <w:sz w:val="20"/>
        </w:rPr>
      </w:pPr>
    </w:p>
    <w:p w14:paraId="2EC42A8E" w14:textId="77777777" w:rsidR="0000292F" w:rsidRPr="00F97952" w:rsidRDefault="0000292F" w:rsidP="00BF4281">
      <w:pPr>
        <w:pStyle w:val="Corpsdetexte"/>
        <w:rPr>
          <w:rFonts w:asciiTheme="minorHAnsi" w:hAnsiTheme="minorHAnsi" w:cstheme="minorHAnsi"/>
          <w:sz w:val="20"/>
        </w:rPr>
      </w:pPr>
    </w:p>
    <w:p w14:paraId="36A1575D" w14:textId="77777777" w:rsidR="0000292F" w:rsidRPr="00F97952" w:rsidRDefault="0000292F" w:rsidP="00BF4281">
      <w:pPr>
        <w:pStyle w:val="Corpsdetexte"/>
        <w:rPr>
          <w:rFonts w:asciiTheme="minorHAnsi" w:hAnsiTheme="minorHAnsi" w:cstheme="minorHAnsi"/>
          <w:sz w:val="20"/>
        </w:rPr>
      </w:pPr>
    </w:p>
    <w:p w14:paraId="66A15317" w14:textId="77777777" w:rsidR="0000292F" w:rsidRPr="00F97952" w:rsidRDefault="0000292F" w:rsidP="00BF4281">
      <w:pPr>
        <w:pStyle w:val="Corpsdetexte"/>
        <w:rPr>
          <w:rFonts w:asciiTheme="minorHAnsi" w:hAnsiTheme="minorHAnsi" w:cstheme="minorHAnsi"/>
          <w:sz w:val="20"/>
        </w:rPr>
      </w:pPr>
    </w:p>
    <w:p w14:paraId="55FD7E0F" w14:textId="77777777" w:rsidR="0000292F" w:rsidRPr="00F97952" w:rsidRDefault="001E19D2" w:rsidP="00BF4281">
      <w:pPr>
        <w:spacing w:before="250"/>
        <w:ind w:left="1365" w:right="1351"/>
        <w:jc w:val="center"/>
        <w:rPr>
          <w:rFonts w:asciiTheme="minorHAnsi" w:hAnsiTheme="minorHAnsi" w:cstheme="minorHAnsi"/>
          <w:b/>
          <w:sz w:val="32"/>
        </w:rPr>
      </w:pPr>
      <w:r w:rsidRPr="00F97952">
        <w:rPr>
          <w:rFonts w:asciiTheme="minorHAnsi" w:hAnsiTheme="minorHAnsi" w:cstheme="minorHAnsi"/>
          <w:b/>
          <w:sz w:val="32"/>
        </w:rPr>
        <w:t>Report of the Global Environment Facility</w:t>
      </w:r>
    </w:p>
    <w:p w14:paraId="78D9E415" w14:textId="77777777" w:rsidR="0000292F" w:rsidRPr="00F97952" w:rsidRDefault="00295FE2" w:rsidP="00BF4281">
      <w:pPr>
        <w:spacing w:before="1"/>
        <w:ind w:left="1369" w:right="1351"/>
        <w:jc w:val="center"/>
        <w:rPr>
          <w:rFonts w:asciiTheme="minorHAnsi" w:hAnsiTheme="minorHAnsi" w:cstheme="minorHAnsi"/>
          <w:b/>
          <w:sz w:val="32"/>
        </w:rPr>
      </w:pPr>
      <w:r w:rsidRPr="00F97952">
        <w:rPr>
          <w:rFonts w:asciiTheme="minorHAnsi" w:hAnsiTheme="minorHAnsi" w:cstheme="minorHAnsi"/>
          <w:b/>
          <w:sz w:val="32"/>
        </w:rPr>
        <w:t>to the Second</w:t>
      </w:r>
      <w:r w:rsidR="001E19D2" w:rsidRPr="00F97952">
        <w:rPr>
          <w:rFonts w:asciiTheme="minorHAnsi" w:hAnsiTheme="minorHAnsi" w:cstheme="minorHAnsi"/>
          <w:b/>
          <w:sz w:val="32"/>
        </w:rPr>
        <w:t xml:space="preserve"> Meeting of the Conference of the Parties to the Minamata Convention on Mercury</w:t>
      </w:r>
    </w:p>
    <w:p w14:paraId="37C32892" w14:textId="77777777" w:rsidR="00926141" w:rsidRPr="00F97952" w:rsidRDefault="00926141" w:rsidP="00BF4281">
      <w:pPr>
        <w:pStyle w:val="Corpsdetexte"/>
        <w:ind w:left="1368" w:right="1351"/>
        <w:jc w:val="center"/>
        <w:rPr>
          <w:rFonts w:asciiTheme="minorHAnsi" w:hAnsiTheme="minorHAnsi" w:cstheme="minorHAnsi"/>
        </w:rPr>
      </w:pPr>
    </w:p>
    <w:p w14:paraId="52670C34" w14:textId="77777777" w:rsidR="00926141" w:rsidRPr="00F97952" w:rsidRDefault="00926141" w:rsidP="00BF4281">
      <w:pPr>
        <w:pStyle w:val="Corpsdetexte"/>
        <w:ind w:left="1368" w:right="1351"/>
        <w:jc w:val="center"/>
        <w:rPr>
          <w:rFonts w:asciiTheme="minorHAnsi" w:hAnsiTheme="minorHAnsi" w:cstheme="minorHAnsi"/>
        </w:rPr>
      </w:pPr>
    </w:p>
    <w:p w14:paraId="3E740435" w14:textId="77777777" w:rsidR="00926141" w:rsidRPr="00F97952" w:rsidRDefault="00926141" w:rsidP="00BF4281">
      <w:pPr>
        <w:pStyle w:val="Corpsdetexte"/>
        <w:ind w:left="1368" w:right="1351"/>
        <w:jc w:val="center"/>
        <w:rPr>
          <w:rFonts w:asciiTheme="minorHAnsi" w:hAnsiTheme="minorHAnsi" w:cstheme="minorHAnsi"/>
        </w:rPr>
      </w:pPr>
    </w:p>
    <w:p w14:paraId="331355AB" w14:textId="77777777" w:rsidR="00926141" w:rsidRPr="00F97952" w:rsidRDefault="00926141" w:rsidP="00BF4281">
      <w:pPr>
        <w:pStyle w:val="Corpsdetexte"/>
        <w:ind w:left="1368" w:right="1351"/>
        <w:jc w:val="center"/>
        <w:rPr>
          <w:rFonts w:asciiTheme="minorHAnsi" w:hAnsiTheme="minorHAnsi" w:cstheme="minorHAnsi"/>
        </w:rPr>
      </w:pPr>
    </w:p>
    <w:p w14:paraId="78472A17" w14:textId="77777777" w:rsidR="00926141" w:rsidRPr="00F97952" w:rsidRDefault="00926141" w:rsidP="00BF4281">
      <w:pPr>
        <w:pStyle w:val="Corpsdetexte"/>
        <w:ind w:left="1368" w:right="1351"/>
        <w:jc w:val="center"/>
        <w:rPr>
          <w:rFonts w:asciiTheme="minorHAnsi" w:hAnsiTheme="minorHAnsi" w:cstheme="minorHAnsi"/>
        </w:rPr>
      </w:pPr>
    </w:p>
    <w:p w14:paraId="2E15444A" w14:textId="77777777" w:rsidR="00926141" w:rsidRPr="00F97952" w:rsidRDefault="00926141" w:rsidP="00BF4281">
      <w:pPr>
        <w:pStyle w:val="Corpsdetexte"/>
        <w:ind w:left="1368" w:right="1351"/>
        <w:jc w:val="center"/>
        <w:rPr>
          <w:rFonts w:asciiTheme="minorHAnsi" w:hAnsiTheme="minorHAnsi" w:cstheme="minorHAnsi"/>
        </w:rPr>
      </w:pPr>
    </w:p>
    <w:p w14:paraId="1A02F130" w14:textId="77777777" w:rsidR="00926141" w:rsidRPr="00F97952" w:rsidRDefault="00926141" w:rsidP="00BF4281">
      <w:pPr>
        <w:pStyle w:val="Corpsdetexte"/>
        <w:ind w:left="1368" w:right="1351"/>
        <w:jc w:val="center"/>
        <w:rPr>
          <w:rFonts w:asciiTheme="minorHAnsi" w:hAnsiTheme="minorHAnsi" w:cstheme="minorHAnsi"/>
        </w:rPr>
      </w:pPr>
    </w:p>
    <w:p w14:paraId="50F327D7" w14:textId="77777777" w:rsidR="00926141" w:rsidRPr="00F97952" w:rsidRDefault="00926141" w:rsidP="00BF4281">
      <w:pPr>
        <w:pStyle w:val="Corpsdetexte"/>
        <w:ind w:left="1368" w:right="1351"/>
        <w:jc w:val="center"/>
        <w:rPr>
          <w:rFonts w:asciiTheme="minorHAnsi" w:hAnsiTheme="minorHAnsi" w:cstheme="minorHAnsi"/>
        </w:rPr>
      </w:pPr>
    </w:p>
    <w:p w14:paraId="553873B1" w14:textId="77777777" w:rsidR="00926141" w:rsidRPr="00F97952" w:rsidRDefault="00926141" w:rsidP="00BF4281">
      <w:pPr>
        <w:pStyle w:val="Corpsdetexte"/>
        <w:ind w:left="1368" w:right="1351"/>
        <w:jc w:val="center"/>
        <w:rPr>
          <w:rFonts w:asciiTheme="minorHAnsi" w:hAnsiTheme="minorHAnsi" w:cstheme="minorHAnsi"/>
        </w:rPr>
      </w:pPr>
    </w:p>
    <w:p w14:paraId="34019FF1" w14:textId="77777777" w:rsidR="00926141" w:rsidRPr="00F97952" w:rsidRDefault="00926141" w:rsidP="00BF4281">
      <w:pPr>
        <w:pStyle w:val="Corpsdetexte"/>
        <w:ind w:left="1368" w:right="1351"/>
        <w:jc w:val="center"/>
        <w:rPr>
          <w:rFonts w:asciiTheme="minorHAnsi" w:hAnsiTheme="minorHAnsi" w:cstheme="minorHAnsi"/>
        </w:rPr>
      </w:pPr>
    </w:p>
    <w:p w14:paraId="66418224" w14:textId="77777777" w:rsidR="00926141" w:rsidRPr="00F97952" w:rsidRDefault="00926141" w:rsidP="00BF4281">
      <w:pPr>
        <w:pStyle w:val="Corpsdetexte"/>
        <w:ind w:left="1368" w:right="1351"/>
        <w:jc w:val="center"/>
        <w:rPr>
          <w:rFonts w:asciiTheme="minorHAnsi" w:hAnsiTheme="minorHAnsi" w:cstheme="minorHAnsi"/>
        </w:rPr>
      </w:pPr>
    </w:p>
    <w:p w14:paraId="4A69AF18" w14:textId="3D61A69C" w:rsidR="00926141" w:rsidRPr="00F97952" w:rsidRDefault="00926141" w:rsidP="00BF4281">
      <w:pPr>
        <w:pStyle w:val="Corpsdetexte"/>
        <w:ind w:left="1368" w:right="1351"/>
        <w:jc w:val="center"/>
        <w:rPr>
          <w:rFonts w:asciiTheme="minorHAnsi" w:hAnsiTheme="minorHAnsi" w:cstheme="minorHAnsi"/>
        </w:rPr>
      </w:pPr>
      <w:r w:rsidRPr="00F97952">
        <w:rPr>
          <w:rFonts w:asciiTheme="minorHAnsi" w:hAnsiTheme="minorHAnsi" w:cstheme="minorHAnsi"/>
        </w:rPr>
        <w:t>October 31, 2018</w:t>
      </w:r>
    </w:p>
    <w:p w14:paraId="6ED3D93A" w14:textId="77777777" w:rsidR="00926141" w:rsidRPr="00F97952" w:rsidRDefault="00926141">
      <w:pPr>
        <w:widowControl w:val="0"/>
        <w:autoSpaceDE w:val="0"/>
        <w:autoSpaceDN w:val="0"/>
        <w:rPr>
          <w:rFonts w:asciiTheme="minorHAnsi" w:hAnsiTheme="minorHAnsi" w:cstheme="minorHAnsi"/>
        </w:rPr>
      </w:pPr>
      <w:r w:rsidRPr="00F97952">
        <w:rPr>
          <w:rFonts w:asciiTheme="minorHAnsi" w:hAnsiTheme="minorHAnsi" w:cstheme="minorHAnsi"/>
        </w:rPr>
        <w:br w:type="page"/>
      </w:r>
    </w:p>
    <w:p w14:paraId="536F1571" w14:textId="77777777" w:rsidR="0000292F" w:rsidRPr="00F97952" w:rsidRDefault="0000292F" w:rsidP="00BF4281">
      <w:pPr>
        <w:jc w:val="center"/>
        <w:rPr>
          <w:rFonts w:asciiTheme="minorHAnsi" w:hAnsiTheme="minorHAnsi" w:cstheme="minorHAnsi"/>
        </w:rPr>
        <w:sectPr w:rsidR="0000292F" w:rsidRPr="00F97952" w:rsidSect="0018028C">
          <w:headerReference w:type="even" r:id="rId12"/>
          <w:headerReference w:type="default" r:id="rId13"/>
          <w:footerReference w:type="even" r:id="rId14"/>
          <w:footerReference w:type="default" r:id="rId15"/>
          <w:footerReference w:type="first" r:id="rId16"/>
          <w:type w:val="continuous"/>
          <w:pgSz w:w="11907" w:h="16840" w:code="9"/>
          <w:pgMar w:top="907" w:right="992" w:bottom="1418" w:left="1418" w:header="539" w:footer="975" w:gutter="0"/>
          <w:cols w:space="720"/>
          <w:titlePg/>
          <w:docGrid w:linePitch="326"/>
        </w:sectPr>
      </w:pPr>
    </w:p>
    <w:sdt>
      <w:sdtPr>
        <w:rPr>
          <w:rFonts w:asciiTheme="minorHAnsi" w:eastAsia="Times New Roman" w:hAnsiTheme="minorHAnsi" w:cs="Times New Roman"/>
          <w:b w:val="0"/>
          <w:bCs w:val="0"/>
          <w:i w:val="0"/>
          <w:sz w:val="22"/>
          <w:szCs w:val="22"/>
        </w:rPr>
        <w:id w:val="483508802"/>
        <w:docPartObj>
          <w:docPartGallery w:val="Table of Contents"/>
          <w:docPartUnique/>
        </w:docPartObj>
      </w:sdtPr>
      <w:sdtEndPr>
        <w:rPr>
          <w:rFonts w:cstheme="minorHAnsi"/>
          <w:noProof/>
          <w:sz w:val="24"/>
          <w:szCs w:val="24"/>
        </w:rPr>
      </w:sdtEndPr>
      <w:sdtContent>
        <w:p w14:paraId="5ED4F9A3" w14:textId="7EF69A29" w:rsidR="002C1877" w:rsidRPr="00F97952" w:rsidRDefault="006B200E">
          <w:pPr>
            <w:pStyle w:val="TM1"/>
            <w:tabs>
              <w:tab w:val="right" w:leader="dot" w:pos="9550"/>
            </w:tabs>
            <w:rPr>
              <w:rFonts w:asciiTheme="minorHAnsi" w:hAnsiTheme="minorHAnsi"/>
              <w:i w:val="0"/>
            </w:rPr>
          </w:pPr>
          <w:r w:rsidRPr="00F97952">
            <w:rPr>
              <w:rStyle w:val="Titre1Car"/>
              <w:rFonts w:asciiTheme="minorHAnsi" w:hAnsiTheme="minorHAnsi"/>
              <w:b/>
              <w:i w:val="0"/>
            </w:rPr>
            <w:t>Table of C</w:t>
          </w:r>
          <w:r w:rsidR="00A7402A" w:rsidRPr="00F97952">
            <w:rPr>
              <w:rStyle w:val="Titre1Car"/>
              <w:rFonts w:asciiTheme="minorHAnsi" w:hAnsiTheme="minorHAnsi"/>
              <w:b/>
              <w:i w:val="0"/>
            </w:rPr>
            <w:t>ontents</w:t>
          </w:r>
          <w:r w:rsidR="00233A2C" w:rsidRPr="00F97952">
            <w:rPr>
              <w:rFonts w:asciiTheme="minorHAnsi" w:hAnsiTheme="minorHAnsi"/>
              <w:i w:val="0"/>
            </w:rPr>
            <w:t xml:space="preserve"> </w:t>
          </w:r>
        </w:p>
        <w:p w14:paraId="3E93CC5A" w14:textId="199ECFC2" w:rsidR="00926141" w:rsidRPr="00F97952" w:rsidRDefault="00A7402A">
          <w:pPr>
            <w:pStyle w:val="TM1"/>
            <w:tabs>
              <w:tab w:val="right" w:leader="dot" w:pos="9552"/>
            </w:tabs>
            <w:rPr>
              <w:rFonts w:asciiTheme="minorHAnsi" w:eastAsiaTheme="minorEastAsia" w:hAnsiTheme="minorHAnsi" w:cstheme="minorHAnsi"/>
              <w:b w:val="0"/>
              <w:bCs w:val="0"/>
              <w:i w:val="0"/>
              <w:noProof/>
              <w:sz w:val="22"/>
              <w:szCs w:val="22"/>
            </w:rPr>
          </w:pPr>
          <w:r w:rsidRPr="00F97952">
            <w:rPr>
              <w:rFonts w:asciiTheme="minorHAnsi" w:hAnsiTheme="minorHAnsi" w:cstheme="minorHAnsi"/>
              <w:b w:val="0"/>
              <w:i w:val="0"/>
            </w:rPr>
            <w:fldChar w:fldCharType="begin"/>
          </w:r>
          <w:r w:rsidRPr="00F97952">
            <w:rPr>
              <w:rFonts w:asciiTheme="minorHAnsi" w:hAnsiTheme="minorHAnsi" w:cstheme="minorHAnsi"/>
              <w:b w:val="0"/>
              <w:i w:val="0"/>
            </w:rPr>
            <w:instrText xml:space="preserve"> TOC \o "1-3" \h \z \u </w:instrText>
          </w:r>
          <w:r w:rsidRPr="00F97952">
            <w:rPr>
              <w:rFonts w:asciiTheme="minorHAnsi" w:hAnsiTheme="minorHAnsi" w:cstheme="minorHAnsi"/>
              <w:b w:val="0"/>
              <w:i w:val="0"/>
            </w:rPr>
            <w:fldChar w:fldCharType="separate"/>
          </w:r>
          <w:hyperlink w:anchor="_Toc528774344" w:history="1">
            <w:r w:rsidR="00926141" w:rsidRPr="00F97952">
              <w:rPr>
                <w:rStyle w:val="Lienhypertexte"/>
                <w:rFonts w:asciiTheme="minorHAnsi" w:hAnsiTheme="minorHAnsi" w:cstheme="minorHAnsi"/>
                <w:b w:val="0"/>
                <w:i w:val="0"/>
                <w:noProof/>
              </w:rPr>
              <w:t>List of Tables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_Toc528774344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4</w:t>
            </w:r>
            <w:r w:rsidR="00926141" w:rsidRPr="00F97952">
              <w:rPr>
                <w:rFonts w:asciiTheme="minorHAnsi" w:hAnsiTheme="minorHAnsi" w:cstheme="minorHAnsi"/>
                <w:b w:val="0"/>
                <w:i w:val="0"/>
                <w:noProof/>
                <w:webHidden/>
              </w:rPr>
              <w:fldChar w:fldCharType="end"/>
            </w:r>
          </w:hyperlink>
        </w:p>
        <w:p w14:paraId="47136DF7" w14:textId="47B9FD6D"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45" w:history="1">
            <w:r w:rsidR="00926141" w:rsidRPr="00F97952">
              <w:rPr>
                <w:rStyle w:val="Lienhypertexte"/>
                <w:rFonts w:asciiTheme="minorHAnsi" w:hAnsiTheme="minorHAnsi" w:cstheme="minorHAnsi"/>
                <w:b w:val="0"/>
                <w:i w:val="0"/>
                <w:noProof/>
              </w:rPr>
              <w:t>List of Figures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_Toc528774345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4</w:t>
            </w:r>
            <w:r w:rsidR="00926141" w:rsidRPr="00F97952">
              <w:rPr>
                <w:rFonts w:asciiTheme="minorHAnsi" w:hAnsiTheme="minorHAnsi" w:cstheme="minorHAnsi"/>
                <w:b w:val="0"/>
                <w:i w:val="0"/>
                <w:noProof/>
                <w:webHidden/>
              </w:rPr>
              <w:fldChar w:fldCharType="end"/>
            </w:r>
          </w:hyperlink>
        </w:p>
        <w:p w14:paraId="4F6E6B54" w14:textId="4A9CC9EE"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46" w:history="1">
            <w:r w:rsidR="00926141" w:rsidRPr="00F97952">
              <w:rPr>
                <w:rStyle w:val="Lienhypertexte"/>
                <w:rFonts w:asciiTheme="minorHAnsi" w:hAnsiTheme="minorHAnsi" w:cstheme="minorHAnsi"/>
                <w:b w:val="0"/>
                <w:i w:val="0"/>
                <w:noProof/>
              </w:rPr>
              <w:t>Abbreviations and Acronyms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_Toc528774346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5</w:t>
            </w:r>
            <w:r w:rsidR="00926141" w:rsidRPr="00F97952">
              <w:rPr>
                <w:rFonts w:asciiTheme="minorHAnsi" w:hAnsiTheme="minorHAnsi" w:cstheme="minorHAnsi"/>
                <w:b w:val="0"/>
                <w:i w:val="0"/>
                <w:noProof/>
                <w:webHidden/>
              </w:rPr>
              <w:fldChar w:fldCharType="end"/>
            </w:r>
          </w:hyperlink>
        </w:p>
        <w:p w14:paraId="5A18641C" w14:textId="342177FF"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47" w:history="1">
            <w:r w:rsidR="00926141" w:rsidRPr="00F97952">
              <w:rPr>
                <w:rStyle w:val="Lienhypertexte"/>
                <w:rFonts w:asciiTheme="minorHAnsi" w:hAnsiTheme="minorHAnsi" w:cstheme="minorHAnsi"/>
                <w:b w:val="0"/>
                <w:i w:val="0"/>
                <w:noProof/>
              </w:rPr>
              <w:t>Executive Summary</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_Toc528774347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6</w:t>
            </w:r>
            <w:r w:rsidR="00926141" w:rsidRPr="00F97952">
              <w:rPr>
                <w:rFonts w:asciiTheme="minorHAnsi" w:hAnsiTheme="minorHAnsi" w:cstheme="minorHAnsi"/>
                <w:b w:val="0"/>
                <w:i w:val="0"/>
                <w:noProof/>
                <w:webHidden/>
              </w:rPr>
              <w:fldChar w:fldCharType="end"/>
            </w:r>
          </w:hyperlink>
        </w:p>
        <w:p w14:paraId="74C563E7" w14:textId="426BA538"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48" w:history="1">
            <w:r w:rsidR="00926141" w:rsidRPr="00F97952">
              <w:rPr>
                <w:rStyle w:val="Lienhypertexte"/>
                <w:rFonts w:asciiTheme="minorHAnsi" w:hAnsiTheme="minorHAnsi" w:cstheme="minorHAnsi"/>
                <w:b w:val="0"/>
                <w:i w:val="0"/>
                <w:noProof/>
              </w:rPr>
              <w:t>Introduction</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_Toc528774348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8</w:t>
            </w:r>
            <w:r w:rsidR="00926141" w:rsidRPr="00F97952">
              <w:rPr>
                <w:rFonts w:asciiTheme="minorHAnsi" w:hAnsiTheme="minorHAnsi" w:cstheme="minorHAnsi"/>
                <w:b w:val="0"/>
                <w:i w:val="0"/>
                <w:noProof/>
                <w:webHidden/>
              </w:rPr>
              <w:fldChar w:fldCharType="end"/>
            </w:r>
          </w:hyperlink>
        </w:p>
        <w:p w14:paraId="53969E09" w14:textId="4D638CF6"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49" w:history="1">
            <w:r w:rsidR="00926141" w:rsidRPr="00F97952">
              <w:rPr>
                <w:rStyle w:val="Lienhypertexte"/>
                <w:rFonts w:asciiTheme="minorHAnsi" w:hAnsiTheme="minorHAnsi" w:cstheme="minorHAnsi"/>
                <w:b w:val="0"/>
                <w:i w:val="0"/>
                <w:noProof/>
              </w:rPr>
              <w:t>Part I: GEF’s Work on Mercury during the Reporting Period</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_Toc528774349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8</w:t>
            </w:r>
            <w:r w:rsidR="00926141" w:rsidRPr="00F97952">
              <w:rPr>
                <w:rFonts w:asciiTheme="minorHAnsi" w:hAnsiTheme="minorHAnsi" w:cstheme="minorHAnsi"/>
                <w:b w:val="0"/>
                <w:i w:val="0"/>
                <w:noProof/>
                <w:webHidden/>
              </w:rPr>
              <w:fldChar w:fldCharType="end"/>
            </w:r>
          </w:hyperlink>
        </w:p>
        <w:p w14:paraId="5439A8B1" w14:textId="26A83374"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0" w:history="1">
            <w:r w:rsidR="00926141" w:rsidRPr="00F97952">
              <w:rPr>
                <w:rStyle w:val="Lienhypertexte"/>
                <w:rFonts w:asciiTheme="minorHAnsi" w:hAnsiTheme="minorHAnsi" w:cstheme="minorHAnsi"/>
                <w:b w:val="0"/>
                <w:i w:val="0"/>
                <w:noProof/>
              </w:rPr>
              <w:t>Programming during the Reporting Period</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_Toc528774350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8</w:t>
            </w:r>
            <w:r w:rsidR="00926141" w:rsidRPr="00F97952">
              <w:rPr>
                <w:rFonts w:asciiTheme="minorHAnsi" w:hAnsiTheme="minorHAnsi" w:cstheme="minorHAnsi"/>
                <w:b w:val="0"/>
                <w:i w:val="0"/>
                <w:noProof/>
                <w:webHidden/>
              </w:rPr>
              <w:fldChar w:fldCharType="end"/>
            </w:r>
          </w:hyperlink>
        </w:p>
        <w:p w14:paraId="43097DF2" w14:textId="668E022A"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1" w:history="1">
            <w:r w:rsidR="00926141" w:rsidRPr="00F97952">
              <w:rPr>
                <w:rStyle w:val="Lienhypertexte"/>
                <w:rFonts w:asciiTheme="minorHAnsi" w:hAnsiTheme="minorHAnsi" w:cstheme="minorHAnsi"/>
                <w:b w:val="0"/>
                <w:i w:val="0"/>
                <w:noProof/>
              </w:rPr>
              <w:t>Response to Initial Guidance from the Conference of the Parties to the Minamata Convention</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_Toc528774351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8</w:t>
            </w:r>
            <w:r w:rsidR="00926141" w:rsidRPr="00F97952">
              <w:rPr>
                <w:rFonts w:asciiTheme="minorHAnsi" w:hAnsiTheme="minorHAnsi" w:cstheme="minorHAnsi"/>
                <w:b w:val="0"/>
                <w:i w:val="0"/>
                <w:noProof/>
                <w:webHidden/>
              </w:rPr>
              <w:fldChar w:fldCharType="end"/>
            </w:r>
          </w:hyperlink>
        </w:p>
        <w:p w14:paraId="5E31791D" w14:textId="7FB6BC04"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2" w:history="1">
            <w:r w:rsidR="00926141" w:rsidRPr="00F97952">
              <w:rPr>
                <w:rStyle w:val="Lienhypertexte"/>
                <w:rFonts w:asciiTheme="minorHAnsi" w:hAnsiTheme="minorHAnsi" w:cstheme="minorHAnsi"/>
                <w:b w:val="0"/>
                <w:i w:val="0"/>
                <w:noProof/>
              </w:rPr>
              <w:t>Cooperation with Secretariat of Minamata Convention</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_Toc528774352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14</w:t>
            </w:r>
            <w:r w:rsidR="00926141" w:rsidRPr="00F97952">
              <w:rPr>
                <w:rFonts w:asciiTheme="minorHAnsi" w:hAnsiTheme="minorHAnsi" w:cstheme="minorHAnsi"/>
                <w:b w:val="0"/>
                <w:i w:val="0"/>
                <w:noProof/>
                <w:webHidden/>
              </w:rPr>
              <w:fldChar w:fldCharType="end"/>
            </w:r>
          </w:hyperlink>
        </w:p>
        <w:p w14:paraId="2B004353" w14:textId="02B658FD"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3" w:history="1">
            <w:r w:rsidR="00926141" w:rsidRPr="00F97952">
              <w:rPr>
                <w:rStyle w:val="Lienhypertexte"/>
                <w:rFonts w:asciiTheme="minorHAnsi" w:hAnsiTheme="minorHAnsi" w:cstheme="minorHAnsi"/>
                <w:b w:val="0"/>
                <w:i w:val="0"/>
                <w:noProof/>
              </w:rPr>
              <w:t>GEF’s Participation at the First Conference of the Parties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_Toc528774353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15</w:t>
            </w:r>
            <w:r w:rsidR="00926141" w:rsidRPr="00F97952">
              <w:rPr>
                <w:rFonts w:asciiTheme="minorHAnsi" w:hAnsiTheme="minorHAnsi" w:cstheme="minorHAnsi"/>
                <w:b w:val="0"/>
                <w:i w:val="0"/>
                <w:noProof/>
                <w:webHidden/>
              </w:rPr>
              <w:fldChar w:fldCharType="end"/>
            </w:r>
          </w:hyperlink>
        </w:p>
        <w:p w14:paraId="44238F4F" w14:textId="7F2E2891"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54" w:history="1">
            <w:r w:rsidR="00926141" w:rsidRPr="00F97952">
              <w:rPr>
                <w:rStyle w:val="Lienhypertexte"/>
                <w:rFonts w:asciiTheme="minorHAnsi" w:hAnsiTheme="minorHAnsi" w:cstheme="minorHAnsi"/>
                <w:b w:val="0"/>
                <w:i w:val="0"/>
                <w:noProof/>
              </w:rPr>
              <w:t>Part II: GEF Support to the Minamata Convention in the GEF-6 Period</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_Toc528774354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16</w:t>
            </w:r>
            <w:r w:rsidR="00926141" w:rsidRPr="00F97952">
              <w:rPr>
                <w:rFonts w:asciiTheme="minorHAnsi" w:hAnsiTheme="minorHAnsi" w:cstheme="minorHAnsi"/>
                <w:b w:val="0"/>
                <w:i w:val="0"/>
                <w:noProof/>
                <w:webHidden/>
              </w:rPr>
              <w:fldChar w:fldCharType="end"/>
            </w:r>
          </w:hyperlink>
        </w:p>
        <w:p w14:paraId="233DA078" w14:textId="0709216E"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5" w:history="1">
            <w:r w:rsidR="00926141" w:rsidRPr="00F97952">
              <w:rPr>
                <w:rStyle w:val="Lienhypertexte"/>
                <w:rFonts w:asciiTheme="minorHAnsi" w:hAnsiTheme="minorHAnsi" w:cstheme="minorHAnsi"/>
                <w:b w:val="0"/>
                <w:i w:val="0"/>
                <w:noProof/>
              </w:rPr>
              <w:t>Overview of GEF Support for the Minamata Convention in GEF-6</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_Toc528774355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16</w:t>
            </w:r>
            <w:r w:rsidR="00926141" w:rsidRPr="00F97952">
              <w:rPr>
                <w:rFonts w:asciiTheme="minorHAnsi" w:hAnsiTheme="minorHAnsi" w:cstheme="minorHAnsi"/>
                <w:b w:val="0"/>
                <w:i w:val="0"/>
                <w:noProof/>
                <w:webHidden/>
              </w:rPr>
              <w:fldChar w:fldCharType="end"/>
            </w:r>
          </w:hyperlink>
        </w:p>
        <w:p w14:paraId="0E41DC1C" w14:textId="75AE04ED"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6" w:history="1">
            <w:r w:rsidR="00926141" w:rsidRPr="00F97952">
              <w:rPr>
                <w:rStyle w:val="Lienhypertexte"/>
                <w:rFonts w:asciiTheme="minorHAnsi" w:hAnsiTheme="minorHAnsi" w:cstheme="minorHAnsi"/>
                <w:b w:val="0"/>
                <w:i w:val="0"/>
                <w:noProof/>
              </w:rPr>
              <w:t>Chemicals and Waste Portfolio in the Small Grants Programme</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_Toc528774356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22</w:t>
            </w:r>
            <w:r w:rsidR="00926141" w:rsidRPr="00F97952">
              <w:rPr>
                <w:rFonts w:asciiTheme="minorHAnsi" w:hAnsiTheme="minorHAnsi" w:cstheme="minorHAnsi"/>
                <w:b w:val="0"/>
                <w:i w:val="0"/>
                <w:noProof/>
                <w:webHidden/>
              </w:rPr>
              <w:fldChar w:fldCharType="end"/>
            </w:r>
          </w:hyperlink>
        </w:p>
        <w:p w14:paraId="0FA5E0B6" w14:textId="4A8B41E8"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7" w:history="1">
            <w:r w:rsidR="00926141" w:rsidRPr="00F97952">
              <w:rPr>
                <w:rStyle w:val="Lienhypertexte"/>
                <w:rFonts w:asciiTheme="minorHAnsi" w:hAnsiTheme="minorHAnsi" w:cstheme="minorHAnsi"/>
                <w:b w:val="0"/>
                <w:i w:val="0"/>
                <w:noProof/>
              </w:rPr>
              <w:t>Monitoring and Evaluation of Mercury Projects in GEF-6</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_Toc528774357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22</w:t>
            </w:r>
            <w:r w:rsidR="00926141" w:rsidRPr="00F97952">
              <w:rPr>
                <w:rFonts w:asciiTheme="minorHAnsi" w:hAnsiTheme="minorHAnsi" w:cstheme="minorHAnsi"/>
                <w:b w:val="0"/>
                <w:i w:val="0"/>
                <w:noProof/>
                <w:webHidden/>
              </w:rPr>
              <w:fldChar w:fldCharType="end"/>
            </w:r>
          </w:hyperlink>
        </w:p>
        <w:p w14:paraId="69AA64FB" w14:textId="2CA40C10"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8" w:history="1">
            <w:r w:rsidR="00926141" w:rsidRPr="00F97952">
              <w:rPr>
                <w:rStyle w:val="Lienhypertexte"/>
                <w:rFonts w:asciiTheme="minorHAnsi" w:hAnsiTheme="minorHAnsi" w:cstheme="minorHAnsi"/>
                <w:b w:val="0"/>
                <w:i w:val="0"/>
                <w:noProof/>
              </w:rPr>
              <w:t>IEO Country Portfolio Evaluation</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_Toc528774358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23</w:t>
            </w:r>
            <w:r w:rsidR="00926141" w:rsidRPr="00F97952">
              <w:rPr>
                <w:rFonts w:asciiTheme="minorHAnsi" w:hAnsiTheme="minorHAnsi" w:cstheme="minorHAnsi"/>
                <w:b w:val="0"/>
                <w:i w:val="0"/>
                <w:noProof/>
                <w:webHidden/>
              </w:rPr>
              <w:fldChar w:fldCharType="end"/>
            </w:r>
          </w:hyperlink>
        </w:p>
        <w:p w14:paraId="48F0DA3C" w14:textId="62CA1D29"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59" w:history="1">
            <w:r w:rsidR="00926141" w:rsidRPr="00F97952">
              <w:rPr>
                <w:rStyle w:val="Lienhypertexte"/>
                <w:rFonts w:asciiTheme="minorHAnsi" w:hAnsiTheme="minorHAnsi" w:cstheme="minorHAnsi"/>
                <w:b w:val="0"/>
                <w:i w:val="0"/>
                <w:noProof/>
              </w:rPr>
              <w:t>IEO Thematic Evaluation: Chemicals and Waste Focal Area Study</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_Toc528774359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23</w:t>
            </w:r>
            <w:r w:rsidR="00926141" w:rsidRPr="00F97952">
              <w:rPr>
                <w:rFonts w:asciiTheme="minorHAnsi" w:hAnsiTheme="minorHAnsi" w:cstheme="minorHAnsi"/>
                <w:b w:val="0"/>
                <w:i w:val="0"/>
                <w:noProof/>
                <w:webHidden/>
              </w:rPr>
              <w:fldChar w:fldCharType="end"/>
            </w:r>
          </w:hyperlink>
        </w:p>
        <w:p w14:paraId="5AF0FC99" w14:textId="42C8AA73"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60" w:history="1">
            <w:r w:rsidR="00926141" w:rsidRPr="00F97952">
              <w:rPr>
                <w:rStyle w:val="Lienhypertexte"/>
                <w:rFonts w:asciiTheme="minorHAnsi" w:hAnsiTheme="minorHAnsi" w:cstheme="minorHAnsi"/>
                <w:b w:val="0"/>
                <w:i w:val="0"/>
                <w:noProof/>
              </w:rPr>
              <w:t>GEF Corporate Scorecard</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_Toc528774360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24</w:t>
            </w:r>
            <w:r w:rsidR="00926141" w:rsidRPr="00F97952">
              <w:rPr>
                <w:rFonts w:asciiTheme="minorHAnsi" w:hAnsiTheme="minorHAnsi" w:cstheme="minorHAnsi"/>
                <w:b w:val="0"/>
                <w:i w:val="0"/>
                <w:noProof/>
                <w:webHidden/>
              </w:rPr>
              <w:fldChar w:fldCharType="end"/>
            </w:r>
          </w:hyperlink>
        </w:p>
        <w:p w14:paraId="6A175A63" w14:textId="773F4298"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61" w:history="1">
            <w:r w:rsidR="00926141" w:rsidRPr="00F97952">
              <w:rPr>
                <w:rStyle w:val="Lienhypertexte"/>
                <w:rFonts w:asciiTheme="minorHAnsi" w:hAnsiTheme="minorHAnsi" w:cstheme="minorHAnsi"/>
                <w:b w:val="0"/>
                <w:i w:val="0"/>
                <w:noProof/>
              </w:rPr>
              <w:t>Part III: Seventh Replenishment of the GEF Trust Fund</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_Toc528774361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24</w:t>
            </w:r>
            <w:r w:rsidR="00926141" w:rsidRPr="00F97952">
              <w:rPr>
                <w:rFonts w:asciiTheme="minorHAnsi" w:hAnsiTheme="minorHAnsi" w:cstheme="minorHAnsi"/>
                <w:b w:val="0"/>
                <w:i w:val="0"/>
                <w:noProof/>
                <w:webHidden/>
              </w:rPr>
              <w:fldChar w:fldCharType="end"/>
            </w:r>
          </w:hyperlink>
        </w:p>
        <w:p w14:paraId="1CF37BE2" w14:textId="00D788DC"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62" w:history="1">
            <w:r w:rsidR="00926141" w:rsidRPr="00F97952">
              <w:rPr>
                <w:rStyle w:val="Lienhypertexte"/>
                <w:rFonts w:asciiTheme="minorHAnsi" w:hAnsiTheme="minorHAnsi" w:cstheme="minorHAnsi"/>
                <w:b w:val="0"/>
                <w:i w:val="0"/>
                <w:noProof/>
              </w:rPr>
              <w:t>Annex 1: Projects Approved in the Reporting Period (July 1, 2017 to June 30, 2018)</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_Toc528774362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26</w:t>
            </w:r>
            <w:r w:rsidR="00926141" w:rsidRPr="00F97952">
              <w:rPr>
                <w:rFonts w:asciiTheme="minorHAnsi" w:hAnsiTheme="minorHAnsi" w:cstheme="minorHAnsi"/>
                <w:b w:val="0"/>
                <w:i w:val="0"/>
                <w:noProof/>
                <w:webHidden/>
              </w:rPr>
              <w:fldChar w:fldCharType="end"/>
            </w:r>
          </w:hyperlink>
        </w:p>
        <w:p w14:paraId="43E44081" w14:textId="4B8ACFF5"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63" w:history="1">
            <w:r w:rsidR="00926141" w:rsidRPr="00F97952">
              <w:rPr>
                <w:rStyle w:val="Lienhypertexte"/>
                <w:rFonts w:asciiTheme="minorHAnsi" w:hAnsiTheme="minorHAnsi" w:cstheme="minorHAnsi"/>
                <w:b w:val="0"/>
                <w:i w:val="0"/>
                <w:noProof/>
              </w:rPr>
              <w:t>Annex 2: List of GEF-6 Mercury Projects (July 1, 2014 to June 30, 2018)</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_Toc528774363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28</w:t>
            </w:r>
            <w:r w:rsidR="00926141" w:rsidRPr="00F97952">
              <w:rPr>
                <w:rFonts w:asciiTheme="minorHAnsi" w:hAnsiTheme="minorHAnsi" w:cstheme="minorHAnsi"/>
                <w:b w:val="0"/>
                <w:i w:val="0"/>
                <w:noProof/>
                <w:webHidden/>
              </w:rPr>
              <w:fldChar w:fldCharType="end"/>
            </w:r>
          </w:hyperlink>
        </w:p>
        <w:p w14:paraId="268B5F92" w14:textId="716A4B13"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64" w:history="1">
            <w:r w:rsidR="00926141" w:rsidRPr="00F97952">
              <w:rPr>
                <w:rStyle w:val="Lienhypertexte"/>
                <w:rFonts w:asciiTheme="minorHAnsi" w:hAnsiTheme="minorHAnsi" w:cstheme="minorHAnsi"/>
                <w:b w:val="0"/>
                <w:i w:val="0"/>
                <w:noProof/>
              </w:rPr>
              <w:t>Enabling Activity Projects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_Toc528774364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28</w:t>
            </w:r>
            <w:r w:rsidR="00926141" w:rsidRPr="00F97952">
              <w:rPr>
                <w:rFonts w:asciiTheme="minorHAnsi" w:hAnsiTheme="minorHAnsi" w:cstheme="minorHAnsi"/>
                <w:b w:val="0"/>
                <w:i w:val="0"/>
                <w:noProof/>
                <w:webHidden/>
              </w:rPr>
              <w:fldChar w:fldCharType="end"/>
            </w:r>
          </w:hyperlink>
        </w:p>
        <w:p w14:paraId="4BDE1B30" w14:textId="7D45E73F"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65" w:history="1">
            <w:r w:rsidR="00926141" w:rsidRPr="00F97952">
              <w:rPr>
                <w:rStyle w:val="Lienhypertexte"/>
                <w:rFonts w:asciiTheme="minorHAnsi" w:hAnsiTheme="minorHAnsi" w:cstheme="minorHAnsi"/>
                <w:b w:val="0"/>
                <w:i w:val="0"/>
                <w:noProof/>
              </w:rPr>
              <w:t>Programs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_Toc528774365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36</w:t>
            </w:r>
            <w:r w:rsidR="00926141" w:rsidRPr="00F97952">
              <w:rPr>
                <w:rFonts w:asciiTheme="minorHAnsi" w:hAnsiTheme="minorHAnsi" w:cstheme="minorHAnsi"/>
                <w:b w:val="0"/>
                <w:i w:val="0"/>
                <w:noProof/>
                <w:webHidden/>
              </w:rPr>
              <w:fldChar w:fldCharType="end"/>
            </w:r>
          </w:hyperlink>
        </w:p>
        <w:p w14:paraId="22C5CE4A" w14:textId="36498067"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66" w:history="1">
            <w:r w:rsidR="00926141" w:rsidRPr="00F97952">
              <w:rPr>
                <w:rStyle w:val="Lienhypertexte"/>
                <w:rFonts w:asciiTheme="minorHAnsi" w:hAnsiTheme="minorHAnsi" w:cstheme="minorHAnsi"/>
                <w:b w:val="0"/>
                <w:i w:val="0"/>
                <w:noProof/>
              </w:rPr>
              <w:t>Full-Sized Projects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_Toc528774366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36</w:t>
            </w:r>
            <w:r w:rsidR="00926141" w:rsidRPr="00F97952">
              <w:rPr>
                <w:rFonts w:asciiTheme="minorHAnsi" w:hAnsiTheme="minorHAnsi" w:cstheme="minorHAnsi"/>
                <w:b w:val="0"/>
                <w:i w:val="0"/>
                <w:noProof/>
                <w:webHidden/>
              </w:rPr>
              <w:fldChar w:fldCharType="end"/>
            </w:r>
          </w:hyperlink>
        </w:p>
        <w:p w14:paraId="1987BC29" w14:textId="72F86B24" w:rsidR="00926141" w:rsidRPr="00F97952" w:rsidRDefault="00595775">
          <w:pPr>
            <w:pStyle w:val="TM2"/>
            <w:tabs>
              <w:tab w:val="right" w:leader="dot" w:pos="9552"/>
            </w:tabs>
            <w:rPr>
              <w:rFonts w:asciiTheme="minorHAnsi" w:eastAsiaTheme="minorEastAsia" w:hAnsiTheme="minorHAnsi" w:cstheme="minorHAnsi"/>
              <w:b w:val="0"/>
              <w:bCs w:val="0"/>
              <w:i w:val="0"/>
              <w:noProof/>
              <w:sz w:val="22"/>
              <w:szCs w:val="22"/>
            </w:rPr>
          </w:pPr>
          <w:hyperlink w:anchor="_Toc528774367" w:history="1">
            <w:r w:rsidR="00926141" w:rsidRPr="00F97952">
              <w:rPr>
                <w:rStyle w:val="Lienhypertexte"/>
                <w:rFonts w:asciiTheme="minorHAnsi" w:hAnsiTheme="minorHAnsi" w:cstheme="minorHAnsi"/>
                <w:b w:val="0"/>
                <w:i w:val="0"/>
                <w:noProof/>
              </w:rPr>
              <w:t>Medium-Sized Projects</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_Toc528774367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37</w:t>
            </w:r>
            <w:r w:rsidR="00926141" w:rsidRPr="00F97952">
              <w:rPr>
                <w:rFonts w:asciiTheme="minorHAnsi" w:hAnsiTheme="minorHAnsi" w:cstheme="minorHAnsi"/>
                <w:b w:val="0"/>
                <w:i w:val="0"/>
                <w:noProof/>
                <w:webHidden/>
              </w:rPr>
              <w:fldChar w:fldCharType="end"/>
            </w:r>
          </w:hyperlink>
        </w:p>
        <w:p w14:paraId="074A2B1E" w14:textId="0542797D" w:rsidR="00926141" w:rsidRPr="00F97952" w:rsidRDefault="00595775">
          <w:pPr>
            <w:pStyle w:val="TM1"/>
            <w:tabs>
              <w:tab w:val="right" w:leader="dot" w:pos="9552"/>
            </w:tabs>
            <w:rPr>
              <w:rFonts w:asciiTheme="minorHAnsi" w:eastAsiaTheme="minorEastAsia" w:hAnsiTheme="minorHAnsi" w:cstheme="minorHAnsi"/>
              <w:b w:val="0"/>
              <w:bCs w:val="0"/>
              <w:i w:val="0"/>
              <w:noProof/>
              <w:sz w:val="22"/>
              <w:szCs w:val="22"/>
            </w:rPr>
          </w:pPr>
          <w:hyperlink w:anchor="_Toc528774368" w:history="1">
            <w:r w:rsidR="00926141" w:rsidRPr="00F97952">
              <w:rPr>
                <w:rStyle w:val="Lienhypertexte"/>
                <w:rFonts w:asciiTheme="minorHAnsi" w:hAnsiTheme="minorHAnsi" w:cstheme="minorHAnsi"/>
                <w:b w:val="0"/>
                <w:i w:val="0"/>
                <w:noProof/>
              </w:rPr>
              <w:t>Annex 3: List of Mercury Projects Supported by Small Grants Programme in GEF-6</w:t>
            </w:r>
            <w:r w:rsidR="00926141" w:rsidRPr="00F97952">
              <w:rPr>
                <w:rFonts w:asciiTheme="minorHAnsi" w:hAnsiTheme="minorHAnsi" w:cstheme="minorHAnsi"/>
                <w:b w:val="0"/>
                <w:i w:val="0"/>
                <w:noProof/>
                <w:webHidden/>
              </w:rPr>
              <w:tab/>
            </w:r>
            <w:r w:rsidR="00926141" w:rsidRPr="00F97952">
              <w:rPr>
                <w:rFonts w:asciiTheme="minorHAnsi" w:hAnsiTheme="minorHAnsi" w:cstheme="minorHAnsi"/>
                <w:b w:val="0"/>
                <w:i w:val="0"/>
                <w:noProof/>
                <w:webHidden/>
              </w:rPr>
              <w:fldChar w:fldCharType="begin"/>
            </w:r>
            <w:r w:rsidR="00926141" w:rsidRPr="00F97952">
              <w:rPr>
                <w:rFonts w:asciiTheme="minorHAnsi" w:hAnsiTheme="minorHAnsi" w:cstheme="minorHAnsi"/>
                <w:b w:val="0"/>
                <w:i w:val="0"/>
                <w:noProof/>
                <w:webHidden/>
              </w:rPr>
              <w:instrText xml:space="preserve"> PAGEREF _Toc528774368 \h </w:instrText>
            </w:r>
            <w:r w:rsidR="00926141" w:rsidRPr="00F97952">
              <w:rPr>
                <w:rFonts w:asciiTheme="minorHAnsi" w:hAnsiTheme="minorHAnsi" w:cstheme="minorHAnsi"/>
                <w:b w:val="0"/>
                <w:i w:val="0"/>
                <w:noProof/>
                <w:webHidden/>
              </w:rPr>
            </w:r>
            <w:r w:rsidR="00926141" w:rsidRPr="00F97952">
              <w:rPr>
                <w:rFonts w:asciiTheme="minorHAnsi" w:hAnsiTheme="minorHAnsi" w:cstheme="minorHAnsi"/>
                <w:b w:val="0"/>
                <w:i w:val="0"/>
                <w:noProof/>
                <w:webHidden/>
              </w:rPr>
              <w:fldChar w:fldCharType="separate"/>
            </w:r>
            <w:r w:rsidR="00C5427B">
              <w:rPr>
                <w:rFonts w:asciiTheme="minorHAnsi" w:hAnsiTheme="minorHAnsi" w:cstheme="minorHAnsi"/>
                <w:b w:val="0"/>
                <w:i w:val="0"/>
                <w:noProof/>
                <w:webHidden/>
              </w:rPr>
              <w:t>38</w:t>
            </w:r>
            <w:r w:rsidR="00926141" w:rsidRPr="00F97952">
              <w:rPr>
                <w:rFonts w:asciiTheme="minorHAnsi" w:hAnsiTheme="minorHAnsi" w:cstheme="minorHAnsi"/>
                <w:b w:val="0"/>
                <w:i w:val="0"/>
                <w:noProof/>
                <w:webHidden/>
              </w:rPr>
              <w:fldChar w:fldCharType="end"/>
            </w:r>
          </w:hyperlink>
        </w:p>
        <w:p w14:paraId="00331D8F" w14:textId="35815B2E" w:rsidR="00A7402A" w:rsidRPr="00F97952" w:rsidRDefault="00A7402A" w:rsidP="00BF4281">
          <w:pPr>
            <w:rPr>
              <w:rFonts w:asciiTheme="minorHAnsi" w:hAnsiTheme="minorHAnsi" w:cstheme="minorHAnsi"/>
              <w:bCs/>
              <w:noProof/>
            </w:rPr>
          </w:pPr>
          <w:r w:rsidRPr="00F97952">
            <w:rPr>
              <w:rFonts w:asciiTheme="minorHAnsi" w:hAnsiTheme="minorHAnsi" w:cstheme="minorHAnsi"/>
              <w:bCs/>
              <w:noProof/>
            </w:rPr>
            <w:fldChar w:fldCharType="end"/>
          </w:r>
        </w:p>
      </w:sdtContent>
    </w:sdt>
    <w:p w14:paraId="5A12A3C3" w14:textId="77777777" w:rsidR="00D06902" w:rsidRPr="00F97952" w:rsidRDefault="00D06902">
      <w:pPr>
        <w:widowControl w:val="0"/>
        <w:autoSpaceDE w:val="0"/>
        <w:autoSpaceDN w:val="0"/>
        <w:rPr>
          <w:rFonts w:asciiTheme="minorHAnsi" w:eastAsia="Cambria" w:hAnsiTheme="minorHAnsi" w:cs="Cambria"/>
          <w:b/>
          <w:bCs/>
          <w:noProof/>
          <w:sz w:val="28"/>
          <w:szCs w:val="28"/>
        </w:rPr>
      </w:pPr>
      <w:r w:rsidRPr="00F97952">
        <w:rPr>
          <w:rFonts w:asciiTheme="minorHAnsi" w:hAnsiTheme="minorHAnsi"/>
          <w:noProof/>
        </w:rPr>
        <w:br w:type="page"/>
      </w:r>
    </w:p>
    <w:p w14:paraId="0C842557" w14:textId="709D354C" w:rsidR="00423B4D" w:rsidRPr="00F97952" w:rsidRDefault="00423B4D" w:rsidP="00423B4D">
      <w:pPr>
        <w:pStyle w:val="Titre1"/>
        <w:rPr>
          <w:rFonts w:asciiTheme="minorHAnsi" w:hAnsiTheme="minorHAnsi"/>
          <w:noProof/>
        </w:rPr>
      </w:pPr>
      <w:bookmarkStart w:id="5" w:name="_Toc528774344"/>
      <w:r w:rsidRPr="00F97952">
        <w:rPr>
          <w:rFonts w:asciiTheme="minorHAnsi" w:hAnsiTheme="minorHAnsi"/>
          <w:noProof/>
        </w:rPr>
        <w:lastRenderedPageBreak/>
        <w:t>List of Tables</w:t>
      </w:r>
      <w:bookmarkEnd w:id="5"/>
    </w:p>
    <w:p w14:paraId="44992191" w14:textId="77777777" w:rsidR="00423B4D" w:rsidRPr="00F97952" w:rsidRDefault="00423B4D" w:rsidP="00BF4281">
      <w:pPr>
        <w:rPr>
          <w:rFonts w:asciiTheme="minorHAnsi" w:hAnsiTheme="minorHAnsi"/>
        </w:rPr>
      </w:pPr>
    </w:p>
    <w:p w14:paraId="53649BDB" w14:textId="1CA23EFA" w:rsidR="00926141" w:rsidRPr="00F97952" w:rsidRDefault="00B44224">
      <w:pPr>
        <w:pStyle w:val="Tabledesillustrations"/>
        <w:tabs>
          <w:tab w:val="right" w:leader="dot" w:pos="9552"/>
        </w:tabs>
        <w:rPr>
          <w:rFonts w:asciiTheme="minorHAnsi" w:eastAsiaTheme="minorEastAsia" w:hAnsiTheme="minorHAnsi" w:cstheme="minorHAnsi"/>
          <w:noProof/>
          <w:sz w:val="22"/>
          <w:szCs w:val="22"/>
        </w:rPr>
      </w:pPr>
      <w:r w:rsidRPr="00F97952">
        <w:rPr>
          <w:rFonts w:asciiTheme="minorHAnsi" w:hAnsiTheme="minorHAnsi" w:cstheme="minorHAnsi"/>
        </w:rPr>
        <w:fldChar w:fldCharType="begin"/>
      </w:r>
      <w:r w:rsidRPr="00F97952">
        <w:rPr>
          <w:rFonts w:asciiTheme="minorHAnsi" w:hAnsiTheme="minorHAnsi" w:cstheme="minorHAnsi"/>
        </w:rPr>
        <w:instrText xml:space="preserve"> TOC \h \z \c "Table" </w:instrText>
      </w:r>
      <w:r w:rsidRPr="00F97952">
        <w:rPr>
          <w:rFonts w:asciiTheme="minorHAnsi" w:hAnsiTheme="minorHAnsi" w:cstheme="minorHAnsi"/>
        </w:rPr>
        <w:fldChar w:fldCharType="separate"/>
      </w:r>
      <w:hyperlink w:anchor="_Toc528774327" w:history="1">
        <w:r w:rsidR="00926141" w:rsidRPr="00F97952">
          <w:rPr>
            <w:rStyle w:val="Lienhypertexte"/>
            <w:rFonts w:asciiTheme="minorHAnsi" w:hAnsiTheme="minorHAnsi" w:cstheme="minorHAnsi"/>
            <w:noProof/>
          </w:rPr>
          <w:t>Table 1: Response to Initial Guidance from Conference of Parties to Minamata Convention</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_Toc528774327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9</w:t>
        </w:r>
        <w:r w:rsidR="00926141" w:rsidRPr="00F97952">
          <w:rPr>
            <w:rFonts w:asciiTheme="minorHAnsi" w:hAnsiTheme="minorHAnsi" w:cstheme="minorHAnsi"/>
            <w:noProof/>
            <w:webHidden/>
          </w:rPr>
          <w:fldChar w:fldCharType="end"/>
        </w:r>
      </w:hyperlink>
    </w:p>
    <w:p w14:paraId="55BC0230" w14:textId="3356A3A2"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28" w:history="1">
        <w:r w:rsidR="00926141" w:rsidRPr="00F97952">
          <w:rPr>
            <w:rStyle w:val="Lienhypertexte"/>
            <w:rFonts w:asciiTheme="minorHAnsi" w:hAnsiTheme="minorHAnsi" w:cstheme="minorHAnsi"/>
            <w:noProof/>
          </w:rPr>
          <w:t>Table 2: GEF-6 Chemicals and Wastes Programs and Initial Indictive Allocations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_Toc528774328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16</w:t>
        </w:r>
        <w:r w:rsidR="00926141" w:rsidRPr="00F97952">
          <w:rPr>
            <w:rFonts w:asciiTheme="minorHAnsi" w:hAnsiTheme="minorHAnsi" w:cstheme="minorHAnsi"/>
            <w:noProof/>
            <w:webHidden/>
          </w:rPr>
          <w:fldChar w:fldCharType="end"/>
        </w:r>
      </w:hyperlink>
    </w:p>
    <w:p w14:paraId="28ACDF47" w14:textId="0B6505F7"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29" w:history="1">
        <w:r w:rsidR="00926141" w:rsidRPr="00F97952">
          <w:rPr>
            <w:rStyle w:val="Lienhypertexte"/>
            <w:rFonts w:asciiTheme="minorHAnsi" w:hAnsiTheme="minorHAnsi" w:cstheme="minorHAnsi"/>
            <w:noProof/>
          </w:rPr>
          <w:t>Table 3: Resources Programmed for Implementation of the Minamata Convention in GEF-6</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_Toc528774329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17</w:t>
        </w:r>
        <w:r w:rsidR="00926141" w:rsidRPr="00F97952">
          <w:rPr>
            <w:rFonts w:asciiTheme="minorHAnsi" w:hAnsiTheme="minorHAnsi" w:cstheme="minorHAnsi"/>
            <w:noProof/>
            <w:webHidden/>
          </w:rPr>
          <w:fldChar w:fldCharType="end"/>
        </w:r>
      </w:hyperlink>
    </w:p>
    <w:p w14:paraId="0AFE7998" w14:textId="464F950F"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0" w:history="1">
        <w:r w:rsidR="00926141" w:rsidRPr="00F97952">
          <w:rPr>
            <w:rStyle w:val="Lienhypertexte"/>
            <w:rFonts w:asciiTheme="minorHAnsi" w:hAnsiTheme="minorHAnsi" w:cstheme="minorHAnsi"/>
            <w:noProof/>
          </w:rPr>
          <w:t>Table 4: Number of Countries Receiving Support in GEF-6</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_Toc528774330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17</w:t>
        </w:r>
        <w:r w:rsidR="00926141" w:rsidRPr="00F97952">
          <w:rPr>
            <w:rFonts w:asciiTheme="minorHAnsi" w:hAnsiTheme="minorHAnsi" w:cstheme="minorHAnsi"/>
            <w:noProof/>
            <w:webHidden/>
          </w:rPr>
          <w:fldChar w:fldCharType="end"/>
        </w:r>
      </w:hyperlink>
    </w:p>
    <w:p w14:paraId="5F8B64AE" w14:textId="326031D2"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1" w:history="1">
        <w:r w:rsidR="00926141" w:rsidRPr="00F97952">
          <w:rPr>
            <w:rStyle w:val="Lienhypertexte"/>
            <w:rFonts w:asciiTheme="minorHAnsi" w:hAnsiTheme="minorHAnsi" w:cstheme="minorHAnsi"/>
            <w:noProof/>
          </w:rPr>
          <w:t>Table 5: List of Countries that Received GEF Support for Enabling Activities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_Toc528774331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20</w:t>
        </w:r>
        <w:r w:rsidR="00926141" w:rsidRPr="00F97952">
          <w:rPr>
            <w:rFonts w:asciiTheme="minorHAnsi" w:hAnsiTheme="minorHAnsi" w:cstheme="minorHAnsi"/>
            <w:noProof/>
            <w:webHidden/>
          </w:rPr>
          <w:fldChar w:fldCharType="end"/>
        </w:r>
      </w:hyperlink>
    </w:p>
    <w:p w14:paraId="01A2445A" w14:textId="10A777F3"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2" w:history="1">
        <w:r w:rsidR="00926141" w:rsidRPr="00F97952">
          <w:rPr>
            <w:rStyle w:val="Lienhypertexte"/>
            <w:rFonts w:asciiTheme="minorHAnsi" w:hAnsiTheme="minorHAnsi" w:cstheme="minorHAnsi"/>
            <w:noProof/>
          </w:rPr>
          <w:t>Table 6: List of Projects Approved during the Reporting Period</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_Toc528774332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26</w:t>
        </w:r>
        <w:r w:rsidR="00926141" w:rsidRPr="00F97952">
          <w:rPr>
            <w:rFonts w:asciiTheme="minorHAnsi" w:hAnsiTheme="minorHAnsi" w:cstheme="minorHAnsi"/>
            <w:noProof/>
            <w:webHidden/>
          </w:rPr>
          <w:fldChar w:fldCharType="end"/>
        </w:r>
      </w:hyperlink>
    </w:p>
    <w:p w14:paraId="4924DBB4" w14:textId="337E8639"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3" w:history="1">
        <w:r w:rsidR="00926141" w:rsidRPr="00F97952">
          <w:rPr>
            <w:rStyle w:val="Lienhypertexte"/>
            <w:rFonts w:asciiTheme="minorHAnsi" w:hAnsiTheme="minorHAnsi" w:cstheme="minorHAnsi"/>
            <w:noProof/>
          </w:rPr>
          <w:t>Table 7: List of Enabling Activities Funded in GEF-6</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_Toc528774333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28</w:t>
        </w:r>
        <w:r w:rsidR="00926141" w:rsidRPr="00F97952">
          <w:rPr>
            <w:rFonts w:asciiTheme="minorHAnsi" w:hAnsiTheme="minorHAnsi" w:cstheme="minorHAnsi"/>
            <w:noProof/>
            <w:webHidden/>
          </w:rPr>
          <w:fldChar w:fldCharType="end"/>
        </w:r>
      </w:hyperlink>
    </w:p>
    <w:p w14:paraId="260D6C46" w14:textId="68535BCB"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4" w:history="1">
        <w:r w:rsidR="00926141" w:rsidRPr="00F97952">
          <w:rPr>
            <w:rStyle w:val="Lienhypertexte"/>
            <w:rFonts w:asciiTheme="minorHAnsi" w:hAnsiTheme="minorHAnsi" w:cstheme="minorHAnsi"/>
            <w:noProof/>
          </w:rPr>
          <w:t>Table 8: Single Focal Area Programs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_Toc528774334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36</w:t>
        </w:r>
        <w:r w:rsidR="00926141" w:rsidRPr="00F97952">
          <w:rPr>
            <w:rFonts w:asciiTheme="minorHAnsi" w:hAnsiTheme="minorHAnsi" w:cstheme="minorHAnsi"/>
            <w:noProof/>
            <w:webHidden/>
          </w:rPr>
          <w:fldChar w:fldCharType="end"/>
        </w:r>
      </w:hyperlink>
    </w:p>
    <w:p w14:paraId="6BFF7D3D" w14:textId="4A24C27B"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5" w:history="1">
        <w:r w:rsidR="00926141" w:rsidRPr="00F97952">
          <w:rPr>
            <w:rStyle w:val="Lienhypertexte"/>
            <w:rFonts w:asciiTheme="minorHAnsi" w:hAnsiTheme="minorHAnsi" w:cstheme="minorHAnsi"/>
            <w:noProof/>
          </w:rPr>
          <w:t>Table 9: Multi Focal Area Programs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_Toc528774335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36</w:t>
        </w:r>
        <w:r w:rsidR="00926141" w:rsidRPr="00F97952">
          <w:rPr>
            <w:rFonts w:asciiTheme="minorHAnsi" w:hAnsiTheme="minorHAnsi" w:cstheme="minorHAnsi"/>
            <w:noProof/>
            <w:webHidden/>
          </w:rPr>
          <w:fldChar w:fldCharType="end"/>
        </w:r>
      </w:hyperlink>
    </w:p>
    <w:p w14:paraId="437475C3" w14:textId="5310762C"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6" w:history="1">
        <w:r w:rsidR="00926141" w:rsidRPr="00F97952">
          <w:rPr>
            <w:rStyle w:val="Lienhypertexte"/>
            <w:rFonts w:asciiTheme="minorHAnsi" w:hAnsiTheme="minorHAnsi" w:cstheme="minorHAnsi"/>
            <w:noProof/>
          </w:rPr>
          <w:t>Table 10: Single Focal Area Full-Sized Projects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_Toc528774336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36</w:t>
        </w:r>
        <w:r w:rsidR="00926141" w:rsidRPr="00F97952">
          <w:rPr>
            <w:rFonts w:asciiTheme="minorHAnsi" w:hAnsiTheme="minorHAnsi" w:cstheme="minorHAnsi"/>
            <w:noProof/>
            <w:webHidden/>
          </w:rPr>
          <w:fldChar w:fldCharType="end"/>
        </w:r>
      </w:hyperlink>
    </w:p>
    <w:p w14:paraId="65D68331" w14:textId="1E336369"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7" w:history="1">
        <w:r w:rsidR="00926141" w:rsidRPr="00F97952">
          <w:rPr>
            <w:rStyle w:val="Lienhypertexte"/>
            <w:rFonts w:asciiTheme="minorHAnsi" w:hAnsiTheme="minorHAnsi" w:cstheme="minorHAnsi"/>
            <w:noProof/>
          </w:rPr>
          <w:t>Table 11: Multi Focal Area Full-Sized Projects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_Toc528774337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37</w:t>
        </w:r>
        <w:r w:rsidR="00926141" w:rsidRPr="00F97952">
          <w:rPr>
            <w:rFonts w:asciiTheme="minorHAnsi" w:hAnsiTheme="minorHAnsi" w:cstheme="minorHAnsi"/>
            <w:noProof/>
            <w:webHidden/>
          </w:rPr>
          <w:fldChar w:fldCharType="end"/>
        </w:r>
      </w:hyperlink>
    </w:p>
    <w:p w14:paraId="7173E855" w14:textId="6EC08BF8"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8" w:history="1">
        <w:r w:rsidR="00926141" w:rsidRPr="00F97952">
          <w:rPr>
            <w:rStyle w:val="Lienhypertexte"/>
            <w:rFonts w:asciiTheme="minorHAnsi" w:hAnsiTheme="minorHAnsi" w:cstheme="minorHAnsi"/>
            <w:noProof/>
          </w:rPr>
          <w:t>Table 12: Medium-Sized Projects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_Toc528774338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37</w:t>
        </w:r>
        <w:r w:rsidR="00926141" w:rsidRPr="00F97952">
          <w:rPr>
            <w:rFonts w:asciiTheme="minorHAnsi" w:hAnsiTheme="minorHAnsi" w:cstheme="minorHAnsi"/>
            <w:noProof/>
            <w:webHidden/>
          </w:rPr>
          <w:fldChar w:fldCharType="end"/>
        </w:r>
      </w:hyperlink>
    </w:p>
    <w:p w14:paraId="06A4F68D" w14:textId="0B4516D2"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39" w:history="1">
        <w:r w:rsidR="00926141" w:rsidRPr="00F97952">
          <w:rPr>
            <w:rStyle w:val="Lienhypertexte"/>
            <w:rFonts w:asciiTheme="minorHAnsi" w:hAnsiTheme="minorHAnsi" w:cstheme="minorHAnsi"/>
            <w:noProof/>
          </w:rPr>
          <w:t>Table 13: Small Grants Projects</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_Toc528774339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38</w:t>
        </w:r>
        <w:r w:rsidR="00926141" w:rsidRPr="00F97952">
          <w:rPr>
            <w:rFonts w:asciiTheme="minorHAnsi" w:hAnsiTheme="minorHAnsi" w:cstheme="minorHAnsi"/>
            <w:noProof/>
            <w:webHidden/>
          </w:rPr>
          <w:fldChar w:fldCharType="end"/>
        </w:r>
      </w:hyperlink>
    </w:p>
    <w:p w14:paraId="49936512" w14:textId="7B8FB6CC" w:rsidR="00423B4D" w:rsidRPr="00F97952" w:rsidRDefault="00B44224" w:rsidP="00BF4281">
      <w:pPr>
        <w:rPr>
          <w:rFonts w:asciiTheme="minorHAnsi" w:hAnsiTheme="minorHAnsi" w:cstheme="minorHAnsi"/>
        </w:rPr>
      </w:pPr>
      <w:r w:rsidRPr="00F97952">
        <w:rPr>
          <w:rFonts w:asciiTheme="minorHAnsi" w:hAnsiTheme="minorHAnsi" w:cstheme="minorHAnsi"/>
        </w:rPr>
        <w:fldChar w:fldCharType="end"/>
      </w:r>
    </w:p>
    <w:p w14:paraId="36993E81" w14:textId="77777777" w:rsidR="00423B4D" w:rsidRPr="00F97952" w:rsidRDefault="00423B4D" w:rsidP="0078691D">
      <w:pPr>
        <w:pStyle w:val="Titre1"/>
        <w:rPr>
          <w:rFonts w:asciiTheme="minorHAnsi" w:hAnsiTheme="minorHAnsi"/>
        </w:rPr>
      </w:pPr>
      <w:bookmarkStart w:id="6" w:name="_Toc528774345"/>
      <w:r w:rsidRPr="00F97952">
        <w:rPr>
          <w:rFonts w:asciiTheme="minorHAnsi" w:hAnsiTheme="minorHAnsi"/>
        </w:rPr>
        <w:t>List of Figures</w:t>
      </w:r>
      <w:bookmarkEnd w:id="6"/>
    </w:p>
    <w:p w14:paraId="2FFFA1F9" w14:textId="77777777" w:rsidR="00423B4D" w:rsidRPr="00F97952" w:rsidRDefault="00423B4D" w:rsidP="00BF4281">
      <w:pPr>
        <w:rPr>
          <w:rFonts w:asciiTheme="minorHAnsi" w:hAnsiTheme="minorHAnsi"/>
        </w:rPr>
      </w:pPr>
    </w:p>
    <w:p w14:paraId="57460EBC" w14:textId="49FF03EA" w:rsidR="00926141" w:rsidRPr="00F97952" w:rsidRDefault="00423B4D">
      <w:pPr>
        <w:pStyle w:val="Tabledesillustrations"/>
        <w:tabs>
          <w:tab w:val="right" w:leader="dot" w:pos="9552"/>
        </w:tabs>
        <w:rPr>
          <w:rFonts w:asciiTheme="minorHAnsi" w:eastAsiaTheme="minorEastAsia" w:hAnsiTheme="minorHAnsi" w:cstheme="minorHAnsi"/>
          <w:noProof/>
          <w:sz w:val="22"/>
          <w:szCs w:val="22"/>
        </w:rPr>
      </w:pPr>
      <w:r w:rsidRPr="00F97952">
        <w:rPr>
          <w:rFonts w:asciiTheme="minorHAnsi" w:hAnsiTheme="minorHAnsi" w:cstheme="minorHAnsi"/>
        </w:rPr>
        <w:fldChar w:fldCharType="begin"/>
      </w:r>
      <w:r w:rsidRPr="00F97952">
        <w:rPr>
          <w:rFonts w:asciiTheme="minorHAnsi" w:hAnsiTheme="minorHAnsi" w:cstheme="minorHAnsi"/>
        </w:rPr>
        <w:instrText xml:space="preserve"> TOC \h \z \c "Figure" </w:instrText>
      </w:r>
      <w:r w:rsidRPr="00F97952">
        <w:rPr>
          <w:rFonts w:asciiTheme="minorHAnsi" w:hAnsiTheme="minorHAnsi" w:cstheme="minorHAnsi"/>
        </w:rPr>
        <w:fldChar w:fldCharType="separate"/>
      </w:r>
      <w:hyperlink w:anchor="_Toc528774340" w:history="1">
        <w:r w:rsidR="00926141" w:rsidRPr="00F97952">
          <w:rPr>
            <w:rStyle w:val="Lienhypertexte"/>
            <w:rFonts w:asciiTheme="minorHAnsi" w:hAnsiTheme="minorHAnsi" w:cstheme="minorHAnsi"/>
            <w:noProof/>
          </w:rPr>
          <w:t>Figure 1: Thematic Distribution of Allocated GEF-6 Mercury Funding</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_Toc528774340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18</w:t>
        </w:r>
        <w:r w:rsidR="00926141" w:rsidRPr="00F97952">
          <w:rPr>
            <w:rFonts w:asciiTheme="minorHAnsi" w:hAnsiTheme="minorHAnsi" w:cstheme="minorHAnsi"/>
            <w:noProof/>
            <w:webHidden/>
          </w:rPr>
          <w:fldChar w:fldCharType="end"/>
        </w:r>
      </w:hyperlink>
    </w:p>
    <w:p w14:paraId="35B01D43" w14:textId="799E093C"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41" w:history="1">
        <w:r w:rsidR="00926141" w:rsidRPr="00F97952">
          <w:rPr>
            <w:rStyle w:val="Lienhypertexte"/>
            <w:rFonts w:asciiTheme="minorHAnsi" w:hAnsiTheme="minorHAnsi" w:cstheme="minorHAnsi"/>
            <w:noProof/>
          </w:rPr>
          <w:t>Figure 2: Agency Distribution of Allocated GEF-6 Mercury Funding</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_Toc528774341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19</w:t>
        </w:r>
        <w:r w:rsidR="00926141" w:rsidRPr="00F97952">
          <w:rPr>
            <w:rFonts w:asciiTheme="minorHAnsi" w:hAnsiTheme="minorHAnsi" w:cstheme="minorHAnsi"/>
            <w:noProof/>
            <w:webHidden/>
          </w:rPr>
          <w:fldChar w:fldCharType="end"/>
        </w:r>
      </w:hyperlink>
    </w:p>
    <w:p w14:paraId="405F5A72" w14:textId="32C9DB95"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42" w:history="1">
        <w:r w:rsidR="00926141" w:rsidRPr="00F97952">
          <w:rPr>
            <w:rStyle w:val="Lienhypertexte"/>
            <w:rFonts w:asciiTheme="minorHAnsi" w:hAnsiTheme="minorHAnsi" w:cstheme="minorHAnsi"/>
            <w:noProof/>
          </w:rPr>
          <w:t>Figure 3: Regional Distribution of Allocated GEF-6 Mercury Funding</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_Toc528774342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19</w:t>
        </w:r>
        <w:r w:rsidR="00926141" w:rsidRPr="00F97952">
          <w:rPr>
            <w:rFonts w:asciiTheme="minorHAnsi" w:hAnsiTheme="minorHAnsi" w:cstheme="minorHAnsi"/>
            <w:noProof/>
            <w:webHidden/>
          </w:rPr>
          <w:fldChar w:fldCharType="end"/>
        </w:r>
      </w:hyperlink>
    </w:p>
    <w:p w14:paraId="251DAFB7" w14:textId="0F8AD9C6" w:rsidR="00926141" w:rsidRPr="00F97952" w:rsidRDefault="00595775">
      <w:pPr>
        <w:pStyle w:val="Tabledesillustrations"/>
        <w:tabs>
          <w:tab w:val="right" w:leader="dot" w:pos="9552"/>
        </w:tabs>
        <w:rPr>
          <w:rFonts w:asciiTheme="minorHAnsi" w:eastAsiaTheme="minorEastAsia" w:hAnsiTheme="minorHAnsi" w:cstheme="minorHAnsi"/>
          <w:noProof/>
          <w:sz w:val="22"/>
          <w:szCs w:val="22"/>
        </w:rPr>
      </w:pPr>
      <w:hyperlink w:anchor="_Toc528774343" w:history="1">
        <w:r w:rsidR="00926141" w:rsidRPr="00F97952">
          <w:rPr>
            <w:rStyle w:val="Lienhypertexte"/>
            <w:rFonts w:asciiTheme="minorHAnsi" w:hAnsiTheme="minorHAnsi" w:cstheme="minorHAnsi"/>
            <w:noProof/>
          </w:rPr>
          <w:t>Figure 4: Sectors Receiving GEF-6 Support per Region</w:t>
        </w:r>
        <w:r w:rsidR="00926141" w:rsidRPr="00F97952">
          <w:rPr>
            <w:rFonts w:asciiTheme="minorHAnsi" w:hAnsiTheme="minorHAnsi" w:cstheme="minorHAnsi"/>
            <w:noProof/>
            <w:webHidden/>
          </w:rPr>
          <w:tab/>
        </w:r>
        <w:r w:rsidR="00926141" w:rsidRPr="00F97952">
          <w:rPr>
            <w:rFonts w:asciiTheme="minorHAnsi" w:hAnsiTheme="minorHAnsi" w:cstheme="minorHAnsi"/>
            <w:noProof/>
            <w:webHidden/>
          </w:rPr>
          <w:fldChar w:fldCharType="begin"/>
        </w:r>
        <w:r w:rsidR="00926141" w:rsidRPr="00F97952">
          <w:rPr>
            <w:rFonts w:asciiTheme="minorHAnsi" w:hAnsiTheme="minorHAnsi" w:cstheme="minorHAnsi"/>
            <w:noProof/>
            <w:webHidden/>
          </w:rPr>
          <w:instrText xml:space="preserve"> PAGEREF _Toc528774343 \h </w:instrText>
        </w:r>
        <w:r w:rsidR="00926141" w:rsidRPr="00F97952">
          <w:rPr>
            <w:rFonts w:asciiTheme="minorHAnsi" w:hAnsiTheme="minorHAnsi" w:cstheme="minorHAnsi"/>
            <w:noProof/>
            <w:webHidden/>
          </w:rPr>
        </w:r>
        <w:r w:rsidR="00926141" w:rsidRPr="00F97952">
          <w:rPr>
            <w:rFonts w:asciiTheme="minorHAnsi" w:hAnsiTheme="minorHAnsi" w:cstheme="minorHAnsi"/>
            <w:noProof/>
            <w:webHidden/>
          </w:rPr>
          <w:fldChar w:fldCharType="separate"/>
        </w:r>
        <w:r w:rsidR="00C5427B">
          <w:rPr>
            <w:rFonts w:asciiTheme="minorHAnsi" w:hAnsiTheme="minorHAnsi" w:cstheme="minorHAnsi"/>
            <w:noProof/>
            <w:webHidden/>
          </w:rPr>
          <w:t>20</w:t>
        </w:r>
        <w:r w:rsidR="00926141" w:rsidRPr="00F97952">
          <w:rPr>
            <w:rFonts w:asciiTheme="minorHAnsi" w:hAnsiTheme="minorHAnsi" w:cstheme="minorHAnsi"/>
            <w:noProof/>
            <w:webHidden/>
          </w:rPr>
          <w:fldChar w:fldCharType="end"/>
        </w:r>
      </w:hyperlink>
    </w:p>
    <w:p w14:paraId="332E1080" w14:textId="49FF03EA" w:rsidR="00423B4D" w:rsidRPr="00F97952" w:rsidRDefault="00423B4D" w:rsidP="00BF4281">
      <w:pPr>
        <w:rPr>
          <w:rFonts w:asciiTheme="minorHAnsi" w:hAnsiTheme="minorHAnsi" w:cstheme="minorHAnsi"/>
        </w:rPr>
        <w:sectPr w:rsidR="00423B4D" w:rsidRPr="00F97952" w:rsidSect="00C5427B">
          <w:headerReference w:type="even" r:id="rId17"/>
          <w:headerReference w:type="default" r:id="rId18"/>
          <w:footerReference w:type="default" r:id="rId19"/>
          <w:headerReference w:type="first" r:id="rId20"/>
          <w:footerReference w:type="first" r:id="rId21"/>
          <w:pgSz w:w="11907" w:h="16840" w:code="9"/>
          <w:pgMar w:top="907" w:right="975" w:bottom="1418" w:left="1418" w:header="539" w:footer="975" w:gutter="0"/>
          <w:cols w:space="720"/>
          <w:titlePg/>
          <w:docGrid w:linePitch="326"/>
        </w:sectPr>
      </w:pPr>
      <w:r w:rsidRPr="00F97952">
        <w:rPr>
          <w:rFonts w:asciiTheme="minorHAnsi" w:hAnsiTheme="minorHAnsi" w:cstheme="minorHAnsi"/>
        </w:rPr>
        <w:fldChar w:fldCharType="end"/>
      </w:r>
    </w:p>
    <w:p w14:paraId="093BCF5A" w14:textId="77777777" w:rsidR="0000292F" w:rsidRPr="00F97952" w:rsidRDefault="001E19D2" w:rsidP="00117AC3">
      <w:pPr>
        <w:pStyle w:val="Titre1"/>
        <w:rPr>
          <w:rFonts w:asciiTheme="minorHAnsi" w:hAnsiTheme="minorHAnsi"/>
        </w:rPr>
      </w:pPr>
      <w:bookmarkStart w:id="7" w:name="_bookmark0"/>
      <w:bookmarkStart w:id="8" w:name="_Toc528774346"/>
      <w:bookmarkEnd w:id="7"/>
      <w:r w:rsidRPr="00F97952">
        <w:rPr>
          <w:rFonts w:asciiTheme="minorHAnsi" w:hAnsiTheme="minorHAnsi"/>
        </w:rPr>
        <w:lastRenderedPageBreak/>
        <w:t>Abbreviations and Acronyms</w:t>
      </w:r>
      <w:bookmarkEnd w:id="8"/>
    </w:p>
    <w:p w14:paraId="2ACF830D" w14:textId="77777777" w:rsidR="00905314" w:rsidRPr="00F97952" w:rsidRDefault="00905314" w:rsidP="00BF4281">
      <w:pPr>
        <w:pStyle w:val="Corpsdetexte"/>
        <w:tabs>
          <w:tab w:val="left" w:pos="1895"/>
        </w:tabs>
        <w:spacing w:before="38"/>
        <w:ind w:left="191" w:right="3875"/>
        <w:rPr>
          <w:rFonts w:asciiTheme="minorHAnsi" w:hAnsiTheme="minorHAnsi" w:cstheme="minorHAnsi"/>
        </w:rPr>
      </w:pPr>
    </w:p>
    <w:p w14:paraId="568E62CC" w14:textId="04C8EA41" w:rsidR="0000292F" w:rsidRPr="00F97952" w:rsidRDefault="001E19D2" w:rsidP="00BF4281">
      <w:pPr>
        <w:pStyle w:val="Corpsdetexte"/>
        <w:tabs>
          <w:tab w:val="left" w:pos="1895"/>
        </w:tabs>
        <w:spacing w:before="38"/>
        <w:ind w:left="191" w:right="3875"/>
        <w:rPr>
          <w:rFonts w:asciiTheme="minorHAnsi" w:hAnsiTheme="minorHAnsi" w:cstheme="minorHAnsi"/>
        </w:rPr>
      </w:pPr>
      <w:r w:rsidRPr="00F97952">
        <w:rPr>
          <w:rFonts w:asciiTheme="minorHAnsi" w:hAnsiTheme="minorHAnsi" w:cstheme="minorHAnsi"/>
        </w:rPr>
        <w:t>ASGM</w:t>
      </w:r>
      <w:r w:rsidRPr="00F97952">
        <w:rPr>
          <w:rFonts w:asciiTheme="minorHAnsi" w:hAnsiTheme="minorHAnsi" w:cstheme="minorHAnsi"/>
        </w:rPr>
        <w:tab/>
        <w:t xml:space="preserve">Artisanal Small-Scale Gold Mining </w:t>
      </w:r>
    </w:p>
    <w:p w14:paraId="2F71014E" w14:textId="77777777" w:rsidR="0000292F" w:rsidRPr="00F97952" w:rsidRDefault="001E19D2" w:rsidP="00BF4281">
      <w:pPr>
        <w:pStyle w:val="Corpsdetexte"/>
        <w:tabs>
          <w:tab w:val="left" w:pos="1895"/>
        </w:tabs>
        <w:spacing w:before="38"/>
        <w:ind w:left="191"/>
        <w:rPr>
          <w:rFonts w:asciiTheme="minorHAnsi" w:hAnsiTheme="minorHAnsi" w:cstheme="minorHAnsi"/>
        </w:rPr>
      </w:pPr>
      <w:r w:rsidRPr="00F97952">
        <w:rPr>
          <w:rFonts w:asciiTheme="minorHAnsi" w:hAnsiTheme="minorHAnsi" w:cstheme="minorHAnsi"/>
        </w:rPr>
        <w:t>BRS</w:t>
      </w:r>
      <w:r w:rsidRPr="00F97952">
        <w:rPr>
          <w:rFonts w:asciiTheme="minorHAnsi" w:hAnsiTheme="minorHAnsi" w:cstheme="minorHAnsi"/>
        </w:rPr>
        <w:tab/>
        <w:t>Basel, Rotterdam, and Stockholm Conventions</w:t>
      </w:r>
    </w:p>
    <w:p w14:paraId="1D4BD4F8"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CEIT</w:t>
      </w:r>
      <w:r w:rsidRPr="00F97952">
        <w:rPr>
          <w:rFonts w:asciiTheme="minorHAnsi" w:hAnsiTheme="minorHAnsi" w:cstheme="minorHAnsi"/>
        </w:rPr>
        <w:tab/>
        <w:t>Country with Economies in Transition</w:t>
      </w:r>
    </w:p>
    <w:p w14:paraId="0135FA73" w14:textId="77777777" w:rsidR="0000292F" w:rsidRPr="00F97952" w:rsidRDefault="001E19D2" w:rsidP="00BF4281">
      <w:pPr>
        <w:pStyle w:val="Corpsdetexte"/>
        <w:tabs>
          <w:tab w:val="left" w:pos="1926"/>
        </w:tabs>
        <w:spacing w:before="40"/>
        <w:ind w:left="206"/>
        <w:rPr>
          <w:rFonts w:asciiTheme="minorHAnsi" w:hAnsiTheme="minorHAnsi" w:cstheme="minorHAnsi"/>
        </w:rPr>
      </w:pPr>
      <w:r w:rsidRPr="00F97952">
        <w:rPr>
          <w:rFonts w:asciiTheme="minorHAnsi" w:hAnsiTheme="minorHAnsi" w:cstheme="minorHAnsi"/>
        </w:rPr>
        <w:t>COP</w:t>
      </w:r>
      <w:r w:rsidRPr="00F97952">
        <w:rPr>
          <w:rFonts w:asciiTheme="minorHAnsi" w:hAnsiTheme="minorHAnsi" w:cstheme="minorHAnsi"/>
        </w:rPr>
        <w:tab/>
        <w:t>Conference of the Parties</w:t>
      </w:r>
    </w:p>
    <w:p w14:paraId="0ED5C4C7"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CW</w:t>
      </w:r>
      <w:r w:rsidRPr="00F97952">
        <w:rPr>
          <w:rFonts w:asciiTheme="minorHAnsi" w:hAnsiTheme="minorHAnsi" w:cstheme="minorHAnsi"/>
        </w:rPr>
        <w:tab/>
        <w:t>Chemicals and Wastes</w:t>
      </w:r>
    </w:p>
    <w:p w14:paraId="39EAC635"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FSP</w:t>
      </w:r>
      <w:r w:rsidRPr="00F97952">
        <w:rPr>
          <w:rFonts w:asciiTheme="minorHAnsi" w:hAnsiTheme="minorHAnsi" w:cstheme="minorHAnsi"/>
        </w:rPr>
        <w:tab/>
        <w:t>Full-sized Project</w:t>
      </w:r>
    </w:p>
    <w:p w14:paraId="7EC2C245"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GEF</w:t>
      </w:r>
      <w:r w:rsidRPr="00F97952">
        <w:rPr>
          <w:rFonts w:asciiTheme="minorHAnsi" w:hAnsiTheme="minorHAnsi" w:cstheme="minorHAnsi"/>
        </w:rPr>
        <w:tab/>
        <w:t>Global Environment Facility</w:t>
      </w:r>
    </w:p>
    <w:p w14:paraId="3912C67F" w14:textId="71931BE7" w:rsidR="00614C81" w:rsidRPr="00F97952" w:rsidRDefault="00614C81"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HCW</w:t>
      </w:r>
      <w:r w:rsidRPr="00F97952">
        <w:rPr>
          <w:rFonts w:asciiTheme="minorHAnsi" w:hAnsiTheme="minorHAnsi" w:cstheme="minorHAnsi"/>
        </w:rPr>
        <w:tab/>
        <w:t>Health Care Waste</w:t>
      </w:r>
    </w:p>
    <w:p w14:paraId="10A3BF84" w14:textId="4809BFE0"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IEO</w:t>
      </w:r>
      <w:r w:rsidRPr="00F97952">
        <w:rPr>
          <w:rFonts w:asciiTheme="minorHAnsi" w:hAnsiTheme="minorHAnsi" w:cstheme="minorHAnsi"/>
        </w:rPr>
        <w:tab/>
        <w:t>Independent Evaluation Office</w:t>
      </w:r>
    </w:p>
    <w:p w14:paraId="379A5495" w14:textId="7F3CC61B" w:rsidR="00F43A96" w:rsidRPr="00F97952" w:rsidRDefault="00F43A96" w:rsidP="00BF4281">
      <w:pPr>
        <w:pStyle w:val="Corpsdetexte"/>
        <w:tabs>
          <w:tab w:val="left" w:pos="1926"/>
        </w:tabs>
        <w:spacing w:before="37"/>
        <w:ind w:left="206"/>
        <w:rPr>
          <w:rFonts w:asciiTheme="minorHAnsi" w:hAnsiTheme="minorHAnsi" w:cstheme="minorHAnsi"/>
        </w:rPr>
      </w:pPr>
      <w:r w:rsidRPr="00F97952">
        <w:rPr>
          <w:rFonts w:asciiTheme="minorHAnsi" w:hAnsiTheme="minorHAnsi" w:cstheme="minorHAnsi"/>
        </w:rPr>
        <w:t>INC</w:t>
      </w:r>
      <w:r w:rsidRPr="00F97952">
        <w:rPr>
          <w:rFonts w:asciiTheme="minorHAnsi" w:hAnsiTheme="minorHAnsi" w:cstheme="minorHAnsi"/>
        </w:rPr>
        <w:tab/>
      </w:r>
      <w:r w:rsidR="0027627B" w:rsidRPr="00F97952">
        <w:rPr>
          <w:rFonts w:asciiTheme="minorHAnsi" w:hAnsiTheme="minorHAnsi" w:cstheme="minorHAnsi"/>
        </w:rPr>
        <w:t>Intergovernmental Negotiating Committee</w:t>
      </w:r>
    </w:p>
    <w:p w14:paraId="74F6D489" w14:textId="475233CF" w:rsidR="0000292F" w:rsidRPr="00F97952" w:rsidRDefault="001E19D2" w:rsidP="00BF4281">
      <w:pPr>
        <w:pStyle w:val="Corpsdetexte"/>
        <w:tabs>
          <w:tab w:val="left" w:pos="1926"/>
        </w:tabs>
        <w:spacing w:before="37"/>
        <w:ind w:left="206"/>
        <w:rPr>
          <w:rFonts w:asciiTheme="minorHAnsi" w:hAnsiTheme="minorHAnsi" w:cstheme="minorHAnsi"/>
        </w:rPr>
      </w:pPr>
      <w:r w:rsidRPr="00F97952">
        <w:rPr>
          <w:rFonts w:asciiTheme="minorHAnsi" w:hAnsiTheme="minorHAnsi" w:cstheme="minorHAnsi"/>
        </w:rPr>
        <w:t>LDC</w:t>
      </w:r>
      <w:r w:rsidRPr="00F97952">
        <w:rPr>
          <w:rFonts w:asciiTheme="minorHAnsi" w:hAnsiTheme="minorHAnsi" w:cstheme="minorHAnsi"/>
        </w:rPr>
        <w:tab/>
        <w:t>Least Developed Country</w:t>
      </w:r>
    </w:p>
    <w:p w14:paraId="3C4484B4" w14:textId="77777777" w:rsidR="0000292F" w:rsidRPr="00F97952" w:rsidRDefault="001E19D2" w:rsidP="00BF4281">
      <w:pPr>
        <w:pStyle w:val="Corpsdetexte"/>
        <w:tabs>
          <w:tab w:val="left" w:pos="1926"/>
        </w:tabs>
        <w:spacing w:before="37"/>
        <w:ind w:left="206"/>
        <w:rPr>
          <w:rFonts w:asciiTheme="minorHAnsi" w:hAnsiTheme="minorHAnsi" w:cstheme="minorHAnsi"/>
        </w:rPr>
      </w:pPr>
      <w:r w:rsidRPr="00F97952">
        <w:rPr>
          <w:rFonts w:asciiTheme="minorHAnsi" w:hAnsiTheme="minorHAnsi" w:cstheme="minorHAnsi"/>
        </w:rPr>
        <w:t>MEA</w:t>
      </w:r>
      <w:r w:rsidRPr="00F97952">
        <w:rPr>
          <w:rFonts w:asciiTheme="minorHAnsi" w:hAnsiTheme="minorHAnsi" w:cstheme="minorHAnsi"/>
        </w:rPr>
        <w:tab/>
        <w:t>Multilateral Environmental Agreement</w:t>
      </w:r>
    </w:p>
    <w:p w14:paraId="2BA3CDD3" w14:textId="77777777" w:rsidR="0000292F" w:rsidRPr="00F97952" w:rsidRDefault="001E19D2" w:rsidP="00BF4281">
      <w:pPr>
        <w:pStyle w:val="Corpsdetexte"/>
        <w:tabs>
          <w:tab w:val="left" w:pos="1926"/>
        </w:tabs>
        <w:spacing w:before="40"/>
        <w:ind w:left="206"/>
        <w:rPr>
          <w:rFonts w:asciiTheme="minorHAnsi" w:hAnsiTheme="minorHAnsi" w:cstheme="minorHAnsi"/>
        </w:rPr>
      </w:pPr>
      <w:r w:rsidRPr="00F97952">
        <w:rPr>
          <w:rFonts w:asciiTheme="minorHAnsi" w:hAnsiTheme="minorHAnsi" w:cstheme="minorHAnsi"/>
        </w:rPr>
        <w:t>MIA</w:t>
      </w:r>
      <w:r w:rsidRPr="00F97952">
        <w:rPr>
          <w:rFonts w:asciiTheme="minorHAnsi" w:hAnsiTheme="minorHAnsi" w:cstheme="minorHAnsi"/>
        </w:rPr>
        <w:tab/>
        <w:t>Minamata Initial Assessment</w:t>
      </w:r>
    </w:p>
    <w:p w14:paraId="461BE8BA"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MOU</w:t>
      </w:r>
      <w:r w:rsidRPr="00F97952">
        <w:rPr>
          <w:rFonts w:asciiTheme="minorHAnsi" w:hAnsiTheme="minorHAnsi" w:cstheme="minorHAnsi"/>
        </w:rPr>
        <w:tab/>
        <w:t>Memorandum of Understanding</w:t>
      </w:r>
    </w:p>
    <w:p w14:paraId="37BBEF94" w14:textId="77777777" w:rsidR="0000292F" w:rsidRPr="00F97952" w:rsidRDefault="001E19D2" w:rsidP="00BF4281">
      <w:pPr>
        <w:pStyle w:val="Corpsdetexte"/>
        <w:tabs>
          <w:tab w:val="left" w:pos="1926"/>
        </w:tabs>
        <w:spacing w:before="74"/>
        <w:ind w:left="206"/>
        <w:rPr>
          <w:rFonts w:asciiTheme="minorHAnsi" w:hAnsiTheme="minorHAnsi" w:cstheme="minorHAnsi"/>
        </w:rPr>
      </w:pPr>
      <w:r w:rsidRPr="00F97952">
        <w:rPr>
          <w:rFonts w:asciiTheme="minorHAnsi" w:hAnsiTheme="minorHAnsi" w:cstheme="minorHAnsi"/>
        </w:rPr>
        <w:t>MSP</w:t>
      </w:r>
      <w:r w:rsidRPr="00F97952">
        <w:rPr>
          <w:rFonts w:asciiTheme="minorHAnsi" w:hAnsiTheme="minorHAnsi" w:cstheme="minorHAnsi"/>
        </w:rPr>
        <w:tab/>
        <w:t>Medium-sized Project</w:t>
      </w:r>
    </w:p>
    <w:p w14:paraId="3FE2C999"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NAP</w:t>
      </w:r>
      <w:r w:rsidRPr="00F97952">
        <w:rPr>
          <w:rFonts w:asciiTheme="minorHAnsi" w:hAnsiTheme="minorHAnsi" w:cstheme="minorHAnsi"/>
        </w:rPr>
        <w:tab/>
        <w:t>National Action Plan</w:t>
      </w:r>
    </w:p>
    <w:p w14:paraId="7A5CBB56" w14:textId="77777777" w:rsidR="0000292F" w:rsidRPr="00F97952" w:rsidRDefault="001E19D2"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ODS</w:t>
      </w:r>
      <w:r w:rsidRPr="00F97952">
        <w:rPr>
          <w:rFonts w:asciiTheme="minorHAnsi" w:hAnsiTheme="minorHAnsi" w:cstheme="minorHAnsi"/>
        </w:rPr>
        <w:tab/>
        <w:t>Ozone Depleting Substance</w:t>
      </w:r>
    </w:p>
    <w:p w14:paraId="528BBA64" w14:textId="77777777" w:rsidR="0000292F" w:rsidRPr="00F97952" w:rsidRDefault="001E19D2" w:rsidP="00BF4281">
      <w:pPr>
        <w:pStyle w:val="Corpsdetexte"/>
        <w:tabs>
          <w:tab w:val="left" w:pos="1926"/>
        </w:tabs>
        <w:spacing w:before="41"/>
        <w:ind w:left="206"/>
        <w:rPr>
          <w:rFonts w:asciiTheme="minorHAnsi" w:hAnsiTheme="minorHAnsi" w:cstheme="minorHAnsi"/>
        </w:rPr>
      </w:pPr>
      <w:r w:rsidRPr="00F97952">
        <w:rPr>
          <w:rFonts w:asciiTheme="minorHAnsi" w:hAnsiTheme="minorHAnsi" w:cstheme="minorHAnsi"/>
        </w:rPr>
        <w:t>POP</w:t>
      </w:r>
      <w:r w:rsidRPr="00F97952">
        <w:rPr>
          <w:rFonts w:asciiTheme="minorHAnsi" w:hAnsiTheme="minorHAnsi" w:cstheme="minorHAnsi"/>
        </w:rPr>
        <w:tab/>
        <w:t>Persistent Organic Pollutant</w:t>
      </w:r>
    </w:p>
    <w:p w14:paraId="557A7AC0" w14:textId="77777777" w:rsidR="0000292F" w:rsidRPr="00F97952" w:rsidRDefault="001E19D2" w:rsidP="00BF4281">
      <w:pPr>
        <w:pStyle w:val="Corpsdetexte"/>
        <w:tabs>
          <w:tab w:val="left" w:pos="1926"/>
        </w:tabs>
        <w:spacing w:before="38"/>
        <w:ind w:left="206" w:right="1475"/>
        <w:rPr>
          <w:rFonts w:asciiTheme="minorHAnsi" w:hAnsiTheme="minorHAnsi" w:cstheme="minorHAnsi"/>
        </w:rPr>
      </w:pPr>
      <w:r w:rsidRPr="00F97952">
        <w:rPr>
          <w:rFonts w:asciiTheme="minorHAnsi" w:hAnsiTheme="minorHAnsi" w:cstheme="minorHAnsi"/>
        </w:rPr>
        <w:t>SAICM</w:t>
      </w:r>
      <w:r w:rsidRPr="00F97952">
        <w:rPr>
          <w:rFonts w:asciiTheme="minorHAnsi" w:hAnsiTheme="minorHAnsi" w:cstheme="minorHAnsi"/>
        </w:rPr>
        <w:tab/>
        <w:t xml:space="preserve">Strategic Approach to International </w:t>
      </w:r>
      <w:r w:rsidR="00395A86" w:rsidRPr="00F97952">
        <w:rPr>
          <w:rFonts w:asciiTheme="minorHAnsi" w:hAnsiTheme="minorHAnsi" w:cstheme="minorHAnsi"/>
        </w:rPr>
        <w:t xml:space="preserve">Chemical </w:t>
      </w:r>
      <w:r w:rsidRPr="00F97952">
        <w:rPr>
          <w:rFonts w:asciiTheme="minorHAnsi" w:hAnsiTheme="minorHAnsi" w:cstheme="minorHAnsi"/>
        </w:rPr>
        <w:t>Management SGP</w:t>
      </w:r>
      <w:r w:rsidRPr="00F97952">
        <w:rPr>
          <w:rFonts w:asciiTheme="minorHAnsi" w:hAnsiTheme="minorHAnsi" w:cstheme="minorHAnsi"/>
        </w:rPr>
        <w:tab/>
        <w:t xml:space="preserve">Small Grant </w:t>
      </w:r>
      <w:proofErr w:type="spellStart"/>
      <w:r w:rsidRPr="00F97952">
        <w:rPr>
          <w:rFonts w:asciiTheme="minorHAnsi" w:hAnsiTheme="minorHAnsi" w:cstheme="minorHAnsi"/>
        </w:rPr>
        <w:t>Programme</w:t>
      </w:r>
      <w:proofErr w:type="spellEnd"/>
    </w:p>
    <w:p w14:paraId="56C3EB38" w14:textId="77777777" w:rsidR="0000292F" w:rsidRPr="00F97952" w:rsidRDefault="001E19D2" w:rsidP="00BF4281">
      <w:pPr>
        <w:pStyle w:val="Corpsdetexte"/>
        <w:tabs>
          <w:tab w:val="left" w:pos="1926"/>
        </w:tabs>
        <w:spacing w:before="4"/>
        <w:ind w:left="206"/>
        <w:rPr>
          <w:rFonts w:asciiTheme="minorHAnsi" w:hAnsiTheme="minorHAnsi" w:cstheme="minorHAnsi"/>
        </w:rPr>
      </w:pPr>
      <w:r w:rsidRPr="00F97952">
        <w:rPr>
          <w:rFonts w:asciiTheme="minorHAnsi" w:hAnsiTheme="minorHAnsi" w:cstheme="minorHAnsi"/>
        </w:rPr>
        <w:t>SIDS</w:t>
      </w:r>
      <w:r w:rsidRPr="00F97952">
        <w:rPr>
          <w:rFonts w:asciiTheme="minorHAnsi" w:hAnsiTheme="minorHAnsi" w:cstheme="minorHAnsi"/>
        </w:rPr>
        <w:tab/>
        <w:t>Small Island Developing State</w:t>
      </w:r>
    </w:p>
    <w:p w14:paraId="3523AA85" w14:textId="77777777" w:rsidR="000304EE" w:rsidRPr="00F97952" w:rsidRDefault="001E19D2" w:rsidP="00BF4281">
      <w:pPr>
        <w:pStyle w:val="Corpsdetexte"/>
        <w:tabs>
          <w:tab w:val="left" w:pos="1926"/>
        </w:tabs>
        <w:spacing w:before="38"/>
        <w:ind w:left="206"/>
        <w:rPr>
          <w:rFonts w:asciiTheme="minorHAnsi" w:hAnsiTheme="minorHAnsi" w:cstheme="minorHAnsi"/>
          <w:w w:val="99"/>
        </w:rPr>
      </w:pPr>
      <w:r w:rsidRPr="00F97952">
        <w:rPr>
          <w:rFonts w:asciiTheme="minorHAnsi" w:hAnsiTheme="minorHAnsi" w:cstheme="minorHAnsi"/>
        </w:rPr>
        <w:t>UNDP</w:t>
      </w:r>
      <w:r w:rsidRPr="00F97952">
        <w:rPr>
          <w:rFonts w:asciiTheme="minorHAnsi" w:hAnsiTheme="minorHAnsi" w:cstheme="minorHAnsi"/>
        </w:rPr>
        <w:tab/>
        <w:t xml:space="preserve">United Nations </w:t>
      </w:r>
      <w:r w:rsidR="00395A86" w:rsidRPr="00F97952">
        <w:rPr>
          <w:rFonts w:asciiTheme="minorHAnsi" w:hAnsiTheme="minorHAnsi" w:cstheme="minorHAnsi"/>
        </w:rPr>
        <w:t>Development</w:t>
      </w:r>
      <w:r w:rsidR="000304EE" w:rsidRPr="00F97952">
        <w:rPr>
          <w:rFonts w:asciiTheme="minorHAnsi" w:hAnsiTheme="minorHAnsi" w:cstheme="minorHAnsi"/>
        </w:rPr>
        <w:t xml:space="preserve"> </w:t>
      </w:r>
      <w:proofErr w:type="spellStart"/>
      <w:r w:rsidRPr="00F97952">
        <w:rPr>
          <w:rFonts w:asciiTheme="minorHAnsi" w:hAnsiTheme="minorHAnsi" w:cstheme="minorHAnsi"/>
        </w:rPr>
        <w:t>Programme</w:t>
      </w:r>
      <w:proofErr w:type="spellEnd"/>
      <w:r w:rsidRPr="00F97952">
        <w:rPr>
          <w:rFonts w:asciiTheme="minorHAnsi" w:hAnsiTheme="minorHAnsi" w:cstheme="minorHAnsi"/>
          <w:w w:val="99"/>
        </w:rPr>
        <w:t xml:space="preserve"> </w:t>
      </w:r>
    </w:p>
    <w:p w14:paraId="34518EBA" w14:textId="77777777" w:rsidR="0000292F" w:rsidRPr="00F97952" w:rsidRDefault="002F04B1" w:rsidP="00BF4281">
      <w:pPr>
        <w:pStyle w:val="Corpsdetexte"/>
        <w:tabs>
          <w:tab w:val="left" w:pos="1926"/>
        </w:tabs>
        <w:spacing w:before="38"/>
        <w:ind w:left="206"/>
        <w:rPr>
          <w:rFonts w:asciiTheme="minorHAnsi" w:hAnsiTheme="minorHAnsi" w:cstheme="minorHAnsi"/>
        </w:rPr>
      </w:pPr>
      <w:r w:rsidRPr="00F97952">
        <w:rPr>
          <w:rFonts w:asciiTheme="minorHAnsi" w:hAnsiTheme="minorHAnsi" w:cstheme="minorHAnsi"/>
        </w:rPr>
        <w:t>UNEP</w:t>
      </w:r>
      <w:r w:rsidRPr="00F97952">
        <w:rPr>
          <w:rFonts w:asciiTheme="minorHAnsi" w:hAnsiTheme="minorHAnsi" w:cstheme="minorHAnsi"/>
        </w:rPr>
        <w:tab/>
        <w:t xml:space="preserve">United Nations </w:t>
      </w:r>
      <w:r w:rsidR="001E19D2" w:rsidRPr="00F97952">
        <w:rPr>
          <w:rFonts w:asciiTheme="minorHAnsi" w:hAnsiTheme="minorHAnsi" w:cstheme="minorHAnsi"/>
        </w:rPr>
        <w:t>Environment</w:t>
      </w:r>
      <w:r w:rsidRPr="00F97952">
        <w:rPr>
          <w:rFonts w:asciiTheme="minorHAnsi" w:hAnsiTheme="minorHAnsi" w:cstheme="minorHAnsi"/>
        </w:rPr>
        <w:t xml:space="preserve"> </w:t>
      </w:r>
      <w:proofErr w:type="spellStart"/>
      <w:r w:rsidR="001E19D2" w:rsidRPr="00F97952">
        <w:rPr>
          <w:rFonts w:asciiTheme="minorHAnsi" w:hAnsiTheme="minorHAnsi" w:cstheme="minorHAnsi"/>
        </w:rPr>
        <w:t>Programme</w:t>
      </w:r>
      <w:proofErr w:type="spellEnd"/>
    </w:p>
    <w:p w14:paraId="37DD4A51" w14:textId="77777777" w:rsidR="000304EE" w:rsidRPr="00F97952" w:rsidRDefault="001E19D2" w:rsidP="00BF4281">
      <w:pPr>
        <w:pStyle w:val="Corpsdetexte"/>
        <w:tabs>
          <w:tab w:val="left" w:pos="1926"/>
        </w:tabs>
        <w:spacing w:before="1"/>
        <w:ind w:left="206" w:right="90"/>
        <w:rPr>
          <w:rFonts w:asciiTheme="minorHAnsi" w:hAnsiTheme="minorHAnsi" w:cstheme="minorHAnsi"/>
        </w:rPr>
      </w:pPr>
      <w:r w:rsidRPr="00F97952">
        <w:rPr>
          <w:rFonts w:asciiTheme="minorHAnsi" w:hAnsiTheme="minorHAnsi" w:cstheme="minorHAnsi"/>
        </w:rPr>
        <w:t>UNIDO</w:t>
      </w:r>
      <w:r w:rsidRPr="00F97952">
        <w:rPr>
          <w:rFonts w:asciiTheme="minorHAnsi" w:hAnsiTheme="minorHAnsi" w:cstheme="minorHAnsi"/>
        </w:rPr>
        <w:tab/>
        <w:t>United Nations Industrial Development</w:t>
      </w:r>
      <w:r w:rsidR="000304EE" w:rsidRPr="00F97952">
        <w:rPr>
          <w:rFonts w:asciiTheme="minorHAnsi" w:hAnsiTheme="minorHAnsi" w:cstheme="minorHAnsi"/>
        </w:rPr>
        <w:t xml:space="preserve"> </w:t>
      </w:r>
      <w:r w:rsidRPr="00F97952">
        <w:rPr>
          <w:rFonts w:asciiTheme="minorHAnsi" w:hAnsiTheme="minorHAnsi" w:cstheme="minorHAnsi"/>
        </w:rPr>
        <w:t xml:space="preserve">Organization </w:t>
      </w:r>
    </w:p>
    <w:p w14:paraId="3F78C99C" w14:textId="77777777" w:rsidR="0000292F" w:rsidRPr="00F97952" w:rsidRDefault="001E19D2" w:rsidP="00BF4281">
      <w:pPr>
        <w:pStyle w:val="Corpsdetexte"/>
        <w:tabs>
          <w:tab w:val="left" w:pos="1926"/>
        </w:tabs>
        <w:spacing w:before="1"/>
        <w:ind w:left="206" w:right="90"/>
        <w:rPr>
          <w:rFonts w:asciiTheme="minorHAnsi" w:hAnsiTheme="minorHAnsi" w:cstheme="minorHAnsi"/>
        </w:rPr>
      </w:pPr>
      <w:r w:rsidRPr="00F97952">
        <w:rPr>
          <w:rFonts w:asciiTheme="minorHAnsi" w:hAnsiTheme="minorHAnsi" w:cstheme="minorHAnsi"/>
        </w:rPr>
        <w:t>UPOP</w:t>
      </w:r>
      <w:r w:rsidRPr="00F97952">
        <w:rPr>
          <w:rFonts w:asciiTheme="minorHAnsi" w:hAnsiTheme="minorHAnsi" w:cstheme="minorHAnsi"/>
        </w:rPr>
        <w:tab/>
        <w:t>Unintentional Persistent Organic Pollutant</w:t>
      </w:r>
    </w:p>
    <w:p w14:paraId="17DB4AC1" w14:textId="77777777" w:rsidR="0000292F" w:rsidRPr="00F97952" w:rsidRDefault="0000292F" w:rsidP="00BF4281">
      <w:pPr>
        <w:rPr>
          <w:rFonts w:asciiTheme="minorHAnsi" w:hAnsiTheme="minorHAnsi" w:cstheme="minorHAnsi"/>
        </w:rPr>
        <w:sectPr w:rsidR="0000292F" w:rsidRPr="00F97952" w:rsidSect="0018028C">
          <w:pgSz w:w="11907" w:h="16840" w:code="9"/>
          <w:pgMar w:top="907" w:right="992" w:bottom="1418" w:left="1418" w:header="539" w:footer="992" w:gutter="0"/>
          <w:cols w:space="720"/>
          <w:docGrid w:linePitch="326"/>
        </w:sectPr>
      </w:pPr>
    </w:p>
    <w:p w14:paraId="52CF82DD" w14:textId="77777777" w:rsidR="005D4850" w:rsidRPr="00F97952" w:rsidRDefault="001E19D2" w:rsidP="00423B4D">
      <w:pPr>
        <w:pStyle w:val="Titre1"/>
        <w:rPr>
          <w:rFonts w:asciiTheme="minorHAnsi" w:eastAsiaTheme="minorEastAsia" w:hAnsiTheme="minorHAnsi" w:cs="Calibri"/>
          <w:b w:val="0"/>
          <w:color w:val="000000"/>
          <w:sz w:val="24"/>
          <w:szCs w:val="24"/>
          <w:lang w:eastAsia="zh-CN"/>
        </w:rPr>
      </w:pPr>
      <w:bookmarkStart w:id="9" w:name="_bookmark1"/>
      <w:bookmarkStart w:id="10" w:name="_Toc528774347"/>
      <w:bookmarkEnd w:id="9"/>
      <w:r w:rsidRPr="00F97952">
        <w:rPr>
          <w:rFonts w:asciiTheme="minorHAnsi" w:hAnsiTheme="minorHAnsi" w:cstheme="minorHAnsi"/>
        </w:rPr>
        <w:lastRenderedPageBreak/>
        <w:t>Executive Summary</w:t>
      </w:r>
      <w:bookmarkEnd w:id="10"/>
    </w:p>
    <w:p w14:paraId="1075B169" w14:textId="05CEEB27" w:rsidR="00F66EA0" w:rsidRPr="00F97952" w:rsidRDefault="001E19D2" w:rsidP="002D5818">
      <w:pPr>
        <w:pStyle w:val="MainParagraphwith"/>
      </w:pPr>
      <w:bookmarkStart w:id="11" w:name="_Toc519159106"/>
      <w:bookmarkStart w:id="12" w:name="_Toc519159549"/>
      <w:bookmarkStart w:id="13" w:name="_Toc521069758"/>
      <w:bookmarkStart w:id="14" w:name="_Toc521071088"/>
      <w:r w:rsidRPr="00F97952">
        <w:t xml:space="preserve">The Minamata Convention on Mercury is the most recent Convention </w:t>
      </w:r>
      <w:r w:rsidR="00FD4BC4" w:rsidRPr="00F97952">
        <w:t>in which the</w:t>
      </w:r>
      <w:r w:rsidRPr="00F97952">
        <w:t xml:space="preserve"> Global Environment Facility (GEF)</w:t>
      </w:r>
      <w:r w:rsidR="00FD4BC4" w:rsidRPr="00F97952">
        <w:t xml:space="preserve"> in included in the Financial Mechanism</w:t>
      </w:r>
      <w:r w:rsidRPr="00F97952">
        <w:t xml:space="preserve">. </w:t>
      </w:r>
    </w:p>
    <w:p w14:paraId="0BF3D258" w14:textId="77777777" w:rsidR="00F66EA0" w:rsidRPr="00F97952" w:rsidRDefault="001E19D2" w:rsidP="002D5818">
      <w:pPr>
        <w:pStyle w:val="MainParagraphwith"/>
      </w:pPr>
      <w:r w:rsidRPr="00F97952">
        <w:t xml:space="preserve">The objective of the Convention is to protect the human health and the environment from anthropogenic emissions and releases of mercury and mercury compounds. </w:t>
      </w:r>
    </w:p>
    <w:p w14:paraId="1BC5D8C0" w14:textId="77777777" w:rsidR="00FD4BC4" w:rsidRPr="00F97952" w:rsidRDefault="001E19D2" w:rsidP="002D5818">
      <w:pPr>
        <w:pStyle w:val="MainParagraphwith"/>
      </w:pPr>
      <w:r w:rsidRPr="00F97952">
        <w:t xml:space="preserve">Article 13 of the Minamata Convention includes the GEF </w:t>
      </w:r>
      <w:r w:rsidR="009911FA" w:rsidRPr="00F97952">
        <w:t>in the Financial</w:t>
      </w:r>
      <w:r w:rsidRPr="00F97952">
        <w:t xml:space="preserve"> Mechanism </w:t>
      </w:r>
      <w:bookmarkEnd w:id="11"/>
      <w:bookmarkEnd w:id="12"/>
      <w:bookmarkEnd w:id="13"/>
      <w:bookmarkEnd w:id="14"/>
      <w:r w:rsidR="009911FA" w:rsidRPr="00F97952">
        <w:t>to provide new, predictable, adequate and timely financial resources to meet costs in support of implementation of this Convention as agreed by the Conference of the Parties.</w:t>
      </w:r>
    </w:p>
    <w:p w14:paraId="5C22CEF6" w14:textId="28A674C0" w:rsidR="00FD4BC4" w:rsidRPr="00F97952" w:rsidRDefault="00FD4BC4" w:rsidP="00FD4BC4">
      <w:pPr>
        <w:pStyle w:val="MainParagraphwith"/>
      </w:pPr>
      <w:r w:rsidRPr="00F97952">
        <w:t>The Minamata Convention was added to the Instrument for the Establishment of the Restructured Global Environment Facility during the Fifth Assembly of the Global Environment Facility in May 2014.</w:t>
      </w:r>
    </w:p>
    <w:p w14:paraId="40C96D2C" w14:textId="2576925B" w:rsidR="009911FA" w:rsidRPr="00F97952" w:rsidRDefault="001E19D2" w:rsidP="002D5818">
      <w:pPr>
        <w:pStyle w:val="MainParagraphwith"/>
      </w:pPr>
      <w:r w:rsidRPr="00F97952">
        <w:t xml:space="preserve">This report presents the work of the GEF </w:t>
      </w:r>
      <w:r w:rsidR="009911FA" w:rsidRPr="00F97952">
        <w:t>in fulfilling its mandate under the Minamata Convention</w:t>
      </w:r>
      <w:r w:rsidRPr="00F97952">
        <w:t xml:space="preserve"> between </w:t>
      </w:r>
      <w:r w:rsidR="00F6021C" w:rsidRPr="00F97952">
        <w:t xml:space="preserve">July 1, 2017 </w:t>
      </w:r>
      <w:r w:rsidR="00396E45" w:rsidRPr="00F97952">
        <w:t>and June 30, 2018</w:t>
      </w:r>
      <w:r w:rsidR="009911FA" w:rsidRPr="00F97952">
        <w:t xml:space="preserve"> and responds to the guidance to the GEF from the first meeting of the Conference of the Parties (COP 1) to the Minamata Convention on Mercury that took place from September </w:t>
      </w:r>
      <w:r w:rsidR="006550BE" w:rsidRPr="00F97952">
        <w:t xml:space="preserve">24 to 29, </w:t>
      </w:r>
      <w:r w:rsidR="009911FA" w:rsidRPr="00F97952">
        <w:t>2017.</w:t>
      </w:r>
      <w:r w:rsidR="00FD4BC4" w:rsidRPr="00F97952">
        <w:t xml:space="preserve"> The guidance is contained in the annex to the Minamata COP decision MC-1/5</w:t>
      </w:r>
      <w:r w:rsidR="00585E1F" w:rsidRPr="00F97952">
        <w:t>.</w:t>
      </w:r>
      <w:r w:rsidR="00FD4BC4" w:rsidRPr="00F97952">
        <w:rPr>
          <w:rStyle w:val="Appelnotedebasdep"/>
        </w:rPr>
        <w:footnoteReference w:id="3"/>
      </w:r>
    </w:p>
    <w:p w14:paraId="5C32F149" w14:textId="7EA13FB9" w:rsidR="00F66EA0" w:rsidRPr="00F97952" w:rsidRDefault="009911FA" w:rsidP="002D5818">
      <w:pPr>
        <w:pStyle w:val="MainParagraphwith"/>
      </w:pPr>
      <w:r w:rsidRPr="00F97952">
        <w:t xml:space="preserve">The report additionally </w:t>
      </w:r>
      <w:r w:rsidR="00396E45" w:rsidRPr="00F97952">
        <w:t xml:space="preserve">provides an </w:t>
      </w:r>
      <w:r w:rsidRPr="00F97952">
        <w:t>account</w:t>
      </w:r>
      <w:r w:rsidR="00396E45" w:rsidRPr="00F97952">
        <w:t xml:space="preserve"> of the GEF’s support to the Minamata Convention on Mercury over the sixth replenishment period (GEF-6)</w:t>
      </w:r>
      <w:r w:rsidR="00743876" w:rsidRPr="00F97952">
        <w:t xml:space="preserve"> of July 1</w:t>
      </w:r>
      <w:r w:rsidR="0064104D" w:rsidRPr="00F97952">
        <w:t>,</w:t>
      </w:r>
      <w:r w:rsidR="00743876" w:rsidRPr="00F97952">
        <w:t xml:space="preserve"> 2014 to June 30, 2018</w:t>
      </w:r>
      <w:r w:rsidR="00396E45" w:rsidRPr="00F97952">
        <w:t xml:space="preserve">, as well as an overview of the </w:t>
      </w:r>
      <w:r w:rsidRPr="00F97952">
        <w:t xml:space="preserve">results of the </w:t>
      </w:r>
      <w:r w:rsidR="00396E45" w:rsidRPr="00F97952">
        <w:t>seventh GEF replenishment (GEF-7) process.</w:t>
      </w:r>
      <w:r w:rsidR="003000F5" w:rsidRPr="00F97952">
        <w:t xml:space="preserve"> </w:t>
      </w:r>
    </w:p>
    <w:p w14:paraId="5F6189A6" w14:textId="089D872D" w:rsidR="002D5818" w:rsidRPr="00F97952" w:rsidRDefault="003000F5" w:rsidP="002D5818">
      <w:pPr>
        <w:pStyle w:val="MainParagraphwith"/>
      </w:pPr>
      <w:r w:rsidRPr="00F97952">
        <w:t xml:space="preserve">Since </w:t>
      </w:r>
      <w:r w:rsidR="009911FA" w:rsidRPr="00F97952">
        <w:t xml:space="preserve">the first </w:t>
      </w:r>
      <w:r w:rsidR="00585E1F" w:rsidRPr="00F97952">
        <w:t>COP</w:t>
      </w:r>
      <w:r w:rsidR="009911FA" w:rsidRPr="00F97952">
        <w:t xml:space="preserve"> in September 2017</w:t>
      </w:r>
      <w:r w:rsidR="00297158" w:rsidRPr="00F97952">
        <w:t>,</w:t>
      </w:r>
      <w:r w:rsidRPr="00F97952">
        <w:t xml:space="preserve"> the GEF has approved </w:t>
      </w:r>
      <w:r w:rsidR="002D5818" w:rsidRPr="00F97952">
        <w:t>two full</w:t>
      </w:r>
      <w:r w:rsidR="00585E1F" w:rsidRPr="00F97952">
        <w:t>-</w:t>
      </w:r>
      <w:r w:rsidR="002D5818" w:rsidRPr="00F97952">
        <w:t>sized projects</w:t>
      </w:r>
      <w:r w:rsidR="00585E1F" w:rsidRPr="00F97952">
        <w:t xml:space="preserve"> (FSPs)</w:t>
      </w:r>
      <w:r w:rsidR="002D5818" w:rsidRPr="00F97952">
        <w:t xml:space="preserve"> covering </w:t>
      </w:r>
      <w:r w:rsidR="006E7F1E" w:rsidRPr="00F97952">
        <w:t>seven</w:t>
      </w:r>
      <w:r w:rsidR="002D5818" w:rsidRPr="00F97952">
        <w:t xml:space="preserve"> countries and seven enabling activity projects covering ten countries</w:t>
      </w:r>
      <w:r w:rsidRPr="00F97952">
        <w:t>.</w:t>
      </w:r>
    </w:p>
    <w:p w14:paraId="73EFC6D3" w14:textId="28D8ECC9" w:rsidR="002D5818" w:rsidRPr="00F97952" w:rsidRDefault="002D5818" w:rsidP="002D5818">
      <w:pPr>
        <w:pStyle w:val="MainParagraphwith"/>
      </w:pPr>
      <w:r w:rsidRPr="00F97952">
        <w:t xml:space="preserve">The resources committed during the reporting period </w:t>
      </w:r>
      <w:r w:rsidR="00185D48" w:rsidRPr="00F97952">
        <w:t>is $</w:t>
      </w:r>
      <w:r w:rsidRPr="00F97952">
        <w:t>8</w:t>
      </w:r>
      <w:r w:rsidR="00185D48" w:rsidRPr="00F97952">
        <w:t>.25</w:t>
      </w:r>
      <w:r w:rsidR="00585E1F" w:rsidRPr="00F97952">
        <w:t xml:space="preserve"> million.</w:t>
      </w:r>
      <w:r w:rsidR="00185D48" w:rsidRPr="00F97952">
        <w:rPr>
          <w:rStyle w:val="Appelnotedebasdep"/>
        </w:rPr>
        <w:footnoteReference w:id="4"/>
      </w:r>
    </w:p>
    <w:p w14:paraId="78A2F70B" w14:textId="3FD1E829" w:rsidR="00614C81" w:rsidRPr="00F97952" w:rsidRDefault="009911FA" w:rsidP="002D5818">
      <w:pPr>
        <w:pStyle w:val="MainParagraphwith"/>
      </w:pPr>
      <w:r w:rsidRPr="00F97952">
        <w:t>The sixth replenishment of the GEF (GEF</w:t>
      </w:r>
      <w:r w:rsidR="00585E1F" w:rsidRPr="00F97952">
        <w:t>-</w:t>
      </w:r>
      <w:r w:rsidRPr="00F97952">
        <w:t>6) committed</w:t>
      </w:r>
      <w:r w:rsidR="003000F5" w:rsidRPr="00F97952">
        <w:t xml:space="preserve"> $554 million of GEF resources </w:t>
      </w:r>
      <w:r w:rsidRPr="00F97952">
        <w:t>for chemicals and waste focal area</w:t>
      </w:r>
      <w:r w:rsidR="003000F5" w:rsidRPr="00F97952">
        <w:t xml:space="preserve">, of which $141 million was allocated to the implementation of the Minamata Convention. </w:t>
      </w:r>
      <w:r w:rsidR="004C4665" w:rsidRPr="00F97952">
        <w:t xml:space="preserve"> </w:t>
      </w:r>
    </w:p>
    <w:p w14:paraId="76808135" w14:textId="33A720F4" w:rsidR="00414C90" w:rsidRPr="00F97952" w:rsidRDefault="003000F5" w:rsidP="002D5818">
      <w:pPr>
        <w:pStyle w:val="MainParagraphwith"/>
      </w:pPr>
      <w:r w:rsidRPr="00F97952">
        <w:t>During GEF-6</w:t>
      </w:r>
      <w:r w:rsidR="00585E1F" w:rsidRPr="00F97952">
        <w:t>,</w:t>
      </w:r>
      <w:r w:rsidR="00614C81" w:rsidRPr="00F97952">
        <w:t xml:space="preserve"> $148.7 million was programmed to implement the Minamata convention </w:t>
      </w:r>
      <w:r w:rsidR="003F6632" w:rsidRPr="00F97952">
        <w:t>of which $134 million was allocated to countries, $2 million to project preparation and $12.5 million to agency fees.</w:t>
      </w:r>
    </w:p>
    <w:p w14:paraId="3D5CBDC1" w14:textId="6100C3B9" w:rsidR="003F6632" w:rsidRPr="00F97952" w:rsidRDefault="003F6632" w:rsidP="002D5818">
      <w:pPr>
        <w:pStyle w:val="MainParagraphwith"/>
      </w:pPr>
      <w:r w:rsidRPr="00F97952">
        <w:t>The GEF</w:t>
      </w:r>
      <w:r w:rsidR="00585E1F" w:rsidRPr="00F97952">
        <w:t>-</w:t>
      </w:r>
      <w:r w:rsidRPr="00F97952">
        <w:t xml:space="preserve">6 resources supported </w:t>
      </w:r>
      <w:r w:rsidR="00585E1F" w:rsidRPr="00F97952">
        <w:t>85</w:t>
      </w:r>
      <w:r w:rsidRPr="00F97952">
        <w:t xml:space="preserve"> countries to conduct Minamata Initial Assessments (MIA)</w:t>
      </w:r>
      <w:r w:rsidR="00585E1F" w:rsidRPr="00F97952">
        <w:t>,</w:t>
      </w:r>
      <w:r w:rsidRPr="00F97952">
        <w:t xml:space="preserve"> which brings the total </w:t>
      </w:r>
      <w:r w:rsidR="00585E1F" w:rsidRPr="00F97952">
        <w:t xml:space="preserve">number of </w:t>
      </w:r>
      <w:r w:rsidRPr="00F97952">
        <w:t xml:space="preserve">countries </w:t>
      </w:r>
      <w:r w:rsidR="00585E1F" w:rsidRPr="00F97952">
        <w:t>that received MIA support to date to 110.</w:t>
      </w:r>
      <w:r w:rsidR="002405AA" w:rsidRPr="00F97952">
        <w:rPr>
          <w:rStyle w:val="Appelnotedebasdep"/>
        </w:rPr>
        <w:footnoteReference w:id="5"/>
      </w:r>
    </w:p>
    <w:p w14:paraId="6D1A458E" w14:textId="4C8AE5F5" w:rsidR="002405AA" w:rsidRPr="00F97952" w:rsidRDefault="003F6632" w:rsidP="002D5818">
      <w:pPr>
        <w:pStyle w:val="MainParagraphwith"/>
      </w:pPr>
      <w:r w:rsidRPr="00F97952">
        <w:t>In GEF</w:t>
      </w:r>
      <w:r w:rsidR="00585E1F" w:rsidRPr="00F97952">
        <w:t>-</w:t>
      </w:r>
      <w:r w:rsidRPr="00F97952">
        <w:t>6, National Action Plans for Artisanal and Small-Scale Gold Mining (NAP) were also supported</w:t>
      </w:r>
      <w:r w:rsidR="00585E1F" w:rsidRPr="00F97952">
        <w:t>, with</w:t>
      </w:r>
      <w:r w:rsidRPr="00F97952">
        <w:t xml:space="preserve"> </w:t>
      </w:r>
      <w:r w:rsidR="00585E1F" w:rsidRPr="00F97952">
        <w:t xml:space="preserve">32 </w:t>
      </w:r>
      <w:r w:rsidRPr="00F97952">
        <w:t>countries receiv</w:t>
      </w:r>
      <w:r w:rsidR="00585E1F" w:rsidRPr="00F97952">
        <w:t>ing</w:t>
      </w:r>
      <w:r w:rsidRPr="00F97952">
        <w:t xml:space="preserve"> support.</w:t>
      </w:r>
    </w:p>
    <w:p w14:paraId="64F0974F" w14:textId="71394E74" w:rsidR="003F6632" w:rsidRPr="00F97952" w:rsidRDefault="002405AA" w:rsidP="002D5818">
      <w:pPr>
        <w:pStyle w:val="MainParagraphwith"/>
      </w:pPr>
      <w:r w:rsidRPr="00F97952">
        <w:lastRenderedPageBreak/>
        <w:t>Twenty-</w:t>
      </w:r>
      <w:r w:rsidR="00196030" w:rsidRPr="00F97952">
        <w:t>six</w:t>
      </w:r>
      <w:r w:rsidRPr="00F97952">
        <w:t xml:space="preserve"> (2</w:t>
      </w:r>
      <w:r w:rsidR="00196030" w:rsidRPr="00F97952">
        <w:t>6</w:t>
      </w:r>
      <w:r w:rsidRPr="00F97952">
        <w:t xml:space="preserve">) countries received support for implementation activities through programmatic approaches, </w:t>
      </w:r>
      <w:r w:rsidR="00075A5D" w:rsidRPr="00F97952">
        <w:t>FSP</w:t>
      </w:r>
      <w:r w:rsidR="00EB3D80" w:rsidRPr="00F97952">
        <w:t>s</w:t>
      </w:r>
      <w:r w:rsidRPr="00F97952">
        <w:t xml:space="preserve"> and medium</w:t>
      </w:r>
      <w:r w:rsidR="000B2F26" w:rsidRPr="00F97952">
        <w:t>-</w:t>
      </w:r>
      <w:r w:rsidRPr="00F97952">
        <w:t>sized projects in GEF</w:t>
      </w:r>
      <w:r w:rsidR="00585E1F" w:rsidRPr="00F97952">
        <w:t>-</w:t>
      </w:r>
      <w:r w:rsidRPr="00F97952">
        <w:t>6.</w:t>
      </w:r>
      <w:r w:rsidR="003000F5" w:rsidRPr="00F97952">
        <w:t xml:space="preserve"> </w:t>
      </w:r>
    </w:p>
    <w:p w14:paraId="4FF4E8FE" w14:textId="64F69488" w:rsidR="007207D5" w:rsidRPr="00F97952" w:rsidRDefault="003000F5" w:rsidP="002D5818">
      <w:pPr>
        <w:pStyle w:val="MainParagraphwith"/>
      </w:pPr>
      <w:r w:rsidRPr="00F97952">
        <w:t>On average,</w:t>
      </w:r>
      <w:r w:rsidR="002405AA" w:rsidRPr="00F97952">
        <w:t xml:space="preserve"> excluding enabling activities,</w:t>
      </w:r>
      <w:r w:rsidRPr="00F97952">
        <w:t xml:space="preserve"> the portfolio leveraged </w:t>
      </w:r>
      <w:r w:rsidR="00874EC7" w:rsidRPr="00F97952">
        <w:t>four</w:t>
      </w:r>
      <w:r w:rsidRPr="00F97952">
        <w:t xml:space="preserve"> dollars for every GEF dollar invested from co-financing.</w:t>
      </w:r>
      <w:r w:rsidR="006550BE" w:rsidRPr="00F97952">
        <w:rPr>
          <w:rStyle w:val="Appelnotedebasdep"/>
        </w:rPr>
        <w:footnoteReference w:id="6"/>
      </w:r>
    </w:p>
    <w:p w14:paraId="11DDAE7B" w14:textId="74067833" w:rsidR="0000292F" w:rsidRPr="00F97952" w:rsidRDefault="001E19D2" w:rsidP="0027627B">
      <w:pPr>
        <w:pStyle w:val="MainParagraphwith"/>
        <w:rPr>
          <w:rFonts w:cstheme="minorHAnsi"/>
          <w:sz w:val="20"/>
        </w:rPr>
      </w:pPr>
      <w:r w:rsidRPr="00F97952">
        <w:t xml:space="preserve">The corporate target for mercury reduction in the GEF-6 period </w:t>
      </w:r>
      <w:r w:rsidR="00743876" w:rsidRPr="00F97952">
        <w:t>was</w:t>
      </w:r>
      <w:r w:rsidRPr="00F97952">
        <w:t xml:space="preserve"> 1,000 </w:t>
      </w:r>
      <w:r w:rsidR="002405AA" w:rsidRPr="00F97952">
        <w:t xml:space="preserve">metric </w:t>
      </w:r>
      <w:r w:rsidRPr="00F97952">
        <w:t>tons</w:t>
      </w:r>
      <w:r w:rsidR="00743876" w:rsidRPr="00F97952">
        <w:t>.</w:t>
      </w:r>
      <w:r w:rsidRPr="00F97952">
        <w:t xml:space="preserve"> </w:t>
      </w:r>
      <w:r w:rsidR="00743876" w:rsidRPr="00F97952">
        <w:t>T</w:t>
      </w:r>
      <w:r w:rsidR="004239D6" w:rsidRPr="00F97952">
        <w:t xml:space="preserve">he Corporate Scorecard </w:t>
      </w:r>
      <w:r w:rsidR="003F6632" w:rsidRPr="00F97952">
        <w:t>presented</w:t>
      </w:r>
      <w:r w:rsidR="004239D6" w:rsidRPr="00F97952">
        <w:t xml:space="preserve"> at the 54</w:t>
      </w:r>
      <w:r w:rsidR="004239D6" w:rsidRPr="00F97952">
        <w:rPr>
          <w:vertAlign w:val="superscript"/>
        </w:rPr>
        <w:t>th</w:t>
      </w:r>
      <w:r w:rsidR="004239D6" w:rsidRPr="00F97952">
        <w:t xml:space="preserve"> GEF Council meeting in June 2018 showed that the GEF-6 mercury projects approve</w:t>
      </w:r>
      <w:r w:rsidR="004239D6" w:rsidRPr="00F97952">
        <w:rPr>
          <w:rFonts w:cstheme="minorHAnsi"/>
        </w:rPr>
        <w:t>d contributed</w:t>
      </w:r>
      <w:r w:rsidR="002660B6" w:rsidRPr="00F97952">
        <w:rPr>
          <w:rFonts w:cstheme="minorHAnsi"/>
        </w:rPr>
        <w:t xml:space="preserve"> </w:t>
      </w:r>
      <w:r w:rsidR="007207D5" w:rsidRPr="00F97952">
        <w:rPr>
          <w:rFonts w:cstheme="minorHAnsi"/>
        </w:rPr>
        <w:t>638</w:t>
      </w:r>
      <w:r w:rsidR="00743876" w:rsidRPr="00F97952">
        <w:rPr>
          <w:rFonts w:cstheme="minorHAnsi"/>
        </w:rPr>
        <w:t xml:space="preserve"> tons, or</w:t>
      </w:r>
      <w:r w:rsidR="004239D6" w:rsidRPr="00F97952">
        <w:rPr>
          <w:rFonts w:cstheme="minorHAnsi"/>
        </w:rPr>
        <w:t xml:space="preserve"> 64</w:t>
      </w:r>
      <w:r w:rsidR="00743876" w:rsidRPr="00F97952">
        <w:rPr>
          <w:rFonts w:cstheme="minorHAnsi"/>
        </w:rPr>
        <w:t xml:space="preserve"> percent</w:t>
      </w:r>
      <w:r w:rsidR="004239D6" w:rsidRPr="00F97952">
        <w:rPr>
          <w:rFonts w:cstheme="minorHAnsi"/>
        </w:rPr>
        <w:t xml:space="preserve"> of the GEF-6 corporate target for mercury reduction.</w:t>
      </w:r>
      <w:r w:rsidR="00075A5D" w:rsidRPr="00F97952">
        <w:rPr>
          <w:rStyle w:val="Appelnotedebasdep"/>
        </w:rPr>
        <w:t xml:space="preserve"> </w:t>
      </w:r>
      <w:r w:rsidR="00075A5D" w:rsidRPr="00F97952">
        <w:rPr>
          <w:rStyle w:val="Appelnotedebasdep"/>
        </w:rPr>
        <w:footnoteReference w:id="7"/>
      </w:r>
      <w:r w:rsidR="00075A5D" w:rsidRPr="00F97952">
        <w:rPr>
          <w:vertAlign w:val="superscript"/>
        </w:rPr>
        <w:t xml:space="preserve">, </w:t>
      </w:r>
      <w:r w:rsidR="00395A86" w:rsidRPr="00F97952">
        <w:rPr>
          <w:rStyle w:val="Appelnotedebasdep"/>
          <w:rFonts w:cstheme="minorHAnsi"/>
        </w:rPr>
        <w:footnoteReference w:id="8"/>
      </w:r>
      <w:r w:rsidR="0013231D" w:rsidRPr="00F97952">
        <w:t xml:space="preserve"> This was in part influenced by the large number of enabling activities </w:t>
      </w:r>
      <w:r w:rsidR="00E46434" w:rsidRPr="00F97952">
        <w:t xml:space="preserve">without direct mercury reduction </w:t>
      </w:r>
      <w:r w:rsidR="0013231D" w:rsidRPr="00F97952">
        <w:t xml:space="preserve">supported during </w:t>
      </w:r>
      <w:r w:rsidR="00E46434" w:rsidRPr="00F97952">
        <w:t xml:space="preserve">the GEF-6 period. The GEF provided such support in response to a </w:t>
      </w:r>
      <w:r w:rsidR="0013231D" w:rsidRPr="00F97952">
        <w:t>request</w:t>
      </w:r>
      <w:r w:rsidR="00E46434" w:rsidRPr="00F97952">
        <w:t xml:space="preserve"> made by the </w:t>
      </w:r>
      <w:r w:rsidR="00E46434" w:rsidRPr="00F97952">
        <w:rPr>
          <w:rStyle w:val="containertitle"/>
        </w:rPr>
        <w:t>Sixth session of the intergovernmental negotiating committee on mercury (INC6)</w:t>
      </w:r>
      <w:r w:rsidR="0013231D" w:rsidRPr="00F97952">
        <w:t xml:space="preserve"> to consider enabling activities as well as</w:t>
      </w:r>
      <w:r w:rsidR="00E46434" w:rsidRPr="00F97952">
        <w:t xml:space="preserve"> expanded eligibility including</w:t>
      </w:r>
      <w:r w:rsidR="0013231D" w:rsidRPr="00F97952">
        <w:t xml:space="preserve"> non-signatories to access enabling activities resources</w:t>
      </w:r>
      <w:r w:rsidR="00E46434" w:rsidRPr="00F97952">
        <w:t xml:space="preserve"> from the GEF</w:t>
      </w:r>
      <w:r w:rsidR="0013231D" w:rsidRPr="00F97952">
        <w:t>.</w:t>
      </w:r>
      <w:r w:rsidR="00DE04A9" w:rsidRPr="00F97952">
        <w:rPr>
          <w:rStyle w:val="Appelnotedebasdep"/>
        </w:rPr>
        <w:footnoteReference w:id="9"/>
      </w:r>
      <w:r w:rsidR="0013231D" w:rsidRPr="00F97952">
        <w:t xml:space="preserve"> The INC6 request was made in November 2014, after the indicative resource allocation and mercury reduction corporate target were agreed during the GEF-6 replenishment negotiations.</w:t>
      </w:r>
      <w:r w:rsidR="00DE04A9" w:rsidRPr="00F97952">
        <w:t xml:space="preserve"> During the GEF-6 period, 25 percent of the total resources were allocated to support enabling activities. </w:t>
      </w:r>
    </w:p>
    <w:p w14:paraId="007B6A72" w14:textId="77777777" w:rsidR="0000292F" w:rsidRPr="00F97952" w:rsidRDefault="0000292F" w:rsidP="00BF4281">
      <w:pPr>
        <w:pStyle w:val="Corpsdetexte"/>
        <w:rPr>
          <w:rFonts w:asciiTheme="minorHAnsi" w:hAnsiTheme="minorHAnsi" w:cstheme="minorHAnsi"/>
          <w:sz w:val="20"/>
        </w:rPr>
      </w:pPr>
    </w:p>
    <w:p w14:paraId="2571F52F" w14:textId="77777777" w:rsidR="00414C90" w:rsidRPr="00F97952" w:rsidRDefault="00414C90">
      <w:pPr>
        <w:rPr>
          <w:rFonts w:asciiTheme="minorHAnsi" w:eastAsia="Cambria" w:hAnsiTheme="minorHAnsi" w:cstheme="minorHAnsi"/>
          <w:b/>
          <w:bCs/>
          <w:sz w:val="28"/>
          <w:szCs w:val="28"/>
        </w:rPr>
      </w:pPr>
      <w:bookmarkStart w:id="15" w:name="_bookmark2"/>
      <w:bookmarkEnd w:id="15"/>
      <w:r w:rsidRPr="00F97952">
        <w:rPr>
          <w:rFonts w:asciiTheme="minorHAnsi" w:hAnsiTheme="minorHAnsi" w:cstheme="minorHAnsi"/>
        </w:rPr>
        <w:br w:type="page"/>
      </w:r>
    </w:p>
    <w:p w14:paraId="19AF4F03" w14:textId="1C1324A8" w:rsidR="0000292F" w:rsidRPr="00F97952" w:rsidRDefault="001E19D2" w:rsidP="00423B4D">
      <w:pPr>
        <w:pStyle w:val="Titre1"/>
        <w:rPr>
          <w:rFonts w:asciiTheme="minorHAnsi" w:hAnsiTheme="minorHAnsi" w:cstheme="minorHAnsi"/>
        </w:rPr>
      </w:pPr>
      <w:bookmarkStart w:id="16" w:name="_Toc528774348"/>
      <w:r w:rsidRPr="00F97952">
        <w:rPr>
          <w:rFonts w:asciiTheme="minorHAnsi" w:hAnsiTheme="minorHAnsi" w:cstheme="minorHAnsi"/>
        </w:rPr>
        <w:lastRenderedPageBreak/>
        <w:t>Introduction</w:t>
      </w:r>
      <w:bookmarkEnd w:id="16"/>
    </w:p>
    <w:p w14:paraId="7576F763" w14:textId="153467E0" w:rsidR="00076532" w:rsidRPr="00F97952" w:rsidRDefault="001E19D2" w:rsidP="002D5818">
      <w:pPr>
        <w:pStyle w:val="MainParagraphwith"/>
      </w:pPr>
      <w:r w:rsidRPr="00F97952">
        <w:t xml:space="preserve">This report presents the work of the Global Environment Facility (GEF) </w:t>
      </w:r>
      <w:r w:rsidR="00BF4281" w:rsidRPr="00F97952">
        <w:t>to support the implementation of the Minamata Convention on Mercury</w:t>
      </w:r>
      <w:r w:rsidRPr="00F97952">
        <w:t xml:space="preserve"> </w:t>
      </w:r>
      <w:r w:rsidR="00B61CF9" w:rsidRPr="00F97952">
        <w:t xml:space="preserve">between </w:t>
      </w:r>
      <w:r w:rsidR="009366A8" w:rsidRPr="00F97952">
        <w:t xml:space="preserve">July 1, 2017 </w:t>
      </w:r>
      <w:r w:rsidRPr="00F97952">
        <w:t xml:space="preserve">and </w:t>
      </w:r>
      <w:r w:rsidR="00B61CF9" w:rsidRPr="00F97952">
        <w:t>June</w:t>
      </w:r>
      <w:r w:rsidR="00DE291C" w:rsidRPr="00F97952">
        <w:t xml:space="preserve"> 30,</w:t>
      </w:r>
      <w:r w:rsidR="00B61CF9" w:rsidRPr="00F97952">
        <w:t xml:space="preserve"> 2018</w:t>
      </w:r>
      <w:bookmarkStart w:id="17" w:name="_Hlk519503465"/>
      <w:r w:rsidR="00BF4281" w:rsidRPr="00F97952">
        <w:t xml:space="preserve"> (the reporting period)</w:t>
      </w:r>
      <w:r w:rsidR="00743876" w:rsidRPr="00F97952">
        <w:t>. It</w:t>
      </w:r>
      <w:r w:rsidR="00DE291C" w:rsidRPr="00F97952">
        <w:t xml:space="preserve"> </w:t>
      </w:r>
      <w:r w:rsidR="00A6658D" w:rsidRPr="00F97952">
        <w:t xml:space="preserve">also </w:t>
      </w:r>
      <w:r w:rsidR="00DE291C" w:rsidRPr="00F97952">
        <w:t xml:space="preserve">provides an </w:t>
      </w:r>
      <w:r w:rsidR="002D5818" w:rsidRPr="00F97952">
        <w:t>account</w:t>
      </w:r>
      <w:r w:rsidR="00DE291C" w:rsidRPr="00F97952">
        <w:t xml:space="preserve"> of </w:t>
      </w:r>
      <w:r w:rsidRPr="00F97952">
        <w:t>the GEF’s support to the Minamata Convention on Mercury</w:t>
      </w:r>
      <w:r w:rsidR="00DE291C" w:rsidRPr="00F97952">
        <w:t xml:space="preserve"> over the sixth</w:t>
      </w:r>
      <w:r w:rsidR="00C85C9F" w:rsidRPr="00F97952">
        <w:t xml:space="preserve"> r</w:t>
      </w:r>
      <w:r w:rsidR="00DE291C" w:rsidRPr="00F97952">
        <w:t>eplenishment period</w:t>
      </w:r>
      <w:r w:rsidR="00C85C9F" w:rsidRPr="00F97952">
        <w:t xml:space="preserve"> (GEF-6)</w:t>
      </w:r>
      <w:r w:rsidR="00743876" w:rsidRPr="00F97952">
        <w:t xml:space="preserve"> of July 1, 2014 to June 30, 2018</w:t>
      </w:r>
      <w:r w:rsidR="00DE291C" w:rsidRPr="00F97952">
        <w:t>,</w:t>
      </w:r>
      <w:r w:rsidRPr="00F97952">
        <w:t xml:space="preserve"> as well as </w:t>
      </w:r>
      <w:r w:rsidR="00DE291C" w:rsidRPr="00F97952">
        <w:t xml:space="preserve">an overview of the seventh GEF </w:t>
      </w:r>
      <w:r w:rsidR="00C85C9F" w:rsidRPr="00F97952">
        <w:t>r</w:t>
      </w:r>
      <w:r w:rsidR="00DE291C" w:rsidRPr="00F97952">
        <w:t>eplenishment</w:t>
      </w:r>
      <w:r w:rsidR="00C85C9F" w:rsidRPr="00F97952">
        <w:t xml:space="preserve"> (GEF-7)</w:t>
      </w:r>
      <w:r w:rsidRPr="00F97952">
        <w:t>.</w:t>
      </w:r>
      <w:bookmarkEnd w:id="17"/>
    </w:p>
    <w:p w14:paraId="2F22362F" w14:textId="4A3F86A2" w:rsidR="002D5818" w:rsidRPr="00F97952" w:rsidRDefault="001E19D2" w:rsidP="002D5818">
      <w:pPr>
        <w:pStyle w:val="MainParagraphwith"/>
      </w:pPr>
      <w:r w:rsidRPr="00F97952">
        <w:t>The Minamata Convention</w:t>
      </w:r>
      <w:r w:rsidR="00A6658D" w:rsidRPr="00F97952">
        <w:t xml:space="preserve"> on mercury</w:t>
      </w:r>
      <w:r w:rsidRPr="00F97952">
        <w:t xml:space="preserve"> is </w:t>
      </w:r>
      <w:r w:rsidR="00A6658D" w:rsidRPr="00F97952">
        <w:t>the most recent</w:t>
      </w:r>
      <w:r w:rsidRPr="00F97952">
        <w:t xml:space="preserve"> Convention </w:t>
      </w:r>
      <w:r w:rsidR="00491C88" w:rsidRPr="00F97952">
        <w:t>that includes the GEF in its financial mechanism</w:t>
      </w:r>
      <w:r w:rsidRPr="00F97952">
        <w:t>.</w:t>
      </w:r>
      <w:r w:rsidR="002D5818" w:rsidRPr="00F97952">
        <w:t xml:space="preserve"> The Convention was added </w:t>
      </w:r>
      <w:r w:rsidR="002B5F9C" w:rsidRPr="00F97952">
        <w:t xml:space="preserve">to the Instrument for the Establishment of the Restructured Global Environment Facility </w:t>
      </w:r>
      <w:r w:rsidR="002D5818" w:rsidRPr="00F97952">
        <w:t>during the Fifth GEF Assembly in May 2014.</w:t>
      </w:r>
      <w:r w:rsidRPr="00F97952">
        <w:t xml:space="preserve"> </w:t>
      </w:r>
    </w:p>
    <w:p w14:paraId="6A264964" w14:textId="2348FF63" w:rsidR="00076532" w:rsidRPr="00F97952" w:rsidRDefault="001E19D2" w:rsidP="002D5818">
      <w:pPr>
        <w:pStyle w:val="MainParagraphwith"/>
      </w:pPr>
      <w:r w:rsidRPr="00F97952">
        <w:t xml:space="preserve">The objective of the Convention is to protect human health and the environment from anthropogenic emissions and releases of mercury and mercury compounds. </w:t>
      </w:r>
    </w:p>
    <w:p w14:paraId="59DA625C" w14:textId="3250BD0D" w:rsidR="0000292F" w:rsidRPr="00F97952" w:rsidRDefault="001E19D2" w:rsidP="00423B4D">
      <w:pPr>
        <w:pStyle w:val="Titre1"/>
        <w:rPr>
          <w:rFonts w:asciiTheme="minorHAnsi" w:hAnsiTheme="minorHAnsi"/>
        </w:rPr>
      </w:pPr>
      <w:bookmarkStart w:id="18" w:name="_Toc528774349"/>
      <w:r w:rsidRPr="00F97952">
        <w:rPr>
          <w:rFonts w:asciiTheme="minorHAnsi" w:hAnsiTheme="minorHAnsi"/>
        </w:rPr>
        <w:t>Par</w:t>
      </w:r>
      <w:r w:rsidR="00DE291C" w:rsidRPr="00F97952">
        <w:rPr>
          <w:rFonts w:asciiTheme="minorHAnsi" w:hAnsiTheme="minorHAnsi"/>
        </w:rPr>
        <w:t xml:space="preserve">t I: GEF’s </w:t>
      </w:r>
      <w:r w:rsidR="008E7DDC" w:rsidRPr="00F97952">
        <w:rPr>
          <w:rFonts w:asciiTheme="minorHAnsi" w:hAnsiTheme="minorHAnsi"/>
        </w:rPr>
        <w:t>W</w:t>
      </w:r>
      <w:r w:rsidR="00DE291C" w:rsidRPr="00F97952">
        <w:rPr>
          <w:rFonts w:asciiTheme="minorHAnsi" w:hAnsiTheme="minorHAnsi"/>
        </w:rPr>
        <w:t xml:space="preserve">ork on </w:t>
      </w:r>
      <w:r w:rsidR="008E7DDC" w:rsidRPr="00F97952">
        <w:rPr>
          <w:rFonts w:asciiTheme="minorHAnsi" w:hAnsiTheme="minorHAnsi"/>
        </w:rPr>
        <w:t>M</w:t>
      </w:r>
      <w:r w:rsidR="00DE291C" w:rsidRPr="00F97952">
        <w:rPr>
          <w:rFonts w:asciiTheme="minorHAnsi" w:hAnsiTheme="minorHAnsi"/>
        </w:rPr>
        <w:t xml:space="preserve">ercury </w:t>
      </w:r>
      <w:r w:rsidR="00961ACD" w:rsidRPr="00F97952">
        <w:rPr>
          <w:rFonts w:asciiTheme="minorHAnsi" w:hAnsiTheme="minorHAnsi"/>
        </w:rPr>
        <w:t>during the Reporting Period</w:t>
      </w:r>
      <w:bookmarkEnd w:id="18"/>
    </w:p>
    <w:p w14:paraId="4E119624" w14:textId="2527F232" w:rsidR="0000292F" w:rsidRPr="00F97952" w:rsidRDefault="001E19D2" w:rsidP="002231A2">
      <w:pPr>
        <w:pStyle w:val="MainParagraphwith"/>
      </w:pPr>
      <w:r w:rsidRPr="00F97952">
        <w:t xml:space="preserve">This section provides </w:t>
      </w:r>
      <w:r w:rsidR="00CA5291" w:rsidRPr="00F97952">
        <w:t xml:space="preserve">information on the GEF’s support of the Minamata </w:t>
      </w:r>
      <w:r w:rsidR="00A4355E" w:rsidRPr="00F97952">
        <w:t xml:space="preserve">convention </w:t>
      </w:r>
      <w:r w:rsidR="00743876" w:rsidRPr="00F97952">
        <w:t xml:space="preserve">for the reporting period of </w:t>
      </w:r>
      <w:r w:rsidR="00A4355E" w:rsidRPr="00F97952">
        <w:t>July 1, 2017</w:t>
      </w:r>
      <w:r w:rsidR="00CA5291" w:rsidRPr="00F97952">
        <w:t xml:space="preserve"> </w:t>
      </w:r>
      <w:r w:rsidR="00743876" w:rsidRPr="00F97952">
        <w:t>to June 30, 2018</w:t>
      </w:r>
      <w:r w:rsidRPr="00F97952">
        <w:t>.</w:t>
      </w:r>
    </w:p>
    <w:p w14:paraId="13B9AEE9" w14:textId="691BE646" w:rsidR="00F20445" w:rsidRPr="00F97952" w:rsidRDefault="00CA5291" w:rsidP="004B72D4">
      <w:pPr>
        <w:pStyle w:val="Titre2"/>
        <w:rPr>
          <w:rFonts w:asciiTheme="minorHAnsi" w:hAnsiTheme="minorHAnsi"/>
        </w:rPr>
      </w:pPr>
      <w:bookmarkStart w:id="19" w:name="_bookmark4"/>
      <w:bookmarkStart w:id="20" w:name="_Toc528774350"/>
      <w:bookmarkEnd w:id="19"/>
      <w:r w:rsidRPr="00F97952">
        <w:rPr>
          <w:rFonts w:asciiTheme="minorHAnsi" w:hAnsiTheme="minorHAnsi"/>
        </w:rPr>
        <w:t xml:space="preserve">Programming during the </w:t>
      </w:r>
      <w:r w:rsidR="008E7DDC" w:rsidRPr="00F97952">
        <w:rPr>
          <w:rFonts w:asciiTheme="minorHAnsi" w:hAnsiTheme="minorHAnsi"/>
        </w:rPr>
        <w:t>R</w:t>
      </w:r>
      <w:r w:rsidRPr="00F97952">
        <w:rPr>
          <w:rFonts w:asciiTheme="minorHAnsi" w:hAnsiTheme="minorHAnsi"/>
        </w:rPr>
        <w:t xml:space="preserve">eporting </w:t>
      </w:r>
      <w:r w:rsidR="008E7DDC" w:rsidRPr="00F97952">
        <w:rPr>
          <w:rFonts w:asciiTheme="minorHAnsi" w:hAnsiTheme="minorHAnsi"/>
        </w:rPr>
        <w:t>P</w:t>
      </w:r>
      <w:r w:rsidRPr="00F97952">
        <w:rPr>
          <w:rFonts w:asciiTheme="minorHAnsi" w:hAnsiTheme="minorHAnsi"/>
        </w:rPr>
        <w:t>eriod</w:t>
      </w:r>
      <w:bookmarkEnd w:id="20"/>
    </w:p>
    <w:p w14:paraId="16CD1A19" w14:textId="307F5B1E" w:rsidR="005238AE" w:rsidRPr="00F97952" w:rsidRDefault="007F7623" w:rsidP="002D5818">
      <w:pPr>
        <w:pStyle w:val="MainParagraphwith"/>
      </w:pPr>
      <w:r w:rsidRPr="00F97952">
        <w:t xml:space="preserve">The total </w:t>
      </w:r>
      <w:r w:rsidR="00A6658D" w:rsidRPr="00F97952">
        <w:t>resources</w:t>
      </w:r>
      <w:r w:rsidR="006C2B03" w:rsidRPr="00F97952">
        <w:rPr>
          <w:rStyle w:val="Appelnotedebasdep"/>
          <w:rFonts w:cs="Calibri"/>
        </w:rPr>
        <w:footnoteReference w:id="10"/>
      </w:r>
      <w:r w:rsidR="00A6658D" w:rsidRPr="00F97952">
        <w:t xml:space="preserve"> for the implementation of the Minamata Conventions</w:t>
      </w:r>
      <w:r w:rsidRPr="00F97952">
        <w:t xml:space="preserve"> approved during the reporting period was $</w:t>
      </w:r>
      <w:r w:rsidR="006C2B03" w:rsidRPr="00F97952">
        <w:t>8,249,09</w:t>
      </w:r>
      <w:r w:rsidR="007409C9" w:rsidRPr="00F97952">
        <w:t>2</w:t>
      </w:r>
      <w:r w:rsidR="00A834A9" w:rsidRPr="00F97952">
        <w:t>,</w:t>
      </w:r>
      <w:r w:rsidR="006C2B03" w:rsidRPr="00F97952">
        <w:t xml:space="preserve"> of which $2,025,000 was allocated to Minamata Initial Assessments</w:t>
      </w:r>
      <w:r w:rsidR="00A834A9" w:rsidRPr="00F97952">
        <w:t xml:space="preserve"> (MIAs)</w:t>
      </w:r>
      <w:r w:rsidR="006C2B03" w:rsidRPr="00F97952">
        <w:t xml:space="preserve"> and</w:t>
      </w:r>
      <w:r w:rsidR="00B00732" w:rsidRPr="00F97952">
        <w:t>/or</w:t>
      </w:r>
      <w:r w:rsidR="006C2B03" w:rsidRPr="00F97952">
        <w:t xml:space="preserve"> National Action Plans</w:t>
      </w:r>
      <w:r w:rsidR="00B00732" w:rsidRPr="00F97952">
        <w:t xml:space="preserve"> (NAPs)</w:t>
      </w:r>
      <w:r w:rsidR="006C2B03" w:rsidRPr="00F97952">
        <w:t xml:space="preserve"> for </w:t>
      </w:r>
      <w:r w:rsidR="00874B6D" w:rsidRPr="00F97952">
        <w:t xml:space="preserve">Artisanal and </w:t>
      </w:r>
      <w:r w:rsidR="006E7F1E" w:rsidRPr="00F97952">
        <w:t>Small-Scale</w:t>
      </w:r>
      <w:r w:rsidR="00874B6D" w:rsidRPr="00F97952">
        <w:t xml:space="preserve"> Gold Mining (</w:t>
      </w:r>
      <w:r w:rsidR="006C2B03" w:rsidRPr="00F97952">
        <w:t>ASGM</w:t>
      </w:r>
      <w:r w:rsidR="00874B6D" w:rsidRPr="00F97952">
        <w:t>)</w:t>
      </w:r>
      <w:r w:rsidR="006C2B03" w:rsidRPr="00F97952">
        <w:t xml:space="preserve"> </w:t>
      </w:r>
      <w:r w:rsidR="00681C8E" w:rsidRPr="00F97952">
        <w:t xml:space="preserve">in ten </w:t>
      </w:r>
      <w:r w:rsidR="006E7F1E" w:rsidRPr="00F97952">
        <w:t>countries. $</w:t>
      </w:r>
      <w:r w:rsidR="006C2B03" w:rsidRPr="00F97952">
        <w:t>6,224,09</w:t>
      </w:r>
      <w:r w:rsidR="007409C9" w:rsidRPr="00F97952">
        <w:t>2</w:t>
      </w:r>
      <w:r w:rsidR="006C2B03" w:rsidRPr="00F97952">
        <w:t xml:space="preserve"> was allocated to </w:t>
      </w:r>
      <w:r w:rsidR="006D62F8" w:rsidRPr="00F97952">
        <w:t xml:space="preserve">two </w:t>
      </w:r>
      <w:r w:rsidR="006C2B03" w:rsidRPr="00F97952">
        <w:t>full</w:t>
      </w:r>
      <w:r w:rsidR="004D7D83" w:rsidRPr="00F97952">
        <w:t>-</w:t>
      </w:r>
      <w:r w:rsidR="006C2B03" w:rsidRPr="00F97952">
        <w:t>sized projects</w:t>
      </w:r>
      <w:r w:rsidR="00681C8E" w:rsidRPr="00F97952">
        <w:t xml:space="preserve"> </w:t>
      </w:r>
      <w:r w:rsidR="004D7D83" w:rsidRPr="00F97952">
        <w:t xml:space="preserve">(FSPs) </w:t>
      </w:r>
      <w:r w:rsidR="00681C8E" w:rsidRPr="00F97952">
        <w:t>that provide</w:t>
      </w:r>
      <w:r w:rsidR="004D7D83" w:rsidRPr="00F97952">
        <w:t>d</w:t>
      </w:r>
      <w:r w:rsidR="00681C8E" w:rsidRPr="00F97952">
        <w:t xml:space="preserve"> resources to </w:t>
      </w:r>
      <w:r w:rsidR="006E7F1E" w:rsidRPr="00F97952">
        <w:t>seven</w:t>
      </w:r>
      <w:r w:rsidR="00681C8E" w:rsidRPr="00F97952">
        <w:t xml:space="preserve"> countries</w:t>
      </w:r>
      <w:r w:rsidRPr="00F97952">
        <w:t>.</w:t>
      </w:r>
    </w:p>
    <w:p w14:paraId="2557EE46" w14:textId="4FCD68CF" w:rsidR="00804804" w:rsidRPr="00F97952" w:rsidRDefault="0043758A" w:rsidP="002D5818">
      <w:pPr>
        <w:pStyle w:val="MainParagraphwith"/>
      </w:pPr>
      <w:r w:rsidRPr="00F97952">
        <w:t>The</w:t>
      </w:r>
      <w:r w:rsidR="00804804" w:rsidRPr="00F97952">
        <w:t xml:space="preserve"> full list of projects </w:t>
      </w:r>
      <w:r w:rsidRPr="00F97952">
        <w:t xml:space="preserve">is presented </w:t>
      </w:r>
      <w:r w:rsidR="00804804" w:rsidRPr="00F97952">
        <w:t>in A</w:t>
      </w:r>
      <w:r w:rsidR="00AA20D4" w:rsidRPr="00F97952">
        <w:t>nnex 1</w:t>
      </w:r>
      <w:r w:rsidR="00804804" w:rsidRPr="00F97952">
        <w:t xml:space="preserve">. </w:t>
      </w:r>
      <w:r w:rsidR="00E96214" w:rsidRPr="00F97952">
        <w:t xml:space="preserve">The two </w:t>
      </w:r>
      <w:r w:rsidR="009730F6" w:rsidRPr="00F97952">
        <w:t>FSPs</w:t>
      </w:r>
      <w:r w:rsidR="00E96214" w:rsidRPr="00F97952">
        <w:t xml:space="preserve"> integrated mercury funding into larger projects</w:t>
      </w:r>
      <w:r w:rsidR="004D7D83" w:rsidRPr="00F97952">
        <w:t>, with</w:t>
      </w:r>
      <w:r w:rsidR="00E96214" w:rsidRPr="00F97952">
        <w:t xml:space="preserve"> one covering</w:t>
      </w:r>
      <w:r w:rsidR="008472C9" w:rsidRPr="00F97952">
        <w:t xml:space="preserve"> unintentional persistent organic pollutants (</w:t>
      </w:r>
      <w:r w:rsidR="00E96214" w:rsidRPr="00F97952">
        <w:t>UPOPs</w:t>
      </w:r>
      <w:r w:rsidR="004D5728" w:rsidRPr="00F97952">
        <w:t>)</w:t>
      </w:r>
      <w:r w:rsidR="00E96214" w:rsidRPr="00F97952">
        <w:t xml:space="preserve"> and mercury from wa</w:t>
      </w:r>
      <w:r w:rsidR="00524BED" w:rsidRPr="00F97952">
        <w:t>s</w:t>
      </w:r>
      <w:r w:rsidR="00E96214" w:rsidRPr="00F97952">
        <w:t>te</w:t>
      </w:r>
      <w:r w:rsidR="004D7D83" w:rsidRPr="00F97952">
        <w:t>,</w:t>
      </w:r>
      <w:r w:rsidR="00E96214" w:rsidRPr="00F97952">
        <w:t xml:space="preserve"> and the other covering biodiversity and mercury in the</w:t>
      </w:r>
      <w:r w:rsidR="004D7D83" w:rsidRPr="00F97952">
        <w:t xml:space="preserve"> </w:t>
      </w:r>
      <w:r w:rsidR="00E96214" w:rsidRPr="00F97952">
        <w:t xml:space="preserve">ASGM sector. The </w:t>
      </w:r>
      <w:r w:rsidR="00A01924" w:rsidRPr="00F97952">
        <w:t>seven enabling activity projects</w:t>
      </w:r>
      <w:r w:rsidR="00E96214" w:rsidRPr="00F97952">
        <w:t xml:space="preserve"> supported MIAs </w:t>
      </w:r>
      <w:r w:rsidR="00B00732" w:rsidRPr="00F97952">
        <w:t xml:space="preserve">and ASGM NAPs </w:t>
      </w:r>
      <w:r w:rsidR="00E96214" w:rsidRPr="00F97952">
        <w:t xml:space="preserve">in </w:t>
      </w:r>
      <w:r w:rsidR="00A01924" w:rsidRPr="00F97952">
        <w:t>ten</w:t>
      </w:r>
      <w:r w:rsidR="00E96214" w:rsidRPr="00F97952">
        <w:t xml:space="preserve"> countries.  </w:t>
      </w:r>
    </w:p>
    <w:p w14:paraId="395CC5A0" w14:textId="77777777" w:rsidR="00804804" w:rsidRPr="00F97952" w:rsidRDefault="00804804" w:rsidP="00BF4281">
      <w:pPr>
        <w:pStyle w:val="Corpsdetexte"/>
        <w:rPr>
          <w:rFonts w:asciiTheme="minorHAnsi" w:hAnsiTheme="minorHAnsi"/>
          <w:b/>
          <w:sz w:val="16"/>
        </w:rPr>
      </w:pPr>
      <w:r w:rsidRPr="00F97952">
        <w:rPr>
          <w:rFonts w:asciiTheme="minorHAnsi" w:hAnsiTheme="minorHAnsi"/>
          <w:b/>
        </w:rPr>
        <w:t xml:space="preserve">  </w:t>
      </w:r>
    </w:p>
    <w:p w14:paraId="37166EEE" w14:textId="2F8D9FE9" w:rsidR="0000292F" w:rsidRPr="00F97952" w:rsidRDefault="00A01924" w:rsidP="004B72D4">
      <w:pPr>
        <w:pStyle w:val="Titre2"/>
        <w:rPr>
          <w:rFonts w:asciiTheme="minorHAnsi" w:hAnsiTheme="minorHAnsi"/>
        </w:rPr>
      </w:pPr>
      <w:bookmarkStart w:id="21" w:name="_bookmark6"/>
      <w:bookmarkStart w:id="22" w:name="_Toc528774351"/>
      <w:bookmarkEnd w:id="21"/>
      <w:r w:rsidRPr="00F97952">
        <w:rPr>
          <w:rFonts w:asciiTheme="minorHAnsi" w:hAnsiTheme="minorHAnsi"/>
        </w:rPr>
        <w:t xml:space="preserve">Response to Initial Guidance </w:t>
      </w:r>
      <w:r w:rsidR="005858D4" w:rsidRPr="00F97952">
        <w:rPr>
          <w:rFonts w:asciiTheme="minorHAnsi" w:hAnsiTheme="minorHAnsi"/>
        </w:rPr>
        <w:t>f</w:t>
      </w:r>
      <w:r w:rsidRPr="00F97952">
        <w:rPr>
          <w:rFonts w:asciiTheme="minorHAnsi" w:hAnsiTheme="minorHAnsi"/>
        </w:rPr>
        <w:t>rom the Conference of the Parties to the Minamata Convention</w:t>
      </w:r>
      <w:bookmarkEnd w:id="22"/>
    </w:p>
    <w:p w14:paraId="72AA7833" w14:textId="53BE5873" w:rsidR="00E30919" w:rsidRPr="00F97952" w:rsidRDefault="005C05B5" w:rsidP="002D5818">
      <w:pPr>
        <w:pStyle w:val="MainParagraphwith"/>
      </w:pPr>
      <w:r w:rsidRPr="00F97952">
        <w:t>The first meeting of the</w:t>
      </w:r>
      <w:r w:rsidR="008857AD" w:rsidRPr="00F97952">
        <w:t xml:space="preserve"> </w:t>
      </w:r>
      <w:r w:rsidR="005666D5" w:rsidRPr="00F97952">
        <w:t>Conference of Parties</w:t>
      </w:r>
      <w:r w:rsidRPr="00F97952">
        <w:t xml:space="preserve"> </w:t>
      </w:r>
      <w:r w:rsidR="00AB72AE" w:rsidRPr="00F97952">
        <w:t xml:space="preserve">(COP 1) </w:t>
      </w:r>
      <w:r w:rsidRPr="00F97952">
        <w:t>to the Minamata Convention on Mercury</w:t>
      </w:r>
      <w:r w:rsidR="005666D5" w:rsidRPr="00F97952">
        <w:t xml:space="preserve"> </w:t>
      </w:r>
      <w:r w:rsidR="0008332A" w:rsidRPr="00F97952">
        <w:t>was held from</w:t>
      </w:r>
      <w:r w:rsidRPr="00F97952">
        <w:t xml:space="preserve"> September</w:t>
      </w:r>
      <w:r w:rsidR="005858D4" w:rsidRPr="00F97952">
        <w:t xml:space="preserve"> 24 to 29,</w:t>
      </w:r>
      <w:r w:rsidRPr="00F97952">
        <w:t xml:space="preserve"> 2017</w:t>
      </w:r>
      <w:r w:rsidR="00E32E60" w:rsidRPr="00F97952">
        <w:t xml:space="preserve">. The </w:t>
      </w:r>
      <w:r w:rsidR="0008332A" w:rsidRPr="00F97952">
        <w:t>COP</w:t>
      </w:r>
      <w:r w:rsidR="00E32E60" w:rsidRPr="00F97952">
        <w:t xml:space="preserve"> provided </w:t>
      </w:r>
      <w:r w:rsidR="0008332A" w:rsidRPr="00F97952">
        <w:t>g</w:t>
      </w:r>
      <w:r w:rsidR="00E32E60" w:rsidRPr="00F97952">
        <w:t xml:space="preserve">uidance to the </w:t>
      </w:r>
      <w:r w:rsidR="0008332A" w:rsidRPr="00F97952">
        <w:t>GEF</w:t>
      </w:r>
      <w:r w:rsidR="00E32E60" w:rsidRPr="00F97952">
        <w:t xml:space="preserve"> on overall strategies, policies, </w:t>
      </w:r>
      <w:proofErr w:type="spellStart"/>
      <w:r w:rsidR="00E32E60" w:rsidRPr="00F97952">
        <w:t>programme</w:t>
      </w:r>
      <w:proofErr w:type="spellEnd"/>
      <w:r w:rsidR="00E32E60" w:rsidRPr="00F97952">
        <w:t xml:space="preserve"> priorities and eligibility for access to and utilization of financial resources</w:t>
      </w:r>
      <w:r w:rsidR="0008332A" w:rsidRPr="00F97952">
        <w:t>. The COP also provided guidance</w:t>
      </w:r>
      <w:r w:rsidR="00E32E60" w:rsidRPr="00F97952">
        <w:t xml:space="preserve"> on an indicative list of categories of activities that could receive support from the </w:t>
      </w:r>
      <w:r w:rsidR="0008332A" w:rsidRPr="00F97952">
        <w:t xml:space="preserve">GEF </w:t>
      </w:r>
      <w:r w:rsidR="00E32E60" w:rsidRPr="00F97952">
        <w:t xml:space="preserve">Trust Fund in the annex to decision MC-1/5. </w:t>
      </w:r>
      <w:r w:rsidR="008857AD" w:rsidRPr="00F97952">
        <w:t xml:space="preserve">Table 1 below </w:t>
      </w:r>
      <w:r w:rsidR="00E32E60" w:rsidRPr="00F97952">
        <w:t xml:space="preserve">is the </w:t>
      </w:r>
      <w:r w:rsidR="008857AD" w:rsidRPr="00F97952">
        <w:t xml:space="preserve">complete list of guidance and </w:t>
      </w:r>
      <w:r w:rsidR="00E32E60" w:rsidRPr="00F97952">
        <w:t xml:space="preserve">the </w:t>
      </w:r>
      <w:r w:rsidR="008857AD" w:rsidRPr="00F97952">
        <w:t>GEF’s response.</w:t>
      </w:r>
    </w:p>
    <w:p w14:paraId="6D53B599" w14:textId="12AC3787" w:rsidR="005238AE" w:rsidRPr="00F97952" w:rsidRDefault="005E1A35" w:rsidP="0018028C">
      <w:pPr>
        <w:pStyle w:val="Lgende"/>
        <w:keepNext/>
        <w:keepLines/>
        <w:jc w:val="center"/>
        <w:rPr>
          <w:color w:val="auto"/>
          <w:sz w:val="24"/>
          <w:szCs w:val="24"/>
        </w:rPr>
      </w:pPr>
      <w:bookmarkStart w:id="23" w:name="_bookmark7"/>
      <w:bookmarkStart w:id="24" w:name="_Toc523407697"/>
      <w:bookmarkStart w:id="25" w:name="_Toc528774327"/>
      <w:bookmarkEnd w:id="23"/>
      <w:r w:rsidRPr="00F97952">
        <w:rPr>
          <w:color w:val="auto"/>
          <w:sz w:val="24"/>
          <w:szCs w:val="24"/>
        </w:rPr>
        <w:lastRenderedPageBreak/>
        <w:t xml:space="preserve">Table </w:t>
      </w:r>
      <w:r w:rsidRPr="00F97952">
        <w:rPr>
          <w:color w:val="auto"/>
          <w:sz w:val="24"/>
          <w:szCs w:val="24"/>
        </w:rPr>
        <w:fldChar w:fldCharType="begin"/>
      </w:r>
      <w:r w:rsidRPr="00F97952">
        <w:rPr>
          <w:color w:val="auto"/>
          <w:sz w:val="24"/>
          <w:szCs w:val="24"/>
        </w:rPr>
        <w:instrText xml:space="preserve"> SEQ Table \* ARABIC </w:instrText>
      </w:r>
      <w:r w:rsidRPr="00F97952">
        <w:rPr>
          <w:color w:val="auto"/>
          <w:sz w:val="24"/>
          <w:szCs w:val="24"/>
        </w:rPr>
        <w:fldChar w:fldCharType="separate"/>
      </w:r>
      <w:r w:rsidR="00106981" w:rsidRPr="00F97952">
        <w:rPr>
          <w:noProof/>
          <w:color w:val="auto"/>
          <w:sz w:val="24"/>
          <w:szCs w:val="24"/>
        </w:rPr>
        <w:t>1</w:t>
      </w:r>
      <w:r w:rsidRPr="00F97952">
        <w:rPr>
          <w:color w:val="auto"/>
          <w:sz w:val="24"/>
          <w:szCs w:val="24"/>
        </w:rPr>
        <w:fldChar w:fldCharType="end"/>
      </w:r>
      <w:r w:rsidR="00423B4D" w:rsidRPr="00F97952">
        <w:rPr>
          <w:color w:val="auto"/>
          <w:sz w:val="24"/>
          <w:szCs w:val="24"/>
        </w:rPr>
        <w:t xml:space="preserve">: </w:t>
      </w:r>
      <w:bookmarkEnd w:id="24"/>
      <w:r w:rsidR="00AF206A" w:rsidRPr="00F97952">
        <w:rPr>
          <w:color w:val="auto"/>
          <w:sz w:val="24"/>
          <w:szCs w:val="24"/>
        </w:rPr>
        <w:t>Response to Initial Guidance from Conference of Parties to Minamata Convention</w:t>
      </w:r>
      <w:bookmarkEnd w:id="25"/>
    </w:p>
    <w:p w14:paraId="266439B3" w14:textId="77777777" w:rsidR="0009173B" w:rsidRPr="00F97952" w:rsidRDefault="0009173B" w:rsidP="0018028C">
      <w:pPr>
        <w:keepNext/>
        <w:keepLines/>
        <w:rPr>
          <w:lang w:val="en-GB"/>
        </w:rPr>
      </w:pPr>
    </w:p>
    <w:tbl>
      <w:tblPr>
        <w:tblStyle w:val="TableauGrille5Fonc-Accentuation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4A0" w:firstRow="1" w:lastRow="0" w:firstColumn="1" w:lastColumn="0" w:noHBand="0" w:noVBand="1"/>
      </w:tblPr>
      <w:tblGrid>
        <w:gridCol w:w="474"/>
        <w:gridCol w:w="4731"/>
        <w:gridCol w:w="4282"/>
      </w:tblGrid>
      <w:tr w:rsidR="00DF5C07" w:rsidRPr="00F97952" w14:paraId="1FCC6803" w14:textId="77777777" w:rsidTr="005A22A2">
        <w:trPr>
          <w:cnfStyle w:val="100000000000" w:firstRow="1" w:lastRow="0" w:firstColumn="0" w:lastColumn="0" w:oddVBand="0" w:evenVBand="0" w:oddHBand="0" w:evenHBand="0" w:firstRowFirstColumn="0" w:firstRowLastColumn="0" w:lastRowFirstColumn="0" w:lastRowLastColumn="0"/>
          <w:trHeight w:val="316"/>
          <w:tblHeader/>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right w:val="single" w:sz="4" w:space="0" w:color="auto"/>
            </w:tcBorders>
            <w:shd w:val="clear" w:color="auto" w:fill="D9D9D9" w:themeFill="background1" w:themeFillShade="D9"/>
          </w:tcPr>
          <w:p w14:paraId="6AB8D78A" w14:textId="6799B077" w:rsidR="00DF5C07" w:rsidRPr="00F97952" w:rsidRDefault="00A01924" w:rsidP="0018028C">
            <w:pPr>
              <w:keepNext/>
              <w:keepLines/>
              <w:spacing w:before="60"/>
              <w:jc w:val="center"/>
              <w:rPr>
                <w:rFonts w:asciiTheme="minorHAnsi" w:hAnsiTheme="minorHAnsi" w:cstheme="minorHAnsi"/>
                <w:color w:val="auto"/>
              </w:rPr>
            </w:pPr>
            <w:r w:rsidRPr="00F97952">
              <w:rPr>
                <w:rFonts w:asciiTheme="minorHAnsi" w:hAnsiTheme="minorHAnsi" w:cstheme="minorHAnsi"/>
                <w:color w:val="auto"/>
              </w:rPr>
              <w:t>COP Guidance</w:t>
            </w:r>
          </w:p>
        </w:tc>
        <w:tc>
          <w:tcPr>
            <w:tcW w:w="0" w:type="auto"/>
            <w:tcBorders>
              <w:top w:val="single" w:sz="4" w:space="0" w:color="auto"/>
              <w:left w:val="single" w:sz="4" w:space="0" w:color="auto"/>
              <w:right w:val="single" w:sz="4" w:space="0" w:color="auto"/>
            </w:tcBorders>
            <w:shd w:val="clear" w:color="auto" w:fill="D9D9D9" w:themeFill="background1" w:themeFillShade="D9"/>
          </w:tcPr>
          <w:p w14:paraId="5031C12B" w14:textId="77777777" w:rsidR="00DF5C07" w:rsidRPr="00F97952" w:rsidRDefault="00DF5C07" w:rsidP="0018028C">
            <w:pPr>
              <w:keepNext/>
              <w:keepLines/>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97952">
              <w:rPr>
                <w:rFonts w:asciiTheme="minorHAnsi" w:hAnsiTheme="minorHAnsi" w:cstheme="minorHAnsi"/>
                <w:color w:val="auto"/>
              </w:rPr>
              <w:t>GEF’s Response</w:t>
            </w:r>
          </w:p>
        </w:tc>
      </w:tr>
      <w:tr w:rsidR="00DF5C07" w:rsidRPr="00F97952" w14:paraId="5ED5342D"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single" w:sz="4" w:space="0" w:color="auto"/>
            </w:tcBorders>
            <w:shd w:val="clear" w:color="auto" w:fill="FFFFFF" w:themeFill="background1"/>
          </w:tcPr>
          <w:p w14:paraId="7FBF0950" w14:textId="77777777" w:rsidR="00DF5C07" w:rsidRPr="00F97952" w:rsidRDefault="00DF5C07" w:rsidP="0018028C">
            <w:pPr>
              <w:keepNext/>
              <w:keepLines/>
              <w:spacing w:before="60"/>
              <w:rPr>
                <w:rFonts w:asciiTheme="minorHAnsi" w:hAnsiTheme="minorHAnsi" w:cstheme="minorHAnsi"/>
                <w:color w:val="auto"/>
              </w:rPr>
            </w:pPr>
            <w:r w:rsidRPr="00F97952">
              <w:rPr>
                <w:rFonts w:asciiTheme="minorHAnsi" w:hAnsiTheme="minorHAnsi" w:cstheme="minorHAnsi"/>
              </w:rPr>
              <w:t xml:space="preserve">I. </w:t>
            </w:r>
            <w:r w:rsidRPr="00F97952">
              <w:rPr>
                <w:rFonts w:asciiTheme="minorHAnsi" w:hAnsiTheme="minorHAnsi" w:cstheme="minorHAnsi"/>
                <w:color w:val="auto"/>
              </w:rPr>
              <w:t>Eligibility for access to and utilization of financial resources</w:t>
            </w:r>
          </w:p>
        </w:tc>
      </w:tr>
      <w:tr w:rsidR="00DF5C07" w:rsidRPr="00F97952" w14:paraId="49C6EB0B" w14:textId="77777777" w:rsidTr="005A22A2">
        <w:trPr>
          <w:trHeight w:val="1997"/>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343F94C4" w14:textId="77777777" w:rsidR="00DF5C07" w:rsidRPr="00F97952" w:rsidRDefault="00DF5C07" w:rsidP="0018028C">
            <w:pPr>
              <w:keepNext/>
              <w:keepLines/>
              <w:spacing w:before="60"/>
              <w:jc w:val="center"/>
              <w:rPr>
                <w:rFonts w:asciiTheme="minorHAnsi" w:hAnsiTheme="minorHAnsi" w:cstheme="minorHAnsi"/>
                <w:b w:val="0"/>
                <w:color w:val="auto"/>
              </w:rPr>
            </w:pPr>
            <w:r w:rsidRPr="00F97952">
              <w:rPr>
                <w:rFonts w:asciiTheme="minorHAnsi" w:hAnsiTheme="minorHAnsi" w:cstheme="minorHAnsi"/>
                <w:color w:val="auto"/>
              </w:rPr>
              <w:t>2</w:t>
            </w:r>
          </w:p>
        </w:tc>
        <w:tc>
          <w:tcPr>
            <w:tcW w:w="0" w:type="auto"/>
            <w:shd w:val="clear" w:color="auto" w:fill="FFFFFF" w:themeFill="background1"/>
          </w:tcPr>
          <w:p w14:paraId="063AE4B2" w14:textId="77777777" w:rsidR="00DF5C07" w:rsidRPr="00F97952" w:rsidRDefault="00DF5C07" w:rsidP="0018028C">
            <w:pPr>
              <w:keepNext/>
              <w:keepLines/>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To be eligible for funding from GEF as one of the entities comprising the financial mechanism of the Minamata Convention on Mercury, a country must be a Party to the Convention and must be a developing country or a country with an economy in transition.</w:t>
            </w:r>
          </w:p>
        </w:tc>
        <w:tc>
          <w:tcPr>
            <w:tcW w:w="0" w:type="auto"/>
            <w:shd w:val="clear" w:color="auto" w:fill="FFFFFF" w:themeFill="background1"/>
          </w:tcPr>
          <w:p w14:paraId="327E85E9" w14:textId="77777777" w:rsidR="00DF5C07" w:rsidRPr="00F97952" w:rsidRDefault="00DF5C07" w:rsidP="0018028C">
            <w:pPr>
              <w:keepNext/>
              <w:keepLines/>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The GEF’s eligibility policy for mercury incorporates the criteria for funding enabling activities. The guidelines for these enabling activities are found in the information document of the 45</w:t>
            </w:r>
            <w:r w:rsidRPr="00F97952">
              <w:rPr>
                <w:rFonts w:asciiTheme="minorHAnsi" w:hAnsiTheme="minorHAnsi" w:cstheme="minorHAnsi"/>
                <w:vertAlign w:val="superscript"/>
              </w:rPr>
              <w:t>th</w:t>
            </w:r>
            <w:r w:rsidRPr="00F97952">
              <w:rPr>
                <w:rFonts w:asciiTheme="minorHAnsi" w:hAnsiTheme="minorHAnsi" w:cstheme="minorHAnsi"/>
              </w:rPr>
              <w:t xml:space="preserve"> meeting of the GEF Council, revised in January 2014.</w:t>
            </w:r>
            <w:r w:rsidRPr="00F97952">
              <w:rPr>
                <w:rStyle w:val="Appelnotedebasdep"/>
                <w:rFonts w:asciiTheme="minorHAnsi" w:hAnsiTheme="minorHAnsi" w:cstheme="minorHAnsi"/>
              </w:rPr>
              <w:footnoteReference w:id="11"/>
            </w:r>
          </w:p>
          <w:p w14:paraId="5744D3D1" w14:textId="77777777" w:rsidR="00BA0F80" w:rsidRPr="00F97952" w:rsidRDefault="00BA0F80" w:rsidP="0018028C">
            <w:pPr>
              <w:keepNext/>
              <w:keepLines/>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C642AB4" w14:textId="4E7EB61D" w:rsidR="00BA0F80" w:rsidRPr="00F97952" w:rsidRDefault="00BA0F80" w:rsidP="0018028C">
            <w:pPr>
              <w:keepNext/>
              <w:keepLines/>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During GEF</w:t>
            </w:r>
            <w:r w:rsidR="00436DF4" w:rsidRPr="00F97952">
              <w:rPr>
                <w:rFonts w:asciiTheme="minorHAnsi" w:hAnsiTheme="minorHAnsi" w:cstheme="minorHAnsi"/>
              </w:rPr>
              <w:t>-</w:t>
            </w:r>
            <w:r w:rsidRPr="00F97952">
              <w:rPr>
                <w:rFonts w:asciiTheme="minorHAnsi" w:hAnsiTheme="minorHAnsi" w:cstheme="minorHAnsi"/>
              </w:rPr>
              <w:t>6, prior to the Conference of the Parties, both signatory countries and parties were eligible for receiving funding from the GEF. In GEF</w:t>
            </w:r>
            <w:r w:rsidR="00436DF4" w:rsidRPr="00F97952">
              <w:rPr>
                <w:rFonts w:asciiTheme="minorHAnsi" w:hAnsiTheme="minorHAnsi" w:cstheme="minorHAnsi"/>
              </w:rPr>
              <w:t>-</w:t>
            </w:r>
            <w:r w:rsidRPr="00F97952">
              <w:rPr>
                <w:rFonts w:asciiTheme="minorHAnsi" w:hAnsiTheme="minorHAnsi" w:cstheme="minorHAnsi"/>
              </w:rPr>
              <w:t>7</w:t>
            </w:r>
            <w:r w:rsidR="00436DF4" w:rsidRPr="00F97952">
              <w:rPr>
                <w:rFonts w:asciiTheme="minorHAnsi" w:hAnsiTheme="minorHAnsi" w:cstheme="minorHAnsi"/>
              </w:rPr>
              <w:t>,</w:t>
            </w:r>
            <w:r w:rsidRPr="00F97952">
              <w:rPr>
                <w:rFonts w:asciiTheme="minorHAnsi" w:hAnsiTheme="minorHAnsi" w:cstheme="minorHAnsi"/>
              </w:rPr>
              <w:t xml:space="preserve"> only Parties </w:t>
            </w:r>
            <w:r w:rsidR="00436DF4" w:rsidRPr="00F97952">
              <w:rPr>
                <w:rFonts w:asciiTheme="minorHAnsi" w:hAnsiTheme="minorHAnsi" w:cstheme="minorHAnsi"/>
              </w:rPr>
              <w:t>are</w:t>
            </w:r>
            <w:r w:rsidRPr="00F97952">
              <w:rPr>
                <w:rFonts w:asciiTheme="minorHAnsi" w:hAnsiTheme="minorHAnsi" w:cstheme="minorHAnsi"/>
              </w:rPr>
              <w:t xml:space="preserve"> eligible to access GEF resources.</w:t>
            </w:r>
          </w:p>
        </w:tc>
      </w:tr>
      <w:tr w:rsidR="00DF5C07" w:rsidRPr="00F97952" w14:paraId="6B03A014" w14:textId="77777777" w:rsidTr="00033F0E">
        <w:trPr>
          <w:cnfStyle w:val="000000100000" w:firstRow="0" w:lastRow="0" w:firstColumn="0" w:lastColumn="0" w:oddVBand="0" w:evenVBand="0" w:oddHBand="1"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6F33F2EA"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3</w:t>
            </w:r>
          </w:p>
        </w:tc>
        <w:tc>
          <w:tcPr>
            <w:tcW w:w="0" w:type="auto"/>
            <w:shd w:val="clear" w:color="auto" w:fill="FFFFFF" w:themeFill="background1"/>
          </w:tcPr>
          <w:p w14:paraId="36FAE6C1"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Activities that are eligible for funding from the GEF trust fund are those that seek to meet the objectives of the Convention and are consistent with the present guidance.</w:t>
            </w:r>
          </w:p>
        </w:tc>
        <w:tc>
          <w:tcPr>
            <w:tcW w:w="0" w:type="auto"/>
            <w:shd w:val="clear" w:color="auto" w:fill="FFFFFF" w:themeFill="background1"/>
          </w:tcPr>
          <w:p w14:paraId="2E937BDD" w14:textId="0D6E15CF"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According to the GEF Instrument para</w:t>
            </w:r>
            <w:r w:rsidR="00436DF4" w:rsidRPr="00F97952">
              <w:rPr>
                <w:rFonts w:asciiTheme="minorHAnsi" w:hAnsiTheme="minorHAnsi" w:cstheme="minorHAnsi"/>
              </w:rPr>
              <w:t>graph</w:t>
            </w:r>
            <w:r w:rsidRPr="00F97952">
              <w:rPr>
                <w:rFonts w:asciiTheme="minorHAnsi" w:hAnsiTheme="minorHAnsi" w:cstheme="minorHAnsi"/>
              </w:rPr>
              <w:t xml:space="preserve"> 6 (</w:t>
            </w:r>
            <w:r w:rsidR="007409C9" w:rsidRPr="00F97952">
              <w:rPr>
                <w:rFonts w:asciiTheme="minorHAnsi" w:hAnsiTheme="minorHAnsi" w:cstheme="minorHAnsi"/>
              </w:rPr>
              <w:t>e</w:t>
            </w:r>
            <w:r w:rsidRPr="00F97952">
              <w:rPr>
                <w:rFonts w:asciiTheme="minorHAnsi" w:hAnsiTheme="minorHAnsi" w:cstheme="minorHAnsi"/>
              </w:rPr>
              <w:t xml:space="preserve">) the GEF </w:t>
            </w:r>
            <w:r w:rsidR="00436DF4" w:rsidRPr="00F97952">
              <w:rPr>
                <w:rFonts w:asciiTheme="minorHAnsi" w:hAnsiTheme="minorHAnsi" w:cstheme="minorHAnsi"/>
              </w:rPr>
              <w:t>s</w:t>
            </w:r>
            <w:r w:rsidRPr="00F97952">
              <w:rPr>
                <w:rFonts w:asciiTheme="minorHAnsi" w:hAnsiTheme="minorHAnsi" w:cstheme="minorHAnsi"/>
              </w:rPr>
              <w:t>hall:</w:t>
            </w:r>
            <w:r w:rsidRPr="00F97952">
              <w:rPr>
                <w:rFonts w:asciiTheme="minorHAnsi" w:hAnsiTheme="minorHAnsi"/>
              </w:rPr>
              <w:t xml:space="preserve"> </w:t>
            </w:r>
            <w:r w:rsidRPr="00F97952">
              <w:rPr>
                <w:rFonts w:asciiTheme="minorHAnsi" w:hAnsiTheme="minorHAnsi" w:cstheme="minorHAnsi"/>
              </w:rPr>
              <w:t>Operate as one of the entities comprising the financial mechanism of the Minamata Convention on Mercury, pursuant to its Article 13, paragraphs 5, 6 and 8. In such respects, the GEF shall operate under the guidance of, and be accountable to the Conference of the Parties, which shall provide guidance on overall strategies, policies, program priorities and eligibility for access to and utilization of financial resources. In addition, the GEF shall receive guidance from the Conference of the Parties on an indicative list of categories of activities that could receive support; and shall provide resources to meet the agreed incremental costs of global environmental benefits and the agreed full costs of some enabling activities, pursuant to Article 13, paragraph 7, of the Minamata Convention on Mercury.</w:t>
            </w:r>
          </w:p>
        </w:tc>
      </w:tr>
      <w:tr w:rsidR="00DF5C07" w:rsidRPr="00F97952" w14:paraId="7B7E8B22"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05211475"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4</w:t>
            </w:r>
          </w:p>
        </w:tc>
        <w:tc>
          <w:tcPr>
            <w:tcW w:w="0" w:type="auto"/>
            <w:shd w:val="clear" w:color="auto" w:fill="auto"/>
          </w:tcPr>
          <w:p w14:paraId="611A8346"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Signatories to the Convention are eligible for funding from GEF for enabling activities, provided that any such signatory is taking meaningful steps towards becoming a Party as evidenced by a letter from the relevant </w:t>
            </w:r>
            <w:r w:rsidRPr="00F97952">
              <w:rPr>
                <w:rFonts w:asciiTheme="minorHAnsi" w:hAnsiTheme="minorHAnsi" w:cstheme="minorHAnsi"/>
              </w:rPr>
              <w:lastRenderedPageBreak/>
              <w:t xml:space="preserve">minister to the Executive Director of the United Nations Environment </w:t>
            </w:r>
            <w:proofErr w:type="spellStart"/>
            <w:r w:rsidRPr="00F97952">
              <w:rPr>
                <w:rFonts w:asciiTheme="minorHAnsi" w:hAnsiTheme="minorHAnsi" w:cstheme="minorHAnsi"/>
              </w:rPr>
              <w:t>Programme</w:t>
            </w:r>
            <w:proofErr w:type="spellEnd"/>
            <w:r w:rsidRPr="00F97952">
              <w:rPr>
                <w:rFonts w:asciiTheme="minorHAnsi" w:hAnsiTheme="minorHAnsi" w:cstheme="minorHAnsi"/>
              </w:rPr>
              <w:t xml:space="preserve"> and to the Chief Executive Officer and Chairperson of the Global Environment Facility.</w:t>
            </w:r>
          </w:p>
        </w:tc>
        <w:tc>
          <w:tcPr>
            <w:tcW w:w="0" w:type="auto"/>
            <w:shd w:val="clear" w:color="auto" w:fill="FFFFFF" w:themeFill="background1"/>
          </w:tcPr>
          <w:p w14:paraId="512B0C2A" w14:textId="79DB3BCA"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lastRenderedPageBreak/>
              <w:t xml:space="preserve">Up to June 30, 2018, the GEF supported a total of 110 countries through GEF-5 and GEF-6 to implement Minamata Initial Assessments (MIA) and 32 countries to conduct their artisanal and small-scale </w:t>
            </w:r>
            <w:r w:rsidRPr="00F97952">
              <w:rPr>
                <w:rFonts w:asciiTheme="minorHAnsi" w:hAnsiTheme="minorHAnsi" w:cstheme="minorHAnsi"/>
              </w:rPr>
              <w:lastRenderedPageBreak/>
              <w:t>gold mining (ASGM) National Action Plans (NAP). 78 out of 8</w:t>
            </w:r>
            <w:r w:rsidR="00D432AD" w:rsidRPr="00F97952">
              <w:rPr>
                <w:rFonts w:asciiTheme="minorHAnsi" w:hAnsiTheme="minorHAnsi" w:cstheme="minorHAnsi"/>
              </w:rPr>
              <w:t>9</w:t>
            </w:r>
            <w:r w:rsidRPr="00F97952">
              <w:rPr>
                <w:rFonts w:asciiTheme="minorHAnsi" w:hAnsiTheme="minorHAnsi" w:cstheme="minorHAnsi"/>
              </w:rPr>
              <w:t xml:space="preserve"> Signatories received funding for these enabling activities. Of the remaining </w:t>
            </w:r>
            <w:r w:rsidR="00D432AD" w:rsidRPr="00F97952">
              <w:rPr>
                <w:rFonts w:asciiTheme="minorHAnsi" w:hAnsiTheme="minorHAnsi" w:cstheme="minorHAnsi"/>
              </w:rPr>
              <w:t>eleven</w:t>
            </w:r>
            <w:r w:rsidRPr="00F97952">
              <w:rPr>
                <w:rFonts w:asciiTheme="minorHAnsi" w:hAnsiTheme="minorHAnsi" w:cstheme="minorHAnsi"/>
              </w:rPr>
              <w:t xml:space="preserve"> countries, </w:t>
            </w:r>
            <w:r w:rsidR="00D432AD" w:rsidRPr="00F97952">
              <w:rPr>
                <w:rFonts w:asciiTheme="minorHAnsi" w:hAnsiTheme="minorHAnsi" w:cstheme="minorHAnsi"/>
              </w:rPr>
              <w:t>six</w:t>
            </w:r>
            <w:r w:rsidRPr="00F97952">
              <w:rPr>
                <w:rFonts w:asciiTheme="minorHAnsi" w:hAnsiTheme="minorHAnsi" w:cstheme="minorHAnsi"/>
              </w:rPr>
              <w:t xml:space="preserve"> have become Parties to date. Twenty-three countries that </w:t>
            </w:r>
            <w:r w:rsidR="00D432AD" w:rsidRPr="00F97952">
              <w:rPr>
                <w:rFonts w:asciiTheme="minorHAnsi" w:hAnsiTheme="minorHAnsi" w:cstheme="minorHAnsi"/>
              </w:rPr>
              <w:t>were</w:t>
            </w:r>
            <w:r w:rsidRPr="00F97952">
              <w:rPr>
                <w:rFonts w:asciiTheme="minorHAnsi" w:hAnsiTheme="minorHAnsi" w:cstheme="minorHAnsi"/>
              </w:rPr>
              <w:t xml:space="preserve"> non-signatory and non-party have accessed enabling activity resources through the varying of the eligibility criteria by the GEF Council through a decision by mail on January 14, 2015 at the request of the sixth session of the intergovernmental committee on mercury (INC6) to allow non-signatory, non-Party States to access resources for enabling activities from the GEF.</w:t>
            </w:r>
            <w:r w:rsidRPr="00F97952" w:rsidDel="00303B94">
              <w:rPr>
                <w:rFonts w:asciiTheme="minorHAnsi" w:hAnsiTheme="minorHAnsi" w:cstheme="minorHAnsi"/>
              </w:rPr>
              <w:t xml:space="preserve"> </w:t>
            </w:r>
            <w:r w:rsidRPr="00F97952">
              <w:rPr>
                <w:rFonts w:asciiTheme="minorHAnsi" w:hAnsiTheme="minorHAnsi" w:cstheme="minorHAnsi"/>
              </w:rPr>
              <w:t xml:space="preserve">This variation of the eligibility for non-signatories, non-parties </w:t>
            </w:r>
            <w:r w:rsidR="00436DF4" w:rsidRPr="00F97952">
              <w:rPr>
                <w:rFonts w:asciiTheme="minorHAnsi" w:hAnsiTheme="minorHAnsi" w:cstheme="minorHAnsi"/>
              </w:rPr>
              <w:t>is</w:t>
            </w:r>
            <w:r w:rsidRPr="00F97952">
              <w:rPr>
                <w:rFonts w:asciiTheme="minorHAnsi" w:hAnsiTheme="minorHAnsi" w:cstheme="minorHAnsi"/>
              </w:rPr>
              <w:t xml:space="preserve"> longer applicable as the COP 1 guidance only applies to signatories and Parties with respect to access of funding of enabling activities.</w:t>
            </w:r>
          </w:p>
        </w:tc>
      </w:tr>
      <w:tr w:rsidR="00DF5C07" w:rsidRPr="00F97952" w14:paraId="38F9CBDA"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40AC9C6D"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lastRenderedPageBreak/>
              <w:t>II. Overall strategies and policies</w:t>
            </w:r>
          </w:p>
        </w:tc>
      </w:tr>
      <w:tr w:rsidR="00DF5C07" w:rsidRPr="00F97952" w14:paraId="006EAE83"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620E4442"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5</w:t>
            </w:r>
          </w:p>
        </w:tc>
        <w:tc>
          <w:tcPr>
            <w:tcW w:w="0" w:type="auto"/>
            <w:shd w:val="clear" w:color="auto" w:fill="FFFFFF" w:themeFill="background1"/>
          </w:tcPr>
          <w:p w14:paraId="585D7E8D"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In accordance with Article 13, paragraph 7, of the Convention, the GEF trust fund shall provide new, predictable, adequate and timely financial resources to meet costs in support of implementation of the Convention as agreed by the Conference of the Parties, including costs arising from activities that: </w:t>
            </w:r>
          </w:p>
          <w:p w14:paraId="15CCDA9D"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(a) Are country-driven; </w:t>
            </w:r>
          </w:p>
          <w:p w14:paraId="6EEB8862"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(b) Are in conformity with </w:t>
            </w:r>
            <w:proofErr w:type="spellStart"/>
            <w:r w:rsidRPr="00F97952">
              <w:rPr>
                <w:rFonts w:asciiTheme="minorHAnsi" w:hAnsiTheme="minorHAnsi" w:cstheme="minorHAnsi"/>
              </w:rPr>
              <w:t>programme</w:t>
            </w:r>
            <w:proofErr w:type="spellEnd"/>
            <w:r w:rsidRPr="00F97952">
              <w:rPr>
                <w:rFonts w:asciiTheme="minorHAnsi" w:hAnsiTheme="minorHAnsi" w:cstheme="minorHAnsi"/>
              </w:rPr>
              <w:t xml:space="preserve"> priorities as reflected in relevant guidance provided by the Conference of the Parties;</w:t>
            </w:r>
          </w:p>
          <w:p w14:paraId="5CDBFF27"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(c) Build capacity and promote the utilization of local and regional expertise, if applicable; </w:t>
            </w:r>
          </w:p>
          <w:p w14:paraId="7ED85634"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(d) Promote synergies with other focal areas;</w:t>
            </w:r>
          </w:p>
          <w:p w14:paraId="4C6FFD54"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(e) Continue to enhance synergies and co-benefits within the chemicals and wastes focal area;</w:t>
            </w:r>
          </w:p>
          <w:p w14:paraId="7F5663D7"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(f) Promote multiple-source funding approaches, mechanisms and arrangements, </w:t>
            </w:r>
            <w:r w:rsidRPr="00F97952">
              <w:rPr>
                <w:rFonts w:asciiTheme="minorHAnsi" w:hAnsiTheme="minorHAnsi" w:cstheme="minorHAnsi"/>
              </w:rPr>
              <w:lastRenderedPageBreak/>
              <w:t xml:space="preserve">including from the private sector, if applicable; and </w:t>
            </w:r>
          </w:p>
          <w:p w14:paraId="304137A0"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(g) Promote sustainable national socioeconomic development, poverty reduction and activities consistent with existing national sound environmental management </w:t>
            </w:r>
            <w:proofErr w:type="spellStart"/>
            <w:r w:rsidRPr="00F97952">
              <w:rPr>
                <w:rFonts w:asciiTheme="minorHAnsi" w:hAnsiTheme="minorHAnsi" w:cstheme="minorHAnsi"/>
              </w:rPr>
              <w:t>programmes</w:t>
            </w:r>
            <w:proofErr w:type="spellEnd"/>
            <w:r w:rsidRPr="00F97952">
              <w:rPr>
                <w:rFonts w:asciiTheme="minorHAnsi" w:hAnsiTheme="minorHAnsi" w:cstheme="minorHAnsi"/>
              </w:rPr>
              <w:t xml:space="preserve"> geared towards the protection of human health and the environment.</w:t>
            </w:r>
          </w:p>
        </w:tc>
        <w:tc>
          <w:tcPr>
            <w:tcW w:w="0" w:type="auto"/>
            <w:shd w:val="clear" w:color="auto" w:fill="FFFFFF" w:themeFill="background1"/>
          </w:tcPr>
          <w:p w14:paraId="50FFCD2A" w14:textId="18C72C7F"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lastRenderedPageBreak/>
              <w:t>This guidance has been used to inform the programming in GEF-6 and has been addressed in the GEF-7 replenishment negotiations, which concluded in April 2018.</w:t>
            </w:r>
            <w:r w:rsidR="00131F1F" w:rsidRPr="00F97952">
              <w:rPr>
                <w:rFonts w:asciiTheme="minorHAnsi" w:hAnsiTheme="minorHAnsi" w:cstheme="minorHAnsi"/>
              </w:rPr>
              <w:t xml:space="preserve"> </w:t>
            </w:r>
            <w:r w:rsidR="00436DF4" w:rsidRPr="00F97952">
              <w:rPr>
                <w:rFonts w:asciiTheme="minorHAnsi" w:hAnsiTheme="minorHAnsi" w:cstheme="minorHAnsi"/>
              </w:rPr>
              <w:t>The new strategy is included in the summary of negotiations of the seventh replenishment of the GEF trust fund.</w:t>
            </w:r>
            <w:r w:rsidR="00436DF4" w:rsidRPr="00F97952">
              <w:rPr>
                <w:rStyle w:val="Appelnotedebasdep"/>
                <w:rFonts w:asciiTheme="minorHAnsi" w:hAnsiTheme="minorHAnsi" w:cstheme="minorHAnsi"/>
              </w:rPr>
              <w:footnoteReference w:id="12"/>
            </w:r>
          </w:p>
        </w:tc>
      </w:tr>
      <w:tr w:rsidR="00DF5C07" w:rsidRPr="00F97952" w14:paraId="1F4AB990"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31297A6F"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t xml:space="preserve">III. </w:t>
            </w:r>
            <w:proofErr w:type="spellStart"/>
            <w:r w:rsidRPr="00F97952">
              <w:rPr>
                <w:rFonts w:asciiTheme="minorHAnsi" w:hAnsiTheme="minorHAnsi" w:cstheme="minorHAnsi"/>
                <w:color w:val="auto"/>
              </w:rPr>
              <w:t>Programme</w:t>
            </w:r>
            <w:proofErr w:type="spellEnd"/>
            <w:r w:rsidRPr="00F97952">
              <w:rPr>
                <w:rFonts w:asciiTheme="minorHAnsi" w:hAnsiTheme="minorHAnsi" w:cstheme="minorHAnsi"/>
                <w:color w:val="auto"/>
              </w:rPr>
              <w:t xml:space="preserve"> priorities</w:t>
            </w:r>
          </w:p>
        </w:tc>
      </w:tr>
      <w:tr w:rsidR="00DF5C07" w:rsidRPr="00F97952" w14:paraId="43285DB1"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10BD8200"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6</w:t>
            </w:r>
          </w:p>
        </w:tc>
        <w:tc>
          <w:tcPr>
            <w:tcW w:w="0" w:type="auto"/>
            <w:shd w:val="clear" w:color="auto" w:fill="FFFFFF" w:themeFill="background1"/>
          </w:tcPr>
          <w:p w14:paraId="5130EA11"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In accordance with article 13, paragraph 7, of the Convention, the GEF trust fund shall provide resources to meet the agreed incremental costs of global environmental benefits and the agreed full costs of some enabling activities.</w:t>
            </w:r>
          </w:p>
        </w:tc>
        <w:tc>
          <w:tcPr>
            <w:tcW w:w="0" w:type="auto"/>
            <w:shd w:val="clear" w:color="auto" w:fill="FFFFFF" w:themeFill="background1"/>
          </w:tcPr>
          <w:p w14:paraId="5C9068E0"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This is reflected in the strategies of the GEF.</w:t>
            </w:r>
          </w:p>
          <w:p w14:paraId="2B1441AD"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In GEF-6, $141 million was allocated for the implementation of the Minamata Convention. The GEF has programmed resources to meet the full cost of the MIAs and the ASGM NAPs. The GEF has programmed resources for several projects that are aimed at early implementation, particularly in the ASGM sector. In GEF-7, $206 million </w:t>
            </w:r>
            <w:r w:rsidR="006206C9" w:rsidRPr="00F97952">
              <w:rPr>
                <w:rFonts w:asciiTheme="minorHAnsi" w:hAnsiTheme="minorHAnsi" w:cstheme="minorHAnsi"/>
              </w:rPr>
              <w:t>is</w:t>
            </w:r>
            <w:r w:rsidRPr="00F97952">
              <w:rPr>
                <w:rFonts w:asciiTheme="minorHAnsi" w:hAnsiTheme="minorHAnsi" w:cstheme="minorHAnsi"/>
              </w:rPr>
              <w:t xml:space="preserve"> </w:t>
            </w:r>
            <w:r w:rsidR="006206C9" w:rsidRPr="00F97952">
              <w:rPr>
                <w:rFonts w:asciiTheme="minorHAnsi" w:hAnsiTheme="minorHAnsi" w:cstheme="minorHAnsi"/>
              </w:rPr>
              <w:t xml:space="preserve">notionally </w:t>
            </w:r>
            <w:r w:rsidRPr="00F97952">
              <w:rPr>
                <w:rFonts w:asciiTheme="minorHAnsi" w:hAnsiTheme="minorHAnsi" w:cstheme="minorHAnsi"/>
              </w:rPr>
              <w:t xml:space="preserve">allocated for the implementation of the Minamata Convention, including the agreed full costs of some enabling activities. </w:t>
            </w:r>
          </w:p>
        </w:tc>
      </w:tr>
      <w:tr w:rsidR="00DF5C07" w:rsidRPr="00F97952" w14:paraId="688F15FA"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7E9F32F4"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7</w:t>
            </w:r>
          </w:p>
        </w:tc>
        <w:tc>
          <w:tcPr>
            <w:tcW w:w="0" w:type="auto"/>
            <w:shd w:val="clear" w:color="auto" w:fill="FFFFFF" w:themeFill="background1"/>
          </w:tcPr>
          <w:p w14:paraId="3C72AACF"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In particular, it should give priority to the following activities when providing financial resources to developing-country Parties and Parties with economies in transition:</w:t>
            </w:r>
          </w:p>
          <w:p w14:paraId="160F9DE5"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(a) Enabling activities, particularly Minamata Convention initial assessment activities and national action plans for artisanal and small-scale gold mining;</w:t>
            </w:r>
          </w:p>
          <w:p w14:paraId="702913BC"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(b) Activities to implement the provisions of the Convention, affording priority to those that: </w:t>
            </w:r>
          </w:p>
          <w:p w14:paraId="72E70051"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w:t>
            </w:r>
            <w:proofErr w:type="spellStart"/>
            <w:r w:rsidRPr="00F97952">
              <w:rPr>
                <w:rFonts w:asciiTheme="minorHAnsi" w:hAnsiTheme="minorHAnsi" w:cstheme="minorHAnsi"/>
              </w:rPr>
              <w:t>i</w:t>
            </w:r>
            <w:proofErr w:type="spellEnd"/>
            <w:r w:rsidRPr="00F97952">
              <w:rPr>
                <w:rFonts w:asciiTheme="minorHAnsi" w:hAnsiTheme="minorHAnsi" w:cstheme="minorHAnsi"/>
              </w:rPr>
              <w:t>) Relate to legally binding obligations;</w:t>
            </w:r>
          </w:p>
          <w:p w14:paraId="2304085B"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(ii) Facilitate early implementation on entry into force of the Convention for a Party; </w:t>
            </w:r>
          </w:p>
          <w:p w14:paraId="6CC1584F"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(iii) Allow for reduction in mercury emissions and releases and address the health and environmental impacts of mercury.</w:t>
            </w:r>
          </w:p>
        </w:tc>
        <w:tc>
          <w:tcPr>
            <w:tcW w:w="0" w:type="auto"/>
            <w:shd w:val="clear" w:color="auto" w:fill="FFFFFF" w:themeFill="background1"/>
          </w:tcPr>
          <w:p w14:paraId="5065B2F4"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This guidance has been used in the programming in GEF-6 and has been addressed in the programming priorities of the GEF-7 Chemicals and Waste Focal Area Strategy. All projects and programs in GEF-6 that seek to implement the Minamata Convention were consistent with this guidance.</w:t>
            </w:r>
          </w:p>
        </w:tc>
      </w:tr>
      <w:tr w:rsidR="00DF5C07" w:rsidRPr="00F97952" w14:paraId="67D2577E"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544B01C5"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8</w:t>
            </w:r>
          </w:p>
        </w:tc>
        <w:tc>
          <w:tcPr>
            <w:tcW w:w="0" w:type="auto"/>
            <w:shd w:val="clear" w:color="auto" w:fill="FFFFFF" w:themeFill="background1"/>
          </w:tcPr>
          <w:p w14:paraId="5C8FB643"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In providing resources for an activity, GEF should take into account the potential mercury reductions of a proposed activity </w:t>
            </w:r>
            <w:r w:rsidRPr="00F97952">
              <w:rPr>
                <w:rFonts w:asciiTheme="minorHAnsi" w:hAnsiTheme="minorHAnsi" w:cstheme="minorHAnsi"/>
              </w:rPr>
              <w:lastRenderedPageBreak/>
              <w:t>relative to its costs in accordance with paragraph 8 of article 13 of the Convention.</w:t>
            </w:r>
          </w:p>
        </w:tc>
        <w:tc>
          <w:tcPr>
            <w:tcW w:w="0" w:type="auto"/>
            <w:shd w:val="clear" w:color="auto" w:fill="FFFFFF" w:themeFill="background1"/>
          </w:tcPr>
          <w:p w14:paraId="104FFE10"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lastRenderedPageBreak/>
              <w:t>In GEF-6, projects with potential for significant mercury reduction have been approved. The GEF continue</w:t>
            </w:r>
            <w:r w:rsidR="006206C9" w:rsidRPr="00F97952">
              <w:rPr>
                <w:rFonts w:asciiTheme="minorHAnsi" w:hAnsiTheme="minorHAnsi" w:cstheme="minorHAnsi"/>
              </w:rPr>
              <w:t>s</w:t>
            </w:r>
            <w:r w:rsidRPr="00F97952">
              <w:rPr>
                <w:rFonts w:asciiTheme="minorHAnsi" w:hAnsiTheme="minorHAnsi" w:cstheme="minorHAnsi"/>
              </w:rPr>
              <w:t xml:space="preserve"> to work </w:t>
            </w:r>
            <w:r w:rsidRPr="00F97952">
              <w:rPr>
                <w:rFonts w:asciiTheme="minorHAnsi" w:hAnsiTheme="minorHAnsi" w:cstheme="minorHAnsi"/>
              </w:rPr>
              <w:lastRenderedPageBreak/>
              <w:t xml:space="preserve">with countries and agencies to look at the potential reduction of mercury relative to its cost. </w:t>
            </w:r>
          </w:p>
        </w:tc>
      </w:tr>
      <w:tr w:rsidR="00DF5C07" w:rsidRPr="00F97952" w14:paraId="62B852F5"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0B737902"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lastRenderedPageBreak/>
              <w:t>IV. Indicative list of categories of activities that could receive support</w:t>
            </w:r>
          </w:p>
          <w:p w14:paraId="67F5FB58"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t>A. Enabling activities</w:t>
            </w:r>
          </w:p>
        </w:tc>
      </w:tr>
      <w:tr w:rsidR="00DF5C07" w:rsidRPr="00F97952" w14:paraId="40CDBA5E"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545361BC" w14:textId="77777777" w:rsidR="00DF5C07" w:rsidRPr="00F97952" w:rsidRDefault="00DF5C07" w:rsidP="00BF4281">
            <w:pPr>
              <w:spacing w:before="60"/>
              <w:jc w:val="center"/>
              <w:rPr>
                <w:rFonts w:asciiTheme="minorHAnsi" w:hAnsiTheme="minorHAnsi" w:cstheme="minorHAnsi"/>
                <w:color w:val="auto"/>
              </w:rPr>
            </w:pPr>
          </w:p>
        </w:tc>
        <w:tc>
          <w:tcPr>
            <w:tcW w:w="0" w:type="auto"/>
            <w:shd w:val="clear" w:color="auto" w:fill="FFFFFF" w:themeFill="background1"/>
          </w:tcPr>
          <w:p w14:paraId="1DD9563F"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1. Minamata Convention initial assessments (MIAs) </w:t>
            </w:r>
          </w:p>
          <w:p w14:paraId="35CE6669"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2. Preparation of national action plans for artisanal and small-scale gold mining in accordance with paragraph 3 of article 7 and Annex C </w:t>
            </w:r>
          </w:p>
          <w:p w14:paraId="4A3B9479"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3. Other types of enabling activities as agreed by the Conference of the Parties</w:t>
            </w:r>
          </w:p>
        </w:tc>
        <w:tc>
          <w:tcPr>
            <w:tcW w:w="0" w:type="auto"/>
            <w:shd w:val="clear" w:color="auto" w:fill="FFFFFF" w:themeFill="background1"/>
          </w:tcPr>
          <w:p w14:paraId="6ABBC6FD" w14:textId="77E1CB12"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This guidance </w:t>
            </w:r>
            <w:r w:rsidR="00436DF4" w:rsidRPr="00F97952">
              <w:rPr>
                <w:rFonts w:asciiTheme="minorHAnsi" w:hAnsiTheme="minorHAnsi" w:cstheme="minorHAnsi"/>
              </w:rPr>
              <w:t xml:space="preserve">has </w:t>
            </w:r>
            <w:r w:rsidRPr="00F97952">
              <w:rPr>
                <w:rFonts w:asciiTheme="minorHAnsi" w:hAnsiTheme="minorHAnsi" w:cstheme="minorHAnsi"/>
              </w:rPr>
              <w:t>been used to inform the programming in GEF-6 and has been addressed in the programming priorities of the GEF-7 Chemicals and Waste Focal Area Strategy. In GEF-6, all eligible enabling activities that were submitted to the GEF have received funding.</w:t>
            </w:r>
          </w:p>
        </w:tc>
      </w:tr>
      <w:tr w:rsidR="00DF5C07" w:rsidRPr="00F97952" w14:paraId="4997BBAB"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2F73758D"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t>B. Activities to implement the provisions of the Convention</w:t>
            </w:r>
          </w:p>
          <w:p w14:paraId="7B716E0C"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t>1. Activities to implement the provisions of the Convention that relate to legally binding obligations</w:t>
            </w:r>
          </w:p>
        </w:tc>
      </w:tr>
      <w:tr w:rsidR="00DF5C07" w:rsidRPr="00F97952" w14:paraId="0B70DE66"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5D076BF5"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9</w:t>
            </w:r>
          </w:p>
        </w:tc>
        <w:tc>
          <w:tcPr>
            <w:tcW w:w="0" w:type="auto"/>
            <w:shd w:val="clear" w:color="auto" w:fill="FFFFFF" w:themeFill="background1"/>
          </w:tcPr>
          <w:p w14:paraId="00C571DF" w14:textId="77777777"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When providing financial resources to eligible Parties for activities to implement the provisions of the Convention, GEF should afford priority to those activities that relate to legally binding obligations of Parties under the Convention and should take into account the potential mercury reductions of a proposed activity relative to its costs. Such activities could include those related to the following areas, listed in no particular order:</w:t>
            </w:r>
          </w:p>
          <w:p w14:paraId="31AE1FA6"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Mercury supply sources and trade;</w:t>
            </w:r>
          </w:p>
          <w:p w14:paraId="00010085"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Mercury-added products; </w:t>
            </w:r>
          </w:p>
          <w:p w14:paraId="417DABCC"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Manufacturing processes in which mercury or mercury compounds are used; </w:t>
            </w:r>
          </w:p>
          <w:p w14:paraId="0D347928"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Artisanal and small-scale gold mining;</w:t>
            </w:r>
          </w:p>
          <w:p w14:paraId="3118BA7D"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Emissions;</w:t>
            </w:r>
          </w:p>
          <w:p w14:paraId="1CB727C7"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Releases;</w:t>
            </w:r>
          </w:p>
          <w:p w14:paraId="397DB304"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Environmentally sound interim storage of mercury, other than waste mercury; </w:t>
            </w:r>
          </w:p>
          <w:p w14:paraId="2649835C"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Mercury wastes; </w:t>
            </w:r>
          </w:p>
          <w:p w14:paraId="6D413144"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Reporting;</w:t>
            </w:r>
          </w:p>
          <w:p w14:paraId="790BFD87" w14:textId="77777777" w:rsidR="00DF5C07" w:rsidRPr="00F97952" w:rsidRDefault="00DF5C07" w:rsidP="00274979">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Relevant capacity-building, technical assistance and technology transfer in relation to the above.</w:t>
            </w:r>
          </w:p>
        </w:tc>
        <w:tc>
          <w:tcPr>
            <w:tcW w:w="0" w:type="auto"/>
            <w:shd w:val="clear" w:color="auto" w:fill="FFFFFF" w:themeFill="background1"/>
          </w:tcPr>
          <w:p w14:paraId="5C0A1FC0" w14:textId="1003C7AF" w:rsidR="00DF5C07" w:rsidRPr="00F97952" w:rsidRDefault="00DF5C07" w:rsidP="00BF4281">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These have been included in the GEF-7 Chemicals and Waste Focal Area Strategy</w:t>
            </w:r>
            <w:r w:rsidR="00436DF4" w:rsidRPr="00F97952">
              <w:rPr>
                <w:rFonts w:asciiTheme="minorHAnsi" w:hAnsiTheme="minorHAnsi" w:cstheme="minorHAnsi"/>
              </w:rPr>
              <w:t>.</w:t>
            </w:r>
            <w:r w:rsidRPr="00F97952">
              <w:rPr>
                <w:rFonts w:asciiTheme="minorHAnsi" w:hAnsiTheme="minorHAnsi" w:cstheme="minorHAnsi"/>
              </w:rPr>
              <w:t xml:space="preserve"> </w:t>
            </w:r>
          </w:p>
        </w:tc>
      </w:tr>
      <w:tr w:rsidR="00DF5C07" w:rsidRPr="00F97952" w14:paraId="0B01C68F"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041093C6" w14:textId="77777777" w:rsidR="00DF5C07" w:rsidRPr="00F97952" w:rsidRDefault="00DF5C07" w:rsidP="0018028C">
            <w:pPr>
              <w:keepNext/>
              <w:keepLines/>
              <w:spacing w:before="60"/>
              <w:rPr>
                <w:rFonts w:asciiTheme="minorHAnsi" w:hAnsiTheme="minorHAnsi" w:cstheme="minorHAnsi"/>
                <w:color w:val="auto"/>
              </w:rPr>
            </w:pPr>
            <w:r w:rsidRPr="00F97952">
              <w:rPr>
                <w:rFonts w:asciiTheme="minorHAnsi" w:hAnsiTheme="minorHAnsi" w:cstheme="minorHAnsi"/>
                <w:color w:val="auto"/>
              </w:rPr>
              <w:lastRenderedPageBreak/>
              <w:t>2. Activities to implement the provisions of the Convention that facilitate early implementation on entry into force of the Convention for a Party</w:t>
            </w:r>
          </w:p>
        </w:tc>
      </w:tr>
      <w:tr w:rsidR="00DF5C07" w:rsidRPr="00F97952" w14:paraId="21DCD058"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5E2B1531"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10</w:t>
            </w:r>
          </w:p>
        </w:tc>
        <w:tc>
          <w:tcPr>
            <w:tcW w:w="0" w:type="auto"/>
            <w:shd w:val="clear" w:color="auto" w:fill="FFFFFF" w:themeFill="background1"/>
          </w:tcPr>
          <w:p w14:paraId="35D8F050" w14:textId="77777777" w:rsidR="00DF5C07" w:rsidRPr="00F97952" w:rsidRDefault="00DF5C07" w:rsidP="0018028C">
            <w:pPr>
              <w:keepNext/>
              <w:keepLines/>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When considering activities to implement the provisions of the Convention that facilitate early implementation on entry into force, GEF should also consider providing support for activities that, although they are not the subject of a legal obligation under the Convention, may significantly contribute to a Party’s preparedness to implement the Convention upon its entry into force for that country.</w:t>
            </w:r>
          </w:p>
        </w:tc>
        <w:tc>
          <w:tcPr>
            <w:tcW w:w="0" w:type="auto"/>
            <w:shd w:val="clear" w:color="auto" w:fill="FFFFFF" w:themeFill="background1"/>
          </w:tcPr>
          <w:p w14:paraId="5E87FC09" w14:textId="5447DA70" w:rsidR="00DF5C07" w:rsidRPr="00F97952" w:rsidRDefault="00DF5C07" w:rsidP="0018028C">
            <w:pPr>
              <w:keepNext/>
              <w:keepLines/>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This will be addressed during programming in GEF-</w:t>
            </w:r>
            <w:r w:rsidR="00CF2554" w:rsidRPr="00F97952">
              <w:rPr>
                <w:rFonts w:asciiTheme="minorHAnsi" w:hAnsiTheme="minorHAnsi" w:cstheme="minorHAnsi"/>
              </w:rPr>
              <w:t>7 and</w:t>
            </w:r>
            <w:r w:rsidRPr="00F97952">
              <w:rPr>
                <w:rFonts w:asciiTheme="minorHAnsi" w:hAnsiTheme="minorHAnsi" w:cstheme="minorHAnsi"/>
              </w:rPr>
              <w:t xml:space="preserve"> will be reported on at subsequent COPs</w:t>
            </w:r>
            <w:r w:rsidR="004145F6" w:rsidRPr="00F97952">
              <w:rPr>
                <w:rFonts w:asciiTheme="minorHAnsi" w:hAnsiTheme="minorHAnsi" w:cstheme="minorHAnsi"/>
              </w:rPr>
              <w:t>.</w:t>
            </w:r>
          </w:p>
        </w:tc>
      </w:tr>
      <w:tr w:rsidR="00DF5C07" w:rsidRPr="00F97952" w14:paraId="7328555E"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2F31891A"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11</w:t>
            </w:r>
          </w:p>
        </w:tc>
        <w:tc>
          <w:tcPr>
            <w:tcW w:w="0" w:type="auto"/>
            <w:shd w:val="clear" w:color="auto" w:fill="FFFFFF" w:themeFill="background1"/>
          </w:tcPr>
          <w:p w14:paraId="1A6568B7"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Within the context of the GEF mandate, such activities could include, inter alia, support for:</w:t>
            </w:r>
          </w:p>
          <w:p w14:paraId="3F6EE5C9"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(a) With regard to emissions, the development by Parties with relevant sources of emissions of national plans setting out the measures to be taken to control emissions and their expected targets, goals and outcomes;</w:t>
            </w:r>
          </w:p>
          <w:p w14:paraId="1C72176E"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(b) With regard to releases, the development by Parties with relevant sources of releases of national plans setting out the measures to be taken to control releases and their expected targets, goals and outcomes;</w:t>
            </w:r>
          </w:p>
          <w:p w14:paraId="5FF98E68"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(c) With regard to contaminated sites, capacity-building for the development of strategies for identifying and assessing sites contaminated by mercury or mercury compounds and, as appropriate, the remediation of those sites;</w:t>
            </w:r>
          </w:p>
          <w:p w14:paraId="03D91582"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(d) Information exchange; </w:t>
            </w:r>
          </w:p>
          <w:p w14:paraId="3A1ADB04"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(e) Public information, awareness and education; </w:t>
            </w:r>
          </w:p>
          <w:p w14:paraId="33510A89"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(f) Cooperation in the development and improvement of research, development and monitoring;</w:t>
            </w:r>
          </w:p>
          <w:p w14:paraId="470DFAB1"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(g) Development of implementation plans following initial assessments.</w:t>
            </w:r>
          </w:p>
        </w:tc>
        <w:tc>
          <w:tcPr>
            <w:tcW w:w="0" w:type="auto"/>
            <w:shd w:val="clear" w:color="auto" w:fill="FFFFFF" w:themeFill="background1"/>
          </w:tcPr>
          <w:p w14:paraId="7E5738BB" w14:textId="204BF770"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This will be addressed during programming in GEF-</w:t>
            </w:r>
            <w:r w:rsidR="00CF2554" w:rsidRPr="00F97952">
              <w:rPr>
                <w:rFonts w:asciiTheme="minorHAnsi" w:hAnsiTheme="minorHAnsi" w:cstheme="minorHAnsi"/>
              </w:rPr>
              <w:t>7 and</w:t>
            </w:r>
            <w:r w:rsidRPr="00F97952">
              <w:rPr>
                <w:rFonts w:asciiTheme="minorHAnsi" w:hAnsiTheme="minorHAnsi" w:cstheme="minorHAnsi"/>
              </w:rPr>
              <w:t xml:space="preserve"> will be reported on at subsequent COPs.</w:t>
            </w:r>
          </w:p>
        </w:tc>
      </w:tr>
      <w:tr w:rsidR="00DF5C07" w:rsidRPr="00F97952" w14:paraId="12FAA7F7"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6D5FE5AA"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t>3. Activities to implement the provisions of the Convention that allow for the reduction of mercury emissions and releases and address both the health and environmental impacts of mercury</w:t>
            </w:r>
          </w:p>
        </w:tc>
      </w:tr>
      <w:tr w:rsidR="00DF5C07" w:rsidRPr="00F97952" w14:paraId="5DAD850D"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FFF" w:themeFill="background1"/>
          </w:tcPr>
          <w:p w14:paraId="350A764A"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12</w:t>
            </w:r>
          </w:p>
        </w:tc>
        <w:tc>
          <w:tcPr>
            <w:tcW w:w="0" w:type="auto"/>
            <w:shd w:val="clear" w:color="auto" w:fill="FFFFFF" w:themeFill="background1"/>
          </w:tcPr>
          <w:p w14:paraId="6D68BA44"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 xml:space="preserve">Activities to implement the provisions of the Convention that allow for the reduction of mercury emissions and releases and address </w:t>
            </w:r>
            <w:r w:rsidRPr="00F97952">
              <w:rPr>
                <w:rFonts w:asciiTheme="minorHAnsi" w:hAnsiTheme="minorHAnsi" w:cstheme="minorHAnsi"/>
              </w:rPr>
              <w:lastRenderedPageBreak/>
              <w:t>both the health and environmental impacts of mercury may encompass activities relating to both binding and non-binding provisions, with priority to the legally binding provisions discussed above, that accord with the GEF mandate to deliver global environmental benefits and reflect the GEF chemicals and wastes focal area strategy.</w:t>
            </w:r>
          </w:p>
        </w:tc>
        <w:tc>
          <w:tcPr>
            <w:tcW w:w="0" w:type="auto"/>
            <w:shd w:val="clear" w:color="auto" w:fill="FFFFFF" w:themeFill="background1"/>
          </w:tcPr>
          <w:p w14:paraId="65BEA42F" w14:textId="7E0C16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lastRenderedPageBreak/>
              <w:t>This will be addressed during programming in GEF-</w:t>
            </w:r>
            <w:r w:rsidR="002231A2" w:rsidRPr="00F97952">
              <w:rPr>
                <w:rFonts w:asciiTheme="minorHAnsi" w:hAnsiTheme="minorHAnsi" w:cstheme="minorHAnsi"/>
              </w:rPr>
              <w:t>7 and</w:t>
            </w:r>
            <w:r w:rsidRPr="00F97952">
              <w:rPr>
                <w:rFonts w:asciiTheme="minorHAnsi" w:hAnsiTheme="minorHAnsi" w:cstheme="minorHAnsi"/>
              </w:rPr>
              <w:t xml:space="preserve"> will be reported on at subsequent COPs.</w:t>
            </w:r>
          </w:p>
        </w:tc>
      </w:tr>
      <w:tr w:rsidR="00DF5C07" w:rsidRPr="00F97952" w14:paraId="067240E4" w14:textId="77777777" w:rsidTr="005A22A2">
        <w:trPr>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left w:val="none" w:sz="0" w:space="0" w:color="auto"/>
            </w:tcBorders>
            <w:shd w:val="clear" w:color="auto" w:fill="FFFFFF" w:themeFill="background1"/>
          </w:tcPr>
          <w:p w14:paraId="64D625BA" w14:textId="77777777" w:rsidR="00DF5C07" w:rsidRPr="00F97952" w:rsidRDefault="00DF5C07" w:rsidP="00BF4281">
            <w:pPr>
              <w:spacing w:before="60"/>
              <w:rPr>
                <w:rFonts w:asciiTheme="minorHAnsi" w:hAnsiTheme="minorHAnsi" w:cstheme="minorHAnsi"/>
                <w:color w:val="auto"/>
              </w:rPr>
            </w:pPr>
            <w:r w:rsidRPr="00F97952">
              <w:rPr>
                <w:rFonts w:asciiTheme="minorHAnsi" w:hAnsiTheme="minorHAnsi" w:cstheme="minorHAnsi"/>
                <w:color w:val="auto"/>
              </w:rPr>
              <w:t>V. Review by the Conference of the Parties</w:t>
            </w:r>
          </w:p>
        </w:tc>
      </w:tr>
      <w:tr w:rsidR="00DF5C07" w:rsidRPr="00F97952" w14:paraId="70B5901E" w14:textId="77777777" w:rsidTr="005A2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FFFFFF" w:themeFill="background1"/>
          </w:tcPr>
          <w:p w14:paraId="68302904" w14:textId="77777777" w:rsidR="00DF5C07" w:rsidRPr="00F97952" w:rsidRDefault="00DF5C07" w:rsidP="00BF4281">
            <w:pPr>
              <w:spacing w:before="60"/>
              <w:jc w:val="center"/>
              <w:rPr>
                <w:rFonts w:asciiTheme="minorHAnsi" w:hAnsiTheme="minorHAnsi" w:cstheme="minorHAnsi"/>
                <w:b w:val="0"/>
                <w:color w:val="auto"/>
              </w:rPr>
            </w:pPr>
            <w:r w:rsidRPr="00F97952">
              <w:rPr>
                <w:rFonts w:asciiTheme="minorHAnsi" w:hAnsiTheme="minorHAnsi" w:cstheme="minorHAnsi"/>
                <w:color w:val="auto"/>
              </w:rPr>
              <w:t>13</w:t>
            </w:r>
          </w:p>
        </w:tc>
        <w:tc>
          <w:tcPr>
            <w:tcW w:w="0" w:type="auto"/>
            <w:shd w:val="clear" w:color="auto" w:fill="FFFFFF" w:themeFill="background1"/>
          </w:tcPr>
          <w:p w14:paraId="1AA27584"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In accordance with paragraph 11 of article 13, the Conference of the Parties will review, no later than at its third meeting, and thereafter on a regular basis, the level of funding, the guidance provided by the Conference of the Parties to GEF as one of the entities entrusted with operationalizing the mechanism established under this article and the mechanism’s effectiveness and ability to address the changing needs of developing-country Parties and Parties with economies in transition. On the basis of such review, the Conference of the Parties will take appropriate action to improve the effectiveness of the financial mechanism, including by updating and prioritizing as necessary its guidance to GEF.</w:t>
            </w:r>
          </w:p>
        </w:tc>
        <w:tc>
          <w:tcPr>
            <w:tcW w:w="0" w:type="auto"/>
            <w:shd w:val="clear" w:color="auto" w:fill="FFFFFF" w:themeFill="background1"/>
          </w:tcPr>
          <w:p w14:paraId="6583147B" w14:textId="77777777" w:rsidR="00DF5C07" w:rsidRPr="00F97952" w:rsidRDefault="00DF5C07" w:rsidP="00BF4281">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97952">
              <w:rPr>
                <w:rFonts w:asciiTheme="minorHAnsi" w:hAnsiTheme="minorHAnsi" w:cstheme="minorHAnsi"/>
              </w:rPr>
              <w:t>At the request of the COP, the GEF will provide information as it relates to the review described in paragraph 11 of article 13 of the Minamata Convention.</w:t>
            </w:r>
          </w:p>
        </w:tc>
      </w:tr>
    </w:tbl>
    <w:p w14:paraId="0066BC26" w14:textId="77777777" w:rsidR="00B44224" w:rsidRPr="00F97952" w:rsidRDefault="00B44224" w:rsidP="004B72D4">
      <w:pPr>
        <w:pStyle w:val="Titre2"/>
        <w:rPr>
          <w:rFonts w:asciiTheme="minorHAnsi" w:hAnsiTheme="minorHAnsi"/>
        </w:rPr>
      </w:pPr>
      <w:bookmarkStart w:id="26" w:name="_bookmark8"/>
      <w:bookmarkEnd w:id="26"/>
    </w:p>
    <w:p w14:paraId="004CAAFE" w14:textId="77777777" w:rsidR="0000292F" w:rsidRPr="00F97952" w:rsidRDefault="001E19D2" w:rsidP="004B72D4">
      <w:pPr>
        <w:pStyle w:val="Titre2"/>
        <w:rPr>
          <w:rFonts w:asciiTheme="minorHAnsi" w:hAnsiTheme="minorHAnsi"/>
        </w:rPr>
      </w:pPr>
      <w:bookmarkStart w:id="27" w:name="_Toc528774352"/>
      <w:r w:rsidRPr="00F97952">
        <w:rPr>
          <w:rFonts w:asciiTheme="minorHAnsi" w:hAnsiTheme="minorHAnsi"/>
        </w:rPr>
        <w:t>Cooperation with Secretariat of Minamata Convention</w:t>
      </w:r>
      <w:bookmarkEnd w:id="27"/>
    </w:p>
    <w:p w14:paraId="184873B2" w14:textId="77777777" w:rsidR="00A7402A" w:rsidRPr="00F97952" w:rsidRDefault="001E19D2" w:rsidP="002D5818">
      <w:pPr>
        <w:pStyle w:val="MainParagraphwith"/>
      </w:pPr>
      <w:r w:rsidRPr="00F97952">
        <w:t xml:space="preserve">Since the adoption of the Convention in October 2013, the GEF Secretariat has initiated formal cooperation and communication with the </w:t>
      </w:r>
      <w:r w:rsidR="005E1A35" w:rsidRPr="00F97952">
        <w:t xml:space="preserve">Interim Secretariat </w:t>
      </w:r>
      <w:r w:rsidRPr="00F97952">
        <w:t>of the Minamata Convention to enhance coordination, share information and collaborate on issues related to the implementation of the Convention.</w:t>
      </w:r>
      <w:r w:rsidR="003F032C" w:rsidRPr="00F97952">
        <w:t xml:space="preserve"> Since COP 1, cooperation has continued with the </w:t>
      </w:r>
      <w:r w:rsidR="005E1A35" w:rsidRPr="00F97952">
        <w:t xml:space="preserve">Secretariat </w:t>
      </w:r>
      <w:r w:rsidR="003F032C" w:rsidRPr="00F97952">
        <w:t>of the Minamata Convention.</w:t>
      </w:r>
    </w:p>
    <w:p w14:paraId="2E8B35F7" w14:textId="25B6E053" w:rsidR="001653DA" w:rsidRPr="00F97952" w:rsidRDefault="001653DA" w:rsidP="002D5818">
      <w:pPr>
        <w:pStyle w:val="MainParagraphwith"/>
      </w:pPr>
      <w:r w:rsidRPr="00F97952">
        <w:t xml:space="preserve">The Principal Coordinator of the </w:t>
      </w:r>
      <w:r w:rsidR="005E1A35" w:rsidRPr="00F97952">
        <w:t xml:space="preserve">Interim Secretariat </w:t>
      </w:r>
      <w:r w:rsidRPr="00F97952">
        <w:t>of the Minamata Convention</w:t>
      </w:r>
      <w:r w:rsidR="00FA394A" w:rsidRPr="00F97952">
        <w:t xml:space="preserve"> </w:t>
      </w:r>
      <w:r w:rsidRPr="00F97952">
        <w:t>attended the 53</w:t>
      </w:r>
      <w:r w:rsidRPr="00F97952">
        <w:rPr>
          <w:vertAlign w:val="superscript"/>
        </w:rPr>
        <w:t>rd</w:t>
      </w:r>
      <w:r w:rsidRPr="00F97952">
        <w:t xml:space="preserve"> meeting of the GEF Council in November 2017. The GEF Council was </w:t>
      </w:r>
      <w:r w:rsidR="00150ACE" w:rsidRPr="00F97952">
        <w:t>provided with</w:t>
      </w:r>
      <w:r w:rsidRPr="00F97952">
        <w:t xml:space="preserve"> the outcomes of </w:t>
      </w:r>
      <w:r w:rsidR="00FA394A" w:rsidRPr="00F97952">
        <w:t>COP 1</w:t>
      </w:r>
      <w:r w:rsidR="004145F6" w:rsidRPr="00F97952">
        <w:t xml:space="preserve"> </w:t>
      </w:r>
      <w:r w:rsidRPr="00F97952">
        <w:t xml:space="preserve">during the Convention heads panel for the relations with Conventions session at the GEF Council. The GEF Secretariat has also organized informal </w:t>
      </w:r>
      <w:r w:rsidR="00C72B5E" w:rsidRPr="00F97952">
        <w:t>Multilateral Environmental Agreement (</w:t>
      </w:r>
      <w:r w:rsidRPr="00F97952">
        <w:t>MEA</w:t>
      </w:r>
      <w:r w:rsidR="00C72B5E" w:rsidRPr="00F97952">
        <w:t>)</w:t>
      </w:r>
      <w:r w:rsidRPr="00F97952">
        <w:t xml:space="preserve"> dialogues </w:t>
      </w:r>
      <w:r w:rsidR="00FA394A" w:rsidRPr="00F97952">
        <w:t xml:space="preserve">during </w:t>
      </w:r>
      <w:r w:rsidRPr="00F97952">
        <w:t>GEF Council</w:t>
      </w:r>
      <w:r w:rsidR="00805A40" w:rsidRPr="00F97952">
        <w:t xml:space="preserve"> meetings</w:t>
      </w:r>
      <w:r w:rsidRPr="00F97952">
        <w:t>, with the participation of high level representatives from Convention Secretariats, including the interim secretariat of the Minamata Convention and participants of the GEF Council meetings. Representatives of the Minamata interim secretariat were also actively engaged in the GEF-7 replenishment process and attended replenishment meetings.</w:t>
      </w:r>
    </w:p>
    <w:p w14:paraId="2DA20F6B" w14:textId="5DCFFFBD" w:rsidR="00A7402A" w:rsidRPr="00F97952" w:rsidRDefault="003F032C" w:rsidP="002D5818">
      <w:pPr>
        <w:pStyle w:val="MainParagraphwith"/>
      </w:pPr>
      <w:r w:rsidRPr="00F97952">
        <w:t xml:space="preserve">The newly appointed Executive Secretary </w:t>
      </w:r>
      <w:r w:rsidR="00A31B04" w:rsidRPr="00F97952">
        <w:t xml:space="preserve">ad interim </w:t>
      </w:r>
      <w:r w:rsidRPr="00F97952">
        <w:t>of the Minamata Convention</w:t>
      </w:r>
      <w:r w:rsidR="00FA394A" w:rsidRPr="00F97952">
        <w:t xml:space="preserve"> </w:t>
      </w:r>
      <w:r w:rsidR="001653DA" w:rsidRPr="00F97952">
        <w:t>attended</w:t>
      </w:r>
      <w:r w:rsidRPr="00F97952">
        <w:t xml:space="preserve"> the 54</w:t>
      </w:r>
      <w:r w:rsidRPr="00F97952">
        <w:rPr>
          <w:vertAlign w:val="superscript"/>
        </w:rPr>
        <w:t>th</w:t>
      </w:r>
      <w:r w:rsidRPr="00F97952">
        <w:t xml:space="preserve"> GEF Council and sixth GEF Assembly</w:t>
      </w:r>
      <w:r w:rsidR="00A31B04" w:rsidRPr="00F97952">
        <w:t xml:space="preserve"> in Da Nang, Viet Nam in June 2018. </w:t>
      </w:r>
      <w:r w:rsidRPr="00F97952">
        <w:t xml:space="preserve">The Executive Secretary addressed the GEF Council during the </w:t>
      </w:r>
      <w:r w:rsidR="00A31B04" w:rsidRPr="00F97952">
        <w:t xml:space="preserve">session on the relations with </w:t>
      </w:r>
      <w:r w:rsidR="002231A2" w:rsidRPr="00F97952">
        <w:lastRenderedPageBreak/>
        <w:t>Conventions and</w:t>
      </w:r>
      <w:r w:rsidRPr="00F97952">
        <w:t xml:space="preserve"> addressed the Assembly </w:t>
      </w:r>
      <w:r w:rsidR="00A31B04" w:rsidRPr="00F97952">
        <w:t xml:space="preserve">at plenary. </w:t>
      </w:r>
      <w:r w:rsidRPr="00F97952">
        <w:t xml:space="preserve">The </w:t>
      </w:r>
      <w:r w:rsidR="00FA394A" w:rsidRPr="00F97952">
        <w:t>E</w:t>
      </w:r>
      <w:r w:rsidRPr="00F97952">
        <w:t>xecutive Secretary also participated in the chemicals and waste round table</w:t>
      </w:r>
      <w:r w:rsidR="001653DA" w:rsidRPr="00F97952">
        <w:t xml:space="preserve"> during the sixth GEF Assembly</w:t>
      </w:r>
      <w:r w:rsidRPr="00F97952">
        <w:t xml:space="preserve"> and in </w:t>
      </w:r>
      <w:r w:rsidR="001653DA" w:rsidRPr="00F97952">
        <w:t>several</w:t>
      </w:r>
      <w:r w:rsidRPr="00F97952">
        <w:t xml:space="preserve"> </w:t>
      </w:r>
      <w:r w:rsidR="002231A2" w:rsidRPr="00F97952">
        <w:t>constituency meetings</w:t>
      </w:r>
      <w:r w:rsidRPr="00F97952">
        <w:t xml:space="preserve"> </w:t>
      </w:r>
      <w:r w:rsidR="00A31B04" w:rsidRPr="00F97952">
        <w:t xml:space="preserve">held </w:t>
      </w:r>
      <w:r w:rsidR="001653DA" w:rsidRPr="00F97952">
        <w:t>prior to</w:t>
      </w:r>
      <w:r w:rsidR="00A31B04" w:rsidRPr="00F97952">
        <w:t xml:space="preserve"> the </w:t>
      </w:r>
      <w:r w:rsidRPr="00F97952">
        <w:t>sixth GEF Assembly</w:t>
      </w:r>
      <w:r w:rsidR="00A31B04" w:rsidRPr="00F97952">
        <w:t>.</w:t>
      </w:r>
    </w:p>
    <w:p w14:paraId="3D363AE3" w14:textId="77777777" w:rsidR="0054348E" w:rsidRPr="00F97952" w:rsidRDefault="001653DA" w:rsidP="002D5818">
      <w:pPr>
        <w:pStyle w:val="MainParagraphwith"/>
      </w:pPr>
      <w:r w:rsidRPr="00F97952">
        <w:t>T</w:t>
      </w:r>
      <w:r w:rsidR="001E19D2" w:rsidRPr="00F97952">
        <w:t xml:space="preserve">he GEF routinely organizes chemicals and wastes task force meetings regarding the chemicals and wastes work stream in the context of the GEF. The meeting participants include representatives from the GEF implementing and project agencies, the Scientific and Technical Advisory Panel of the GEF, and the </w:t>
      </w:r>
      <w:r w:rsidR="005F7388" w:rsidRPr="00F97952">
        <w:t>s</w:t>
      </w:r>
      <w:r w:rsidR="001E19D2" w:rsidRPr="00F97952">
        <w:t>ecretariat of the Basel, Rotterdam and Stockholm (B</w:t>
      </w:r>
      <w:r w:rsidR="006A40B5" w:rsidRPr="00F97952">
        <w:t>RS) Conventions</w:t>
      </w:r>
      <w:r w:rsidR="00FA394A" w:rsidRPr="00F97952">
        <w:t>,</w:t>
      </w:r>
      <w:r w:rsidR="006A40B5" w:rsidRPr="00F97952">
        <w:t xml:space="preserve"> and the </w:t>
      </w:r>
      <w:r w:rsidR="001E19D2" w:rsidRPr="00F97952">
        <w:t>secretariat of the Minamata Convention.</w:t>
      </w:r>
      <w:r w:rsidR="006A40B5" w:rsidRPr="00F97952">
        <w:t xml:space="preserve"> During the reporting period</w:t>
      </w:r>
      <w:r w:rsidR="00FA394A" w:rsidRPr="00F97952">
        <w:t>,</w:t>
      </w:r>
      <w:r w:rsidR="006A40B5" w:rsidRPr="00F97952">
        <w:t xml:space="preserve"> a meeting was held in June 2018 to discuss the outcomes of GEF-6,</w:t>
      </w:r>
      <w:r w:rsidR="001E19D2" w:rsidRPr="00F97952">
        <w:t xml:space="preserve"> </w:t>
      </w:r>
      <w:r w:rsidR="006A40B5" w:rsidRPr="00F97952">
        <w:t xml:space="preserve">the </w:t>
      </w:r>
      <w:r w:rsidR="001E19D2" w:rsidRPr="00F97952">
        <w:t>ch</w:t>
      </w:r>
      <w:r w:rsidR="006A40B5" w:rsidRPr="00F97952">
        <w:t xml:space="preserve">emicals and wastes strategy for </w:t>
      </w:r>
      <w:r w:rsidR="001E19D2" w:rsidRPr="00F97952">
        <w:t>GEF-7 strategy, and shared information on project ideas and their statuses.</w:t>
      </w:r>
      <w:r w:rsidR="006A40B5" w:rsidRPr="00F97952">
        <w:t xml:space="preserve"> </w:t>
      </w:r>
      <w:r w:rsidR="00FA394A" w:rsidRPr="00F97952">
        <w:t xml:space="preserve">Representatives of the </w:t>
      </w:r>
      <w:r w:rsidR="006A40B5" w:rsidRPr="00F97952">
        <w:t>Minamata Secretariat, including the new Executive Secretary</w:t>
      </w:r>
      <w:r w:rsidR="00FA394A" w:rsidRPr="00F97952">
        <w:t>,</w:t>
      </w:r>
      <w:r w:rsidR="006A40B5" w:rsidRPr="00F97952">
        <w:t xml:space="preserve"> attended this meeting.</w:t>
      </w:r>
    </w:p>
    <w:p w14:paraId="647DE716" w14:textId="5C2848C3" w:rsidR="0054348E" w:rsidRPr="00F97952" w:rsidRDefault="0054348E" w:rsidP="004B72D4">
      <w:pPr>
        <w:pStyle w:val="Titre2"/>
        <w:rPr>
          <w:rFonts w:asciiTheme="minorHAnsi" w:hAnsiTheme="minorHAnsi"/>
        </w:rPr>
      </w:pPr>
      <w:bookmarkStart w:id="28" w:name="_Toc528774353"/>
      <w:r w:rsidRPr="00F97952">
        <w:rPr>
          <w:rFonts w:asciiTheme="minorHAnsi" w:hAnsiTheme="minorHAnsi"/>
        </w:rPr>
        <w:t xml:space="preserve">GEF’s </w:t>
      </w:r>
      <w:r w:rsidR="008E7DDC" w:rsidRPr="00F97952">
        <w:rPr>
          <w:rFonts w:asciiTheme="minorHAnsi" w:hAnsiTheme="minorHAnsi"/>
        </w:rPr>
        <w:t>P</w:t>
      </w:r>
      <w:r w:rsidRPr="00F97952">
        <w:rPr>
          <w:rFonts w:asciiTheme="minorHAnsi" w:hAnsiTheme="minorHAnsi"/>
        </w:rPr>
        <w:t xml:space="preserve">articipation </w:t>
      </w:r>
      <w:r w:rsidR="008E7DDC" w:rsidRPr="00F97952">
        <w:rPr>
          <w:rFonts w:asciiTheme="minorHAnsi" w:hAnsiTheme="minorHAnsi"/>
        </w:rPr>
        <w:t>at the First Conference of the Parties</w:t>
      </w:r>
      <w:bookmarkEnd w:id="28"/>
    </w:p>
    <w:p w14:paraId="4D1721EA" w14:textId="77777777" w:rsidR="00FA394A" w:rsidRPr="00F97952" w:rsidRDefault="001D622B" w:rsidP="002D5818">
      <w:pPr>
        <w:pStyle w:val="MainParagraphwith"/>
      </w:pPr>
      <w:r w:rsidRPr="00F97952">
        <w:t xml:space="preserve">The GEF CEO led a delegation of the GEF Secretariat to COP 1 in September 2017. The GEF hosted a </w:t>
      </w:r>
      <w:r w:rsidR="00117AC3" w:rsidRPr="00F97952">
        <w:t>high-level</w:t>
      </w:r>
      <w:r w:rsidRPr="00F97952">
        <w:t xml:space="preserve"> side event on the GEF GOLD</w:t>
      </w:r>
      <w:r w:rsidR="001653DA" w:rsidRPr="00F97952">
        <w:t xml:space="preserve"> (Global Opportunities for Long-term Development of the ASGM Sector)</w:t>
      </w:r>
      <w:r w:rsidRPr="00F97952">
        <w:t xml:space="preserve"> program which featured the President of the Co-operative Republic of Guyana. The GEF CEO participated in a panel discussion during the </w:t>
      </w:r>
      <w:r w:rsidR="00117AC3" w:rsidRPr="00F97952">
        <w:t>high-level</w:t>
      </w:r>
      <w:r w:rsidRPr="00F97952">
        <w:t xml:space="preserve"> segment of the COP. </w:t>
      </w:r>
    </w:p>
    <w:p w14:paraId="0B7CEF91" w14:textId="77777777" w:rsidR="001D622B" w:rsidRPr="00F97952" w:rsidRDefault="001D622B" w:rsidP="002D5818">
      <w:pPr>
        <w:pStyle w:val="MainParagraphwith"/>
      </w:pPr>
      <w:r w:rsidRPr="00F97952">
        <w:t xml:space="preserve">The GEF Secretariat </w:t>
      </w:r>
      <w:r w:rsidR="00FA394A" w:rsidRPr="00F97952">
        <w:t xml:space="preserve">representatives </w:t>
      </w:r>
      <w:r w:rsidRPr="00F97952">
        <w:t>participated actively on the discussion on guidance</w:t>
      </w:r>
      <w:r w:rsidR="00FA394A" w:rsidRPr="00F97952">
        <w:t xml:space="preserve"> to the GEF</w:t>
      </w:r>
      <w:r w:rsidRPr="00F97952">
        <w:t xml:space="preserve">, </w:t>
      </w:r>
      <w:r w:rsidR="00FA394A" w:rsidRPr="00F97952">
        <w:t>M</w:t>
      </w:r>
      <w:r w:rsidRPr="00F97952">
        <w:t xml:space="preserve">emorandum of </w:t>
      </w:r>
      <w:r w:rsidR="00FA394A" w:rsidRPr="00F97952">
        <w:t>U</w:t>
      </w:r>
      <w:r w:rsidRPr="00F97952">
        <w:t xml:space="preserve">nderstanding </w:t>
      </w:r>
      <w:r w:rsidR="00FD1457" w:rsidRPr="00F97952">
        <w:t>(MOU)</w:t>
      </w:r>
      <w:r w:rsidR="00FA394A" w:rsidRPr="00F97952">
        <w:t xml:space="preserve"> between the COP and the GEF Council,</w:t>
      </w:r>
      <w:r w:rsidR="00FD1457" w:rsidRPr="00F97952">
        <w:t xml:space="preserve"> </w:t>
      </w:r>
      <w:r w:rsidRPr="00F97952">
        <w:t>and effectiveness evaluation.</w:t>
      </w:r>
      <w:r w:rsidR="00FD1457" w:rsidRPr="00F97952">
        <w:t xml:space="preserve"> The decision on the MOU was deferred to COP 2. </w:t>
      </w:r>
    </w:p>
    <w:p w14:paraId="16B81387" w14:textId="77777777" w:rsidR="005238AE" w:rsidRPr="00F97952" w:rsidRDefault="005238AE">
      <w:pPr>
        <w:rPr>
          <w:rFonts w:asciiTheme="minorHAnsi" w:eastAsia="Cambria" w:hAnsiTheme="minorHAnsi" w:cs="Cambria"/>
          <w:b/>
          <w:bCs/>
          <w:sz w:val="28"/>
          <w:szCs w:val="28"/>
        </w:rPr>
      </w:pPr>
      <w:r w:rsidRPr="00F97952">
        <w:rPr>
          <w:rFonts w:asciiTheme="minorHAnsi" w:hAnsiTheme="minorHAnsi"/>
        </w:rPr>
        <w:br w:type="page"/>
      </w:r>
    </w:p>
    <w:p w14:paraId="52FF542F" w14:textId="310892C5" w:rsidR="0000292F" w:rsidRPr="00F97952" w:rsidRDefault="001E19D2" w:rsidP="00033F0E">
      <w:pPr>
        <w:pStyle w:val="Titre1"/>
        <w:ind w:left="0"/>
        <w:rPr>
          <w:rFonts w:asciiTheme="minorHAnsi" w:hAnsiTheme="minorHAnsi"/>
        </w:rPr>
      </w:pPr>
      <w:bookmarkStart w:id="29" w:name="_Toc528774354"/>
      <w:r w:rsidRPr="00F97952">
        <w:rPr>
          <w:rFonts w:asciiTheme="minorHAnsi" w:hAnsiTheme="minorHAnsi"/>
        </w:rPr>
        <w:lastRenderedPageBreak/>
        <w:t xml:space="preserve">Part II: </w:t>
      </w:r>
      <w:r w:rsidR="00B2625D" w:rsidRPr="00F97952">
        <w:rPr>
          <w:rFonts w:asciiTheme="minorHAnsi" w:hAnsiTheme="minorHAnsi"/>
        </w:rPr>
        <w:t>GEF</w:t>
      </w:r>
      <w:r w:rsidR="00C85C9F" w:rsidRPr="00F97952">
        <w:rPr>
          <w:rFonts w:asciiTheme="minorHAnsi" w:hAnsiTheme="minorHAnsi"/>
        </w:rPr>
        <w:t xml:space="preserve"> Support to the Minamata Convention </w:t>
      </w:r>
      <w:r w:rsidR="002C1877" w:rsidRPr="00F97952">
        <w:rPr>
          <w:rFonts w:asciiTheme="minorHAnsi" w:hAnsiTheme="minorHAnsi"/>
        </w:rPr>
        <w:t>in</w:t>
      </w:r>
      <w:r w:rsidR="00C85C9F" w:rsidRPr="00F97952">
        <w:rPr>
          <w:rFonts w:asciiTheme="minorHAnsi" w:hAnsiTheme="minorHAnsi"/>
        </w:rPr>
        <w:t xml:space="preserve"> the </w:t>
      </w:r>
      <w:r w:rsidR="002C1877" w:rsidRPr="00F97952">
        <w:rPr>
          <w:rFonts w:asciiTheme="minorHAnsi" w:hAnsiTheme="minorHAnsi"/>
        </w:rPr>
        <w:t>GEF-6</w:t>
      </w:r>
      <w:r w:rsidR="00C85C9F" w:rsidRPr="00F97952">
        <w:rPr>
          <w:rFonts w:asciiTheme="minorHAnsi" w:hAnsiTheme="minorHAnsi"/>
        </w:rPr>
        <w:t xml:space="preserve"> Period</w:t>
      </w:r>
      <w:bookmarkEnd w:id="29"/>
    </w:p>
    <w:p w14:paraId="284D65FE" w14:textId="77777777" w:rsidR="00A7402A" w:rsidRPr="00F97952" w:rsidRDefault="00A7402A" w:rsidP="00BF4281">
      <w:pPr>
        <w:pStyle w:val="Corpsdetexte"/>
        <w:rPr>
          <w:rFonts w:asciiTheme="minorHAnsi" w:hAnsiTheme="minorHAnsi"/>
          <w:caps/>
        </w:rPr>
      </w:pPr>
    </w:p>
    <w:p w14:paraId="3C4E8FB9" w14:textId="0E318CF3" w:rsidR="0000292F" w:rsidRPr="00F97952" w:rsidRDefault="001E19D2" w:rsidP="004B72D4">
      <w:pPr>
        <w:pStyle w:val="Titre2"/>
        <w:rPr>
          <w:rFonts w:asciiTheme="minorHAnsi" w:hAnsiTheme="minorHAnsi"/>
        </w:rPr>
      </w:pPr>
      <w:bookmarkStart w:id="30" w:name="_bookmark10"/>
      <w:bookmarkStart w:id="31" w:name="_Toc528774355"/>
      <w:bookmarkEnd w:id="30"/>
      <w:r w:rsidRPr="00F97952">
        <w:rPr>
          <w:rFonts w:asciiTheme="minorHAnsi" w:hAnsiTheme="minorHAnsi"/>
        </w:rPr>
        <w:t xml:space="preserve">Overview of GEF Support for </w:t>
      </w:r>
      <w:r w:rsidR="0052328C" w:rsidRPr="00F97952">
        <w:rPr>
          <w:rFonts w:asciiTheme="minorHAnsi" w:hAnsiTheme="minorHAnsi"/>
        </w:rPr>
        <w:t xml:space="preserve">the </w:t>
      </w:r>
      <w:r w:rsidRPr="00F97952">
        <w:rPr>
          <w:rFonts w:asciiTheme="minorHAnsi" w:hAnsiTheme="minorHAnsi"/>
        </w:rPr>
        <w:t>Minamata Convention</w:t>
      </w:r>
      <w:r w:rsidR="00B2625D" w:rsidRPr="00F97952">
        <w:rPr>
          <w:rFonts w:asciiTheme="minorHAnsi" w:hAnsiTheme="minorHAnsi"/>
        </w:rPr>
        <w:t xml:space="preserve"> in GEF-6</w:t>
      </w:r>
      <w:bookmarkEnd w:id="31"/>
    </w:p>
    <w:p w14:paraId="2CEC8CDE" w14:textId="77777777" w:rsidR="003C27A0" w:rsidRPr="00F97952" w:rsidRDefault="003C27A0" w:rsidP="002D5818">
      <w:pPr>
        <w:pStyle w:val="MainParagraphwith"/>
      </w:pPr>
      <w:bookmarkStart w:id="32" w:name="_Hlk519503887"/>
      <w:r w:rsidRPr="00F97952">
        <w:t>Under the GEF-6 chemicals and wastes strategy, $554 million of GEF</w:t>
      </w:r>
      <w:r w:rsidR="00520D26" w:rsidRPr="00F97952">
        <w:t xml:space="preserve"> resources was committed at </w:t>
      </w:r>
      <w:r w:rsidRPr="00F97952">
        <w:t xml:space="preserve">the </w:t>
      </w:r>
      <w:r w:rsidR="006D601D" w:rsidRPr="00F97952">
        <w:t xml:space="preserve">time </w:t>
      </w:r>
      <w:r w:rsidR="00F25A11" w:rsidRPr="00F97952">
        <w:t xml:space="preserve">of </w:t>
      </w:r>
      <w:r w:rsidR="006A1D6F" w:rsidRPr="00F97952">
        <w:t xml:space="preserve">replenishment, </w:t>
      </w:r>
      <w:r w:rsidR="00520D26" w:rsidRPr="00F97952">
        <w:t xml:space="preserve">of </w:t>
      </w:r>
      <w:r w:rsidR="00510231" w:rsidRPr="00F97952">
        <w:t>which $141</w:t>
      </w:r>
      <w:r w:rsidRPr="00F97952">
        <w:t xml:space="preserve"> million </w:t>
      </w:r>
      <w:r w:rsidR="005F7388" w:rsidRPr="00F97952">
        <w:t>was</w:t>
      </w:r>
      <w:r w:rsidR="00520D26" w:rsidRPr="00F97952">
        <w:t xml:space="preserve"> allocated </w:t>
      </w:r>
      <w:r w:rsidRPr="00F97952">
        <w:t xml:space="preserve">to the implementation of </w:t>
      </w:r>
      <w:r w:rsidR="00510231" w:rsidRPr="00F97952">
        <w:t>the Minamata Convention. Table 2</w:t>
      </w:r>
      <w:r w:rsidRPr="00F97952">
        <w:t xml:space="preserve"> summarizes the objectives and programs of the chemicals and wastes strategy and the GEF programming target.</w:t>
      </w:r>
    </w:p>
    <w:p w14:paraId="09E4E044" w14:textId="5C16937C" w:rsidR="003C27A0" w:rsidRPr="00F97952" w:rsidRDefault="005E1A35" w:rsidP="00874B6D">
      <w:pPr>
        <w:pStyle w:val="Lgende"/>
        <w:jc w:val="center"/>
        <w:rPr>
          <w:color w:val="auto"/>
          <w:sz w:val="24"/>
          <w:szCs w:val="24"/>
        </w:rPr>
      </w:pPr>
      <w:bookmarkStart w:id="33" w:name="_bookmark20"/>
      <w:bookmarkStart w:id="34" w:name="_Toc523407698"/>
      <w:bookmarkStart w:id="35" w:name="_Toc528774328"/>
      <w:bookmarkEnd w:id="33"/>
      <w:r w:rsidRPr="00F97952">
        <w:rPr>
          <w:color w:val="auto"/>
          <w:sz w:val="24"/>
          <w:szCs w:val="24"/>
        </w:rPr>
        <w:t xml:space="preserve">Table </w:t>
      </w:r>
      <w:r w:rsidRPr="00F97952">
        <w:rPr>
          <w:color w:val="auto"/>
          <w:sz w:val="24"/>
          <w:szCs w:val="24"/>
        </w:rPr>
        <w:fldChar w:fldCharType="begin"/>
      </w:r>
      <w:r w:rsidRPr="00F97952">
        <w:rPr>
          <w:color w:val="auto"/>
          <w:sz w:val="24"/>
          <w:szCs w:val="24"/>
        </w:rPr>
        <w:instrText xml:space="preserve"> SEQ Table \* ARABIC </w:instrText>
      </w:r>
      <w:r w:rsidRPr="00F97952">
        <w:rPr>
          <w:color w:val="auto"/>
          <w:sz w:val="24"/>
          <w:szCs w:val="24"/>
        </w:rPr>
        <w:fldChar w:fldCharType="separate"/>
      </w:r>
      <w:r w:rsidR="00106981" w:rsidRPr="00F97952">
        <w:rPr>
          <w:noProof/>
          <w:color w:val="auto"/>
          <w:sz w:val="24"/>
          <w:szCs w:val="24"/>
        </w:rPr>
        <w:t>2</w:t>
      </w:r>
      <w:r w:rsidRPr="00F97952">
        <w:rPr>
          <w:color w:val="auto"/>
          <w:sz w:val="24"/>
          <w:szCs w:val="24"/>
        </w:rPr>
        <w:fldChar w:fldCharType="end"/>
      </w:r>
      <w:r w:rsidRPr="00F97952">
        <w:rPr>
          <w:color w:val="auto"/>
          <w:sz w:val="24"/>
          <w:szCs w:val="24"/>
        </w:rPr>
        <w:t xml:space="preserve">: GEF-6 Chemicals and Wastes Programs and </w:t>
      </w:r>
      <w:bookmarkEnd w:id="34"/>
      <w:r w:rsidR="00AF206A" w:rsidRPr="00F97952">
        <w:rPr>
          <w:color w:val="auto"/>
          <w:sz w:val="24"/>
          <w:szCs w:val="24"/>
        </w:rPr>
        <w:t>Initial Indictive Allocations</w:t>
      </w:r>
      <w:bookmarkEnd w:id="35"/>
    </w:p>
    <w:p w14:paraId="03365DBC" w14:textId="77777777" w:rsidR="0009173B" w:rsidRPr="00F97952" w:rsidRDefault="0009173B" w:rsidP="0009173B">
      <w:pPr>
        <w:rPr>
          <w:lang w:val="en-GB"/>
        </w:rPr>
      </w:pPr>
    </w:p>
    <w:tbl>
      <w:tblPr>
        <w:tblStyle w:val="Grilledutableau"/>
        <w:tblW w:w="0" w:type="auto"/>
        <w:tblLayout w:type="fixed"/>
        <w:tblLook w:val="01E0" w:firstRow="1" w:lastRow="1" w:firstColumn="1" w:lastColumn="1" w:noHBand="0" w:noVBand="0"/>
      </w:tblPr>
      <w:tblGrid>
        <w:gridCol w:w="1867"/>
        <w:gridCol w:w="5508"/>
        <w:gridCol w:w="1350"/>
        <w:gridCol w:w="699"/>
      </w:tblGrid>
      <w:tr w:rsidR="000357DB" w:rsidRPr="00F97952" w14:paraId="3A092113" w14:textId="77777777" w:rsidTr="000357DB">
        <w:trPr>
          <w:trHeight w:val="490"/>
        </w:trPr>
        <w:tc>
          <w:tcPr>
            <w:tcW w:w="9424" w:type="dxa"/>
            <w:gridSpan w:val="4"/>
          </w:tcPr>
          <w:p w14:paraId="2C7C4C59" w14:textId="77777777" w:rsidR="003C27A0" w:rsidRPr="00F97952" w:rsidRDefault="003C27A0" w:rsidP="00C72B5E">
            <w:pPr>
              <w:pStyle w:val="TableParagraph"/>
              <w:tabs>
                <w:tab w:val="left" w:pos="4325"/>
                <w:tab w:val="left" w:pos="7270"/>
              </w:tabs>
              <w:spacing w:before="0"/>
              <w:ind w:left="443"/>
              <w:rPr>
                <w:rFonts w:asciiTheme="minorHAnsi" w:hAnsiTheme="minorHAnsi" w:cstheme="minorHAnsi"/>
                <w:b/>
              </w:rPr>
            </w:pPr>
            <w:r w:rsidRPr="00F97952">
              <w:rPr>
                <w:rFonts w:asciiTheme="minorHAnsi" w:hAnsiTheme="minorHAnsi" w:cstheme="minorHAnsi"/>
                <w:b/>
              </w:rPr>
              <w:t>Focal Area</w:t>
            </w:r>
            <w:r w:rsidRPr="00F97952">
              <w:rPr>
                <w:rFonts w:asciiTheme="minorHAnsi" w:hAnsiTheme="minorHAnsi" w:cstheme="minorHAnsi"/>
                <w:b/>
              </w:rPr>
              <w:tab/>
              <w:t>Programs</w:t>
            </w:r>
            <w:r w:rsidRPr="00F97952">
              <w:rPr>
                <w:rFonts w:asciiTheme="minorHAnsi" w:hAnsiTheme="minorHAnsi" w:cstheme="minorHAnsi"/>
                <w:b/>
              </w:rPr>
              <w:tab/>
              <w:t>Programing</w:t>
            </w:r>
          </w:p>
          <w:p w14:paraId="3789BC49" w14:textId="77777777" w:rsidR="003C27A0" w:rsidRPr="00F97952" w:rsidRDefault="003C27A0" w:rsidP="00C72B5E">
            <w:pPr>
              <w:pStyle w:val="TableParagraph"/>
              <w:tabs>
                <w:tab w:val="left" w:pos="7270"/>
              </w:tabs>
              <w:spacing w:before="1"/>
              <w:ind w:left="503"/>
              <w:rPr>
                <w:rFonts w:asciiTheme="minorHAnsi" w:hAnsiTheme="minorHAnsi" w:cstheme="minorHAnsi"/>
                <w:b/>
              </w:rPr>
            </w:pPr>
            <w:r w:rsidRPr="00F97952">
              <w:rPr>
                <w:rFonts w:asciiTheme="minorHAnsi" w:hAnsiTheme="minorHAnsi" w:cstheme="minorHAnsi"/>
                <w:b/>
              </w:rPr>
              <w:t>Objective</w:t>
            </w:r>
            <w:r w:rsidRPr="00F97952">
              <w:rPr>
                <w:rFonts w:asciiTheme="minorHAnsi" w:hAnsiTheme="minorHAnsi" w:cstheme="minorHAnsi"/>
                <w:b/>
              </w:rPr>
              <w:tab/>
              <w:t>Target ($ million)</w:t>
            </w:r>
          </w:p>
        </w:tc>
      </w:tr>
      <w:tr w:rsidR="000357DB" w:rsidRPr="00F97952" w14:paraId="4259DED4" w14:textId="77777777" w:rsidTr="00185D48">
        <w:trPr>
          <w:trHeight w:val="230"/>
        </w:trPr>
        <w:tc>
          <w:tcPr>
            <w:tcW w:w="1867" w:type="dxa"/>
            <w:vMerge w:val="restart"/>
          </w:tcPr>
          <w:p w14:paraId="0B46A69B"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CW 1</w:t>
            </w:r>
          </w:p>
          <w:p w14:paraId="30722D79" w14:textId="77777777" w:rsidR="003C27A0" w:rsidRPr="00F97952" w:rsidRDefault="003C27A0" w:rsidP="00BF4281">
            <w:pPr>
              <w:pStyle w:val="TableParagraph"/>
              <w:spacing w:before="1"/>
              <w:ind w:left="103" w:right="113"/>
              <w:rPr>
                <w:rFonts w:asciiTheme="minorHAnsi" w:hAnsiTheme="minorHAnsi" w:cstheme="minorHAnsi"/>
              </w:rPr>
            </w:pPr>
            <w:r w:rsidRPr="00F97952">
              <w:rPr>
                <w:rFonts w:asciiTheme="minorHAnsi" w:hAnsiTheme="minorHAnsi" w:cstheme="minorHAnsi"/>
              </w:rPr>
              <w:t>Develop the enabling condi</w:t>
            </w:r>
            <w:r w:rsidR="00DE3D06" w:rsidRPr="00F97952">
              <w:rPr>
                <w:rFonts w:asciiTheme="minorHAnsi" w:hAnsiTheme="minorHAnsi" w:cstheme="minorHAnsi"/>
              </w:rPr>
              <w:t>tions, tools and environment to</w:t>
            </w:r>
            <w:r w:rsidRPr="00F97952">
              <w:rPr>
                <w:rFonts w:asciiTheme="minorHAnsi" w:hAnsiTheme="minorHAnsi" w:cstheme="minorHAnsi"/>
              </w:rPr>
              <w:t xml:space="preserve"> manage harmful chemicals and wastes</w:t>
            </w:r>
          </w:p>
        </w:tc>
        <w:tc>
          <w:tcPr>
            <w:tcW w:w="5508" w:type="dxa"/>
            <w:vMerge w:val="restart"/>
          </w:tcPr>
          <w:p w14:paraId="27475865" w14:textId="77777777" w:rsidR="003C27A0" w:rsidRPr="00F97952" w:rsidRDefault="003C27A0" w:rsidP="00BF4281">
            <w:pPr>
              <w:pStyle w:val="TableParagraph"/>
              <w:spacing w:before="0"/>
              <w:ind w:left="102"/>
              <w:rPr>
                <w:rFonts w:asciiTheme="minorHAnsi" w:hAnsiTheme="minorHAnsi" w:cstheme="minorHAnsi"/>
                <w:b/>
              </w:rPr>
            </w:pPr>
            <w:r w:rsidRPr="00F97952">
              <w:rPr>
                <w:rFonts w:asciiTheme="minorHAnsi" w:hAnsiTheme="minorHAnsi" w:cstheme="minorHAnsi"/>
                <w:b/>
              </w:rPr>
              <w:t>Program 1:</w:t>
            </w:r>
          </w:p>
          <w:p w14:paraId="7716E192" w14:textId="77777777" w:rsidR="003C27A0" w:rsidRPr="00F97952" w:rsidRDefault="003C27A0" w:rsidP="00BF4281">
            <w:pPr>
              <w:pStyle w:val="TableParagraph"/>
              <w:spacing w:before="0"/>
              <w:ind w:left="102" w:right="164"/>
              <w:rPr>
                <w:rFonts w:asciiTheme="minorHAnsi" w:hAnsiTheme="minorHAnsi" w:cstheme="minorHAnsi"/>
              </w:rPr>
            </w:pPr>
            <w:r w:rsidRPr="00F97952">
              <w:rPr>
                <w:rFonts w:asciiTheme="minorHAnsi" w:hAnsiTheme="minorHAnsi" w:cstheme="minorHAnsi"/>
              </w:rPr>
              <w:t>Develop and demonstrate new tools and regulatory along with economic approaches for managing harmful chemicals and wastes in a sound manner</w:t>
            </w:r>
          </w:p>
        </w:tc>
        <w:tc>
          <w:tcPr>
            <w:tcW w:w="1350" w:type="dxa"/>
          </w:tcPr>
          <w:p w14:paraId="43D897CC"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POPs</w:t>
            </w:r>
          </w:p>
        </w:tc>
        <w:tc>
          <w:tcPr>
            <w:tcW w:w="699" w:type="dxa"/>
          </w:tcPr>
          <w:p w14:paraId="67444D64"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20</w:t>
            </w:r>
          </w:p>
        </w:tc>
      </w:tr>
      <w:tr w:rsidR="000357DB" w:rsidRPr="00F97952" w14:paraId="145AF343" w14:textId="77777777" w:rsidTr="00185D48">
        <w:trPr>
          <w:trHeight w:val="230"/>
        </w:trPr>
        <w:tc>
          <w:tcPr>
            <w:tcW w:w="1867" w:type="dxa"/>
            <w:vMerge/>
          </w:tcPr>
          <w:p w14:paraId="0CC63B44" w14:textId="77777777" w:rsidR="003C27A0" w:rsidRPr="00F97952" w:rsidRDefault="003C27A0" w:rsidP="00BF4281">
            <w:pPr>
              <w:rPr>
                <w:rFonts w:asciiTheme="minorHAnsi" w:hAnsiTheme="minorHAnsi" w:cstheme="minorHAnsi"/>
                <w:sz w:val="2"/>
                <w:szCs w:val="2"/>
              </w:rPr>
            </w:pPr>
          </w:p>
        </w:tc>
        <w:tc>
          <w:tcPr>
            <w:tcW w:w="5508" w:type="dxa"/>
            <w:vMerge/>
          </w:tcPr>
          <w:p w14:paraId="2BDC67C9" w14:textId="77777777" w:rsidR="003C27A0" w:rsidRPr="00F97952" w:rsidRDefault="003C27A0" w:rsidP="00BF4281">
            <w:pPr>
              <w:rPr>
                <w:rFonts w:asciiTheme="minorHAnsi" w:hAnsiTheme="minorHAnsi" w:cstheme="minorHAnsi"/>
                <w:sz w:val="2"/>
                <w:szCs w:val="2"/>
              </w:rPr>
            </w:pPr>
          </w:p>
        </w:tc>
        <w:tc>
          <w:tcPr>
            <w:tcW w:w="1350" w:type="dxa"/>
          </w:tcPr>
          <w:p w14:paraId="418659D2"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Mercury</w:t>
            </w:r>
          </w:p>
        </w:tc>
        <w:tc>
          <w:tcPr>
            <w:tcW w:w="699" w:type="dxa"/>
          </w:tcPr>
          <w:p w14:paraId="5A3091EC"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10</w:t>
            </w:r>
          </w:p>
        </w:tc>
      </w:tr>
      <w:tr w:rsidR="000357DB" w:rsidRPr="00F97952" w14:paraId="14BAA5EE" w14:textId="77777777" w:rsidTr="00185D48">
        <w:trPr>
          <w:trHeight w:val="230"/>
        </w:trPr>
        <w:tc>
          <w:tcPr>
            <w:tcW w:w="1867" w:type="dxa"/>
            <w:vMerge/>
          </w:tcPr>
          <w:p w14:paraId="003313BB" w14:textId="77777777" w:rsidR="003C27A0" w:rsidRPr="00F97952" w:rsidRDefault="003C27A0" w:rsidP="00BF4281">
            <w:pPr>
              <w:rPr>
                <w:rFonts w:asciiTheme="minorHAnsi" w:hAnsiTheme="minorHAnsi" w:cstheme="minorHAnsi"/>
                <w:sz w:val="2"/>
                <w:szCs w:val="2"/>
              </w:rPr>
            </w:pPr>
          </w:p>
        </w:tc>
        <w:tc>
          <w:tcPr>
            <w:tcW w:w="5508" w:type="dxa"/>
            <w:vMerge/>
          </w:tcPr>
          <w:p w14:paraId="42889DDD" w14:textId="77777777" w:rsidR="003C27A0" w:rsidRPr="00F97952" w:rsidRDefault="003C27A0" w:rsidP="00BF4281">
            <w:pPr>
              <w:rPr>
                <w:rFonts w:asciiTheme="minorHAnsi" w:hAnsiTheme="minorHAnsi" w:cstheme="minorHAnsi"/>
                <w:sz w:val="2"/>
                <w:szCs w:val="2"/>
              </w:rPr>
            </w:pPr>
          </w:p>
        </w:tc>
        <w:tc>
          <w:tcPr>
            <w:tcW w:w="1350" w:type="dxa"/>
          </w:tcPr>
          <w:p w14:paraId="0E1CF238"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SAICM</w:t>
            </w:r>
          </w:p>
        </w:tc>
        <w:tc>
          <w:tcPr>
            <w:tcW w:w="699" w:type="dxa"/>
          </w:tcPr>
          <w:p w14:paraId="0785026C"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8</w:t>
            </w:r>
          </w:p>
        </w:tc>
      </w:tr>
      <w:tr w:rsidR="000357DB" w:rsidRPr="00F97952" w14:paraId="52C2F3AB" w14:textId="77777777" w:rsidTr="00185D48">
        <w:trPr>
          <w:trHeight w:val="230"/>
        </w:trPr>
        <w:tc>
          <w:tcPr>
            <w:tcW w:w="1867" w:type="dxa"/>
            <w:vMerge/>
          </w:tcPr>
          <w:p w14:paraId="577C53E1" w14:textId="77777777" w:rsidR="003C27A0" w:rsidRPr="00F97952" w:rsidRDefault="003C27A0" w:rsidP="00BF4281">
            <w:pPr>
              <w:rPr>
                <w:rFonts w:asciiTheme="minorHAnsi" w:hAnsiTheme="minorHAnsi" w:cstheme="minorHAnsi"/>
                <w:sz w:val="2"/>
                <w:szCs w:val="2"/>
              </w:rPr>
            </w:pPr>
          </w:p>
        </w:tc>
        <w:tc>
          <w:tcPr>
            <w:tcW w:w="5508" w:type="dxa"/>
            <w:vMerge/>
          </w:tcPr>
          <w:p w14:paraId="57AAD653" w14:textId="77777777" w:rsidR="003C27A0" w:rsidRPr="00F97952" w:rsidRDefault="003C27A0" w:rsidP="00BF4281">
            <w:pPr>
              <w:rPr>
                <w:rFonts w:asciiTheme="minorHAnsi" w:hAnsiTheme="minorHAnsi" w:cstheme="minorHAnsi"/>
                <w:sz w:val="2"/>
                <w:szCs w:val="2"/>
              </w:rPr>
            </w:pPr>
          </w:p>
        </w:tc>
        <w:tc>
          <w:tcPr>
            <w:tcW w:w="2049" w:type="dxa"/>
            <w:gridSpan w:val="2"/>
          </w:tcPr>
          <w:p w14:paraId="4FED0418" w14:textId="77777777" w:rsidR="003C27A0" w:rsidRPr="00F97952" w:rsidRDefault="003C27A0" w:rsidP="00BF4281">
            <w:pPr>
              <w:pStyle w:val="TableParagraph"/>
              <w:spacing w:before="0"/>
              <w:rPr>
                <w:rFonts w:asciiTheme="minorHAnsi" w:hAnsiTheme="minorHAnsi" w:cstheme="minorHAnsi"/>
                <w:sz w:val="18"/>
              </w:rPr>
            </w:pPr>
          </w:p>
        </w:tc>
      </w:tr>
      <w:tr w:rsidR="000357DB" w:rsidRPr="00F97952" w14:paraId="474A6DAE" w14:textId="77777777" w:rsidTr="00185D48">
        <w:trPr>
          <w:trHeight w:val="230"/>
        </w:trPr>
        <w:tc>
          <w:tcPr>
            <w:tcW w:w="1867" w:type="dxa"/>
            <w:vMerge/>
          </w:tcPr>
          <w:p w14:paraId="1C0AD6FE" w14:textId="77777777" w:rsidR="003C27A0" w:rsidRPr="00F97952" w:rsidRDefault="003C27A0" w:rsidP="00BF4281">
            <w:pPr>
              <w:rPr>
                <w:rFonts w:asciiTheme="minorHAnsi" w:hAnsiTheme="minorHAnsi" w:cstheme="minorHAnsi"/>
                <w:sz w:val="2"/>
                <w:szCs w:val="2"/>
              </w:rPr>
            </w:pPr>
          </w:p>
        </w:tc>
        <w:tc>
          <w:tcPr>
            <w:tcW w:w="5508" w:type="dxa"/>
            <w:vMerge w:val="restart"/>
          </w:tcPr>
          <w:p w14:paraId="66E68904" w14:textId="77777777" w:rsidR="003C27A0" w:rsidRPr="00F97952" w:rsidRDefault="003C27A0" w:rsidP="00BF4281">
            <w:pPr>
              <w:pStyle w:val="TableParagraph"/>
              <w:spacing w:before="0"/>
              <w:ind w:left="102"/>
              <w:rPr>
                <w:rFonts w:asciiTheme="minorHAnsi" w:hAnsiTheme="minorHAnsi" w:cstheme="minorHAnsi"/>
                <w:b/>
              </w:rPr>
            </w:pPr>
            <w:r w:rsidRPr="00F97952">
              <w:rPr>
                <w:rFonts w:asciiTheme="minorHAnsi" w:hAnsiTheme="minorHAnsi" w:cstheme="minorHAnsi"/>
                <w:b/>
              </w:rPr>
              <w:t>Program 2:</w:t>
            </w:r>
          </w:p>
          <w:p w14:paraId="352347E1" w14:textId="77777777" w:rsidR="003C27A0" w:rsidRPr="00F97952" w:rsidRDefault="003C27A0" w:rsidP="00BF4281">
            <w:pPr>
              <w:pStyle w:val="TableParagraph"/>
              <w:spacing w:before="0"/>
              <w:ind w:left="102" w:right="256"/>
              <w:rPr>
                <w:rFonts w:asciiTheme="minorHAnsi" w:hAnsiTheme="minorHAnsi" w:cstheme="minorHAnsi"/>
              </w:rPr>
            </w:pPr>
            <w:r w:rsidRPr="00F97952">
              <w:rPr>
                <w:rFonts w:asciiTheme="minorHAnsi" w:hAnsiTheme="minorHAnsi" w:cstheme="minorHAnsi"/>
              </w:rPr>
              <w:t>Support enabling activities and promote their integration into national budgets, planning processes, national and sectoral</w:t>
            </w:r>
          </w:p>
          <w:p w14:paraId="25894C05" w14:textId="77777777" w:rsidR="003C27A0" w:rsidRPr="00F97952" w:rsidRDefault="003C27A0" w:rsidP="00BF4281">
            <w:pPr>
              <w:pStyle w:val="TableParagraph"/>
              <w:spacing w:before="3"/>
              <w:ind w:left="102"/>
              <w:rPr>
                <w:rFonts w:asciiTheme="minorHAnsi" w:hAnsiTheme="minorHAnsi" w:cstheme="minorHAnsi"/>
              </w:rPr>
            </w:pPr>
            <w:r w:rsidRPr="00F97952">
              <w:rPr>
                <w:rFonts w:asciiTheme="minorHAnsi" w:hAnsiTheme="minorHAnsi" w:cstheme="minorHAnsi"/>
              </w:rPr>
              <w:t>policies and actions, and global monitoring</w:t>
            </w:r>
          </w:p>
        </w:tc>
        <w:tc>
          <w:tcPr>
            <w:tcW w:w="1350" w:type="dxa"/>
          </w:tcPr>
          <w:p w14:paraId="1F362805"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POPs</w:t>
            </w:r>
          </w:p>
        </w:tc>
        <w:tc>
          <w:tcPr>
            <w:tcW w:w="699" w:type="dxa"/>
          </w:tcPr>
          <w:p w14:paraId="7BAA173D"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20</w:t>
            </w:r>
          </w:p>
        </w:tc>
      </w:tr>
      <w:tr w:rsidR="000357DB" w:rsidRPr="00F97952" w14:paraId="0970336D" w14:textId="77777777" w:rsidTr="00185D48">
        <w:trPr>
          <w:trHeight w:val="230"/>
        </w:trPr>
        <w:tc>
          <w:tcPr>
            <w:tcW w:w="1867" w:type="dxa"/>
            <w:vMerge/>
          </w:tcPr>
          <w:p w14:paraId="0D5E830E" w14:textId="77777777" w:rsidR="003C27A0" w:rsidRPr="00F97952" w:rsidRDefault="003C27A0" w:rsidP="00BF4281">
            <w:pPr>
              <w:rPr>
                <w:rFonts w:asciiTheme="minorHAnsi" w:hAnsiTheme="minorHAnsi" w:cstheme="minorHAnsi"/>
                <w:sz w:val="2"/>
                <w:szCs w:val="2"/>
              </w:rPr>
            </w:pPr>
          </w:p>
        </w:tc>
        <w:tc>
          <w:tcPr>
            <w:tcW w:w="5508" w:type="dxa"/>
            <w:vMerge/>
          </w:tcPr>
          <w:p w14:paraId="7DD67790" w14:textId="77777777" w:rsidR="003C27A0" w:rsidRPr="00F97952" w:rsidRDefault="003C27A0" w:rsidP="00BF4281">
            <w:pPr>
              <w:rPr>
                <w:rFonts w:asciiTheme="minorHAnsi" w:hAnsiTheme="minorHAnsi" w:cstheme="minorHAnsi"/>
                <w:sz w:val="2"/>
                <w:szCs w:val="2"/>
              </w:rPr>
            </w:pPr>
          </w:p>
        </w:tc>
        <w:tc>
          <w:tcPr>
            <w:tcW w:w="1350" w:type="dxa"/>
          </w:tcPr>
          <w:p w14:paraId="27B5DA75"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Mercury</w:t>
            </w:r>
          </w:p>
        </w:tc>
        <w:tc>
          <w:tcPr>
            <w:tcW w:w="699" w:type="dxa"/>
          </w:tcPr>
          <w:p w14:paraId="068A79D2"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30</w:t>
            </w:r>
          </w:p>
        </w:tc>
      </w:tr>
      <w:tr w:rsidR="000357DB" w:rsidRPr="00F97952" w14:paraId="3EFF6598" w14:textId="77777777" w:rsidTr="00185D48">
        <w:trPr>
          <w:trHeight w:val="470"/>
        </w:trPr>
        <w:tc>
          <w:tcPr>
            <w:tcW w:w="1867" w:type="dxa"/>
            <w:vMerge/>
          </w:tcPr>
          <w:p w14:paraId="307190AD" w14:textId="77777777" w:rsidR="003C27A0" w:rsidRPr="00F97952" w:rsidRDefault="003C27A0" w:rsidP="00BF4281">
            <w:pPr>
              <w:rPr>
                <w:rFonts w:asciiTheme="minorHAnsi" w:hAnsiTheme="minorHAnsi" w:cstheme="minorHAnsi"/>
                <w:sz w:val="2"/>
                <w:szCs w:val="2"/>
              </w:rPr>
            </w:pPr>
          </w:p>
        </w:tc>
        <w:tc>
          <w:tcPr>
            <w:tcW w:w="5508" w:type="dxa"/>
            <w:vMerge/>
          </w:tcPr>
          <w:p w14:paraId="0FC7F98B" w14:textId="77777777" w:rsidR="003C27A0" w:rsidRPr="00F97952" w:rsidRDefault="003C27A0" w:rsidP="00BF4281">
            <w:pPr>
              <w:rPr>
                <w:rFonts w:asciiTheme="minorHAnsi" w:hAnsiTheme="minorHAnsi" w:cstheme="minorHAnsi"/>
                <w:sz w:val="2"/>
                <w:szCs w:val="2"/>
              </w:rPr>
            </w:pPr>
          </w:p>
        </w:tc>
        <w:tc>
          <w:tcPr>
            <w:tcW w:w="2049" w:type="dxa"/>
            <w:gridSpan w:val="2"/>
          </w:tcPr>
          <w:p w14:paraId="05BD01EC" w14:textId="77777777" w:rsidR="003C27A0" w:rsidRPr="00F97952" w:rsidRDefault="003C27A0" w:rsidP="00BF4281">
            <w:pPr>
              <w:pStyle w:val="TableParagraph"/>
              <w:spacing w:before="0"/>
              <w:rPr>
                <w:rFonts w:asciiTheme="minorHAnsi" w:hAnsiTheme="minorHAnsi" w:cstheme="minorHAnsi"/>
              </w:rPr>
            </w:pPr>
          </w:p>
        </w:tc>
      </w:tr>
      <w:tr w:rsidR="000357DB" w:rsidRPr="00F97952" w14:paraId="644EABF9" w14:textId="77777777" w:rsidTr="00185D48">
        <w:trPr>
          <w:trHeight w:val="490"/>
        </w:trPr>
        <w:tc>
          <w:tcPr>
            <w:tcW w:w="1867" w:type="dxa"/>
            <w:vMerge w:val="restart"/>
          </w:tcPr>
          <w:p w14:paraId="66E94E29"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CW 2</w:t>
            </w:r>
          </w:p>
          <w:p w14:paraId="1F6861D9" w14:textId="77777777" w:rsidR="003C27A0" w:rsidRPr="00F97952" w:rsidRDefault="003C27A0" w:rsidP="00BF4281">
            <w:pPr>
              <w:pStyle w:val="TableParagraph"/>
              <w:spacing w:before="1"/>
              <w:ind w:left="103" w:right="113"/>
              <w:rPr>
                <w:rFonts w:asciiTheme="minorHAnsi" w:hAnsiTheme="minorHAnsi" w:cstheme="minorHAnsi"/>
              </w:rPr>
            </w:pPr>
            <w:r w:rsidRPr="00F97952">
              <w:rPr>
                <w:rFonts w:asciiTheme="minorHAnsi" w:hAnsiTheme="minorHAnsi" w:cstheme="minorHAnsi"/>
              </w:rPr>
              <w:t>Reduce the prevalence of harmful chemicals and wastes and support the implementation of clean alternative technologies/</w:t>
            </w:r>
            <w:r w:rsidR="00DE3D06" w:rsidRPr="00F97952">
              <w:rPr>
                <w:rFonts w:asciiTheme="minorHAnsi" w:hAnsiTheme="minorHAnsi" w:cstheme="minorHAnsi"/>
              </w:rPr>
              <w:t xml:space="preserve"> subst</w:t>
            </w:r>
            <w:r w:rsidRPr="00F97952">
              <w:rPr>
                <w:rFonts w:asciiTheme="minorHAnsi" w:hAnsiTheme="minorHAnsi" w:cstheme="minorHAnsi"/>
              </w:rPr>
              <w:t>ances</w:t>
            </w:r>
          </w:p>
        </w:tc>
        <w:tc>
          <w:tcPr>
            <w:tcW w:w="5508" w:type="dxa"/>
          </w:tcPr>
          <w:p w14:paraId="027E8B57" w14:textId="77777777" w:rsidR="003C27A0" w:rsidRPr="00F97952" w:rsidRDefault="003C27A0" w:rsidP="00BF4281">
            <w:pPr>
              <w:pStyle w:val="TableParagraph"/>
              <w:spacing w:before="0"/>
              <w:ind w:left="102"/>
              <w:rPr>
                <w:rFonts w:asciiTheme="minorHAnsi" w:hAnsiTheme="minorHAnsi" w:cstheme="minorHAnsi"/>
                <w:b/>
              </w:rPr>
            </w:pPr>
            <w:r w:rsidRPr="00F97952">
              <w:rPr>
                <w:rFonts w:asciiTheme="minorHAnsi" w:hAnsiTheme="minorHAnsi" w:cstheme="minorHAnsi"/>
                <w:b/>
              </w:rPr>
              <w:t>Program 3:</w:t>
            </w:r>
          </w:p>
          <w:p w14:paraId="4BB44359" w14:textId="77777777" w:rsidR="003C27A0" w:rsidRPr="00F97952" w:rsidRDefault="003C27A0" w:rsidP="00BF4281">
            <w:pPr>
              <w:pStyle w:val="TableParagraph"/>
              <w:spacing w:before="0"/>
              <w:ind w:left="102"/>
              <w:rPr>
                <w:rFonts w:asciiTheme="minorHAnsi" w:hAnsiTheme="minorHAnsi" w:cstheme="minorHAnsi"/>
              </w:rPr>
            </w:pPr>
            <w:r w:rsidRPr="00F97952">
              <w:rPr>
                <w:rFonts w:asciiTheme="minorHAnsi" w:hAnsiTheme="minorHAnsi" w:cstheme="minorHAnsi"/>
              </w:rPr>
              <w:t>Reduction and elimination of POPs</w:t>
            </w:r>
          </w:p>
        </w:tc>
        <w:tc>
          <w:tcPr>
            <w:tcW w:w="1350" w:type="dxa"/>
          </w:tcPr>
          <w:p w14:paraId="5D8896C2"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POPs</w:t>
            </w:r>
          </w:p>
        </w:tc>
        <w:tc>
          <w:tcPr>
            <w:tcW w:w="699" w:type="dxa"/>
          </w:tcPr>
          <w:p w14:paraId="5C0C70C2"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307</w:t>
            </w:r>
          </w:p>
        </w:tc>
      </w:tr>
      <w:tr w:rsidR="000357DB" w:rsidRPr="00F97952" w14:paraId="1487FC71" w14:textId="77777777" w:rsidTr="00185D48">
        <w:trPr>
          <w:trHeight w:val="730"/>
        </w:trPr>
        <w:tc>
          <w:tcPr>
            <w:tcW w:w="1867" w:type="dxa"/>
            <w:vMerge/>
          </w:tcPr>
          <w:p w14:paraId="39286612" w14:textId="77777777" w:rsidR="003C27A0" w:rsidRPr="00F97952" w:rsidRDefault="003C27A0" w:rsidP="00BF4281">
            <w:pPr>
              <w:rPr>
                <w:rFonts w:asciiTheme="minorHAnsi" w:hAnsiTheme="minorHAnsi" w:cstheme="minorHAnsi"/>
                <w:sz w:val="2"/>
                <w:szCs w:val="2"/>
              </w:rPr>
            </w:pPr>
          </w:p>
        </w:tc>
        <w:tc>
          <w:tcPr>
            <w:tcW w:w="5508" w:type="dxa"/>
          </w:tcPr>
          <w:p w14:paraId="5DE0889E" w14:textId="77777777" w:rsidR="003C27A0" w:rsidRPr="00F97952" w:rsidRDefault="003C27A0" w:rsidP="00BF4281">
            <w:pPr>
              <w:pStyle w:val="TableParagraph"/>
              <w:spacing w:before="0"/>
              <w:ind w:left="102"/>
              <w:rPr>
                <w:rFonts w:asciiTheme="minorHAnsi" w:hAnsiTheme="minorHAnsi" w:cstheme="minorHAnsi"/>
              </w:rPr>
            </w:pPr>
            <w:r w:rsidRPr="00F97952">
              <w:rPr>
                <w:rFonts w:asciiTheme="minorHAnsi" w:hAnsiTheme="minorHAnsi" w:cstheme="minorHAnsi"/>
                <w:b/>
              </w:rPr>
              <w:t>Program 4</w:t>
            </w:r>
            <w:r w:rsidRPr="00F97952">
              <w:rPr>
                <w:rFonts w:asciiTheme="minorHAnsi" w:hAnsiTheme="minorHAnsi" w:cstheme="minorHAnsi"/>
              </w:rPr>
              <w:t>:</w:t>
            </w:r>
          </w:p>
          <w:p w14:paraId="09E60B90" w14:textId="77777777" w:rsidR="003C27A0" w:rsidRPr="00F97952" w:rsidRDefault="003C27A0" w:rsidP="00BF4281">
            <w:pPr>
              <w:pStyle w:val="TableParagraph"/>
              <w:spacing w:before="5"/>
              <w:ind w:left="102" w:right="110"/>
              <w:rPr>
                <w:rFonts w:asciiTheme="minorHAnsi" w:hAnsiTheme="minorHAnsi" w:cstheme="minorHAnsi"/>
              </w:rPr>
            </w:pPr>
            <w:r w:rsidRPr="00F97952">
              <w:rPr>
                <w:rFonts w:asciiTheme="minorHAnsi" w:hAnsiTheme="minorHAnsi" w:cstheme="minorHAnsi"/>
              </w:rPr>
              <w:t>Reduction of anthropogenic emissions and releases of mercury to the environment</w:t>
            </w:r>
          </w:p>
        </w:tc>
        <w:tc>
          <w:tcPr>
            <w:tcW w:w="1350" w:type="dxa"/>
          </w:tcPr>
          <w:p w14:paraId="595657F2"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Mercury</w:t>
            </w:r>
          </w:p>
        </w:tc>
        <w:tc>
          <w:tcPr>
            <w:tcW w:w="699" w:type="dxa"/>
          </w:tcPr>
          <w:p w14:paraId="6078C770"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78</w:t>
            </w:r>
          </w:p>
        </w:tc>
      </w:tr>
      <w:tr w:rsidR="000357DB" w:rsidRPr="00F97952" w14:paraId="3712BE2E" w14:textId="77777777" w:rsidTr="00185D48">
        <w:trPr>
          <w:trHeight w:val="990"/>
        </w:trPr>
        <w:tc>
          <w:tcPr>
            <w:tcW w:w="1867" w:type="dxa"/>
            <w:vMerge/>
          </w:tcPr>
          <w:p w14:paraId="3FEC2BFB" w14:textId="77777777" w:rsidR="003C27A0" w:rsidRPr="00F97952" w:rsidRDefault="003C27A0" w:rsidP="00BF4281">
            <w:pPr>
              <w:rPr>
                <w:rFonts w:asciiTheme="minorHAnsi" w:hAnsiTheme="minorHAnsi" w:cstheme="minorHAnsi"/>
                <w:sz w:val="2"/>
                <w:szCs w:val="2"/>
              </w:rPr>
            </w:pPr>
          </w:p>
        </w:tc>
        <w:tc>
          <w:tcPr>
            <w:tcW w:w="5508" w:type="dxa"/>
          </w:tcPr>
          <w:p w14:paraId="6260071C" w14:textId="77777777" w:rsidR="003C27A0" w:rsidRPr="00F97952" w:rsidRDefault="003C27A0" w:rsidP="00BF4281">
            <w:pPr>
              <w:pStyle w:val="TableParagraph"/>
              <w:spacing w:before="0"/>
              <w:ind w:left="102"/>
              <w:rPr>
                <w:rFonts w:asciiTheme="minorHAnsi" w:hAnsiTheme="minorHAnsi" w:cstheme="minorHAnsi"/>
                <w:b/>
              </w:rPr>
            </w:pPr>
            <w:r w:rsidRPr="00F97952">
              <w:rPr>
                <w:rFonts w:asciiTheme="minorHAnsi" w:hAnsiTheme="minorHAnsi" w:cstheme="minorHAnsi"/>
                <w:b/>
              </w:rPr>
              <w:t>Program 5:</w:t>
            </w:r>
          </w:p>
          <w:p w14:paraId="18FDAF97" w14:textId="77777777" w:rsidR="003C27A0" w:rsidRPr="00F97952" w:rsidRDefault="003C27A0" w:rsidP="00BF4281">
            <w:pPr>
              <w:pStyle w:val="TableParagraph"/>
              <w:spacing w:before="0"/>
              <w:ind w:left="102"/>
              <w:rPr>
                <w:rFonts w:asciiTheme="minorHAnsi" w:hAnsiTheme="minorHAnsi" w:cstheme="minorHAnsi"/>
              </w:rPr>
            </w:pPr>
            <w:r w:rsidRPr="00F97952">
              <w:rPr>
                <w:rFonts w:asciiTheme="minorHAnsi" w:hAnsiTheme="minorHAnsi" w:cstheme="minorHAnsi"/>
              </w:rPr>
              <w:t>Complete the phase out of ODS</w:t>
            </w:r>
            <w:r w:rsidRPr="00F97952">
              <w:rPr>
                <w:rFonts w:asciiTheme="minorHAnsi" w:hAnsiTheme="minorHAnsi" w:cstheme="minorHAnsi"/>
                <w:position w:val="8"/>
                <w:sz w:val="14"/>
              </w:rPr>
              <w:t xml:space="preserve">a </w:t>
            </w:r>
            <w:r w:rsidRPr="00F97952">
              <w:rPr>
                <w:rFonts w:asciiTheme="minorHAnsi" w:hAnsiTheme="minorHAnsi" w:cstheme="minorHAnsi"/>
              </w:rPr>
              <w:t>in CEITs</w:t>
            </w:r>
            <w:r w:rsidRPr="00F97952">
              <w:rPr>
                <w:rFonts w:asciiTheme="minorHAnsi" w:hAnsiTheme="minorHAnsi" w:cstheme="minorHAnsi"/>
                <w:position w:val="8"/>
                <w:sz w:val="14"/>
              </w:rPr>
              <w:t xml:space="preserve">b </w:t>
            </w:r>
            <w:r w:rsidRPr="00F97952">
              <w:rPr>
                <w:rFonts w:asciiTheme="minorHAnsi" w:hAnsiTheme="minorHAnsi" w:cstheme="minorHAnsi"/>
              </w:rPr>
              <w:t>and assist Article 5 countries under the Montreal Protocol to achieve climate</w:t>
            </w:r>
          </w:p>
          <w:p w14:paraId="5745F557" w14:textId="77777777" w:rsidR="003C27A0" w:rsidRPr="00F97952" w:rsidRDefault="003C27A0" w:rsidP="00BF4281">
            <w:pPr>
              <w:pStyle w:val="TableParagraph"/>
              <w:spacing w:before="7"/>
              <w:ind w:left="102"/>
              <w:rPr>
                <w:rFonts w:asciiTheme="minorHAnsi" w:hAnsiTheme="minorHAnsi" w:cstheme="minorHAnsi"/>
              </w:rPr>
            </w:pPr>
            <w:r w:rsidRPr="00F97952">
              <w:rPr>
                <w:rFonts w:asciiTheme="minorHAnsi" w:hAnsiTheme="minorHAnsi" w:cstheme="minorHAnsi"/>
              </w:rPr>
              <w:t>mitigation benefits</w:t>
            </w:r>
          </w:p>
        </w:tc>
        <w:tc>
          <w:tcPr>
            <w:tcW w:w="1350" w:type="dxa"/>
          </w:tcPr>
          <w:p w14:paraId="31E2015E"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ODS</w:t>
            </w:r>
          </w:p>
        </w:tc>
        <w:tc>
          <w:tcPr>
            <w:tcW w:w="699" w:type="dxa"/>
          </w:tcPr>
          <w:p w14:paraId="465B492B"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25</w:t>
            </w:r>
          </w:p>
        </w:tc>
      </w:tr>
      <w:tr w:rsidR="000357DB" w:rsidRPr="00F97952" w14:paraId="5B901E15" w14:textId="77777777" w:rsidTr="00185D48">
        <w:trPr>
          <w:trHeight w:val="250"/>
        </w:trPr>
        <w:tc>
          <w:tcPr>
            <w:tcW w:w="1867" w:type="dxa"/>
            <w:vMerge/>
          </w:tcPr>
          <w:p w14:paraId="6516B018" w14:textId="77777777" w:rsidR="003C27A0" w:rsidRPr="00F97952" w:rsidRDefault="003C27A0" w:rsidP="00BF4281">
            <w:pPr>
              <w:rPr>
                <w:rFonts w:asciiTheme="minorHAnsi" w:hAnsiTheme="minorHAnsi" w:cstheme="minorHAnsi"/>
                <w:sz w:val="2"/>
                <w:szCs w:val="2"/>
              </w:rPr>
            </w:pPr>
          </w:p>
        </w:tc>
        <w:tc>
          <w:tcPr>
            <w:tcW w:w="5508" w:type="dxa"/>
            <w:vMerge w:val="restart"/>
          </w:tcPr>
          <w:p w14:paraId="326E6A34" w14:textId="77777777" w:rsidR="003C27A0" w:rsidRPr="00F97952" w:rsidRDefault="003C27A0" w:rsidP="00BF4281">
            <w:pPr>
              <w:pStyle w:val="TableParagraph"/>
              <w:spacing w:before="0"/>
              <w:ind w:left="102"/>
              <w:rPr>
                <w:rFonts w:asciiTheme="minorHAnsi" w:hAnsiTheme="minorHAnsi" w:cstheme="minorHAnsi"/>
                <w:b/>
              </w:rPr>
            </w:pPr>
            <w:r w:rsidRPr="00F97952">
              <w:rPr>
                <w:rFonts w:asciiTheme="minorHAnsi" w:hAnsiTheme="minorHAnsi" w:cstheme="minorHAnsi"/>
                <w:b/>
              </w:rPr>
              <w:t>Program 6:</w:t>
            </w:r>
          </w:p>
          <w:p w14:paraId="50ED0C6E" w14:textId="77777777" w:rsidR="003C27A0" w:rsidRPr="00F97952" w:rsidRDefault="003C27A0" w:rsidP="00BF4281">
            <w:pPr>
              <w:pStyle w:val="TableParagraph"/>
              <w:spacing w:before="3"/>
              <w:ind w:left="102" w:right="257"/>
              <w:rPr>
                <w:rFonts w:asciiTheme="minorHAnsi" w:hAnsiTheme="minorHAnsi" w:cstheme="minorHAnsi"/>
                <w:sz w:val="14"/>
              </w:rPr>
            </w:pPr>
            <w:r w:rsidRPr="00F97952">
              <w:rPr>
                <w:rFonts w:asciiTheme="minorHAnsi" w:hAnsiTheme="minorHAnsi" w:cstheme="minorHAnsi"/>
              </w:rPr>
              <w:t xml:space="preserve">Support regional approaches to eliminate and reduce harmful chemicals and wastes in </w:t>
            </w:r>
            <w:r w:rsidR="00117AC3" w:rsidRPr="00F97952">
              <w:rPr>
                <w:rFonts w:asciiTheme="minorHAnsi" w:hAnsiTheme="minorHAnsi" w:cstheme="minorHAnsi"/>
              </w:rPr>
              <w:t>LDCs</w:t>
            </w:r>
            <w:r w:rsidR="00117AC3" w:rsidRPr="00F97952">
              <w:rPr>
                <w:rFonts w:asciiTheme="minorHAnsi" w:hAnsiTheme="minorHAnsi" w:cstheme="minorHAnsi"/>
                <w:position w:val="8"/>
                <w:sz w:val="14"/>
              </w:rPr>
              <w:t xml:space="preserve">c </w:t>
            </w:r>
            <w:r w:rsidR="00117AC3" w:rsidRPr="00F97952">
              <w:rPr>
                <w:rFonts w:asciiTheme="minorHAnsi" w:hAnsiTheme="minorHAnsi"/>
              </w:rPr>
              <w:t>and</w:t>
            </w:r>
            <w:r w:rsidRPr="00F97952">
              <w:rPr>
                <w:rFonts w:asciiTheme="minorHAnsi" w:hAnsiTheme="minorHAnsi" w:cstheme="minorHAnsi"/>
              </w:rPr>
              <w:t xml:space="preserve"> SIDS</w:t>
            </w:r>
            <w:r w:rsidRPr="00F97952">
              <w:rPr>
                <w:rFonts w:asciiTheme="minorHAnsi" w:hAnsiTheme="minorHAnsi" w:cstheme="minorHAnsi"/>
                <w:position w:val="8"/>
                <w:sz w:val="14"/>
              </w:rPr>
              <w:t>d</w:t>
            </w:r>
          </w:p>
        </w:tc>
        <w:tc>
          <w:tcPr>
            <w:tcW w:w="1350" w:type="dxa"/>
          </w:tcPr>
          <w:p w14:paraId="3102B300"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POPs</w:t>
            </w:r>
          </w:p>
        </w:tc>
        <w:tc>
          <w:tcPr>
            <w:tcW w:w="699" w:type="dxa"/>
          </w:tcPr>
          <w:p w14:paraId="4F99D513"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28</w:t>
            </w:r>
          </w:p>
        </w:tc>
      </w:tr>
      <w:tr w:rsidR="000357DB" w:rsidRPr="00F97952" w14:paraId="208794BC" w14:textId="77777777" w:rsidTr="00185D48">
        <w:trPr>
          <w:trHeight w:val="250"/>
        </w:trPr>
        <w:tc>
          <w:tcPr>
            <w:tcW w:w="1867" w:type="dxa"/>
            <w:vMerge/>
          </w:tcPr>
          <w:p w14:paraId="42DEDFD9" w14:textId="77777777" w:rsidR="003C27A0" w:rsidRPr="00F97952" w:rsidRDefault="003C27A0" w:rsidP="00BF4281">
            <w:pPr>
              <w:rPr>
                <w:rFonts w:asciiTheme="minorHAnsi" w:hAnsiTheme="minorHAnsi" w:cstheme="minorHAnsi"/>
                <w:sz w:val="2"/>
                <w:szCs w:val="2"/>
              </w:rPr>
            </w:pPr>
          </w:p>
        </w:tc>
        <w:tc>
          <w:tcPr>
            <w:tcW w:w="5508" w:type="dxa"/>
            <w:vMerge/>
          </w:tcPr>
          <w:p w14:paraId="7B3E67F6" w14:textId="77777777" w:rsidR="003C27A0" w:rsidRPr="00F97952" w:rsidRDefault="003C27A0" w:rsidP="00BF4281">
            <w:pPr>
              <w:rPr>
                <w:rFonts w:asciiTheme="minorHAnsi" w:hAnsiTheme="minorHAnsi" w:cstheme="minorHAnsi"/>
                <w:sz w:val="2"/>
                <w:szCs w:val="2"/>
              </w:rPr>
            </w:pPr>
          </w:p>
        </w:tc>
        <w:tc>
          <w:tcPr>
            <w:tcW w:w="1350" w:type="dxa"/>
          </w:tcPr>
          <w:p w14:paraId="24274A4B"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Mercury</w:t>
            </w:r>
          </w:p>
        </w:tc>
        <w:tc>
          <w:tcPr>
            <w:tcW w:w="699" w:type="dxa"/>
          </w:tcPr>
          <w:p w14:paraId="1259F7E4"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23</w:t>
            </w:r>
          </w:p>
        </w:tc>
      </w:tr>
      <w:tr w:rsidR="000357DB" w:rsidRPr="00F97952" w14:paraId="502038EC" w14:textId="77777777" w:rsidTr="00185D48">
        <w:trPr>
          <w:trHeight w:val="310"/>
        </w:trPr>
        <w:tc>
          <w:tcPr>
            <w:tcW w:w="1867" w:type="dxa"/>
            <w:vMerge/>
          </w:tcPr>
          <w:p w14:paraId="0C61BEE6" w14:textId="77777777" w:rsidR="003C27A0" w:rsidRPr="00F97952" w:rsidRDefault="003C27A0" w:rsidP="00BF4281">
            <w:pPr>
              <w:rPr>
                <w:rFonts w:asciiTheme="minorHAnsi" w:hAnsiTheme="minorHAnsi" w:cstheme="minorHAnsi"/>
                <w:sz w:val="2"/>
                <w:szCs w:val="2"/>
              </w:rPr>
            </w:pPr>
          </w:p>
        </w:tc>
        <w:tc>
          <w:tcPr>
            <w:tcW w:w="5508" w:type="dxa"/>
            <w:vMerge/>
          </w:tcPr>
          <w:p w14:paraId="1CE545CA" w14:textId="77777777" w:rsidR="003C27A0" w:rsidRPr="00F97952" w:rsidRDefault="003C27A0" w:rsidP="00BF4281">
            <w:pPr>
              <w:rPr>
                <w:rFonts w:asciiTheme="minorHAnsi" w:hAnsiTheme="minorHAnsi" w:cstheme="minorHAnsi"/>
                <w:sz w:val="2"/>
                <w:szCs w:val="2"/>
              </w:rPr>
            </w:pPr>
          </w:p>
        </w:tc>
        <w:tc>
          <w:tcPr>
            <w:tcW w:w="1350" w:type="dxa"/>
          </w:tcPr>
          <w:p w14:paraId="22B30DC2" w14:textId="77777777" w:rsidR="003C27A0" w:rsidRPr="00F97952" w:rsidRDefault="003C27A0" w:rsidP="00BF4281">
            <w:pPr>
              <w:pStyle w:val="TableParagraph"/>
              <w:spacing w:before="0"/>
              <w:ind w:left="103"/>
              <w:rPr>
                <w:rFonts w:asciiTheme="minorHAnsi" w:hAnsiTheme="minorHAnsi" w:cstheme="minorHAnsi"/>
              </w:rPr>
            </w:pPr>
            <w:r w:rsidRPr="00F97952">
              <w:rPr>
                <w:rFonts w:asciiTheme="minorHAnsi" w:hAnsiTheme="minorHAnsi" w:cstheme="minorHAnsi"/>
              </w:rPr>
              <w:t>SAICM</w:t>
            </w:r>
          </w:p>
        </w:tc>
        <w:tc>
          <w:tcPr>
            <w:tcW w:w="699" w:type="dxa"/>
          </w:tcPr>
          <w:p w14:paraId="4A2387DE" w14:textId="77777777" w:rsidR="003C27A0" w:rsidRPr="00F97952" w:rsidRDefault="003C27A0" w:rsidP="00BF4281">
            <w:pPr>
              <w:pStyle w:val="TableParagraph"/>
              <w:spacing w:before="0"/>
              <w:ind w:right="101"/>
              <w:jc w:val="right"/>
              <w:rPr>
                <w:rFonts w:asciiTheme="minorHAnsi" w:hAnsiTheme="minorHAnsi" w:cstheme="minorHAnsi"/>
              </w:rPr>
            </w:pPr>
            <w:r w:rsidRPr="00F97952">
              <w:rPr>
                <w:rFonts w:asciiTheme="minorHAnsi" w:hAnsiTheme="minorHAnsi" w:cstheme="minorHAnsi"/>
              </w:rPr>
              <w:t>5</w:t>
            </w:r>
          </w:p>
        </w:tc>
      </w:tr>
      <w:tr w:rsidR="000357DB" w:rsidRPr="00F97952" w14:paraId="3CA73CE3" w14:textId="77777777" w:rsidTr="00722C03">
        <w:trPr>
          <w:trHeight w:val="230"/>
        </w:trPr>
        <w:tc>
          <w:tcPr>
            <w:tcW w:w="8725" w:type="dxa"/>
            <w:gridSpan w:val="3"/>
          </w:tcPr>
          <w:p w14:paraId="7F349770" w14:textId="77777777" w:rsidR="003C27A0" w:rsidRPr="00F97952" w:rsidRDefault="003C27A0" w:rsidP="00BF4281">
            <w:pPr>
              <w:pStyle w:val="TableParagraph"/>
              <w:spacing w:before="0"/>
              <w:ind w:right="103"/>
              <w:jc w:val="right"/>
              <w:rPr>
                <w:rFonts w:asciiTheme="minorHAnsi" w:hAnsiTheme="minorHAnsi" w:cstheme="minorHAnsi"/>
              </w:rPr>
            </w:pPr>
            <w:r w:rsidRPr="00F97952">
              <w:rPr>
                <w:rFonts w:asciiTheme="minorHAnsi" w:hAnsiTheme="minorHAnsi" w:cstheme="minorHAnsi"/>
              </w:rPr>
              <w:t>Sub Total (Mercury)</w:t>
            </w:r>
          </w:p>
        </w:tc>
        <w:tc>
          <w:tcPr>
            <w:tcW w:w="699" w:type="dxa"/>
          </w:tcPr>
          <w:p w14:paraId="1FA29E7F" w14:textId="77777777" w:rsidR="003C27A0" w:rsidRPr="00F97952" w:rsidRDefault="003C27A0" w:rsidP="00BF4281">
            <w:pPr>
              <w:pStyle w:val="TableParagraph"/>
              <w:spacing w:before="0"/>
              <w:ind w:right="101"/>
              <w:jc w:val="right"/>
              <w:rPr>
                <w:rFonts w:asciiTheme="minorHAnsi" w:hAnsiTheme="minorHAnsi" w:cstheme="minorHAnsi"/>
                <w:b/>
              </w:rPr>
            </w:pPr>
            <w:r w:rsidRPr="00F97952">
              <w:rPr>
                <w:rFonts w:asciiTheme="minorHAnsi" w:hAnsiTheme="minorHAnsi" w:cstheme="minorHAnsi"/>
                <w:b/>
              </w:rPr>
              <w:t>141</w:t>
            </w:r>
          </w:p>
        </w:tc>
      </w:tr>
      <w:tr w:rsidR="000357DB" w:rsidRPr="00F97952" w14:paraId="589C958C" w14:textId="77777777" w:rsidTr="00722C03">
        <w:trPr>
          <w:trHeight w:val="230"/>
        </w:trPr>
        <w:tc>
          <w:tcPr>
            <w:tcW w:w="8725" w:type="dxa"/>
            <w:gridSpan w:val="3"/>
          </w:tcPr>
          <w:p w14:paraId="76D7A6A1" w14:textId="77777777" w:rsidR="003C27A0" w:rsidRPr="00F97952" w:rsidRDefault="003C27A0" w:rsidP="00BF4281">
            <w:pPr>
              <w:pStyle w:val="TableParagraph"/>
              <w:spacing w:before="0"/>
              <w:ind w:right="99"/>
              <w:jc w:val="right"/>
              <w:rPr>
                <w:rFonts w:asciiTheme="minorHAnsi" w:hAnsiTheme="minorHAnsi" w:cstheme="minorHAnsi"/>
              </w:rPr>
            </w:pPr>
            <w:r w:rsidRPr="00F97952">
              <w:rPr>
                <w:rFonts w:asciiTheme="minorHAnsi" w:hAnsiTheme="minorHAnsi" w:cstheme="minorHAnsi"/>
              </w:rPr>
              <w:t>Total</w:t>
            </w:r>
          </w:p>
        </w:tc>
        <w:tc>
          <w:tcPr>
            <w:tcW w:w="699" w:type="dxa"/>
          </w:tcPr>
          <w:p w14:paraId="4A206A58" w14:textId="77777777" w:rsidR="003C27A0" w:rsidRPr="00F97952" w:rsidRDefault="003C27A0" w:rsidP="00BF4281">
            <w:pPr>
              <w:pStyle w:val="TableParagraph"/>
              <w:spacing w:before="0"/>
              <w:ind w:right="101"/>
              <w:jc w:val="right"/>
              <w:rPr>
                <w:rFonts w:asciiTheme="minorHAnsi" w:hAnsiTheme="minorHAnsi" w:cstheme="minorHAnsi"/>
                <w:b/>
              </w:rPr>
            </w:pPr>
            <w:r w:rsidRPr="00F97952">
              <w:rPr>
                <w:rFonts w:asciiTheme="minorHAnsi" w:hAnsiTheme="minorHAnsi" w:cstheme="minorHAnsi"/>
                <w:b/>
              </w:rPr>
              <w:t>554</w:t>
            </w:r>
          </w:p>
        </w:tc>
      </w:tr>
    </w:tbl>
    <w:p w14:paraId="0A220510" w14:textId="77777777" w:rsidR="003C27A0" w:rsidRPr="00F97952" w:rsidRDefault="003C27A0" w:rsidP="00BF4281">
      <w:pPr>
        <w:spacing w:before="3"/>
        <w:ind w:left="660"/>
        <w:rPr>
          <w:rFonts w:asciiTheme="minorHAnsi" w:hAnsiTheme="minorHAnsi" w:cstheme="minorHAnsi"/>
        </w:rPr>
      </w:pPr>
      <w:r w:rsidRPr="00F97952">
        <w:rPr>
          <w:rFonts w:asciiTheme="minorHAnsi" w:hAnsiTheme="minorHAnsi" w:cstheme="minorHAnsi"/>
        </w:rPr>
        <w:t>a: Ozone Depleting Substances; b: Countries with Economies in Transition; c: Least Developed Countries; d: Small Island Developing States</w:t>
      </w:r>
    </w:p>
    <w:p w14:paraId="0CF06077" w14:textId="77777777" w:rsidR="00705B34" w:rsidRPr="00F97952" w:rsidRDefault="0047700E" w:rsidP="002D5818">
      <w:pPr>
        <w:pStyle w:val="MainParagraphwith"/>
      </w:pPr>
      <w:r w:rsidRPr="00F97952">
        <w:t>Table 3 below summarizes</w:t>
      </w:r>
      <w:r w:rsidR="00900F9E" w:rsidRPr="00F97952">
        <w:t xml:space="preserve"> </w:t>
      </w:r>
      <w:r w:rsidR="009664BC" w:rsidRPr="00F97952">
        <w:t xml:space="preserve">resources </w:t>
      </w:r>
      <w:r w:rsidR="00900F9E" w:rsidRPr="00F97952">
        <w:t>program</w:t>
      </w:r>
      <w:r w:rsidR="009664BC" w:rsidRPr="00F97952">
        <w:t>ed</w:t>
      </w:r>
      <w:r w:rsidR="00900F9E" w:rsidRPr="00F97952">
        <w:t xml:space="preserve"> in GEF</w:t>
      </w:r>
      <w:r w:rsidR="009C1E61" w:rsidRPr="00F97952">
        <w:t>-</w:t>
      </w:r>
      <w:r w:rsidR="00900F9E" w:rsidRPr="00F97952">
        <w:t>6 for the implementation of the Minamata Convention</w:t>
      </w:r>
      <w:r w:rsidR="009C1E61" w:rsidRPr="00F97952">
        <w:t xml:space="preserve">, excluding project preparation grants and agency fees. </w:t>
      </w:r>
    </w:p>
    <w:p w14:paraId="4DF57A62" w14:textId="110736A2" w:rsidR="00303F5E" w:rsidRPr="00F97952" w:rsidRDefault="009C1E61" w:rsidP="002D5818">
      <w:pPr>
        <w:pStyle w:val="MainParagraphwith"/>
      </w:pPr>
      <w:r w:rsidRPr="00F97952">
        <w:t>A total of $148.7 million was programmed to implement the Convention in the GEF-6 period, including $2 million for project preparation grants and $12.5 million for agency fees.</w:t>
      </w:r>
    </w:p>
    <w:p w14:paraId="5CC791A8" w14:textId="77777777" w:rsidR="005F5585" w:rsidRPr="00F97952" w:rsidRDefault="005F5585" w:rsidP="00033F0E">
      <w:pPr>
        <w:rPr>
          <w:lang w:eastAsia="zh-CN"/>
        </w:rPr>
      </w:pPr>
    </w:p>
    <w:p w14:paraId="0698679C" w14:textId="1BC3D955" w:rsidR="009664BC" w:rsidRPr="00F97952" w:rsidRDefault="009664BC" w:rsidP="009664BC">
      <w:pPr>
        <w:pStyle w:val="Lgende"/>
        <w:rPr>
          <w:color w:val="000000" w:themeColor="text1"/>
          <w:sz w:val="24"/>
          <w:szCs w:val="24"/>
        </w:rPr>
      </w:pPr>
      <w:bookmarkStart w:id="36" w:name="_Toc528774329"/>
      <w:r w:rsidRPr="00F97952">
        <w:rPr>
          <w:color w:val="000000" w:themeColor="text1"/>
          <w:sz w:val="24"/>
          <w:szCs w:val="24"/>
        </w:rPr>
        <w:lastRenderedPageBreak/>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3</w:t>
      </w:r>
      <w:r w:rsidRPr="00F97952">
        <w:rPr>
          <w:color w:val="000000" w:themeColor="text1"/>
          <w:sz w:val="24"/>
          <w:szCs w:val="24"/>
        </w:rPr>
        <w:fldChar w:fldCharType="end"/>
      </w:r>
      <w:r w:rsidRPr="00F97952">
        <w:rPr>
          <w:color w:val="000000" w:themeColor="text1"/>
          <w:sz w:val="24"/>
          <w:szCs w:val="24"/>
        </w:rPr>
        <w:t xml:space="preserve">: Resources Programmed for </w:t>
      </w:r>
      <w:r w:rsidR="00D87B16" w:rsidRPr="00F97952">
        <w:rPr>
          <w:color w:val="000000" w:themeColor="text1"/>
          <w:sz w:val="24"/>
          <w:szCs w:val="24"/>
        </w:rPr>
        <w:t>I</w:t>
      </w:r>
      <w:r w:rsidRPr="00F97952">
        <w:rPr>
          <w:color w:val="000000" w:themeColor="text1"/>
          <w:sz w:val="24"/>
          <w:szCs w:val="24"/>
        </w:rPr>
        <w:t>mplementation of the Minamata Convention</w:t>
      </w:r>
      <w:r w:rsidR="00AF206A" w:rsidRPr="00F97952">
        <w:rPr>
          <w:color w:val="000000" w:themeColor="text1"/>
          <w:sz w:val="24"/>
          <w:szCs w:val="24"/>
        </w:rPr>
        <w:t xml:space="preserve"> in GEF</w:t>
      </w:r>
      <w:r w:rsidR="0047700E" w:rsidRPr="00F97952">
        <w:rPr>
          <w:color w:val="000000" w:themeColor="text1"/>
          <w:sz w:val="24"/>
          <w:szCs w:val="24"/>
        </w:rPr>
        <w:t>-</w:t>
      </w:r>
      <w:r w:rsidR="00AF206A" w:rsidRPr="00F97952">
        <w:rPr>
          <w:color w:val="000000" w:themeColor="text1"/>
          <w:sz w:val="24"/>
          <w:szCs w:val="24"/>
        </w:rPr>
        <w:t>6</w:t>
      </w:r>
      <w:bookmarkEnd w:id="36"/>
    </w:p>
    <w:p w14:paraId="15BA8281" w14:textId="77777777" w:rsidR="0009173B" w:rsidRPr="00F97952" w:rsidRDefault="0009173B" w:rsidP="0009173B">
      <w:pPr>
        <w:rPr>
          <w:lang w:val="en-GB"/>
        </w:rPr>
      </w:pPr>
    </w:p>
    <w:tbl>
      <w:tblPr>
        <w:tblStyle w:val="Grilledutableau"/>
        <w:tblW w:w="0" w:type="auto"/>
        <w:jc w:val="center"/>
        <w:tblLook w:val="04A0" w:firstRow="1" w:lastRow="0" w:firstColumn="1" w:lastColumn="0" w:noHBand="0" w:noVBand="1"/>
      </w:tblPr>
      <w:tblGrid>
        <w:gridCol w:w="3865"/>
        <w:gridCol w:w="2515"/>
      </w:tblGrid>
      <w:tr w:rsidR="008945E6" w:rsidRPr="00F97952" w14:paraId="66CEF1CD" w14:textId="77777777" w:rsidTr="00874B6D">
        <w:trPr>
          <w:jc w:val="center"/>
        </w:trPr>
        <w:tc>
          <w:tcPr>
            <w:tcW w:w="3865" w:type="dxa"/>
          </w:tcPr>
          <w:p w14:paraId="769071AE" w14:textId="7E441B5C" w:rsidR="008945E6" w:rsidRPr="00F97952" w:rsidRDefault="008945E6" w:rsidP="008945E6">
            <w:pPr>
              <w:rPr>
                <w:rFonts w:asciiTheme="minorHAnsi" w:hAnsiTheme="minorHAnsi" w:cstheme="minorHAnsi"/>
                <w:b/>
                <w:lang w:eastAsia="zh-CN"/>
              </w:rPr>
            </w:pPr>
            <w:r w:rsidRPr="00F97952">
              <w:rPr>
                <w:rFonts w:asciiTheme="minorHAnsi" w:hAnsiTheme="minorHAnsi" w:cstheme="minorHAnsi"/>
                <w:b/>
                <w:lang w:eastAsia="zh-CN"/>
              </w:rPr>
              <w:t>Project Type</w:t>
            </w:r>
          </w:p>
        </w:tc>
        <w:tc>
          <w:tcPr>
            <w:tcW w:w="2515" w:type="dxa"/>
          </w:tcPr>
          <w:p w14:paraId="4F32B177" w14:textId="6CAADFFF" w:rsidR="008945E6" w:rsidRPr="00F97952" w:rsidRDefault="008945E6" w:rsidP="008945E6">
            <w:pPr>
              <w:rPr>
                <w:rFonts w:asciiTheme="minorHAnsi" w:hAnsiTheme="minorHAnsi" w:cstheme="minorHAnsi"/>
                <w:b/>
                <w:lang w:eastAsia="zh-CN"/>
              </w:rPr>
            </w:pPr>
            <w:r w:rsidRPr="00F97952">
              <w:rPr>
                <w:rFonts w:asciiTheme="minorHAnsi" w:hAnsiTheme="minorHAnsi" w:cstheme="minorHAnsi"/>
                <w:b/>
                <w:lang w:eastAsia="zh-CN"/>
              </w:rPr>
              <w:t>GEF Resources</w:t>
            </w:r>
            <w:r w:rsidR="00303F5E" w:rsidRPr="00F97952">
              <w:rPr>
                <w:rFonts w:asciiTheme="minorHAnsi" w:hAnsiTheme="minorHAnsi" w:cstheme="minorHAnsi"/>
                <w:b/>
                <w:lang w:eastAsia="zh-CN"/>
              </w:rPr>
              <w:t xml:space="preserve"> (</w:t>
            </w:r>
            <w:r w:rsidR="0047700E" w:rsidRPr="00F97952">
              <w:rPr>
                <w:rFonts w:asciiTheme="minorHAnsi" w:hAnsiTheme="minorHAnsi" w:cstheme="minorHAnsi"/>
                <w:b/>
                <w:lang w:eastAsia="zh-CN"/>
              </w:rPr>
              <w:t>$ million</w:t>
            </w:r>
            <w:r w:rsidR="00303F5E" w:rsidRPr="00F97952">
              <w:rPr>
                <w:rFonts w:asciiTheme="minorHAnsi" w:hAnsiTheme="minorHAnsi" w:cstheme="minorHAnsi"/>
                <w:b/>
                <w:lang w:eastAsia="zh-CN"/>
              </w:rPr>
              <w:t>)</w:t>
            </w:r>
            <w:r w:rsidR="005238AE" w:rsidRPr="00F97952">
              <w:rPr>
                <w:rStyle w:val="Appelnotedebasdep"/>
                <w:rFonts w:asciiTheme="minorHAnsi" w:hAnsiTheme="minorHAnsi" w:cstheme="minorHAnsi"/>
                <w:b/>
                <w:lang w:eastAsia="zh-CN"/>
              </w:rPr>
              <w:footnoteReference w:id="13"/>
            </w:r>
          </w:p>
        </w:tc>
      </w:tr>
      <w:tr w:rsidR="008945E6" w:rsidRPr="00F97952" w14:paraId="05E815D8" w14:textId="77777777" w:rsidTr="00874B6D">
        <w:trPr>
          <w:jc w:val="center"/>
        </w:trPr>
        <w:tc>
          <w:tcPr>
            <w:tcW w:w="3865" w:type="dxa"/>
          </w:tcPr>
          <w:p w14:paraId="2C1F41EE" w14:textId="7DA7EC99" w:rsidR="008945E6" w:rsidRPr="00F97952" w:rsidRDefault="008945E6" w:rsidP="008945E6">
            <w:pPr>
              <w:rPr>
                <w:rFonts w:asciiTheme="minorHAnsi" w:hAnsiTheme="minorHAnsi" w:cstheme="minorHAnsi"/>
                <w:lang w:eastAsia="zh-CN"/>
              </w:rPr>
            </w:pPr>
            <w:r w:rsidRPr="00F97952">
              <w:rPr>
                <w:rFonts w:asciiTheme="minorHAnsi" w:hAnsiTheme="minorHAnsi" w:cstheme="minorHAnsi"/>
                <w:lang w:eastAsia="zh-CN"/>
              </w:rPr>
              <w:t>Enabling Activities (MIAs and NAPs)</w:t>
            </w:r>
          </w:p>
        </w:tc>
        <w:tc>
          <w:tcPr>
            <w:tcW w:w="2515" w:type="dxa"/>
          </w:tcPr>
          <w:p w14:paraId="64254C2C" w14:textId="2C1F5A43" w:rsidR="008945E6" w:rsidRPr="00F97952" w:rsidRDefault="008945E6" w:rsidP="009664BC">
            <w:pPr>
              <w:jc w:val="right"/>
              <w:rPr>
                <w:rFonts w:asciiTheme="minorHAnsi" w:hAnsiTheme="minorHAnsi" w:cstheme="minorHAnsi"/>
                <w:lang w:eastAsia="zh-CN"/>
              </w:rPr>
            </w:pPr>
            <w:r w:rsidRPr="00F97952">
              <w:rPr>
                <w:rFonts w:asciiTheme="minorHAnsi" w:hAnsiTheme="minorHAnsi" w:cstheme="minorHAnsi"/>
                <w:lang w:eastAsia="zh-CN"/>
              </w:rPr>
              <w:t>34</w:t>
            </w:r>
            <w:r w:rsidR="009664BC" w:rsidRPr="00F97952">
              <w:rPr>
                <w:rFonts w:asciiTheme="minorHAnsi" w:hAnsiTheme="minorHAnsi" w:cstheme="minorHAnsi"/>
                <w:lang w:eastAsia="zh-CN"/>
              </w:rPr>
              <w:t>,</w:t>
            </w:r>
            <w:r w:rsidR="001E3918" w:rsidRPr="00F97952">
              <w:rPr>
                <w:rFonts w:asciiTheme="minorHAnsi" w:hAnsiTheme="minorHAnsi" w:cstheme="minorHAnsi"/>
                <w:lang w:eastAsia="zh-CN"/>
              </w:rPr>
              <w:t>322,045</w:t>
            </w:r>
          </w:p>
        </w:tc>
      </w:tr>
      <w:tr w:rsidR="008945E6" w:rsidRPr="00F97952" w14:paraId="01718172" w14:textId="77777777" w:rsidTr="00874B6D">
        <w:trPr>
          <w:jc w:val="center"/>
        </w:trPr>
        <w:tc>
          <w:tcPr>
            <w:tcW w:w="3865" w:type="dxa"/>
          </w:tcPr>
          <w:p w14:paraId="339ABB7D" w14:textId="72603A23" w:rsidR="008945E6" w:rsidRPr="00F97952" w:rsidRDefault="008945E6" w:rsidP="008945E6">
            <w:pPr>
              <w:rPr>
                <w:rFonts w:asciiTheme="minorHAnsi" w:hAnsiTheme="minorHAnsi" w:cstheme="minorHAnsi"/>
                <w:lang w:eastAsia="zh-CN"/>
              </w:rPr>
            </w:pPr>
            <w:r w:rsidRPr="00F97952">
              <w:rPr>
                <w:rFonts w:asciiTheme="minorHAnsi" w:hAnsiTheme="minorHAnsi" w:cstheme="minorHAnsi"/>
                <w:lang w:eastAsia="zh-CN"/>
              </w:rPr>
              <w:t>Medium</w:t>
            </w:r>
            <w:r w:rsidR="0047700E" w:rsidRPr="00F97952">
              <w:rPr>
                <w:rFonts w:asciiTheme="minorHAnsi" w:hAnsiTheme="minorHAnsi" w:cstheme="minorHAnsi"/>
                <w:lang w:eastAsia="zh-CN"/>
              </w:rPr>
              <w:t>-</w:t>
            </w:r>
            <w:r w:rsidRPr="00F97952">
              <w:rPr>
                <w:rFonts w:asciiTheme="minorHAnsi" w:hAnsiTheme="minorHAnsi" w:cstheme="minorHAnsi"/>
                <w:lang w:eastAsia="zh-CN"/>
              </w:rPr>
              <w:t>Sized Projects</w:t>
            </w:r>
          </w:p>
        </w:tc>
        <w:tc>
          <w:tcPr>
            <w:tcW w:w="2515" w:type="dxa"/>
          </w:tcPr>
          <w:p w14:paraId="6850DE6A" w14:textId="050E8F58" w:rsidR="008945E6" w:rsidRPr="00F97952" w:rsidRDefault="008945E6" w:rsidP="009664BC">
            <w:pPr>
              <w:jc w:val="right"/>
              <w:rPr>
                <w:rFonts w:asciiTheme="minorHAnsi" w:hAnsiTheme="minorHAnsi" w:cstheme="minorHAnsi"/>
                <w:lang w:eastAsia="zh-CN"/>
              </w:rPr>
            </w:pPr>
            <w:r w:rsidRPr="00F97952">
              <w:rPr>
                <w:rFonts w:asciiTheme="minorHAnsi" w:hAnsiTheme="minorHAnsi" w:cstheme="minorHAnsi"/>
                <w:lang w:eastAsia="zh-CN"/>
              </w:rPr>
              <w:t>1</w:t>
            </w:r>
            <w:r w:rsidR="009664BC" w:rsidRPr="00F97952">
              <w:rPr>
                <w:rFonts w:asciiTheme="minorHAnsi" w:hAnsiTheme="minorHAnsi" w:cstheme="minorHAnsi"/>
                <w:lang w:eastAsia="zh-CN"/>
              </w:rPr>
              <w:t>,</w:t>
            </w:r>
            <w:r w:rsidRPr="00F97952">
              <w:rPr>
                <w:rFonts w:asciiTheme="minorHAnsi" w:hAnsiTheme="minorHAnsi" w:cstheme="minorHAnsi"/>
                <w:lang w:eastAsia="zh-CN"/>
              </w:rPr>
              <w:t>069</w:t>
            </w:r>
            <w:r w:rsidR="009664BC" w:rsidRPr="00F97952">
              <w:rPr>
                <w:rFonts w:asciiTheme="minorHAnsi" w:hAnsiTheme="minorHAnsi" w:cstheme="minorHAnsi"/>
                <w:lang w:eastAsia="zh-CN"/>
              </w:rPr>
              <w:t>,</w:t>
            </w:r>
            <w:r w:rsidRPr="00F97952">
              <w:rPr>
                <w:rFonts w:asciiTheme="minorHAnsi" w:hAnsiTheme="minorHAnsi" w:cstheme="minorHAnsi"/>
                <w:lang w:eastAsia="zh-CN"/>
              </w:rPr>
              <w:t>800</w:t>
            </w:r>
          </w:p>
        </w:tc>
      </w:tr>
      <w:tr w:rsidR="008945E6" w:rsidRPr="00F97952" w14:paraId="7C8F3692" w14:textId="77777777" w:rsidTr="00874B6D">
        <w:trPr>
          <w:jc w:val="center"/>
        </w:trPr>
        <w:tc>
          <w:tcPr>
            <w:tcW w:w="3865" w:type="dxa"/>
          </w:tcPr>
          <w:p w14:paraId="7A7FAC55" w14:textId="70A33E55" w:rsidR="008945E6" w:rsidRPr="00F97952" w:rsidRDefault="008945E6" w:rsidP="008945E6">
            <w:pPr>
              <w:rPr>
                <w:rFonts w:asciiTheme="minorHAnsi" w:hAnsiTheme="minorHAnsi" w:cstheme="minorHAnsi"/>
                <w:lang w:eastAsia="zh-CN"/>
              </w:rPr>
            </w:pPr>
            <w:r w:rsidRPr="00F97952">
              <w:rPr>
                <w:rFonts w:asciiTheme="minorHAnsi" w:hAnsiTheme="minorHAnsi" w:cstheme="minorHAnsi"/>
                <w:lang w:eastAsia="zh-CN"/>
              </w:rPr>
              <w:t>Full</w:t>
            </w:r>
            <w:r w:rsidR="0047700E" w:rsidRPr="00F97952">
              <w:rPr>
                <w:rFonts w:asciiTheme="minorHAnsi" w:hAnsiTheme="minorHAnsi" w:cstheme="minorHAnsi"/>
                <w:lang w:eastAsia="zh-CN"/>
              </w:rPr>
              <w:t>-</w:t>
            </w:r>
            <w:r w:rsidRPr="00F97952">
              <w:rPr>
                <w:rFonts w:asciiTheme="minorHAnsi" w:hAnsiTheme="minorHAnsi" w:cstheme="minorHAnsi"/>
                <w:lang w:eastAsia="zh-CN"/>
              </w:rPr>
              <w:t>Sized Projects</w:t>
            </w:r>
            <w:r w:rsidR="00B83AD7" w:rsidRPr="00F97952">
              <w:rPr>
                <w:rFonts w:asciiTheme="minorHAnsi" w:hAnsiTheme="minorHAnsi" w:cstheme="minorHAnsi"/>
                <w:lang w:eastAsia="zh-CN"/>
              </w:rPr>
              <w:t>, including programmatic approaches</w:t>
            </w:r>
          </w:p>
        </w:tc>
        <w:tc>
          <w:tcPr>
            <w:tcW w:w="2515" w:type="dxa"/>
          </w:tcPr>
          <w:p w14:paraId="064ABF07" w14:textId="5F54391B" w:rsidR="008945E6" w:rsidRPr="00F97952" w:rsidRDefault="008945E6" w:rsidP="009664BC">
            <w:pPr>
              <w:jc w:val="right"/>
              <w:rPr>
                <w:rFonts w:asciiTheme="minorHAnsi" w:hAnsiTheme="minorHAnsi" w:cstheme="minorHAnsi"/>
                <w:lang w:eastAsia="zh-CN"/>
              </w:rPr>
            </w:pPr>
            <w:r w:rsidRPr="00F97952">
              <w:rPr>
                <w:rFonts w:asciiTheme="minorHAnsi" w:hAnsiTheme="minorHAnsi" w:cstheme="minorHAnsi"/>
                <w:lang w:eastAsia="zh-CN"/>
              </w:rPr>
              <w:t>98</w:t>
            </w:r>
            <w:r w:rsidR="009664BC" w:rsidRPr="00F97952">
              <w:rPr>
                <w:rFonts w:asciiTheme="minorHAnsi" w:hAnsiTheme="minorHAnsi" w:cstheme="minorHAnsi"/>
                <w:lang w:eastAsia="zh-CN"/>
              </w:rPr>
              <w:t>,</w:t>
            </w:r>
            <w:r w:rsidRPr="00F97952">
              <w:rPr>
                <w:rFonts w:asciiTheme="minorHAnsi" w:hAnsiTheme="minorHAnsi" w:cstheme="minorHAnsi"/>
                <w:lang w:eastAsia="zh-CN"/>
              </w:rPr>
              <w:t>903</w:t>
            </w:r>
            <w:r w:rsidR="009664BC" w:rsidRPr="00F97952">
              <w:rPr>
                <w:rFonts w:asciiTheme="minorHAnsi" w:hAnsiTheme="minorHAnsi" w:cstheme="minorHAnsi"/>
                <w:lang w:eastAsia="zh-CN"/>
              </w:rPr>
              <w:t>,</w:t>
            </w:r>
            <w:r w:rsidRPr="00F97952">
              <w:rPr>
                <w:rFonts w:asciiTheme="minorHAnsi" w:hAnsiTheme="minorHAnsi" w:cstheme="minorHAnsi"/>
                <w:lang w:eastAsia="zh-CN"/>
              </w:rPr>
              <w:t>62</w:t>
            </w:r>
            <w:r w:rsidR="009664BC" w:rsidRPr="00F97952">
              <w:rPr>
                <w:rFonts w:asciiTheme="minorHAnsi" w:hAnsiTheme="minorHAnsi" w:cstheme="minorHAnsi"/>
                <w:lang w:eastAsia="zh-CN"/>
              </w:rPr>
              <w:t>6</w:t>
            </w:r>
          </w:p>
        </w:tc>
      </w:tr>
      <w:tr w:rsidR="008945E6" w:rsidRPr="00F97952" w14:paraId="73A8E620" w14:textId="77777777" w:rsidTr="00874B6D">
        <w:trPr>
          <w:jc w:val="center"/>
        </w:trPr>
        <w:tc>
          <w:tcPr>
            <w:tcW w:w="3865" w:type="dxa"/>
          </w:tcPr>
          <w:p w14:paraId="1D2D86BD" w14:textId="651530C3" w:rsidR="008945E6" w:rsidRPr="00F97952" w:rsidRDefault="008945E6" w:rsidP="008945E6">
            <w:pPr>
              <w:rPr>
                <w:rFonts w:asciiTheme="minorHAnsi" w:hAnsiTheme="minorHAnsi" w:cstheme="minorHAnsi"/>
                <w:lang w:eastAsia="zh-CN"/>
              </w:rPr>
            </w:pPr>
            <w:r w:rsidRPr="00F97952">
              <w:rPr>
                <w:rFonts w:asciiTheme="minorHAnsi" w:hAnsiTheme="minorHAnsi" w:cstheme="minorHAnsi"/>
                <w:lang w:eastAsia="zh-CN"/>
              </w:rPr>
              <w:t>Total</w:t>
            </w:r>
          </w:p>
        </w:tc>
        <w:tc>
          <w:tcPr>
            <w:tcW w:w="2515" w:type="dxa"/>
          </w:tcPr>
          <w:p w14:paraId="0E44777E" w14:textId="480A2E5C" w:rsidR="008945E6" w:rsidRPr="00F97952" w:rsidRDefault="008945E6" w:rsidP="009664BC">
            <w:pPr>
              <w:jc w:val="right"/>
              <w:rPr>
                <w:rFonts w:asciiTheme="minorHAnsi" w:hAnsiTheme="minorHAnsi" w:cstheme="minorHAnsi"/>
                <w:lang w:eastAsia="zh-CN"/>
              </w:rPr>
            </w:pPr>
            <w:r w:rsidRPr="00F97952">
              <w:rPr>
                <w:rFonts w:asciiTheme="minorHAnsi" w:hAnsiTheme="minorHAnsi" w:cstheme="minorHAnsi"/>
                <w:lang w:eastAsia="zh-CN"/>
              </w:rPr>
              <w:t>134</w:t>
            </w:r>
            <w:r w:rsidR="009664BC" w:rsidRPr="00F97952">
              <w:rPr>
                <w:rFonts w:asciiTheme="minorHAnsi" w:hAnsiTheme="minorHAnsi" w:cstheme="minorHAnsi"/>
                <w:lang w:eastAsia="zh-CN"/>
              </w:rPr>
              <w:t>,</w:t>
            </w:r>
            <w:r w:rsidR="001E3918" w:rsidRPr="00F97952">
              <w:rPr>
                <w:rFonts w:asciiTheme="minorHAnsi" w:hAnsiTheme="minorHAnsi" w:cstheme="minorHAnsi"/>
                <w:lang w:eastAsia="zh-CN"/>
              </w:rPr>
              <w:t>2</w:t>
            </w:r>
            <w:r w:rsidR="009664BC" w:rsidRPr="00F97952">
              <w:rPr>
                <w:rFonts w:asciiTheme="minorHAnsi" w:hAnsiTheme="minorHAnsi" w:cstheme="minorHAnsi"/>
                <w:lang w:eastAsia="zh-CN"/>
              </w:rPr>
              <w:t>95,471</w:t>
            </w:r>
          </w:p>
        </w:tc>
      </w:tr>
    </w:tbl>
    <w:p w14:paraId="3F02A304" w14:textId="2DA75CD3" w:rsidR="008945E6" w:rsidRPr="00F97952" w:rsidRDefault="008945E6" w:rsidP="009664BC">
      <w:pPr>
        <w:rPr>
          <w:rFonts w:asciiTheme="minorHAnsi" w:hAnsiTheme="minorHAnsi"/>
          <w:lang w:eastAsia="zh-CN"/>
        </w:rPr>
      </w:pPr>
    </w:p>
    <w:p w14:paraId="348C6559" w14:textId="419B3931" w:rsidR="00303F5E" w:rsidRPr="00F97952" w:rsidRDefault="00C06BF9" w:rsidP="002D5818">
      <w:pPr>
        <w:pStyle w:val="MainParagraphwith"/>
      </w:pPr>
      <w:r w:rsidRPr="00F97952">
        <w:t>Table 4 presents</w:t>
      </w:r>
      <w:r w:rsidR="00303F5E" w:rsidRPr="00F97952">
        <w:t xml:space="preserve"> the number of countries that received support from the resources described above:</w:t>
      </w:r>
    </w:p>
    <w:p w14:paraId="03FBCD4E" w14:textId="00231AF4" w:rsidR="00303F5E" w:rsidRPr="00F97952" w:rsidRDefault="00303F5E" w:rsidP="00874B6D">
      <w:pPr>
        <w:pStyle w:val="Lgende"/>
        <w:jc w:val="center"/>
        <w:rPr>
          <w:color w:val="000000" w:themeColor="text1"/>
          <w:sz w:val="24"/>
          <w:szCs w:val="24"/>
        </w:rPr>
      </w:pPr>
      <w:bookmarkStart w:id="37" w:name="_Toc528774330"/>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4</w:t>
      </w:r>
      <w:r w:rsidRPr="00F97952">
        <w:rPr>
          <w:color w:val="000000" w:themeColor="text1"/>
          <w:sz w:val="24"/>
          <w:szCs w:val="24"/>
        </w:rPr>
        <w:fldChar w:fldCharType="end"/>
      </w:r>
      <w:r w:rsidRPr="00F97952">
        <w:rPr>
          <w:color w:val="000000" w:themeColor="text1"/>
          <w:sz w:val="24"/>
          <w:szCs w:val="24"/>
        </w:rPr>
        <w:t>: Number of Countries Receiving Support in GEF</w:t>
      </w:r>
      <w:r w:rsidR="00C06BF9" w:rsidRPr="00F97952">
        <w:rPr>
          <w:color w:val="000000" w:themeColor="text1"/>
          <w:sz w:val="24"/>
          <w:szCs w:val="24"/>
        </w:rPr>
        <w:t>-</w:t>
      </w:r>
      <w:r w:rsidRPr="00F97952">
        <w:rPr>
          <w:color w:val="000000" w:themeColor="text1"/>
          <w:sz w:val="24"/>
          <w:szCs w:val="24"/>
        </w:rPr>
        <w:t>6</w:t>
      </w:r>
      <w:bookmarkEnd w:id="37"/>
    </w:p>
    <w:p w14:paraId="766534A1" w14:textId="77777777" w:rsidR="0009173B" w:rsidRPr="00F97952" w:rsidRDefault="0009173B" w:rsidP="0009173B">
      <w:pPr>
        <w:rPr>
          <w:lang w:val="en-GB"/>
        </w:rPr>
      </w:pPr>
    </w:p>
    <w:tbl>
      <w:tblPr>
        <w:tblStyle w:val="Grilledutableau"/>
        <w:tblW w:w="0" w:type="auto"/>
        <w:jc w:val="center"/>
        <w:tblLook w:val="04A0" w:firstRow="1" w:lastRow="0" w:firstColumn="1" w:lastColumn="0" w:noHBand="0" w:noVBand="1"/>
      </w:tblPr>
      <w:tblGrid>
        <w:gridCol w:w="3190"/>
        <w:gridCol w:w="3190"/>
      </w:tblGrid>
      <w:tr w:rsidR="00303F5E" w:rsidRPr="00F97952" w14:paraId="06097B7D" w14:textId="58A156F4" w:rsidTr="00874B6D">
        <w:trPr>
          <w:jc w:val="center"/>
        </w:trPr>
        <w:tc>
          <w:tcPr>
            <w:tcW w:w="3190" w:type="dxa"/>
          </w:tcPr>
          <w:p w14:paraId="55D90CFF" w14:textId="6566F4A5" w:rsidR="00303F5E" w:rsidRPr="00F97952" w:rsidRDefault="00303F5E" w:rsidP="00303F5E">
            <w:pPr>
              <w:rPr>
                <w:rFonts w:asciiTheme="minorHAnsi" w:hAnsiTheme="minorHAnsi" w:cstheme="minorHAnsi"/>
                <w:b/>
                <w:lang w:eastAsia="zh-CN"/>
              </w:rPr>
            </w:pPr>
            <w:r w:rsidRPr="00F97952">
              <w:rPr>
                <w:rFonts w:asciiTheme="minorHAnsi" w:hAnsiTheme="minorHAnsi" w:cstheme="minorHAnsi"/>
                <w:b/>
                <w:lang w:eastAsia="zh-CN"/>
              </w:rPr>
              <w:t>Type of Project</w:t>
            </w:r>
          </w:p>
        </w:tc>
        <w:tc>
          <w:tcPr>
            <w:tcW w:w="3190" w:type="dxa"/>
          </w:tcPr>
          <w:p w14:paraId="02D47C5D" w14:textId="2EF96014" w:rsidR="00303F5E" w:rsidRPr="00F97952" w:rsidRDefault="00303F5E" w:rsidP="00303F5E">
            <w:pPr>
              <w:rPr>
                <w:rFonts w:asciiTheme="minorHAnsi" w:hAnsiTheme="minorHAnsi" w:cstheme="minorHAnsi"/>
                <w:b/>
                <w:lang w:eastAsia="zh-CN"/>
              </w:rPr>
            </w:pPr>
            <w:r w:rsidRPr="00F97952">
              <w:rPr>
                <w:rFonts w:asciiTheme="minorHAnsi" w:hAnsiTheme="minorHAnsi" w:cstheme="minorHAnsi"/>
                <w:b/>
                <w:lang w:eastAsia="zh-CN"/>
              </w:rPr>
              <w:t>Number of Countries</w:t>
            </w:r>
          </w:p>
        </w:tc>
      </w:tr>
      <w:tr w:rsidR="00303F5E" w:rsidRPr="00F97952" w14:paraId="7FCA0F26" w14:textId="315D8CCF" w:rsidTr="00874B6D">
        <w:trPr>
          <w:jc w:val="center"/>
        </w:trPr>
        <w:tc>
          <w:tcPr>
            <w:tcW w:w="3190" w:type="dxa"/>
          </w:tcPr>
          <w:p w14:paraId="34D32BF9" w14:textId="03182A8F" w:rsidR="00303F5E" w:rsidRPr="00F97952" w:rsidRDefault="00303F5E" w:rsidP="00303F5E">
            <w:pPr>
              <w:rPr>
                <w:rFonts w:asciiTheme="minorHAnsi" w:hAnsiTheme="minorHAnsi" w:cstheme="minorHAnsi"/>
                <w:lang w:eastAsia="zh-CN"/>
              </w:rPr>
            </w:pPr>
            <w:r w:rsidRPr="00F97952">
              <w:rPr>
                <w:rFonts w:asciiTheme="minorHAnsi" w:hAnsiTheme="minorHAnsi" w:cstheme="minorHAnsi"/>
                <w:lang w:eastAsia="zh-CN"/>
              </w:rPr>
              <w:t>Minamata Initial Assessment</w:t>
            </w:r>
          </w:p>
        </w:tc>
        <w:tc>
          <w:tcPr>
            <w:tcW w:w="3190" w:type="dxa"/>
          </w:tcPr>
          <w:p w14:paraId="244AC6D3" w14:textId="4CE36FA5" w:rsidR="00303F5E" w:rsidRPr="00F97952" w:rsidRDefault="00303F5E" w:rsidP="00303F5E">
            <w:pPr>
              <w:jc w:val="right"/>
              <w:rPr>
                <w:rFonts w:asciiTheme="minorHAnsi" w:hAnsiTheme="minorHAnsi" w:cstheme="minorHAnsi"/>
                <w:lang w:eastAsia="zh-CN"/>
              </w:rPr>
            </w:pPr>
            <w:r w:rsidRPr="00F97952">
              <w:rPr>
                <w:rFonts w:asciiTheme="minorHAnsi" w:hAnsiTheme="minorHAnsi" w:cstheme="minorHAnsi"/>
                <w:lang w:eastAsia="zh-CN"/>
              </w:rPr>
              <w:t>85</w:t>
            </w:r>
          </w:p>
        </w:tc>
      </w:tr>
      <w:tr w:rsidR="00303F5E" w:rsidRPr="00F97952" w14:paraId="2FC4159D" w14:textId="44855931" w:rsidTr="00874B6D">
        <w:trPr>
          <w:jc w:val="center"/>
        </w:trPr>
        <w:tc>
          <w:tcPr>
            <w:tcW w:w="3190" w:type="dxa"/>
          </w:tcPr>
          <w:p w14:paraId="05B43366" w14:textId="3D3577A8" w:rsidR="00303F5E" w:rsidRPr="00F97952" w:rsidRDefault="00303F5E" w:rsidP="00303F5E">
            <w:pPr>
              <w:rPr>
                <w:rFonts w:asciiTheme="minorHAnsi" w:hAnsiTheme="minorHAnsi" w:cstheme="minorHAnsi"/>
                <w:lang w:eastAsia="zh-CN"/>
              </w:rPr>
            </w:pPr>
            <w:r w:rsidRPr="00F97952">
              <w:rPr>
                <w:rFonts w:asciiTheme="minorHAnsi" w:hAnsiTheme="minorHAnsi" w:cstheme="minorHAnsi"/>
                <w:lang w:eastAsia="zh-CN"/>
              </w:rPr>
              <w:t>National Action Plans</w:t>
            </w:r>
          </w:p>
        </w:tc>
        <w:tc>
          <w:tcPr>
            <w:tcW w:w="3190" w:type="dxa"/>
          </w:tcPr>
          <w:p w14:paraId="6D2476A4" w14:textId="26C61A32" w:rsidR="00303F5E" w:rsidRPr="00F97952" w:rsidRDefault="00303F5E" w:rsidP="00303F5E">
            <w:pPr>
              <w:jc w:val="right"/>
              <w:rPr>
                <w:rFonts w:asciiTheme="minorHAnsi" w:hAnsiTheme="minorHAnsi" w:cstheme="minorHAnsi"/>
                <w:lang w:eastAsia="zh-CN"/>
              </w:rPr>
            </w:pPr>
            <w:r w:rsidRPr="00F97952">
              <w:rPr>
                <w:rFonts w:asciiTheme="minorHAnsi" w:hAnsiTheme="minorHAnsi" w:cstheme="minorHAnsi"/>
                <w:lang w:eastAsia="zh-CN"/>
              </w:rPr>
              <w:t>32</w:t>
            </w:r>
          </w:p>
        </w:tc>
      </w:tr>
      <w:tr w:rsidR="00303F5E" w:rsidRPr="00F97952" w14:paraId="103AF4B4" w14:textId="17A1CDD2" w:rsidTr="00874B6D">
        <w:trPr>
          <w:jc w:val="center"/>
        </w:trPr>
        <w:tc>
          <w:tcPr>
            <w:tcW w:w="3190" w:type="dxa"/>
          </w:tcPr>
          <w:p w14:paraId="107DEA20" w14:textId="12A1FFAB" w:rsidR="00303F5E" w:rsidRPr="00F97952" w:rsidRDefault="00303F5E" w:rsidP="00303F5E">
            <w:pPr>
              <w:rPr>
                <w:rFonts w:asciiTheme="minorHAnsi" w:hAnsiTheme="minorHAnsi" w:cstheme="minorHAnsi"/>
                <w:lang w:eastAsia="zh-CN"/>
              </w:rPr>
            </w:pPr>
            <w:r w:rsidRPr="00F97952">
              <w:rPr>
                <w:rFonts w:asciiTheme="minorHAnsi" w:hAnsiTheme="minorHAnsi" w:cstheme="minorHAnsi"/>
                <w:lang w:eastAsia="zh-CN"/>
              </w:rPr>
              <w:t>Medium</w:t>
            </w:r>
            <w:r w:rsidR="00C06BF9" w:rsidRPr="00F97952">
              <w:rPr>
                <w:rFonts w:asciiTheme="minorHAnsi" w:hAnsiTheme="minorHAnsi" w:cstheme="minorHAnsi"/>
                <w:lang w:eastAsia="zh-CN"/>
              </w:rPr>
              <w:t>-</w:t>
            </w:r>
            <w:r w:rsidRPr="00F97952">
              <w:rPr>
                <w:rFonts w:asciiTheme="minorHAnsi" w:hAnsiTheme="minorHAnsi" w:cstheme="minorHAnsi"/>
                <w:lang w:eastAsia="zh-CN"/>
              </w:rPr>
              <w:t>Sized Projects</w:t>
            </w:r>
          </w:p>
        </w:tc>
        <w:tc>
          <w:tcPr>
            <w:tcW w:w="3190" w:type="dxa"/>
          </w:tcPr>
          <w:p w14:paraId="498B890B" w14:textId="18E7C86F" w:rsidR="00303F5E" w:rsidRPr="00F97952" w:rsidRDefault="00303F5E" w:rsidP="00303F5E">
            <w:pPr>
              <w:jc w:val="right"/>
              <w:rPr>
                <w:rFonts w:asciiTheme="minorHAnsi" w:hAnsiTheme="minorHAnsi" w:cstheme="minorHAnsi"/>
                <w:lang w:eastAsia="zh-CN"/>
              </w:rPr>
            </w:pPr>
            <w:r w:rsidRPr="00F97952">
              <w:rPr>
                <w:rFonts w:asciiTheme="minorHAnsi" w:hAnsiTheme="minorHAnsi" w:cstheme="minorHAnsi"/>
                <w:lang w:eastAsia="zh-CN"/>
              </w:rPr>
              <w:t>2</w:t>
            </w:r>
          </w:p>
        </w:tc>
      </w:tr>
      <w:tr w:rsidR="00303F5E" w:rsidRPr="00F97952" w14:paraId="74715427" w14:textId="00B82553" w:rsidTr="00874B6D">
        <w:trPr>
          <w:jc w:val="center"/>
        </w:trPr>
        <w:tc>
          <w:tcPr>
            <w:tcW w:w="3190" w:type="dxa"/>
          </w:tcPr>
          <w:p w14:paraId="40CA469A" w14:textId="6BDA0249" w:rsidR="00303F5E" w:rsidRPr="00F97952" w:rsidRDefault="00303F5E" w:rsidP="00303F5E">
            <w:pPr>
              <w:rPr>
                <w:rFonts w:asciiTheme="minorHAnsi" w:hAnsiTheme="minorHAnsi" w:cstheme="minorHAnsi"/>
                <w:lang w:eastAsia="zh-CN"/>
              </w:rPr>
            </w:pPr>
            <w:r w:rsidRPr="00F97952">
              <w:rPr>
                <w:rFonts w:asciiTheme="minorHAnsi" w:hAnsiTheme="minorHAnsi" w:cstheme="minorHAnsi"/>
                <w:lang w:eastAsia="zh-CN"/>
              </w:rPr>
              <w:t>Full</w:t>
            </w:r>
            <w:r w:rsidR="00C06BF9" w:rsidRPr="00F97952">
              <w:rPr>
                <w:rFonts w:asciiTheme="minorHAnsi" w:hAnsiTheme="minorHAnsi" w:cstheme="minorHAnsi"/>
                <w:lang w:eastAsia="zh-CN"/>
              </w:rPr>
              <w:t>-</w:t>
            </w:r>
            <w:r w:rsidRPr="00F97952">
              <w:rPr>
                <w:rFonts w:asciiTheme="minorHAnsi" w:hAnsiTheme="minorHAnsi" w:cstheme="minorHAnsi"/>
                <w:lang w:eastAsia="zh-CN"/>
              </w:rPr>
              <w:t>Sized Projects</w:t>
            </w:r>
            <w:r w:rsidR="00B83AD7" w:rsidRPr="00F97952">
              <w:rPr>
                <w:rFonts w:asciiTheme="minorHAnsi" w:hAnsiTheme="minorHAnsi" w:cstheme="minorHAnsi"/>
                <w:lang w:eastAsia="zh-CN"/>
              </w:rPr>
              <w:t>, including programmatic approaches</w:t>
            </w:r>
          </w:p>
        </w:tc>
        <w:tc>
          <w:tcPr>
            <w:tcW w:w="3190" w:type="dxa"/>
          </w:tcPr>
          <w:p w14:paraId="2B03580A" w14:textId="0A40E04C" w:rsidR="00303F5E" w:rsidRPr="00F97952" w:rsidRDefault="00303F5E" w:rsidP="00303F5E">
            <w:pPr>
              <w:jc w:val="right"/>
              <w:rPr>
                <w:rFonts w:asciiTheme="minorHAnsi" w:hAnsiTheme="minorHAnsi" w:cstheme="minorHAnsi"/>
                <w:lang w:eastAsia="zh-CN"/>
              </w:rPr>
            </w:pPr>
            <w:r w:rsidRPr="00F97952">
              <w:rPr>
                <w:rFonts w:asciiTheme="minorHAnsi" w:hAnsiTheme="minorHAnsi" w:cstheme="minorHAnsi"/>
                <w:lang w:eastAsia="zh-CN"/>
              </w:rPr>
              <w:t>2</w:t>
            </w:r>
            <w:r w:rsidR="00196030" w:rsidRPr="00F97952">
              <w:rPr>
                <w:rFonts w:asciiTheme="minorHAnsi" w:hAnsiTheme="minorHAnsi" w:cstheme="minorHAnsi"/>
                <w:lang w:eastAsia="zh-CN"/>
              </w:rPr>
              <w:t>4</w:t>
            </w:r>
          </w:p>
        </w:tc>
      </w:tr>
    </w:tbl>
    <w:p w14:paraId="1C4B0958" w14:textId="77777777" w:rsidR="00303F5E" w:rsidRPr="00F97952" w:rsidRDefault="00303F5E" w:rsidP="00303F5E">
      <w:pPr>
        <w:rPr>
          <w:rFonts w:asciiTheme="minorHAnsi" w:hAnsiTheme="minorHAnsi"/>
          <w:lang w:eastAsia="zh-CN"/>
        </w:rPr>
      </w:pPr>
    </w:p>
    <w:p w14:paraId="5628EB30" w14:textId="3903B655" w:rsidR="00D1247E" w:rsidRPr="00F97952" w:rsidRDefault="005217EC" w:rsidP="002D5818">
      <w:pPr>
        <w:pStyle w:val="MainParagraphwith"/>
        <w:rPr>
          <w:rFonts w:cs="Calibri"/>
        </w:rPr>
      </w:pPr>
      <w:r w:rsidRPr="00F97952">
        <w:t>Implementation of the Minamata Convention is funded under the chemicals and waste focal area and as such there are a number of projects that combine resources for the implementation of the Stockholm Convention and other focal areas with mercury resources</w:t>
      </w:r>
      <w:r w:rsidR="006A6C9C" w:rsidRPr="00F97952">
        <w:rPr>
          <w:rFonts w:cs="Calibri"/>
        </w:rPr>
        <w:t>.</w:t>
      </w:r>
      <w:r w:rsidRPr="00F97952">
        <w:rPr>
          <w:rFonts w:cs="Calibri"/>
        </w:rPr>
        <w:t xml:space="preserve"> In this regard</w:t>
      </w:r>
      <w:r w:rsidR="002F547B" w:rsidRPr="00F97952">
        <w:rPr>
          <w:rFonts w:cs="Calibri"/>
        </w:rPr>
        <w:t>,</w:t>
      </w:r>
      <w:r w:rsidRPr="00F97952">
        <w:rPr>
          <w:rFonts w:cs="Calibri"/>
        </w:rPr>
        <w:t xml:space="preserve"> calculation of co-financing ratio is not exact. In GEF</w:t>
      </w:r>
      <w:r w:rsidR="002F547B" w:rsidRPr="00F97952">
        <w:rPr>
          <w:rFonts w:cs="Calibri"/>
        </w:rPr>
        <w:t>-</w:t>
      </w:r>
      <w:r w:rsidRPr="00F97952">
        <w:rPr>
          <w:rFonts w:cs="Calibri"/>
        </w:rPr>
        <w:t>6, the overall average co-financing for projects that included resources for the Minamata Convention was</w:t>
      </w:r>
      <w:r w:rsidR="002F547B" w:rsidRPr="00F97952">
        <w:rPr>
          <w:rFonts w:cs="Calibri"/>
        </w:rPr>
        <w:t xml:space="preserve"> one to four. This figure does not include enabling activities, for which co-financing is not </w:t>
      </w:r>
      <w:r w:rsidR="006D52C2" w:rsidRPr="00F97952">
        <w:rPr>
          <w:rFonts w:cs="Calibri"/>
        </w:rPr>
        <w:t>required</w:t>
      </w:r>
      <w:r w:rsidR="001E3918" w:rsidRPr="00F97952">
        <w:rPr>
          <w:rFonts w:cs="Calibri"/>
        </w:rPr>
        <w:t>.</w:t>
      </w:r>
      <w:r w:rsidR="006D52C2" w:rsidRPr="00F97952">
        <w:rPr>
          <w:rFonts w:cs="Calibri"/>
        </w:rPr>
        <w:t xml:space="preserve"> FSPs</w:t>
      </w:r>
      <w:r w:rsidR="002F547B" w:rsidRPr="00F97952">
        <w:rPr>
          <w:rFonts w:cs="Calibri"/>
        </w:rPr>
        <w:t xml:space="preserve"> tended to mobilize larger co-financing, with an average ratio of 1 to 5, while</w:t>
      </w:r>
      <w:r w:rsidRPr="00F97952">
        <w:rPr>
          <w:rFonts w:cs="Calibri"/>
        </w:rPr>
        <w:t xml:space="preserve"> </w:t>
      </w:r>
      <w:r w:rsidR="002F547B" w:rsidRPr="00F97952">
        <w:rPr>
          <w:rFonts w:cs="Calibri"/>
        </w:rPr>
        <w:t xml:space="preserve">MSPs </w:t>
      </w:r>
      <w:r w:rsidR="001E3918" w:rsidRPr="00F97952">
        <w:rPr>
          <w:rFonts w:cs="Calibri"/>
        </w:rPr>
        <w:t>mobilized 1</w:t>
      </w:r>
      <w:r w:rsidR="002F547B" w:rsidRPr="00F97952">
        <w:rPr>
          <w:rFonts w:cs="Calibri"/>
        </w:rPr>
        <w:t xml:space="preserve"> to</w:t>
      </w:r>
      <w:r w:rsidRPr="00F97952">
        <w:rPr>
          <w:rFonts w:cs="Calibri"/>
        </w:rPr>
        <w:t xml:space="preserve"> </w:t>
      </w:r>
      <w:r w:rsidR="00895751" w:rsidRPr="00F97952">
        <w:rPr>
          <w:rFonts w:cs="Calibri"/>
        </w:rPr>
        <w:t>3</w:t>
      </w:r>
      <w:r w:rsidRPr="00F97952">
        <w:rPr>
          <w:rFonts w:cs="Calibri"/>
        </w:rPr>
        <w:t>.</w:t>
      </w:r>
      <w:r w:rsidR="002F547B" w:rsidRPr="00F97952">
        <w:rPr>
          <w:rFonts w:cs="Calibri"/>
        </w:rPr>
        <w:t xml:space="preserve"> For Enabling </w:t>
      </w:r>
      <w:r w:rsidR="001E3918" w:rsidRPr="00F97952">
        <w:rPr>
          <w:rFonts w:cs="Calibri"/>
        </w:rPr>
        <w:t>activities,</w:t>
      </w:r>
      <w:r w:rsidR="002F547B" w:rsidRPr="00F97952">
        <w:rPr>
          <w:rFonts w:cs="Calibri"/>
        </w:rPr>
        <w:t xml:space="preserve"> the ratio was 1 to 0.1. </w:t>
      </w:r>
      <w:r w:rsidRPr="00F97952">
        <w:rPr>
          <w:rFonts w:cs="Calibri"/>
        </w:rPr>
        <w:t xml:space="preserve"> </w:t>
      </w:r>
      <w:r w:rsidR="00D1247E" w:rsidRPr="00F97952">
        <w:rPr>
          <w:rFonts w:cs="Calibri"/>
        </w:rPr>
        <w:t>Annex 2 summarizes the project approved during GEF-6.</w:t>
      </w:r>
    </w:p>
    <w:p w14:paraId="685704BE" w14:textId="5768BF7D" w:rsidR="00836E46" w:rsidRPr="00F97952" w:rsidRDefault="001E19D2" w:rsidP="002231A2">
      <w:pPr>
        <w:pStyle w:val="MainParagraphwith"/>
      </w:pPr>
      <w:bookmarkStart w:id="38" w:name="_bookmark13"/>
      <w:bookmarkEnd w:id="32"/>
      <w:bookmarkEnd w:id="38"/>
      <w:r w:rsidRPr="00F97952">
        <w:t>A</w:t>
      </w:r>
      <w:r w:rsidR="00510231" w:rsidRPr="00F97952">
        <w:t>pproved projects in GEF-6</w:t>
      </w:r>
      <w:r w:rsidRPr="00F97952">
        <w:t xml:space="preserve"> included MIAs </w:t>
      </w:r>
      <w:r w:rsidR="00510231" w:rsidRPr="00F97952">
        <w:t xml:space="preserve">and ASGM NAPs </w:t>
      </w:r>
      <w:r w:rsidRPr="00F97952">
        <w:t xml:space="preserve">to help countries identify needs and priority issues, and </w:t>
      </w:r>
      <w:r w:rsidR="00185D48" w:rsidRPr="00F97952">
        <w:t>implementation work on priority sectors for the Convention</w:t>
      </w:r>
      <w:r w:rsidR="00543D1C" w:rsidRPr="00F97952">
        <w:t>,</w:t>
      </w:r>
      <w:r w:rsidR="000F1477" w:rsidRPr="00F97952">
        <w:t xml:space="preserve"> as</w:t>
      </w:r>
      <w:r w:rsidR="00510231" w:rsidRPr="00F97952">
        <w:t xml:space="preserve"> illustrated in Figure 1.</w:t>
      </w:r>
      <w:r w:rsidR="00836E46" w:rsidRPr="00F97952">
        <w:rPr>
          <w:noProof/>
        </w:rPr>
        <w:t xml:space="preserve"> </w:t>
      </w:r>
    </w:p>
    <w:p w14:paraId="5201FD33" w14:textId="0369BB47" w:rsidR="00836E46" w:rsidRPr="00F97952" w:rsidRDefault="00836E46" w:rsidP="0018028C">
      <w:pPr>
        <w:pStyle w:val="MainParagraphwith"/>
        <w:keepNext/>
        <w:keepLines/>
        <w:numPr>
          <w:ilvl w:val="0"/>
          <w:numId w:val="0"/>
        </w:numPr>
        <w:jc w:val="center"/>
        <w:rPr>
          <w:b/>
        </w:rPr>
      </w:pPr>
      <w:bookmarkStart w:id="39" w:name="_Toc528774340"/>
      <w:r w:rsidRPr="00F97952">
        <w:rPr>
          <w:b/>
        </w:rPr>
        <w:lastRenderedPageBreak/>
        <w:t xml:space="preserve">Figure </w:t>
      </w:r>
      <w:r w:rsidRPr="00F97952">
        <w:rPr>
          <w:b/>
        </w:rPr>
        <w:fldChar w:fldCharType="begin"/>
      </w:r>
      <w:r w:rsidRPr="00F97952">
        <w:rPr>
          <w:b/>
        </w:rPr>
        <w:instrText xml:space="preserve"> SEQ Figure \* ARABIC </w:instrText>
      </w:r>
      <w:r w:rsidRPr="00F97952">
        <w:rPr>
          <w:b/>
        </w:rPr>
        <w:fldChar w:fldCharType="separate"/>
      </w:r>
      <w:r w:rsidR="00106981" w:rsidRPr="00F97952">
        <w:rPr>
          <w:b/>
          <w:noProof/>
        </w:rPr>
        <w:t>1</w:t>
      </w:r>
      <w:r w:rsidRPr="00F97952">
        <w:rPr>
          <w:b/>
        </w:rPr>
        <w:fldChar w:fldCharType="end"/>
      </w:r>
      <w:r w:rsidRPr="00F97952">
        <w:rPr>
          <w:b/>
        </w:rPr>
        <w:t>: Thematic Distribution of Allocated GEF-6 Mercury Funding</w:t>
      </w:r>
      <w:r w:rsidR="001E3918" w:rsidRPr="00F97952">
        <w:rPr>
          <w:rStyle w:val="Appelnotedebasdep"/>
          <w:b/>
        </w:rPr>
        <w:footnoteReference w:id="14"/>
      </w:r>
      <w:bookmarkEnd w:id="39"/>
    </w:p>
    <w:p w14:paraId="09E50BFF" w14:textId="40A6DE1F" w:rsidR="00836C6A" w:rsidRPr="00F97952" w:rsidRDefault="00836E46" w:rsidP="0018028C">
      <w:pPr>
        <w:pStyle w:val="MainParagraphwith"/>
        <w:keepNext/>
        <w:keepLines/>
        <w:numPr>
          <w:ilvl w:val="0"/>
          <w:numId w:val="0"/>
        </w:numPr>
      </w:pPr>
      <w:r w:rsidRPr="00F97952">
        <w:rPr>
          <w:noProof/>
          <w:lang w:val="fr-FR"/>
        </w:rPr>
        <w:drawing>
          <wp:inline distT="0" distB="0" distL="0" distR="0" wp14:anchorId="1520FDC0" wp14:editId="1ACB104F">
            <wp:extent cx="6079788" cy="2743200"/>
            <wp:effectExtent l="0" t="0" r="3810" b="0"/>
            <wp:docPr id="5" name="Chart 5">
              <a:extLst xmlns:a="http://schemas.openxmlformats.org/drawingml/2006/main">
                <a:ext uri="{FF2B5EF4-FFF2-40B4-BE49-F238E27FC236}">
                  <a16:creationId xmlns:a16="http://schemas.microsoft.com/office/drawing/2014/main" id="{84AC59F9-3B3B-4E45-B4B8-77452209C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8C08C3" w14:textId="3A617D99" w:rsidR="00356351" w:rsidRPr="00F97952" w:rsidRDefault="00356351" w:rsidP="0018028C">
      <w:pPr>
        <w:pStyle w:val="MainParagraphwith"/>
        <w:keepNext/>
        <w:keepLines/>
      </w:pPr>
      <w:r w:rsidRPr="00F97952">
        <w:t>As figure 1 shows</w:t>
      </w:r>
      <w:r w:rsidR="00B7026D" w:rsidRPr="00F97952">
        <w:t>,</w:t>
      </w:r>
      <w:r w:rsidRPr="00F97952">
        <w:t xml:space="preserve"> 25</w:t>
      </w:r>
      <w:r w:rsidR="00B7026D" w:rsidRPr="00F97952">
        <w:t xml:space="preserve"> percent</w:t>
      </w:r>
      <w:r w:rsidRPr="00F97952">
        <w:t xml:space="preserve"> of the resources in GEF</w:t>
      </w:r>
      <w:r w:rsidR="00B7026D" w:rsidRPr="00F97952">
        <w:t>-</w:t>
      </w:r>
      <w:r w:rsidRPr="00F97952">
        <w:t xml:space="preserve">6 for mercury was allocated to enabling activities which do not have </w:t>
      </w:r>
      <w:r w:rsidR="00B7026D" w:rsidRPr="00F97952">
        <w:t xml:space="preserve">mercury emission </w:t>
      </w:r>
      <w:r w:rsidRPr="00F97952">
        <w:t>reductions associated with them.  These projects</w:t>
      </w:r>
      <w:r w:rsidR="00B7026D" w:rsidRPr="00F97952">
        <w:t>,</w:t>
      </w:r>
      <w:r w:rsidRPr="00F97952">
        <w:t xml:space="preserve"> however</w:t>
      </w:r>
      <w:r w:rsidR="00B7026D" w:rsidRPr="00F97952">
        <w:t>,</w:t>
      </w:r>
      <w:r w:rsidRPr="00F97952">
        <w:t xml:space="preserve"> were a priority for countries since INC6 since they set the conditions to implement the Convention and will allow more reductions </w:t>
      </w:r>
      <w:r w:rsidR="00B7026D" w:rsidRPr="00F97952">
        <w:t>in the</w:t>
      </w:r>
      <w:r w:rsidRPr="00F97952">
        <w:t xml:space="preserve"> GEF</w:t>
      </w:r>
      <w:r w:rsidR="00B7026D" w:rsidRPr="00F97952">
        <w:t>-</w:t>
      </w:r>
      <w:r w:rsidRPr="00F97952">
        <w:t>7</w:t>
      </w:r>
      <w:r w:rsidR="00B7026D" w:rsidRPr="00F97952">
        <w:t xml:space="preserve"> period</w:t>
      </w:r>
      <w:r w:rsidRPr="00F97952">
        <w:t xml:space="preserve"> and beyond.</w:t>
      </w:r>
    </w:p>
    <w:p w14:paraId="3D1CE172" w14:textId="491C16A5" w:rsidR="00356351" w:rsidRPr="00F97952" w:rsidRDefault="00356351" w:rsidP="00356351">
      <w:pPr>
        <w:pStyle w:val="MainParagraphwith"/>
      </w:pPr>
      <w:r w:rsidRPr="00F97952">
        <w:t>An additional 7</w:t>
      </w:r>
      <w:r w:rsidR="00B7026D" w:rsidRPr="00F97952">
        <w:t xml:space="preserve"> percent</w:t>
      </w:r>
      <w:r w:rsidRPr="00F97952">
        <w:t xml:space="preserve"> of </w:t>
      </w:r>
      <w:r w:rsidR="00B7026D" w:rsidRPr="00F97952">
        <w:t xml:space="preserve">GEF </w:t>
      </w:r>
      <w:r w:rsidRPr="00F97952">
        <w:t>resources went to capacity building, primarily to China, which in the long-term will set the basis for significant future reductions of mercury.</w:t>
      </w:r>
    </w:p>
    <w:p w14:paraId="3309DD46" w14:textId="6FE36189" w:rsidR="00AC6CF5" w:rsidRPr="00F97952" w:rsidRDefault="00836E46" w:rsidP="002D5818">
      <w:pPr>
        <w:pStyle w:val="MainParagraphwith"/>
      </w:pPr>
      <w:r w:rsidRPr="00F97952">
        <w:t>For the implementation of the Minamata Convention</w:t>
      </w:r>
      <w:r w:rsidR="009646D4" w:rsidRPr="00F97952">
        <w:t>,</w:t>
      </w:r>
      <w:r w:rsidRPr="00F97952">
        <w:t xml:space="preserve"> six agencies supported countries.</w:t>
      </w:r>
      <w:r w:rsidR="007F78A0" w:rsidRPr="00F97952">
        <w:t xml:space="preserve">  They include Conservation International (CI), United Nations Development </w:t>
      </w:r>
      <w:proofErr w:type="spellStart"/>
      <w:r w:rsidR="007F78A0" w:rsidRPr="00F97952">
        <w:t>Programme</w:t>
      </w:r>
      <w:proofErr w:type="spellEnd"/>
      <w:r w:rsidR="007F78A0" w:rsidRPr="00F97952">
        <w:t xml:space="preserve"> (UNDP), United Nations Environment </w:t>
      </w:r>
      <w:proofErr w:type="spellStart"/>
      <w:r w:rsidR="007F78A0" w:rsidRPr="00F97952">
        <w:t>Programme</w:t>
      </w:r>
      <w:proofErr w:type="spellEnd"/>
      <w:r w:rsidR="007F78A0" w:rsidRPr="00F97952">
        <w:t xml:space="preserve"> (UNEP), United Nations Industrial Development Organization (UNDP), West African Development Bank (BOAD), and the World Bank (WB).</w:t>
      </w:r>
      <w:r w:rsidRPr="00F97952">
        <w:t xml:space="preserve"> UNDP, UNEP and UNIDO </w:t>
      </w:r>
      <w:r w:rsidR="007F78A0" w:rsidRPr="00F97952">
        <w:t xml:space="preserve">also </w:t>
      </w:r>
      <w:r w:rsidRPr="00F97952">
        <w:t>support</w:t>
      </w:r>
      <w:r w:rsidR="007F78A0" w:rsidRPr="00F97952">
        <w:t>ed</w:t>
      </w:r>
      <w:r w:rsidRPr="00F97952">
        <w:t xml:space="preserve"> the enabling activities.</w:t>
      </w:r>
    </w:p>
    <w:p w14:paraId="1C038BEB" w14:textId="4F1B716A" w:rsidR="00836E46" w:rsidRPr="00F97952" w:rsidRDefault="00836E46" w:rsidP="00836E46">
      <w:pPr>
        <w:rPr>
          <w:rFonts w:asciiTheme="minorHAnsi" w:hAnsiTheme="minorHAnsi"/>
          <w:lang w:eastAsia="zh-CN"/>
        </w:rPr>
      </w:pPr>
    </w:p>
    <w:p w14:paraId="6ADACE71" w14:textId="672EA435" w:rsidR="00836E46" w:rsidRPr="00F97952" w:rsidRDefault="00836E46" w:rsidP="00836E46">
      <w:pPr>
        <w:rPr>
          <w:rFonts w:asciiTheme="minorHAnsi" w:hAnsiTheme="minorHAnsi"/>
          <w:lang w:eastAsia="zh-CN"/>
        </w:rPr>
      </w:pPr>
    </w:p>
    <w:p w14:paraId="035E7979" w14:textId="5A66BFDE" w:rsidR="00836E46" w:rsidRPr="00F97952" w:rsidRDefault="00836E46" w:rsidP="00836E46">
      <w:pPr>
        <w:rPr>
          <w:rFonts w:asciiTheme="minorHAnsi" w:hAnsiTheme="minorHAnsi"/>
          <w:lang w:eastAsia="zh-CN"/>
        </w:rPr>
      </w:pPr>
    </w:p>
    <w:p w14:paraId="32DB883B" w14:textId="2B061E72" w:rsidR="00836E46" w:rsidRPr="00F97952" w:rsidRDefault="00836E46" w:rsidP="00836E46">
      <w:pPr>
        <w:rPr>
          <w:rFonts w:asciiTheme="minorHAnsi" w:hAnsiTheme="minorHAnsi"/>
          <w:lang w:eastAsia="zh-CN"/>
        </w:rPr>
      </w:pPr>
    </w:p>
    <w:p w14:paraId="24CABB2E" w14:textId="107B9D4B" w:rsidR="00836E46" w:rsidRPr="00F97952" w:rsidRDefault="00836E46" w:rsidP="00836E46">
      <w:pPr>
        <w:rPr>
          <w:rFonts w:asciiTheme="minorHAnsi" w:hAnsiTheme="minorHAnsi"/>
          <w:lang w:eastAsia="zh-CN"/>
        </w:rPr>
      </w:pPr>
    </w:p>
    <w:p w14:paraId="714E07F5" w14:textId="5994274E" w:rsidR="00836E46" w:rsidRPr="00F97952" w:rsidRDefault="00836E46" w:rsidP="00836E46">
      <w:pPr>
        <w:rPr>
          <w:rFonts w:asciiTheme="minorHAnsi" w:hAnsiTheme="minorHAnsi"/>
          <w:lang w:eastAsia="zh-CN"/>
        </w:rPr>
      </w:pPr>
    </w:p>
    <w:p w14:paraId="23B4CB5B" w14:textId="69EA2ABD" w:rsidR="00836E46" w:rsidRPr="00F97952" w:rsidRDefault="00836E46" w:rsidP="00836E46">
      <w:pPr>
        <w:rPr>
          <w:rFonts w:asciiTheme="minorHAnsi" w:hAnsiTheme="minorHAnsi"/>
          <w:lang w:eastAsia="zh-CN"/>
        </w:rPr>
      </w:pPr>
    </w:p>
    <w:p w14:paraId="577675D7" w14:textId="7693A97F" w:rsidR="00836E46" w:rsidRPr="00F97952" w:rsidRDefault="00836E46" w:rsidP="00836E46">
      <w:pPr>
        <w:rPr>
          <w:rFonts w:asciiTheme="minorHAnsi" w:hAnsiTheme="minorHAnsi"/>
          <w:lang w:eastAsia="zh-CN"/>
        </w:rPr>
      </w:pPr>
    </w:p>
    <w:p w14:paraId="19DA58A9" w14:textId="6888180B" w:rsidR="00836E46" w:rsidRPr="00F97952" w:rsidRDefault="00836E46" w:rsidP="00836E46">
      <w:pPr>
        <w:rPr>
          <w:rFonts w:asciiTheme="minorHAnsi" w:hAnsiTheme="minorHAnsi"/>
          <w:lang w:eastAsia="zh-CN"/>
        </w:rPr>
      </w:pPr>
    </w:p>
    <w:p w14:paraId="480F573B" w14:textId="0F92483B" w:rsidR="00836E46" w:rsidRPr="00F97952" w:rsidRDefault="00836E46" w:rsidP="00836E46">
      <w:pPr>
        <w:rPr>
          <w:rFonts w:asciiTheme="minorHAnsi" w:hAnsiTheme="minorHAnsi"/>
          <w:lang w:eastAsia="zh-CN"/>
        </w:rPr>
      </w:pPr>
    </w:p>
    <w:p w14:paraId="79E9B215" w14:textId="1561C7BE" w:rsidR="00836E46" w:rsidRPr="00F97952" w:rsidRDefault="00836E46" w:rsidP="00836E46">
      <w:pPr>
        <w:rPr>
          <w:rFonts w:asciiTheme="minorHAnsi" w:hAnsiTheme="minorHAnsi"/>
          <w:lang w:eastAsia="zh-CN"/>
        </w:rPr>
      </w:pPr>
    </w:p>
    <w:p w14:paraId="63387E17" w14:textId="78778D05" w:rsidR="00836E46" w:rsidRDefault="00836E46" w:rsidP="00836E46">
      <w:pPr>
        <w:rPr>
          <w:rFonts w:asciiTheme="minorHAnsi" w:hAnsiTheme="minorHAnsi"/>
          <w:lang w:eastAsia="zh-CN"/>
        </w:rPr>
      </w:pPr>
    </w:p>
    <w:p w14:paraId="1D69DEDF" w14:textId="0C6D7DB8" w:rsidR="0018028C" w:rsidRDefault="0018028C" w:rsidP="00836E46">
      <w:pPr>
        <w:rPr>
          <w:rFonts w:asciiTheme="minorHAnsi" w:hAnsiTheme="minorHAnsi"/>
          <w:lang w:eastAsia="zh-CN"/>
        </w:rPr>
      </w:pPr>
    </w:p>
    <w:p w14:paraId="5F7CAEDE" w14:textId="42023818" w:rsidR="0018028C" w:rsidRDefault="0018028C" w:rsidP="00836E46">
      <w:pPr>
        <w:rPr>
          <w:rFonts w:asciiTheme="minorHAnsi" w:hAnsiTheme="minorHAnsi"/>
          <w:lang w:eastAsia="zh-CN"/>
        </w:rPr>
      </w:pPr>
    </w:p>
    <w:p w14:paraId="6A2ED126" w14:textId="77777777" w:rsidR="0018028C" w:rsidRPr="00F97952" w:rsidRDefault="0018028C" w:rsidP="00836E46">
      <w:pPr>
        <w:rPr>
          <w:rFonts w:asciiTheme="minorHAnsi" w:hAnsiTheme="minorHAnsi"/>
          <w:lang w:eastAsia="zh-CN"/>
        </w:rPr>
      </w:pPr>
    </w:p>
    <w:p w14:paraId="7E1846C0" w14:textId="045F22F3" w:rsidR="00836E46" w:rsidRPr="00F97952" w:rsidRDefault="00836E46" w:rsidP="00836E46">
      <w:pPr>
        <w:rPr>
          <w:rFonts w:asciiTheme="minorHAnsi" w:hAnsiTheme="minorHAnsi"/>
          <w:lang w:eastAsia="zh-CN"/>
        </w:rPr>
      </w:pPr>
    </w:p>
    <w:p w14:paraId="15E446C0" w14:textId="6CC27FB6" w:rsidR="00836E46" w:rsidRPr="00F97952" w:rsidRDefault="00836E46" w:rsidP="00874B6D">
      <w:pPr>
        <w:pStyle w:val="Lgende"/>
        <w:jc w:val="center"/>
        <w:rPr>
          <w:color w:val="000000" w:themeColor="text1"/>
          <w:sz w:val="24"/>
          <w:szCs w:val="24"/>
        </w:rPr>
      </w:pPr>
      <w:bookmarkStart w:id="40" w:name="_Toc528774341"/>
      <w:r w:rsidRPr="00F97952">
        <w:rPr>
          <w:color w:val="000000" w:themeColor="text1"/>
          <w:sz w:val="24"/>
          <w:szCs w:val="24"/>
        </w:rPr>
        <w:lastRenderedPageBreak/>
        <w:t xml:space="preserve">Figure </w:t>
      </w:r>
      <w:r w:rsidRPr="00F97952">
        <w:rPr>
          <w:color w:val="000000" w:themeColor="text1"/>
          <w:sz w:val="24"/>
          <w:szCs w:val="24"/>
        </w:rPr>
        <w:fldChar w:fldCharType="begin"/>
      </w:r>
      <w:r w:rsidRPr="00F97952">
        <w:rPr>
          <w:color w:val="000000" w:themeColor="text1"/>
          <w:sz w:val="24"/>
          <w:szCs w:val="24"/>
        </w:rPr>
        <w:instrText xml:space="preserve"> SEQ Figure \* ARABIC </w:instrText>
      </w:r>
      <w:r w:rsidRPr="00F97952">
        <w:rPr>
          <w:color w:val="000000" w:themeColor="text1"/>
          <w:sz w:val="24"/>
          <w:szCs w:val="24"/>
        </w:rPr>
        <w:fldChar w:fldCharType="separate"/>
      </w:r>
      <w:r w:rsidR="00106981" w:rsidRPr="00F97952">
        <w:rPr>
          <w:noProof/>
          <w:color w:val="000000" w:themeColor="text1"/>
          <w:sz w:val="24"/>
          <w:szCs w:val="24"/>
        </w:rPr>
        <w:t>2</w:t>
      </w:r>
      <w:r w:rsidRPr="00F97952">
        <w:rPr>
          <w:color w:val="000000" w:themeColor="text1"/>
          <w:sz w:val="24"/>
          <w:szCs w:val="24"/>
        </w:rPr>
        <w:fldChar w:fldCharType="end"/>
      </w:r>
      <w:r w:rsidRPr="00F97952">
        <w:rPr>
          <w:color w:val="000000" w:themeColor="text1"/>
          <w:sz w:val="24"/>
          <w:szCs w:val="24"/>
        </w:rPr>
        <w:t xml:space="preserve">: Agency Distribution </w:t>
      </w:r>
      <w:r w:rsidR="007F78A0" w:rsidRPr="00F97952">
        <w:rPr>
          <w:color w:val="000000" w:themeColor="text1"/>
          <w:sz w:val="24"/>
          <w:szCs w:val="24"/>
        </w:rPr>
        <w:t>of</w:t>
      </w:r>
      <w:r w:rsidRPr="00F97952">
        <w:rPr>
          <w:color w:val="000000" w:themeColor="text1"/>
          <w:sz w:val="24"/>
          <w:szCs w:val="24"/>
        </w:rPr>
        <w:t xml:space="preserve"> </w:t>
      </w:r>
      <w:r w:rsidR="007F78A0" w:rsidRPr="00F97952">
        <w:rPr>
          <w:color w:val="000000" w:themeColor="text1"/>
          <w:sz w:val="24"/>
          <w:szCs w:val="24"/>
        </w:rPr>
        <w:t xml:space="preserve">Allocated </w:t>
      </w:r>
      <w:r w:rsidRPr="00F97952">
        <w:rPr>
          <w:color w:val="000000" w:themeColor="text1"/>
          <w:sz w:val="24"/>
          <w:szCs w:val="24"/>
        </w:rPr>
        <w:t>GEF</w:t>
      </w:r>
      <w:r w:rsidR="00CF3B88" w:rsidRPr="00F97952">
        <w:rPr>
          <w:color w:val="000000" w:themeColor="text1"/>
          <w:sz w:val="24"/>
          <w:szCs w:val="24"/>
        </w:rPr>
        <w:t>-</w:t>
      </w:r>
      <w:r w:rsidRPr="00F97952">
        <w:rPr>
          <w:color w:val="000000" w:themeColor="text1"/>
          <w:sz w:val="24"/>
          <w:szCs w:val="24"/>
        </w:rPr>
        <w:t>6</w:t>
      </w:r>
      <w:r w:rsidR="007F78A0" w:rsidRPr="00F97952">
        <w:rPr>
          <w:color w:val="000000" w:themeColor="text1"/>
          <w:sz w:val="24"/>
          <w:szCs w:val="24"/>
        </w:rPr>
        <w:t xml:space="preserve"> Mercury Funding</w:t>
      </w:r>
      <w:bookmarkEnd w:id="40"/>
    </w:p>
    <w:p w14:paraId="646E2A67" w14:textId="715DA81A" w:rsidR="00196030" w:rsidRPr="00F97952" w:rsidRDefault="00196030" w:rsidP="00196030">
      <w:pPr>
        <w:rPr>
          <w:lang w:val="en-GB"/>
        </w:rPr>
      </w:pPr>
    </w:p>
    <w:p w14:paraId="76FA01D2" w14:textId="073122B7" w:rsidR="00196030" w:rsidRPr="00F97952" w:rsidRDefault="00196030" w:rsidP="00033F0E">
      <w:pPr>
        <w:jc w:val="center"/>
        <w:rPr>
          <w:lang w:val="en-GB"/>
        </w:rPr>
      </w:pPr>
      <w:r w:rsidRPr="00F97952">
        <w:rPr>
          <w:noProof/>
          <w:lang w:val="fr-FR" w:eastAsia="zh-CN"/>
        </w:rPr>
        <w:drawing>
          <wp:inline distT="0" distB="0" distL="0" distR="0" wp14:anchorId="3208F75B" wp14:editId="5D7A7A8D">
            <wp:extent cx="4735902" cy="2682816"/>
            <wp:effectExtent l="0" t="0" r="7620" b="3810"/>
            <wp:docPr id="1" name="Chart 1">
              <a:extLst xmlns:a="http://schemas.openxmlformats.org/drawingml/2006/main">
                <a:ext uri="{FF2B5EF4-FFF2-40B4-BE49-F238E27FC236}">
                  <a16:creationId xmlns:a16="http://schemas.microsoft.com/office/drawing/2014/main" id="{DBD1B1BD-89F5-A943-A4FC-2BF16B2B2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DA2DBC" w14:textId="6FF02BB1" w:rsidR="00692223" w:rsidRPr="00F97952" w:rsidRDefault="00827624" w:rsidP="00836E46">
      <w:pPr>
        <w:pStyle w:val="MainParagraphwith"/>
      </w:pPr>
      <w:r w:rsidRPr="00F97952">
        <w:t xml:space="preserve">Figure </w:t>
      </w:r>
      <w:r w:rsidR="002F4CF7" w:rsidRPr="00F97952">
        <w:t>3</w:t>
      </w:r>
      <w:r w:rsidR="003C27A0" w:rsidRPr="00F97952">
        <w:t xml:space="preserve"> below shows the regional distribution of projects in GEF-6. The</w:t>
      </w:r>
      <w:r w:rsidRPr="00F97952">
        <w:t xml:space="preserve"> </w:t>
      </w:r>
      <w:r w:rsidR="00835CB7" w:rsidRPr="00F97952">
        <w:t>Asia</w:t>
      </w:r>
      <w:r w:rsidR="001E19D2" w:rsidRPr="00F97952">
        <w:t xml:space="preserve"> region received the highest share of GEF resources during </w:t>
      </w:r>
      <w:r w:rsidR="003C27A0" w:rsidRPr="00F97952">
        <w:t>GEF-6</w:t>
      </w:r>
      <w:r w:rsidR="001E19D2" w:rsidRPr="00F97952">
        <w:t xml:space="preserve">, due to the large </w:t>
      </w:r>
      <w:r w:rsidR="00F52DE9" w:rsidRPr="00F97952">
        <w:t>emissive sectors in those</w:t>
      </w:r>
      <w:r w:rsidR="001E19D2" w:rsidRPr="00F97952">
        <w:t xml:space="preserve"> countries that have started project implementation.</w:t>
      </w:r>
      <w:bookmarkStart w:id="41" w:name="_bookmark15"/>
      <w:bookmarkEnd w:id="41"/>
    </w:p>
    <w:p w14:paraId="29BAEC8A" w14:textId="1D79A27F" w:rsidR="0000292F" w:rsidRPr="00F97952" w:rsidRDefault="005D6819" w:rsidP="00874B6D">
      <w:pPr>
        <w:pStyle w:val="Lgende"/>
        <w:jc w:val="center"/>
        <w:rPr>
          <w:rFonts w:cstheme="minorHAnsi"/>
          <w:color w:val="auto"/>
          <w:sz w:val="24"/>
          <w:szCs w:val="24"/>
        </w:rPr>
      </w:pPr>
      <w:bookmarkStart w:id="42" w:name="_Toc528774342"/>
      <w:r w:rsidRPr="00F97952">
        <w:rPr>
          <w:color w:val="auto"/>
          <w:sz w:val="24"/>
          <w:szCs w:val="24"/>
        </w:rPr>
        <w:t xml:space="preserve">Figure </w:t>
      </w:r>
      <w:r w:rsidRPr="00F97952">
        <w:rPr>
          <w:color w:val="auto"/>
          <w:sz w:val="24"/>
          <w:szCs w:val="24"/>
        </w:rPr>
        <w:fldChar w:fldCharType="begin"/>
      </w:r>
      <w:r w:rsidRPr="00F97952">
        <w:rPr>
          <w:color w:val="auto"/>
          <w:sz w:val="24"/>
          <w:szCs w:val="24"/>
        </w:rPr>
        <w:instrText xml:space="preserve"> SEQ Figure \* ARABIC </w:instrText>
      </w:r>
      <w:r w:rsidRPr="00F97952">
        <w:rPr>
          <w:color w:val="auto"/>
          <w:sz w:val="24"/>
          <w:szCs w:val="24"/>
        </w:rPr>
        <w:fldChar w:fldCharType="separate"/>
      </w:r>
      <w:r w:rsidR="00106981" w:rsidRPr="00F97952">
        <w:rPr>
          <w:noProof/>
          <w:color w:val="auto"/>
          <w:sz w:val="24"/>
          <w:szCs w:val="24"/>
        </w:rPr>
        <w:t>3</w:t>
      </w:r>
      <w:r w:rsidRPr="00F97952">
        <w:rPr>
          <w:color w:val="auto"/>
          <w:sz w:val="24"/>
          <w:szCs w:val="24"/>
        </w:rPr>
        <w:fldChar w:fldCharType="end"/>
      </w:r>
      <w:r w:rsidRPr="00F97952">
        <w:rPr>
          <w:color w:val="auto"/>
          <w:sz w:val="24"/>
          <w:szCs w:val="24"/>
        </w:rPr>
        <w:t>: Regional Distribution of Allocated GEF-6 Mercury Funding</w:t>
      </w:r>
      <w:bookmarkEnd w:id="42"/>
    </w:p>
    <w:p w14:paraId="11812148" w14:textId="76F352E8" w:rsidR="00836E46" w:rsidRPr="00F97952" w:rsidRDefault="00CB5D46" w:rsidP="00836E46">
      <w:pPr>
        <w:pStyle w:val="Corpsdetexte"/>
        <w:jc w:val="center"/>
        <w:rPr>
          <w:rFonts w:asciiTheme="minorHAnsi" w:hAnsiTheme="minorHAnsi" w:cstheme="minorHAnsi"/>
          <w:b/>
          <w:sz w:val="26"/>
        </w:rPr>
      </w:pPr>
      <w:r w:rsidRPr="00F97952">
        <w:rPr>
          <w:rFonts w:asciiTheme="minorHAnsi" w:hAnsiTheme="minorHAnsi"/>
          <w:noProof/>
          <w:lang w:val="fr-FR" w:eastAsia="zh-CN"/>
        </w:rPr>
        <w:drawing>
          <wp:inline distT="0" distB="0" distL="0" distR="0" wp14:anchorId="2574A620" wp14:editId="46399761">
            <wp:extent cx="6060331" cy="2879388"/>
            <wp:effectExtent l="0" t="0" r="0" b="3810"/>
            <wp:docPr id="6" name="Chart 6">
              <a:extLst xmlns:a="http://schemas.openxmlformats.org/drawingml/2006/main">
                <a:ext uri="{FF2B5EF4-FFF2-40B4-BE49-F238E27FC236}">
                  <a16:creationId xmlns:a16="http://schemas.microsoft.com/office/drawing/2014/main" id="{4ABCEC50-D30F-894C-A052-38470393C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B13748" w14:textId="76852FFD" w:rsidR="00BA0F80" w:rsidRDefault="00E07763" w:rsidP="002D5818">
      <w:pPr>
        <w:pStyle w:val="MainParagraphwith"/>
      </w:pPr>
      <w:r w:rsidRPr="00F97952">
        <w:t xml:space="preserve">Figure 4 below illustrates the sectors receiving funding per region. All regions undertook enabling activities with the highest proportion being in Africa followed by Latin America (excluding the Caribbean). Support for ASGM was in Africa, Asia and Latin America where ASGM activities are the highest. Additionally, a global coordinating project for ASGM was supported.  The reduction of mercury chloride use in the Vinyl Chloride Monomer production sector was funded for China. </w:t>
      </w:r>
    </w:p>
    <w:p w14:paraId="6E8EE223" w14:textId="7A965601" w:rsidR="0018028C" w:rsidRDefault="0018028C" w:rsidP="0018028C">
      <w:pPr>
        <w:rPr>
          <w:lang w:eastAsia="zh-CN"/>
        </w:rPr>
      </w:pPr>
    </w:p>
    <w:p w14:paraId="746E5B7F" w14:textId="57E7458C" w:rsidR="0018028C" w:rsidRDefault="0018028C" w:rsidP="0018028C">
      <w:pPr>
        <w:rPr>
          <w:lang w:eastAsia="zh-CN"/>
        </w:rPr>
      </w:pPr>
    </w:p>
    <w:p w14:paraId="5E63FEDF" w14:textId="4446D43A" w:rsidR="0018028C" w:rsidRDefault="0018028C" w:rsidP="0018028C">
      <w:pPr>
        <w:rPr>
          <w:lang w:eastAsia="zh-CN"/>
        </w:rPr>
      </w:pPr>
    </w:p>
    <w:p w14:paraId="6C4886D1" w14:textId="77777777" w:rsidR="0018028C" w:rsidRPr="0018028C" w:rsidRDefault="0018028C" w:rsidP="0018028C">
      <w:pPr>
        <w:rPr>
          <w:lang w:eastAsia="zh-CN"/>
        </w:rPr>
      </w:pPr>
    </w:p>
    <w:p w14:paraId="0C73E69F" w14:textId="7165C91C" w:rsidR="00E07763" w:rsidRPr="00F97952" w:rsidRDefault="00E07763" w:rsidP="00874B6D">
      <w:pPr>
        <w:pStyle w:val="Lgende"/>
        <w:jc w:val="center"/>
        <w:rPr>
          <w:color w:val="000000" w:themeColor="text1"/>
          <w:sz w:val="24"/>
          <w:szCs w:val="24"/>
          <w:lang w:eastAsia="zh-CN"/>
        </w:rPr>
      </w:pPr>
      <w:bookmarkStart w:id="43" w:name="_Toc528774343"/>
      <w:r w:rsidRPr="00F97952">
        <w:rPr>
          <w:color w:val="000000" w:themeColor="text1"/>
          <w:sz w:val="24"/>
          <w:szCs w:val="24"/>
        </w:rPr>
        <w:lastRenderedPageBreak/>
        <w:t xml:space="preserve">Figure </w:t>
      </w:r>
      <w:r w:rsidRPr="00F97952">
        <w:rPr>
          <w:color w:val="000000" w:themeColor="text1"/>
          <w:sz w:val="24"/>
          <w:szCs w:val="24"/>
        </w:rPr>
        <w:fldChar w:fldCharType="begin"/>
      </w:r>
      <w:r w:rsidRPr="00F97952">
        <w:rPr>
          <w:color w:val="000000" w:themeColor="text1"/>
          <w:sz w:val="24"/>
          <w:szCs w:val="24"/>
        </w:rPr>
        <w:instrText xml:space="preserve"> SEQ Figure \* ARABIC </w:instrText>
      </w:r>
      <w:r w:rsidRPr="00F97952">
        <w:rPr>
          <w:color w:val="000000" w:themeColor="text1"/>
          <w:sz w:val="24"/>
          <w:szCs w:val="24"/>
        </w:rPr>
        <w:fldChar w:fldCharType="separate"/>
      </w:r>
      <w:r w:rsidR="00106981" w:rsidRPr="00F97952">
        <w:rPr>
          <w:noProof/>
          <w:color w:val="000000" w:themeColor="text1"/>
          <w:sz w:val="24"/>
          <w:szCs w:val="24"/>
        </w:rPr>
        <w:t>4</w:t>
      </w:r>
      <w:r w:rsidRPr="00F97952">
        <w:rPr>
          <w:color w:val="000000" w:themeColor="text1"/>
          <w:sz w:val="24"/>
          <w:szCs w:val="24"/>
        </w:rPr>
        <w:fldChar w:fldCharType="end"/>
      </w:r>
      <w:r w:rsidRPr="00F97952">
        <w:rPr>
          <w:color w:val="000000" w:themeColor="text1"/>
          <w:sz w:val="24"/>
          <w:szCs w:val="24"/>
        </w:rPr>
        <w:t xml:space="preserve">: Sectors </w:t>
      </w:r>
      <w:r w:rsidR="00D87B16" w:rsidRPr="00F97952">
        <w:rPr>
          <w:color w:val="000000" w:themeColor="text1"/>
          <w:sz w:val="24"/>
          <w:szCs w:val="24"/>
        </w:rPr>
        <w:t xml:space="preserve">Receiving </w:t>
      </w:r>
      <w:r w:rsidR="00226A64" w:rsidRPr="00F97952">
        <w:rPr>
          <w:color w:val="000000" w:themeColor="text1"/>
          <w:sz w:val="24"/>
          <w:szCs w:val="24"/>
        </w:rPr>
        <w:t>GEF-6 Support</w:t>
      </w:r>
      <w:r w:rsidR="00D87B16" w:rsidRPr="00F97952">
        <w:rPr>
          <w:color w:val="000000" w:themeColor="text1"/>
          <w:sz w:val="24"/>
          <w:szCs w:val="24"/>
        </w:rPr>
        <w:t xml:space="preserve"> per Region</w:t>
      </w:r>
      <w:bookmarkEnd w:id="43"/>
    </w:p>
    <w:p w14:paraId="35A184A4" w14:textId="6D155E52" w:rsidR="00E07763" w:rsidRPr="00F97952" w:rsidRDefault="00E07763" w:rsidP="00033F0E">
      <w:pPr>
        <w:pStyle w:val="MainParagraphwith"/>
        <w:numPr>
          <w:ilvl w:val="0"/>
          <w:numId w:val="0"/>
        </w:numPr>
        <w:jc w:val="center"/>
      </w:pPr>
      <w:r w:rsidRPr="00F97952">
        <w:rPr>
          <w:noProof/>
          <w:lang w:val="fr-FR"/>
        </w:rPr>
        <w:drawing>
          <wp:inline distT="0" distB="0" distL="0" distR="0" wp14:anchorId="67D05ADC" wp14:editId="1792169C">
            <wp:extent cx="5705475" cy="2966720"/>
            <wp:effectExtent l="0" t="0" r="9525" b="5080"/>
            <wp:docPr id="8" name="Chart 8">
              <a:extLst xmlns:a="http://schemas.openxmlformats.org/drawingml/2006/main">
                <a:ext uri="{FF2B5EF4-FFF2-40B4-BE49-F238E27FC236}">
                  <a16:creationId xmlns:a16="http://schemas.microsoft.com/office/drawing/2014/main" id="{9B3A285D-7C95-2241-AAF9-4FC00FC90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2074D7" w14:textId="77777777" w:rsidR="00475F5A" w:rsidRPr="00F97952" w:rsidRDefault="00475F5A" w:rsidP="00033F0E">
      <w:pPr>
        <w:pStyle w:val="MainParagraphwith"/>
        <w:numPr>
          <w:ilvl w:val="0"/>
          <w:numId w:val="0"/>
        </w:numPr>
      </w:pPr>
    </w:p>
    <w:p w14:paraId="1FBF76D2" w14:textId="0F3E0A5E" w:rsidR="00475F5A" w:rsidRPr="00F97952" w:rsidRDefault="000529A8" w:rsidP="002D5818">
      <w:pPr>
        <w:pStyle w:val="MainParagraphwith"/>
      </w:pPr>
      <w:r w:rsidRPr="00F97952">
        <w:t>To support ratification of the convention</w:t>
      </w:r>
      <w:r w:rsidR="008E5732" w:rsidRPr="00F97952">
        <w:t>,</w:t>
      </w:r>
      <w:r w:rsidRPr="00F97952">
        <w:t xml:space="preserve"> </w:t>
      </w:r>
      <w:r w:rsidR="00E07763" w:rsidRPr="00F97952">
        <w:t>the GEF</w:t>
      </w:r>
      <w:r w:rsidRPr="00F97952">
        <w:t xml:space="preserve"> prioritized funding enabling activities. To date</w:t>
      </w:r>
      <w:r w:rsidR="00226A64" w:rsidRPr="00F97952">
        <w:t>,</w:t>
      </w:r>
      <w:r w:rsidRPr="00F97952">
        <w:t xml:space="preserve"> the GEF has funded MIA</w:t>
      </w:r>
      <w:r w:rsidR="00F36F6B" w:rsidRPr="00F97952">
        <w:t>s</w:t>
      </w:r>
      <w:r w:rsidRPr="00F97952">
        <w:t xml:space="preserve"> for 11</w:t>
      </w:r>
      <w:r w:rsidR="00F3339D" w:rsidRPr="00F97952">
        <w:t>0</w:t>
      </w:r>
      <w:r w:rsidR="007F78A0" w:rsidRPr="00F97952">
        <w:t xml:space="preserve"> </w:t>
      </w:r>
      <w:r w:rsidRPr="00F97952">
        <w:t>countries and 32 ASGM N</w:t>
      </w:r>
      <w:r w:rsidR="00226A64" w:rsidRPr="00F97952">
        <w:t>APs</w:t>
      </w:r>
      <w:r w:rsidRPr="00F97952">
        <w:t>.</w:t>
      </w:r>
      <w:r w:rsidR="007B0D5C" w:rsidRPr="00F97952">
        <w:rPr>
          <w:rStyle w:val="Appelnotedebasdep"/>
        </w:rPr>
        <w:footnoteReference w:id="15"/>
      </w:r>
      <w:r w:rsidR="007B0D5C" w:rsidRPr="00F97952">
        <w:t xml:space="preserve"> </w:t>
      </w:r>
      <w:r w:rsidR="00692223" w:rsidRPr="00F97952">
        <w:t xml:space="preserve">The countries </w:t>
      </w:r>
      <w:r w:rsidR="007B0D5C" w:rsidRPr="00F97952">
        <w:t xml:space="preserve">that </w:t>
      </w:r>
      <w:r w:rsidR="00692223" w:rsidRPr="00F97952">
        <w:t>receiv</w:t>
      </w:r>
      <w:r w:rsidR="007B0D5C" w:rsidRPr="00F97952">
        <w:t>ed</w:t>
      </w:r>
      <w:r w:rsidR="00692223" w:rsidRPr="00F97952">
        <w:t xml:space="preserve"> support </w:t>
      </w:r>
      <w:r w:rsidR="007B0D5C" w:rsidRPr="00F97952">
        <w:t xml:space="preserve">up to the end of the GEF-6 period </w:t>
      </w:r>
      <w:r w:rsidR="00692223" w:rsidRPr="00F97952">
        <w:t xml:space="preserve">are </w:t>
      </w:r>
      <w:r w:rsidR="007B0D5C" w:rsidRPr="00F97952">
        <w:t xml:space="preserve">presented </w:t>
      </w:r>
      <w:r w:rsidR="00D06902" w:rsidRPr="00F97952">
        <w:t>in the following table.</w:t>
      </w:r>
    </w:p>
    <w:p w14:paraId="66F3C541" w14:textId="056A4918" w:rsidR="00510231" w:rsidRPr="00F97952" w:rsidRDefault="00510231" w:rsidP="00033F0E">
      <w:pPr>
        <w:rPr>
          <w:lang w:eastAsia="zh-CN"/>
        </w:rPr>
      </w:pPr>
    </w:p>
    <w:p w14:paraId="025004E9" w14:textId="64E30482" w:rsidR="00AF206A" w:rsidRPr="00F97952" w:rsidRDefault="00AF206A" w:rsidP="00874B6D">
      <w:pPr>
        <w:pStyle w:val="Lgende"/>
        <w:jc w:val="center"/>
        <w:rPr>
          <w:color w:val="000000" w:themeColor="text1"/>
          <w:sz w:val="24"/>
          <w:szCs w:val="24"/>
        </w:rPr>
      </w:pPr>
      <w:bookmarkStart w:id="44" w:name="_bookmark16"/>
      <w:bookmarkStart w:id="45" w:name="_bookmark17"/>
      <w:bookmarkStart w:id="46" w:name="_Toc528774331"/>
      <w:bookmarkEnd w:id="44"/>
      <w:bookmarkEnd w:id="45"/>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5</w:t>
      </w:r>
      <w:r w:rsidRPr="00F97952">
        <w:rPr>
          <w:color w:val="000000" w:themeColor="text1"/>
          <w:sz w:val="24"/>
          <w:szCs w:val="24"/>
        </w:rPr>
        <w:fldChar w:fldCharType="end"/>
      </w:r>
      <w:r w:rsidR="00226A64" w:rsidRPr="00F97952">
        <w:rPr>
          <w:color w:val="000000" w:themeColor="text1"/>
          <w:sz w:val="24"/>
          <w:szCs w:val="24"/>
        </w:rPr>
        <w:t>:</w:t>
      </w:r>
      <w:r w:rsidRPr="00F97952">
        <w:rPr>
          <w:color w:val="000000" w:themeColor="text1"/>
          <w:sz w:val="24"/>
          <w:szCs w:val="24"/>
        </w:rPr>
        <w:t xml:space="preserve"> List of Countries that </w:t>
      </w:r>
      <w:r w:rsidR="00D87B16" w:rsidRPr="00F97952">
        <w:rPr>
          <w:color w:val="000000" w:themeColor="text1"/>
          <w:sz w:val="24"/>
          <w:szCs w:val="24"/>
        </w:rPr>
        <w:t>R</w:t>
      </w:r>
      <w:r w:rsidRPr="00F97952">
        <w:rPr>
          <w:color w:val="000000" w:themeColor="text1"/>
          <w:sz w:val="24"/>
          <w:szCs w:val="24"/>
        </w:rPr>
        <w:t xml:space="preserve">eceived GEF </w:t>
      </w:r>
      <w:r w:rsidR="00D06902" w:rsidRPr="00F97952">
        <w:rPr>
          <w:color w:val="000000" w:themeColor="text1"/>
          <w:sz w:val="24"/>
          <w:szCs w:val="24"/>
        </w:rPr>
        <w:t>Support</w:t>
      </w:r>
      <w:r w:rsidRPr="00F97952">
        <w:rPr>
          <w:color w:val="000000" w:themeColor="text1"/>
          <w:sz w:val="24"/>
          <w:szCs w:val="24"/>
        </w:rPr>
        <w:t xml:space="preserve"> for Enabling Activities</w:t>
      </w:r>
      <w:bookmarkEnd w:id="46"/>
    </w:p>
    <w:p w14:paraId="70161076" w14:textId="77777777" w:rsidR="0009173B" w:rsidRPr="00F97952" w:rsidRDefault="0009173B" w:rsidP="0009173B">
      <w:pPr>
        <w:rPr>
          <w:lang w:val="en-GB"/>
        </w:rPr>
      </w:pPr>
    </w:p>
    <w:tbl>
      <w:tblPr>
        <w:tblStyle w:val="TableauGrille6Couleur-Accentuation1"/>
        <w:tblW w:w="9355" w:type="dxa"/>
        <w:tblLook w:val="04A0" w:firstRow="1" w:lastRow="0" w:firstColumn="1" w:lastColumn="0" w:noHBand="0" w:noVBand="1"/>
      </w:tblPr>
      <w:tblGrid>
        <w:gridCol w:w="2425"/>
        <w:gridCol w:w="2250"/>
        <w:gridCol w:w="2160"/>
        <w:gridCol w:w="2520"/>
      </w:tblGrid>
      <w:tr w:rsidR="00935EAA" w:rsidRPr="00F97952" w14:paraId="7AF7EFC4" w14:textId="77777777" w:rsidTr="00033F0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675" w:type="dxa"/>
            <w:gridSpan w:val="2"/>
            <w:noWrap/>
            <w:hideMark/>
          </w:tcPr>
          <w:p w14:paraId="53B50266" w14:textId="77777777" w:rsidR="00935EAA" w:rsidRPr="00F97952" w:rsidRDefault="00935EAA" w:rsidP="00935EAA">
            <w:pPr>
              <w:jc w:val="center"/>
              <w:rPr>
                <w:rFonts w:asciiTheme="minorHAnsi" w:hAnsiTheme="minorHAnsi" w:cstheme="minorHAnsi"/>
                <w:color w:val="000000"/>
              </w:rPr>
            </w:pPr>
            <w:r w:rsidRPr="00F97952">
              <w:rPr>
                <w:rFonts w:asciiTheme="minorHAnsi" w:hAnsiTheme="minorHAnsi" w:cstheme="minorHAnsi"/>
                <w:color w:val="000000"/>
              </w:rPr>
              <w:t>Minamata Initial Assessments</w:t>
            </w:r>
          </w:p>
        </w:tc>
        <w:tc>
          <w:tcPr>
            <w:tcW w:w="4680" w:type="dxa"/>
            <w:gridSpan w:val="2"/>
            <w:noWrap/>
            <w:hideMark/>
          </w:tcPr>
          <w:p w14:paraId="6229DC5E" w14:textId="77777777" w:rsidR="00935EAA" w:rsidRPr="00F97952" w:rsidRDefault="00935EAA" w:rsidP="00935E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ASGM National Action Plans</w:t>
            </w:r>
          </w:p>
        </w:tc>
      </w:tr>
      <w:tr w:rsidR="00935EAA" w:rsidRPr="00F97952" w14:paraId="2D640A02" w14:textId="77777777" w:rsidTr="00033F0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14B62871" w14:textId="77777777" w:rsidR="00935EAA" w:rsidRPr="00F97952" w:rsidRDefault="00935EAA" w:rsidP="00874B6D">
            <w:pPr>
              <w:jc w:val="center"/>
              <w:rPr>
                <w:rFonts w:asciiTheme="minorHAnsi" w:hAnsiTheme="minorHAnsi" w:cstheme="minorHAnsi"/>
                <w:color w:val="000000"/>
              </w:rPr>
            </w:pPr>
            <w:r w:rsidRPr="00F97952">
              <w:rPr>
                <w:rFonts w:asciiTheme="minorHAnsi" w:hAnsiTheme="minorHAnsi" w:cstheme="minorHAnsi"/>
                <w:color w:val="000000"/>
              </w:rPr>
              <w:t>Parties</w:t>
            </w:r>
          </w:p>
        </w:tc>
        <w:tc>
          <w:tcPr>
            <w:tcW w:w="2250" w:type="dxa"/>
            <w:noWrap/>
            <w:hideMark/>
          </w:tcPr>
          <w:p w14:paraId="2B3A42CE" w14:textId="77777777" w:rsidR="00935EAA" w:rsidRPr="00F97952" w:rsidRDefault="00935EAA" w:rsidP="00874B6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Non-Parties</w:t>
            </w:r>
          </w:p>
        </w:tc>
        <w:tc>
          <w:tcPr>
            <w:tcW w:w="2160" w:type="dxa"/>
            <w:noWrap/>
            <w:hideMark/>
          </w:tcPr>
          <w:p w14:paraId="7521A4CF" w14:textId="77777777" w:rsidR="00935EAA" w:rsidRPr="00F97952" w:rsidRDefault="00935EAA" w:rsidP="00874B6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Parties</w:t>
            </w:r>
          </w:p>
        </w:tc>
        <w:tc>
          <w:tcPr>
            <w:tcW w:w="2520" w:type="dxa"/>
            <w:noWrap/>
            <w:hideMark/>
          </w:tcPr>
          <w:p w14:paraId="26BCA072" w14:textId="77777777" w:rsidR="00935EAA" w:rsidRPr="00F97952" w:rsidRDefault="00935EAA" w:rsidP="00874B6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Non-Parties</w:t>
            </w:r>
          </w:p>
        </w:tc>
      </w:tr>
      <w:tr w:rsidR="00935EAA" w:rsidRPr="00F97952" w14:paraId="5FAFEE9E"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1E0CB5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Antigua and Barbuda</w:t>
            </w:r>
          </w:p>
        </w:tc>
        <w:tc>
          <w:tcPr>
            <w:tcW w:w="2250" w:type="dxa"/>
            <w:noWrap/>
            <w:hideMark/>
          </w:tcPr>
          <w:p w14:paraId="57E58F9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Albania</w:t>
            </w:r>
          </w:p>
        </w:tc>
        <w:tc>
          <w:tcPr>
            <w:tcW w:w="2160" w:type="dxa"/>
            <w:noWrap/>
            <w:hideMark/>
          </w:tcPr>
          <w:p w14:paraId="1CC161C1"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Burkina Faso</w:t>
            </w:r>
          </w:p>
        </w:tc>
        <w:tc>
          <w:tcPr>
            <w:tcW w:w="2520" w:type="dxa"/>
            <w:noWrap/>
            <w:hideMark/>
          </w:tcPr>
          <w:p w14:paraId="41CFE5CE"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Burundi</w:t>
            </w:r>
          </w:p>
        </w:tc>
      </w:tr>
      <w:tr w:rsidR="00935EAA" w:rsidRPr="00F97952" w14:paraId="7C0EDFBF"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B621AFB"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Argentina</w:t>
            </w:r>
          </w:p>
        </w:tc>
        <w:tc>
          <w:tcPr>
            <w:tcW w:w="2250" w:type="dxa"/>
            <w:noWrap/>
            <w:hideMark/>
          </w:tcPr>
          <w:p w14:paraId="7DB20B7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Angola</w:t>
            </w:r>
          </w:p>
        </w:tc>
        <w:tc>
          <w:tcPr>
            <w:tcW w:w="2160" w:type="dxa"/>
            <w:noWrap/>
            <w:hideMark/>
          </w:tcPr>
          <w:p w14:paraId="326FA170"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Ecuador</w:t>
            </w:r>
          </w:p>
        </w:tc>
        <w:tc>
          <w:tcPr>
            <w:tcW w:w="2520" w:type="dxa"/>
            <w:noWrap/>
            <w:hideMark/>
          </w:tcPr>
          <w:p w14:paraId="7F91163B"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Central African Republic</w:t>
            </w:r>
          </w:p>
        </w:tc>
      </w:tr>
      <w:tr w:rsidR="00935EAA" w:rsidRPr="00F97952" w14:paraId="724677F5"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1AAAE93"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Armenia</w:t>
            </w:r>
          </w:p>
        </w:tc>
        <w:tc>
          <w:tcPr>
            <w:tcW w:w="2250" w:type="dxa"/>
            <w:noWrap/>
            <w:hideMark/>
          </w:tcPr>
          <w:p w14:paraId="6BF837E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Azerbaijan</w:t>
            </w:r>
          </w:p>
        </w:tc>
        <w:tc>
          <w:tcPr>
            <w:tcW w:w="2160" w:type="dxa"/>
            <w:noWrap/>
            <w:hideMark/>
          </w:tcPr>
          <w:p w14:paraId="2C85BED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Gabon</w:t>
            </w:r>
          </w:p>
        </w:tc>
        <w:tc>
          <w:tcPr>
            <w:tcW w:w="2520" w:type="dxa"/>
            <w:noWrap/>
            <w:hideMark/>
          </w:tcPr>
          <w:p w14:paraId="21F5EB09"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Congo</w:t>
            </w:r>
          </w:p>
        </w:tc>
      </w:tr>
      <w:tr w:rsidR="00935EAA" w:rsidRPr="00F97952" w14:paraId="36E8E2DB"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474DAFB"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Benin</w:t>
            </w:r>
          </w:p>
        </w:tc>
        <w:tc>
          <w:tcPr>
            <w:tcW w:w="2250" w:type="dxa"/>
            <w:noWrap/>
            <w:hideMark/>
          </w:tcPr>
          <w:p w14:paraId="6201951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Bangladesh</w:t>
            </w:r>
          </w:p>
        </w:tc>
        <w:tc>
          <w:tcPr>
            <w:tcW w:w="2160" w:type="dxa"/>
            <w:noWrap/>
            <w:hideMark/>
          </w:tcPr>
          <w:p w14:paraId="71C17F40"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Ghana</w:t>
            </w:r>
          </w:p>
        </w:tc>
        <w:tc>
          <w:tcPr>
            <w:tcW w:w="2520" w:type="dxa"/>
            <w:noWrap/>
            <w:hideMark/>
          </w:tcPr>
          <w:p w14:paraId="273BA9AC" w14:textId="4028020F" w:rsidR="00935EAA" w:rsidRPr="00F97952" w:rsidRDefault="00874B6D"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Democratic Republic of the Congo (DRC)</w:t>
            </w:r>
          </w:p>
        </w:tc>
      </w:tr>
      <w:tr w:rsidR="00935EAA" w:rsidRPr="00F97952" w14:paraId="6CA89DE1"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F53CE5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Bolivia</w:t>
            </w:r>
          </w:p>
        </w:tc>
        <w:tc>
          <w:tcPr>
            <w:tcW w:w="2250" w:type="dxa"/>
            <w:noWrap/>
            <w:hideMark/>
          </w:tcPr>
          <w:p w14:paraId="6D1EBC5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Belarus</w:t>
            </w:r>
          </w:p>
        </w:tc>
        <w:tc>
          <w:tcPr>
            <w:tcW w:w="2160" w:type="dxa"/>
            <w:noWrap/>
            <w:hideMark/>
          </w:tcPr>
          <w:p w14:paraId="4F2C10F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Guinea</w:t>
            </w:r>
          </w:p>
        </w:tc>
        <w:tc>
          <w:tcPr>
            <w:tcW w:w="2520" w:type="dxa"/>
            <w:noWrap/>
            <w:hideMark/>
          </w:tcPr>
          <w:p w14:paraId="68930EB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Eritrea</w:t>
            </w:r>
          </w:p>
        </w:tc>
      </w:tr>
      <w:tr w:rsidR="00935EAA" w:rsidRPr="00F97952" w14:paraId="2394A442"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BBDB64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Botswana</w:t>
            </w:r>
          </w:p>
        </w:tc>
        <w:tc>
          <w:tcPr>
            <w:tcW w:w="2250" w:type="dxa"/>
            <w:noWrap/>
            <w:hideMark/>
          </w:tcPr>
          <w:p w14:paraId="580781A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Belize</w:t>
            </w:r>
          </w:p>
        </w:tc>
        <w:tc>
          <w:tcPr>
            <w:tcW w:w="2160" w:type="dxa"/>
            <w:noWrap/>
            <w:hideMark/>
          </w:tcPr>
          <w:p w14:paraId="33061A7E"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Honduras</w:t>
            </w:r>
          </w:p>
        </w:tc>
        <w:tc>
          <w:tcPr>
            <w:tcW w:w="2520" w:type="dxa"/>
            <w:noWrap/>
            <w:hideMark/>
          </w:tcPr>
          <w:p w14:paraId="0C33356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Kenya</w:t>
            </w:r>
          </w:p>
        </w:tc>
      </w:tr>
      <w:tr w:rsidR="00935EAA" w:rsidRPr="00F97952" w14:paraId="40E11CA4"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86E4AC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Brazil</w:t>
            </w:r>
          </w:p>
        </w:tc>
        <w:tc>
          <w:tcPr>
            <w:tcW w:w="2250" w:type="dxa"/>
            <w:noWrap/>
            <w:hideMark/>
          </w:tcPr>
          <w:p w14:paraId="5A375CC1"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Bosnia &amp; Herzegovina</w:t>
            </w:r>
          </w:p>
        </w:tc>
        <w:tc>
          <w:tcPr>
            <w:tcW w:w="2160" w:type="dxa"/>
            <w:noWrap/>
            <w:hideMark/>
          </w:tcPr>
          <w:p w14:paraId="18EE354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Indonesia</w:t>
            </w:r>
          </w:p>
        </w:tc>
        <w:tc>
          <w:tcPr>
            <w:tcW w:w="2520" w:type="dxa"/>
            <w:noWrap/>
            <w:hideMark/>
          </w:tcPr>
          <w:p w14:paraId="057DA9A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Kyrgyzstan</w:t>
            </w:r>
          </w:p>
        </w:tc>
      </w:tr>
      <w:tr w:rsidR="00935EAA" w:rsidRPr="00F97952" w14:paraId="5B964B09"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7149E4A"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Burkina Faso</w:t>
            </w:r>
          </w:p>
        </w:tc>
        <w:tc>
          <w:tcPr>
            <w:tcW w:w="2250" w:type="dxa"/>
            <w:noWrap/>
            <w:hideMark/>
          </w:tcPr>
          <w:p w14:paraId="0D094724"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Burundi</w:t>
            </w:r>
          </w:p>
        </w:tc>
        <w:tc>
          <w:tcPr>
            <w:tcW w:w="2160" w:type="dxa"/>
            <w:noWrap/>
            <w:hideMark/>
          </w:tcPr>
          <w:p w14:paraId="37FAE3C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Lao PDR</w:t>
            </w:r>
          </w:p>
        </w:tc>
        <w:tc>
          <w:tcPr>
            <w:tcW w:w="2520" w:type="dxa"/>
            <w:noWrap/>
            <w:hideMark/>
          </w:tcPr>
          <w:p w14:paraId="2F012FDF"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Mozambique</w:t>
            </w:r>
          </w:p>
        </w:tc>
      </w:tr>
      <w:tr w:rsidR="00935EAA" w:rsidRPr="00F97952" w14:paraId="43ECB0D3"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FC98DFC"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Chad</w:t>
            </w:r>
          </w:p>
        </w:tc>
        <w:tc>
          <w:tcPr>
            <w:tcW w:w="2250" w:type="dxa"/>
            <w:noWrap/>
            <w:hideMark/>
          </w:tcPr>
          <w:p w14:paraId="6258BDBC"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Cabo Verde</w:t>
            </w:r>
          </w:p>
        </w:tc>
        <w:tc>
          <w:tcPr>
            <w:tcW w:w="2160" w:type="dxa"/>
            <w:noWrap/>
            <w:hideMark/>
          </w:tcPr>
          <w:p w14:paraId="0173B03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Madagascar</w:t>
            </w:r>
          </w:p>
        </w:tc>
        <w:tc>
          <w:tcPr>
            <w:tcW w:w="2520" w:type="dxa"/>
            <w:noWrap/>
            <w:hideMark/>
          </w:tcPr>
          <w:p w14:paraId="4E3AE19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Myanmar</w:t>
            </w:r>
          </w:p>
        </w:tc>
      </w:tr>
      <w:tr w:rsidR="00935EAA" w:rsidRPr="00F97952" w14:paraId="68F8649A"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A486D9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Chile</w:t>
            </w:r>
          </w:p>
        </w:tc>
        <w:tc>
          <w:tcPr>
            <w:tcW w:w="2250" w:type="dxa"/>
            <w:noWrap/>
            <w:hideMark/>
          </w:tcPr>
          <w:p w14:paraId="77A0F2A6"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Cambodia</w:t>
            </w:r>
          </w:p>
        </w:tc>
        <w:tc>
          <w:tcPr>
            <w:tcW w:w="2160" w:type="dxa"/>
            <w:noWrap/>
            <w:hideMark/>
          </w:tcPr>
          <w:p w14:paraId="7489BE5E"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Mali</w:t>
            </w:r>
          </w:p>
        </w:tc>
        <w:tc>
          <w:tcPr>
            <w:tcW w:w="2520" w:type="dxa"/>
            <w:noWrap/>
            <w:hideMark/>
          </w:tcPr>
          <w:p w14:paraId="635903E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Tanzania</w:t>
            </w:r>
          </w:p>
        </w:tc>
      </w:tr>
      <w:tr w:rsidR="00935EAA" w:rsidRPr="00F97952" w14:paraId="454B7D97"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C38490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China</w:t>
            </w:r>
          </w:p>
        </w:tc>
        <w:tc>
          <w:tcPr>
            <w:tcW w:w="2250" w:type="dxa"/>
            <w:noWrap/>
            <w:hideMark/>
          </w:tcPr>
          <w:p w14:paraId="3657612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Cameroon</w:t>
            </w:r>
          </w:p>
        </w:tc>
        <w:tc>
          <w:tcPr>
            <w:tcW w:w="2160" w:type="dxa"/>
            <w:noWrap/>
            <w:hideMark/>
          </w:tcPr>
          <w:p w14:paraId="5136B81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Mongolia</w:t>
            </w:r>
          </w:p>
        </w:tc>
        <w:tc>
          <w:tcPr>
            <w:tcW w:w="2520" w:type="dxa"/>
            <w:noWrap/>
            <w:hideMark/>
          </w:tcPr>
          <w:p w14:paraId="3B40F032"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Uganda</w:t>
            </w:r>
          </w:p>
        </w:tc>
      </w:tr>
      <w:tr w:rsidR="00935EAA" w:rsidRPr="00F97952" w14:paraId="3ADE19B8"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C1DD202"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Costa Rica</w:t>
            </w:r>
          </w:p>
        </w:tc>
        <w:tc>
          <w:tcPr>
            <w:tcW w:w="2250" w:type="dxa"/>
            <w:noWrap/>
            <w:hideMark/>
          </w:tcPr>
          <w:p w14:paraId="1F0E93D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Central African Republic</w:t>
            </w:r>
          </w:p>
        </w:tc>
        <w:tc>
          <w:tcPr>
            <w:tcW w:w="2160" w:type="dxa"/>
            <w:noWrap/>
            <w:hideMark/>
          </w:tcPr>
          <w:p w14:paraId="0D4B1F9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Niger</w:t>
            </w:r>
          </w:p>
        </w:tc>
        <w:tc>
          <w:tcPr>
            <w:tcW w:w="2520" w:type="dxa"/>
            <w:noWrap/>
            <w:hideMark/>
          </w:tcPr>
          <w:p w14:paraId="16078DF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Zimbabwe</w:t>
            </w:r>
          </w:p>
        </w:tc>
      </w:tr>
      <w:tr w:rsidR="00935EAA" w:rsidRPr="00F97952" w14:paraId="2DD37648"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58D6B47"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lastRenderedPageBreak/>
              <w:t>Djibouti</w:t>
            </w:r>
          </w:p>
        </w:tc>
        <w:tc>
          <w:tcPr>
            <w:tcW w:w="2250" w:type="dxa"/>
            <w:noWrap/>
            <w:hideMark/>
          </w:tcPr>
          <w:p w14:paraId="4D596EEA"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Colombia</w:t>
            </w:r>
          </w:p>
        </w:tc>
        <w:tc>
          <w:tcPr>
            <w:tcW w:w="2160" w:type="dxa"/>
            <w:noWrap/>
            <w:hideMark/>
          </w:tcPr>
          <w:p w14:paraId="7B00E50A"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Nigeria</w:t>
            </w:r>
          </w:p>
        </w:tc>
        <w:tc>
          <w:tcPr>
            <w:tcW w:w="2520" w:type="dxa"/>
            <w:noWrap/>
            <w:hideMark/>
          </w:tcPr>
          <w:p w14:paraId="6C5FAF42"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66C0C715"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46D7303"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Dominican Republic</w:t>
            </w:r>
          </w:p>
        </w:tc>
        <w:tc>
          <w:tcPr>
            <w:tcW w:w="2250" w:type="dxa"/>
            <w:noWrap/>
            <w:hideMark/>
          </w:tcPr>
          <w:p w14:paraId="15E1FF2D"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Comoros</w:t>
            </w:r>
          </w:p>
        </w:tc>
        <w:tc>
          <w:tcPr>
            <w:tcW w:w="2160" w:type="dxa"/>
            <w:noWrap/>
            <w:hideMark/>
          </w:tcPr>
          <w:p w14:paraId="1A0726F5"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Paraguay</w:t>
            </w:r>
          </w:p>
        </w:tc>
        <w:tc>
          <w:tcPr>
            <w:tcW w:w="2520" w:type="dxa"/>
            <w:noWrap/>
            <w:hideMark/>
          </w:tcPr>
          <w:p w14:paraId="1F6E550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5543771B"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CA24CCB"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El Salvador</w:t>
            </w:r>
          </w:p>
        </w:tc>
        <w:tc>
          <w:tcPr>
            <w:tcW w:w="2250" w:type="dxa"/>
            <w:noWrap/>
            <w:hideMark/>
          </w:tcPr>
          <w:p w14:paraId="4968CB42"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Congo</w:t>
            </w:r>
          </w:p>
        </w:tc>
        <w:tc>
          <w:tcPr>
            <w:tcW w:w="2160" w:type="dxa"/>
            <w:noWrap/>
            <w:hideMark/>
          </w:tcPr>
          <w:p w14:paraId="544A6FB4"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Peru</w:t>
            </w:r>
          </w:p>
        </w:tc>
        <w:tc>
          <w:tcPr>
            <w:tcW w:w="2520" w:type="dxa"/>
            <w:noWrap/>
            <w:hideMark/>
          </w:tcPr>
          <w:p w14:paraId="46AC263B"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525C93E1"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83D2033"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Gabon</w:t>
            </w:r>
          </w:p>
        </w:tc>
        <w:tc>
          <w:tcPr>
            <w:tcW w:w="2250" w:type="dxa"/>
            <w:noWrap/>
            <w:hideMark/>
          </w:tcPr>
          <w:p w14:paraId="7C0912C0"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Cook Islands</w:t>
            </w:r>
          </w:p>
        </w:tc>
        <w:tc>
          <w:tcPr>
            <w:tcW w:w="2160" w:type="dxa"/>
            <w:noWrap/>
            <w:hideMark/>
          </w:tcPr>
          <w:p w14:paraId="032141DF"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Senegal</w:t>
            </w:r>
          </w:p>
        </w:tc>
        <w:tc>
          <w:tcPr>
            <w:tcW w:w="2520" w:type="dxa"/>
            <w:noWrap/>
            <w:hideMark/>
          </w:tcPr>
          <w:p w14:paraId="2DE8ADB4"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FCC1151"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4A20624"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Gambia</w:t>
            </w:r>
          </w:p>
        </w:tc>
        <w:tc>
          <w:tcPr>
            <w:tcW w:w="2250" w:type="dxa"/>
            <w:noWrap/>
            <w:hideMark/>
          </w:tcPr>
          <w:p w14:paraId="16D2600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Côte d'Ivoire</w:t>
            </w:r>
          </w:p>
        </w:tc>
        <w:tc>
          <w:tcPr>
            <w:tcW w:w="2160" w:type="dxa"/>
            <w:noWrap/>
            <w:hideMark/>
          </w:tcPr>
          <w:p w14:paraId="1FBADB4A"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Sierra Leone</w:t>
            </w:r>
          </w:p>
        </w:tc>
        <w:tc>
          <w:tcPr>
            <w:tcW w:w="2520" w:type="dxa"/>
            <w:noWrap/>
            <w:hideMark/>
          </w:tcPr>
          <w:p w14:paraId="5E7B6B31"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489026FE"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2C11417"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Ghana</w:t>
            </w:r>
          </w:p>
        </w:tc>
        <w:tc>
          <w:tcPr>
            <w:tcW w:w="2250" w:type="dxa"/>
            <w:noWrap/>
            <w:hideMark/>
          </w:tcPr>
          <w:p w14:paraId="142C6AA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Dominica</w:t>
            </w:r>
          </w:p>
        </w:tc>
        <w:tc>
          <w:tcPr>
            <w:tcW w:w="2160" w:type="dxa"/>
            <w:noWrap/>
            <w:hideMark/>
          </w:tcPr>
          <w:p w14:paraId="070480A2"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Suriname</w:t>
            </w:r>
          </w:p>
        </w:tc>
        <w:tc>
          <w:tcPr>
            <w:tcW w:w="2520" w:type="dxa"/>
            <w:noWrap/>
            <w:hideMark/>
          </w:tcPr>
          <w:p w14:paraId="52C772E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94FEB28"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D34A9A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Guinea</w:t>
            </w:r>
          </w:p>
        </w:tc>
        <w:tc>
          <w:tcPr>
            <w:tcW w:w="2250" w:type="dxa"/>
            <w:noWrap/>
            <w:hideMark/>
          </w:tcPr>
          <w:p w14:paraId="485D3B2B" w14:textId="347CE45A" w:rsidR="00935EAA" w:rsidRPr="00F97952" w:rsidRDefault="00874B6D"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Democratic Republic of the Congo (</w:t>
            </w:r>
            <w:r w:rsidR="00935EAA" w:rsidRPr="00F97952">
              <w:rPr>
                <w:rFonts w:asciiTheme="minorHAnsi" w:hAnsiTheme="minorHAnsi" w:cstheme="minorHAnsi"/>
                <w:color w:val="000000"/>
              </w:rPr>
              <w:t>DRC</w:t>
            </w:r>
            <w:r w:rsidRPr="00F97952">
              <w:rPr>
                <w:rFonts w:asciiTheme="minorHAnsi" w:hAnsiTheme="minorHAnsi" w:cstheme="minorHAnsi"/>
                <w:color w:val="000000"/>
              </w:rPr>
              <w:t>)</w:t>
            </w:r>
          </w:p>
        </w:tc>
        <w:tc>
          <w:tcPr>
            <w:tcW w:w="2160" w:type="dxa"/>
            <w:noWrap/>
            <w:hideMark/>
          </w:tcPr>
          <w:p w14:paraId="3BB3AFBF" w14:textId="31AE5F9A" w:rsidR="00935EAA" w:rsidRPr="00F97952" w:rsidRDefault="00692223" w:rsidP="006922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roofErr w:type="spellStart"/>
            <w:r w:rsidRPr="00F97952">
              <w:rPr>
                <w:rFonts w:asciiTheme="minorHAnsi" w:hAnsiTheme="minorHAnsi" w:cstheme="minorHAnsi"/>
                <w:color w:val="000000"/>
              </w:rPr>
              <w:t>eSwatini</w:t>
            </w:r>
            <w:proofErr w:type="spellEnd"/>
            <w:r w:rsidR="00DA2C4F" w:rsidRPr="00F97952">
              <w:rPr>
                <w:rFonts w:asciiTheme="minorHAnsi" w:hAnsiTheme="minorHAnsi" w:cstheme="minorHAnsi"/>
                <w:color w:val="000000"/>
              </w:rPr>
              <w:t xml:space="preserve"> (Swaziland)</w:t>
            </w:r>
          </w:p>
        </w:tc>
        <w:tc>
          <w:tcPr>
            <w:tcW w:w="2520" w:type="dxa"/>
            <w:noWrap/>
            <w:hideMark/>
          </w:tcPr>
          <w:p w14:paraId="776A050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6B8F9D1"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9FD430F"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Guyana</w:t>
            </w:r>
          </w:p>
        </w:tc>
        <w:tc>
          <w:tcPr>
            <w:tcW w:w="2250" w:type="dxa"/>
            <w:noWrap/>
            <w:hideMark/>
          </w:tcPr>
          <w:p w14:paraId="14027503"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Eritrea</w:t>
            </w:r>
          </w:p>
        </w:tc>
        <w:tc>
          <w:tcPr>
            <w:tcW w:w="2160" w:type="dxa"/>
            <w:noWrap/>
            <w:hideMark/>
          </w:tcPr>
          <w:p w14:paraId="3D4FB06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Zambia</w:t>
            </w:r>
          </w:p>
        </w:tc>
        <w:tc>
          <w:tcPr>
            <w:tcW w:w="2520" w:type="dxa"/>
            <w:noWrap/>
            <w:hideMark/>
          </w:tcPr>
          <w:p w14:paraId="352F681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178100A3"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154C15C"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Honduras</w:t>
            </w:r>
          </w:p>
        </w:tc>
        <w:tc>
          <w:tcPr>
            <w:tcW w:w="2250" w:type="dxa"/>
            <w:noWrap/>
            <w:hideMark/>
          </w:tcPr>
          <w:p w14:paraId="1B8AB8C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Ethiopia</w:t>
            </w:r>
          </w:p>
        </w:tc>
        <w:tc>
          <w:tcPr>
            <w:tcW w:w="2160" w:type="dxa"/>
            <w:noWrap/>
            <w:hideMark/>
          </w:tcPr>
          <w:p w14:paraId="33DF28F2"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3329B6B"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428772C7"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B02197F"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India</w:t>
            </w:r>
          </w:p>
        </w:tc>
        <w:tc>
          <w:tcPr>
            <w:tcW w:w="2250" w:type="dxa"/>
            <w:noWrap/>
            <w:hideMark/>
          </w:tcPr>
          <w:p w14:paraId="2A990464"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Georgia</w:t>
            </w:r>
          </w:p>
        </w:tc>
        <w:tc>
          <w:tcPr>
            <w:tcW w:w="2160" w:type="dxa"/>
            <w:noWrap/>
            <w:hideMark/>
          </w:tcPr>
          <w:p w14:paraId="4B4A2F5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7807139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B208CD4"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14B1DEC"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Indonesia</w:t>
            </w:r>
          </w:p>
        </w:tc>
        <w:tc>
          <w:tcPr>
            <w:tcW w:w="2250" w:type="dxa"/>
            <w:noWrap/>
            <w:hideMark/>
          </w:tcPr>
          <w:p w14:paraId="19C7DA9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Grenada</w:t>
            </w:r>
          </w:p>
        </w:tc>
        <w:tc>
          <w:tcPr>
            <w:tcW w:w="2160" w:type="dxa"/>
            <w:noWrap/>
            <w:hideMark/>
          </w:tcPr>
          <w:p w14:paraId="23190C3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2F5CF5B"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BC60520"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AC798C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Jamaica</w:t>
            </w:r>
          </w:p>
        </w:tc>
        <w:tc>
          <w:tcPr>
            <w:tcW w:w="2250" w:type="dxa"/>
            <w:noWrap/>
            <w:hideMark/>
          </w:tcPr>
          <w:p w14:paraId="463BE1C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Guatemala</w:t>
            </w:r>
          </w:p>
        </w:tc>
        <w:tc>
          <w:tcPr>
            <w:tcW w:w="2160" w:type="dxa"/>
            <w:noWrap/>
            <w:hideMark/>
          </w:tcPr>
          <w:p w14:paraId="02517BF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0B0C8E9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5B1E6E79"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6BF932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Jordan</w:t>
            </w:r>
          </w:p>
        </w:tc>
        <w:tc>
          <w:tcPr>
            <w:tcW w:w="2250" w:type="dxa"/>
            <w:noWrap/>
            <w:hideMark/>
          </w:tcPr>
          <w:p w14:paraId="2E7D178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Guinea-Bissau</w:t>
            </w:r>
          </w:p>
        </w:tc>
        <w:tc>
          <w:tcPr>
            <w:tcW w:w="2160" w:type="dxa"/>
            <w:noWrap/>
            <w:hideMark/>
          </w:tcPr>
          <w:p w14:paraId="0FFBB61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4684438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0B50E7A7"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9810427"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Kiribati</w:t>
            </w:r>
          </w:p>
        </w:tc>
        <w:tc>
          <w:tcPr>
            <w:tcW w:w="2250" w:type="dxa"/>
            <w:noWrap/>
            <w:hideMark/>
          </w:tcPr>
          <w:p w14:paraId="2589311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Iraq</w:t>
            </w:r>
          </w:p>
        </w:tc>
        <w:tc>
          <w:tcPr>
            <w:tcW w:w="2160" w:type="dxa"/>
            <w:noWrap/>
            <w:hideMark/>
          </w:tcPr>
          <w:p w14:paraId="1B2D5943"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35C61643"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4BC435C3"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9D3A6F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Lao PDR</w:t>
            </w:r>
          </w:p>
        </w:tc>
        <w:tc>
          <w:tcPr>
            <w:tcW w:w="2250" w:type="dxa"/>
            <w:noWrap/>
            <w:hideMark/>
          </w:tcPr>
          <w:p w14:paraId="07B84B0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Kazakhstan</w:t>
            </w:r>
          </w:p>
        </w:tc>
        <w:tc>
          <w:tcPr>
            <w:tcW w:w="2160" w:type="dxa"/>
            <w:noWrap/>
            <w:hideMark/>
          </w:tcPr>
          <w:p w14:paraId="4422754D"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78FAE23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2916F286"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14F4A17"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Lesotho</w:t>
            </w:r>
          </w:p>
        </w:tc>
        <w:tc>
          <w:tcPr>
            <w:tcW w:w="2250" w:type="dxa"/>
            <w:noWrap/>
            <w:hideMark/>
          </w:tcPr>
          <w:p w14:paraId="19DA1C70"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Kenya</w:t>
            </w:r>
          </w:p>
        </w:tc>
        <w:tc>
          <w:tcPr>
            <w:tcW w:w="2160" w:type="dxa"/>
            <w:noWrap/>
            <w:hideMark/>
          </w:tcPr>
          <w:p w14:paraId="5F81C47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05BB40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44E3ADAD"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062C110"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Madagascar</w:t>
            </w:r>
          </w:p>
        </w:tc>
        <w:tc>
          <w:tcPr>
            <w:tcW w:w="2250" w:type="dxa"/>
            <w:noWrap/>
            <w:hideMark/>
          </w:tcPr>
          <w:p w14:paraId="1795807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Kyrgyzstan</w:t>
            </w:r>
          </w:p>
        </w:tc>
        <w:tc>
          <w:tcPr>
            <w:tcW w:w="2160" w:type="dxa"/>
            <w:noWrap/>
            <w:hideMark/>
          </w:tcPr>
          <w:p w14:paraId="5D6E469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A972E9A"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6F03FB7F"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D8A969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Mali</w:t>
            </w:r>
          </w:p>
        </w:tc>
        <w:tc>
          <w:tcPr>
            <w:tcW w:w="2250" w:type="dxa"/>
            <w:hideMark/>
          </w:tcPr>
          <w:p w14:paraId="78C1244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Macedonia</w:t>
            </w:r>
          </w:p>
        </w:tc>
        <w:tc>
          <w:tcPr>
            <w:tcW w:w="2160" w:type="dxa"/>
            <w:noWrap/>
            <w:hideMark/>
          </w:tcPr>
          <w:p w14:paraId="2498D15E"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5A4D174"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20BBE572"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6D4255C"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Mauritania</w:t>
            </w:r>
          </w:p>
        </w:tc>
        <w:tc>
          <w:tcPr>
            <w:tcW w:w="2250" w:type="dxa"/>
            <w:noWrap/>
            <w:hideMark/>
          </w:tcPr>
          <w:p w14:paraId="13A9F56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Malawi</w:t>
            </w:r>
          </w:p>
        </w:tc>
        <w:tc>
          <w:tcPr>
            <w:tcW w:w="2160" w:type="dxa"/>
            <w:noWrap/>
            <w:hideMark/>
          </w:tcPr>
          <w:p w14:paraId="7A37D54A"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4AFE8187"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084978C4"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35E123D"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Mauritius</w:t>
            </w:r>
          </w:p>
        </w:tc>
        <w:tc>
          <w:tcPr>
            <w:tcW w:w="2250" w:type="dxa"/>
            <w:noWrap/>
            <w:hideMark/>
          </w:tcPr>
          <w:p w14:paraId="2AEEA77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Malaysia</w:t>
            </w:r>
          </w:p>
        </w:tc>
        <w:tc>
          <w:tcPr>
            <w:tcW w:w="2160" w:type="dxa"/>
            <w:noWrap/>
            <w:hideMark/>
          </w:tcPr>
          <w:p w14:paraId="209B835B"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090B0EF5"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13A2F61"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5AAADA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Mexico</w:t>
            </w:r>
          </w:p>
        </w:tc>
        <w:tc>
          <w:tcPr>
            <w:tcW w:w="2250" w:type="dxa"/>
            <w:noWrap/>
            <w:hideMark/>
          </w:tcPr>
          <w:p w14:paraId="7FD5A1B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Maldives</w:t>
            </w:r>
          </w:p>
        </w:tc>
        <w:tc>
          <w:tcPr>
            <w:tcW w:w="2160" w:type="dxa"/>
            <w:noWrap/>
            <w:hideMark/>
          </w:tcPr>
          <w:p w14:paraId="41A9911E"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2131093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683BED3"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0389E3D"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Moldova</w:t>
            </w:r>
          </w:p>
        </w:tc>
        <w:tc>
          <w:tcPr>
            <w:tcW w:w="2250" w:type="dxa"/>
            <w:noWrap/>
            <w:hideMark/>
          </w:tcPr>
          <w:p w14:paraId="771B69B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Marshall Islands</w:t>
            </w:r>
          </w:p>
        </w:tc>
        <w:tc>
          <w:tcPr>
            <w:tcW w:w="2160" w:type="dxa"/>
            <w:noWrap/>
            <w:hideMark/>
          </w:tcPr>
          <w:p w14:paraId="71B29BD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C1180B6"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AB5CBD9"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73C9678"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Mongolia</w:t>
            </w:r>
          </w:p>
        </w:tc>
        <w:tc>
          <w:tcPr>
            <w:tcW w:w="2250" w:type="dxa"/>
            <w:noWrap/>
            <w:hideMark/>
          </w:tcPr>
          <w:p w14:paraId="2A65502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Micronesia</w:t>
            </w:r>
          </w:p>
        </w:tc>
        <w:tc>
          <w:tcPr>
            <w:tcW w:w="2160" w:type="dxa"/>
            <w:noWrap/>
            <w:hideMark/>
          </w:tcPr>
          <w:p w14:paraId="0BC020B1"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4B2CED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55919C8"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B5A1115"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Namibia</w:t>
            </w:r>
          </w:p>
        </w:tc>
        <w:tc>
          <w:tcPr>
            <w:tcW w:w="2250" w:type="dxa"/>
            <w:noWrap/>
            <w:hideMark/>
          </w:tcPr>
          <w:p w14:paraId="794E36E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Montenegro</w:t>
            </w:r>
          </w:p>
        </w:tc>
        <w:tc>
          <w:tcPr>
            <w:tcW w:w="2160" w:type="dxa"/>
            <w:noWrap/>
            <w:hideMark/>
          </w:tcPr>
          <w:p w14:paraId="489C5770"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30D34DB6"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716DBCA"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63EDF4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Niger</w:t>
            </w:r>
          </w:p>
        </w:tc>
        <w:tc>
          <w:tcPr>
            <w:tcW w:w="2250" w:type="dxa"/>
            <w:noWrap/>
            <w:hideMark/>
          </w:tcPr>
          <w:p w14:paraId="25079309"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Morocco</w:t>
            </w:r>
          </w:p>
        </w:tc>
        <w:tc>
          <w:tcPr>
            <w:tcW w:w="2160" w:type="dxa"/>
            <w:noWrap/>
            <w:hideMark/>
          </w:tcPr>
          <w:p w14:paraId="2EA0929E"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12582C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48BE964"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2FAC9DF"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Nigeria</w:t>
            </w:r>
          </w:p>
        </w:tc>
        <w:tc>
          <w:tcPr>
            <w:tcW w:w="2250" w:type="dxa"/>
            <w:noWrap/>
            <w:hideMark/>
          </w:tcPr>
          <w:p w14:paraId="2A1F42A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Mozambique</w:t>
            </w:r>
          </w:p>
        </w:tc>
        <w:tc>
          <w:tcPr>
            <w:tcW w:w="2160" w:type="dxa"/>
            <w:noWrap/>
            <w:hideMark/>
          </w:tcPr>
          <w:p w14:paraId="0C4D0E4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0329C58A"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680282F"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6858C4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Palau</w:t>
            </w:r>
          </w:p>
        </w:tc>
        <w:tc>
          <w:tcPr>
            <w:tcW w:w="2250" w:type="dxa"/>
            <w:noWrap/>
            <w:hideMark/>
          </w:tcPr>
          <w:p w14:paraId="3C626BCF"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Myanmar</w:t>
            </w:r>
          </w:p>
        </w:tc>
        <w:tc>
          <w:tcPr>
            <w:tcW w:w="2160" w:type="dxa"/>
            <w:noWrap/>
            <w:hideMark/>
          </w:tcPr>
          <w:p w14:paraId="26CEC801"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5DBA61A"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3AFB125"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D926CC3"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Panama</w:t>
            </w:r>
          </w:p>
        </w:tc>
        <w:tc>
          <w:tcPr>
            <w:tcW w:w="2250" w:type="dxa"/>
            <w:noWrap/>
            <w:hideMark/>
          </w:tcPr>
          <w:p w14:paraId="25635EF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Nepal</w:t>
            </w:r>
          </w:p>
        </w:tc>
        <w:tc>
          <w:tcPr>
            <w:tcW w:w="2160" w:type="dxa"/>
            <w:noWrap/>
            <w:hideMark/>
          </w:tcPr>
          <w:p w14:paraId="703DFED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5658BC5"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66840033"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62BDB9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Paraguay</w:t>
            </w:r>
          </w:p>
        </w:tc>
        <w:tc>
          <w:tcPr>
            <w:tcW w:w="2250" w:type="dxa"/>
            <w:noWrap/>
            <w:hideMark/>
          </w:tcPr>
          <w:p w14:paraId="4B931EB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Niue</w:t>
            </w:r>
          </w:p>
        </w:tc>
        <w:tc>
          <w:tcPr>
            <w:tcW w:w="2160" w:type="dxa"/>
            <w:noWrap/>
            <w:hideMark/>
          </w:tcPr>
          <w:p w14:paraId="660E58E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4F756A8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5C5BB1B"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10891D8"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Samoa</w:t>
            </w:r>
          </w:p>
        </w:tc>
        <w:tc>
          <w:tcPr>
            <w:tcW w:w="2250" w:type="dxa"/>
            <w:noWrap/>
            <w:hideMark/>
          </w:tcPr>
          <w:p w14:paraId="70D00C3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Pakistan</w:t>
            </w:r>
          </w:p>
        </w:tc>
        <w:tc>
          <w:tcPr>
            <w:tcW w:w="2160" w:type="dxa"/>
            <w:noWrap/>
            <w:hideMark/>
          </w:tcPr>
          <w:p w14:paraId="7870B666"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71257F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FF24AFB"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DA7D7D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Sao Tome &amp; Principe</w:t>
            </w:r>
          </w:p>
        </w:tc>
        <w:tc>
          <w:tcPr>
            <w:tcW w:w="2250" w:type="dxa"/>
            <w:noWrap/>
            <w:hideMark/>
          </w:tcPr>
          <w:p w14:paraId="2B11506B"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Papua New Guinea</w:t>
            </w:r>
          </w:p>
        </w:tc>
        <w:tc>
          <w:tcPr>
            <w:tcW w:w="2160" w:type="dxa"/>
            <w:noWrap/>
            <w:hideMark/>
          </w:tcPr>
          <w:p w14:paraId="5246DA9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033C6B7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0A74ED59"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D3347D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Senegal</w:t>
            </w:r>
          </w:p>
        </w:tc>
        <w:tc>
          <w:tcPr>
            <w:tcW w:w="2250" w:type="dxa"/>
            <w:noWrap/>
            <w:hideMark/>
          </w:tcPr>
          <w:p w14:paraId="4358E178"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Philippines</w:t>
            </w:r>
          </w:p>
        </w:tc>
        <w:tc>
          <w:tcPr>
            <w:tcW w:w="2160" w:type="dxa"/>
            <w:noWrap/>
            <w:hideMark/>
          </w:tcPr>
          <w:p w14:paraId="43CE9FE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8D9E6B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6E9807BE"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2C23444"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Seychelles</w:t>
            </w:r>
          </w:p>
        </w:tc>
        <w:tc>
          <w:tcPr>
            <w:tcW w:w="2250" w:type="dxa"/>
            <w:noWrap/>
            <w:hideMark/>
          </w:tcPr>
          <w:p w14:paraId="2F5BF2BD"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Serbia</w:t>
            </w:r>
          </w:p>
        </w:tc>
        <w:tc>
          <w:tcPr>
            <w:tcW w:w="2160" w:type="dxa"/>
            <w:noWrap/>
            <w:hideMark/>
          </w:tcPr>
          <w:p w14:paraId="757C14EC"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343BA0E4"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2832592C"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96DF7B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Sierra Leone</w:t>
            </w:r>
          </w:p>
        </w:tc>
        <w:tc>
          <w:tcPr>
            <w:tcW w:w="2250" w:type="dxa"/>
            <w:noWrap/>
            <w:hideMark/>
          </w:tcPr>
          <w:p w14:paraId="6AC4EC56"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South Africa</w:t>
            </w:r>
          </w:p>
        </w:tc>
        <w:tc>
          <w:tcPr>
            <w:tcW w:w="2160" w:type="dxa"/>
            <w:noWrap/>
            <w:hideMark/>
          </w:tcPr>
          <w:p w14:paraId="1FAB9CAD"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5A64F06"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0120D1C9"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E93A51B"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Sri Lanka</w:t>
            </w:r>
          </w:p>
        </w:tc>
        <w:tc>
          <w:tcPr>
            <w:tcW w:w="2250" w:type="dxa"/>
            <w:noWrap/>
            <w:hideMark/>
          </w:tcPr>
          <w:p w14:paraId="7131D88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St Lucia</w:t>
            </w:r>
          </w:p>
        </w:tc>
        <w:tc>
          <w:tcPr>
            <w:tcW w:w="2160" w:type="dxa"/>
            <w:noWrap/>
            <w:hideMark/>
          </w:tcPr>
          <w:p w14:paraId="204C4CBF"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2A28FA8E"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29714D32"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31CC856"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St Kitts &amp; Nevis</w:t>
            </w:r>
          </w:p>
        </w:tc>
        <w:tc>
          <w:tcPr>
            <w:tcW w:w="2250" w:type="dxa"/>
            <w:noWrap/>
            <w:hideMark/>
          </w:tcPr>
          <w:p w14:paraId="623E6D8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St Vincent &amp; Grenadines</w:t>
            </w:r>
          </w:p>
        </w:tc>
        <w:tc>
          <w:tcPr>
            <w:tcW w:w="2160" w:type="dxa"/>
            <w:noWrap/>
            <w:hideMark/>
          </w:tcPr>
          <w:p w14:paraId="0FFD852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0BE9F539"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293ED706"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AAB478F"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Suriname</w:t>
            </w:r>
          </w:p>
        </w:tc>
        <w:tc>
          <w:tcPr>
            <w:tcW w:w="2250" w:type="dxa"/>
            <w:noWrap/>
            <w:hideMark/>
          </w:tcPr>
          <w:p w14:paraId="17E53555"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Sudan</w:t>
            </w:r>
          </w:p>
        </w:tc>
        <w:tc>
          <w:tcPr>
            <w:tcW w:w="2160" w:type="dxa"/>
            <w:noWrap/>
            <w:hideMark/>
          </w:tcPr>
          <w:p w14:paraId="4F3BC56F"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43121F12"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08C0404E"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ACBC0B7" w14:textId="2B83F513" w:rsidR="00935EAA" w:rsidRPr="00F97952" w:rsidRDefault="00692223" w:rsidP="00935EAA">
            <w:pPr>
              <w:rPr>
                <w:rFonts w:asciiTheme="minorHAnsi" w:hAnsiTheme="minorHAnsi" w:cstheme="minorHAnsi"/>
                <w:b w:val="0"/>
                <w:color w:val="000000"/>
              </w:rPr>
            </w:pPr>
            <w:proofErr w:type="spellStart"/>
            <w:r w:rsidRPr="00F97952">
              <w:rPr>
                <w:rFonts w:asciiTheme="minorHAnsi" w:hAnsiTheme="minorHAnsi" w:cstheme="minorHAnsi"/>
                <w:b w:val="0"/>
                <w:color w:val="000000"/>
              </w:rPr>
              <w:t>eSwatini</w:t>
            </w:r>
            <w:proofErr w:type="spellEnd"/>
          </w:p>
        </w:tc>
        <w:tc>
          <w:tcPr>
            <w:tcW w:w="2250" w:type="dxa"/>
            <w:noWrap/>
            <w:hideMark/>
          </w:tcPr>
          <w:p w14:paraId="25AD2DE2"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Tanzania</w:t>
            </w:r>
          </w:p>
        </w:tc>
        <w:tc>
          <w:tcPr>
            <w:tcW w:w="2160" w:type="dxa"/>
            <w:noWrap/>
            <w:hideMark/>
          </w:tcPr>
          <w:p w14:paraId="7FC60540"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AC45365"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5FC9ED5A"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26FB87E"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Togo</w:t>
            </w:r>
          </w:p>
        </w:tc>
        <w:tc>
          <w:tcPr>
            <w:tcW w:w="2250" w:type="dxa"/>
            <w:noWrap/>
            <w:hideMark/>
          </w:tcPr>
          <w:p w14:paraId="2305908B"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Tonga</w:t>
            </w:r>
          </w:p>
        </w:tc>
        <w:tc>
          <w:tcPr>
            <w:tcW w:w="2160" w:type="dxa"/>
            <w:noWrap/>
            <w:hideMark/>
          </w:tcPr>
          <w:p w14:paraId="2786E50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7D0C669F"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1D70FBB2"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0A37ED1"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Viet Nam</w:t>
            </w:r>
          </w:p>
        </w:tc>
        <w:tc>
          <w:tcPr>
            <w:tcW w:w="2250" w:type="dxa"/>
            <w:noWrap/>
            <w:hideMark/>
          </w:tcPr>
          <w:p w14:paraId="7B45120E"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Trinidad and Tobago</w:t>
            </w:r>
          </w:p>
        </w:tc>
        <w:tc>
          <w:tcPr>
            <w:tcW w:w="2160" w:type="dxa"/>
            <w:noWrap/>
            <w:hideMark/>
          </w:tcPr>
          <w:p w14:paraId="23D2A623"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633C5AB7"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6903D3B5"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2748DA5"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Zambia</w:t>
            </w:r>
          </w:p>
        </w:tc>
        <w:tc>
          <w:tcPr>
            <w:tcW w:w="2250" w:type="dxa"/>
            <w:noWrap/>
            <w:hideMark/>
          </w:tcPr>
          <w:p w14:paraId="1C6AAC57"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Turkey</w:t>
            </w:r>
          </w:p>
        </w:tc>
        <w:tc>
          <w:tcPr>
            <w:tcW w:w="2160" w:type="dxa"/>
            <w:noWrap/>
            <w:hideMark/>
          </w:tcPr>
          <w:p w14:paraId="43623E54"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2AFDE340"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1E659FC0"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2DDAF34" w14:textId="77777777" w:rsidR="00935EAA" w:rsidRPr="00F97952" w:rsidRDefault="00935EAA" w:rsidP="00935EAA">
            <w:pPr>
              <w:rPr>
                <w:rFonts w:asciiTheme="minorHAnsi" w:hAnsiTheme="minorHAnsi" w:cstheme="minorHAnsi"/>
                <w:b w:val="0"/>
                <w:color w:val="000000"/>
              </w:rPr>
            </w:pPr>
            <w:r w:rsidRPr="00F97952">
              <w:rPr>
                <w:rFonts w:asciiTheme="minorHAnsi" w:hAnsiTheme="minorHAnsi" w:cstheme="minorHAnsi"/>
                <w:b w:val="0"/>
                <w:color w:val="000000"/>
              </w:rPr>
              <w:t> </w:t>
            </w:r>
          </w:p>
        </w:tc>
        <w:tc>
          <w:tcPr>
            <w:tcW w:w="2250" w:type="dxa"/>
            <w:noWrap/>
            <w:hideMark/>
          </w:tcPr>
          <w:p w14:paraId="1D973FAD"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Uganda</w:t>
            </w:r>
          </w:p>
        </w:tc>
        <w:tc>
          <w:tcPr>
            <w:tcW w:w="2160" w:type="dxa"/>
            <w:noWrap/>
            <w:hideMark/>
          </w:tcPr>
          <w:p w14:paraId="4E7284E5"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1A61361C"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3CA4BF9A"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BAE387B" w14:textId="77777777" w:rsidR="00935EAA" w:rsidRPr="00F97952" w:rsidRDefault="00935EAA" w:rsidP="00935EAA">
            <w:pPr>
              <w:rPr>
                <w:rFonts w:asciiTheme="minorHAnsi" w:hAnsiTheme="minorHAnsi" w:cstheme="minorHAnsi"/>
                <w:color w:val="000000"/>
              </w:rPr>
            </w:pPr>
            <w:r w:rsidRPr="00F97952">
              <w:rPr>
                <w:rFonts w:asciiTheme="minorHAnsi" w:hAnsiTheme="minorHAnsi" w:cstheme="minorHAnsi"/>
                <w:color w:val="000000"/>
              </w:rPr>
              <w:lastRenderedPageBreak/>
              <w:t> </w:t>
            </w:r>
          </w:p>
        </w:tc>
        <w:tc>
          <w:tcPr>
            <w:tcW w:w="2250" w:type="dxa"/>
            <w:noWrap/>
            <w:hideMark/>
          </w:tcPr>
          <w:p w14:paraId="25B9953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Vanuatu</w:t>
            </w:r>
          </w:p>
        </w:tc>
        <w:tc>
          <w:tcPr>
            <w:tcW w:w="2160" w:type="dxa"/>
            <w:noWrap/>
            <w:hideMark/>
          </w:tcPr>
          <w:p w14:paraId="5B9DF9E1"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56880E98"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1043D39"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7573D61" w14:textId="77777777" w:rsidR="00935EAA" w:rsidRPr="00F97952" w:rsidRDefault="00935EAA" w:rsidP="00935EAA">
            <w:pPr>
              <w:rPr>
                <w:rFonts w:asciiTheme="minorHAnsi" w:hAnsiTheme="minorHAnsi" w:cstheme="minorHAnsi"/>
                <w:color w:val="000000"/>
              </w:rPr>
            </w:pPr>
            <w:r w:rsidRPr="00F97952">
              <w:rPr>
                <w:rFonts w:asciiTheme="minorHAnsi" w:hAnsiTheme="minorHAnsi" w:cstheme="minorHAnsi"/>
                <w:color w:val="000000"/>
              </w:rPr>
              <w:t> </w:t>
            </w:r>
          </w:p>
        </w:tc>
        <w:tc>
          <w:tcPr>
            <w:tcW w:w="2250" w:type="dxa"/>
            <w:noWrap/>
            <w:hideMark/>
          </w:tcPr>
          <w:p w14:paraId="08DA8231"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Yemen</w:t>
            </w:r>
          </w:p>
        </w:tc>
        <w:tc>
          <w:tcPr>
            <w:tcW w:w="2160" w:type="dxa"/>
            <w:noWrap/>
            <w:hideMark/>
          </w:tcPr>
          <w:p w14:paraId="41C13E02"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2D74B303" w14:textId="77777777" w:rsidR="00935EAA" w:rsidRPr="00F97952" w:rsidRDefault="00935EAA" w:rsidP="00935E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78078FE4" w14:textId="77777777" w:rsidTr="00033F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AADAA51" w14:textId="77777777" w:rsidR="00935EAA" w:rsidRPr="00F97952" w:rsidRDefault="00935EAA" w:rsidP="00935EAA">
            <w:pPr>
              <w:rPr>
                <w:rFonts w:asciiTheme="minorHAnsi" w:hAnsiTheme="minorHAnsi" w:cstheme="minorHAnsi"/>
                <w:color w:val="000000"/>
              </w:rPr>
            </w:pPr>
            <w:r w:rsidRPr="00F97952">
              <w:rPr>
                <w:rFonts w:asciiTheme="minorHAnsi" w:hAnsiTheme="minorHAnsi" w:cstheme="minorHAnsi"/>
                <w:color w:val="000000"/>
              </w:rPr>
              <w:t> </w:t>
            </w:r>
          </w:p>
        </w:tc>
        <w:tc>
          <w:tcPr>
            <w:tcW w:w="2250" w:type="dxa"/>
            <w:noWrap/>
            <w:hideMark/>
          </w:tcPr>
          <w:p w14:paraId="036BD3F3"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Zimbabwe</w:t>
            </w:r>
          </w:p>
        </w:tc>
        <w:tc>
          <w:tcPr>
            <w:tcW w:w="2160" w:type="dxa"/>
            <w:noWrap/>
            <w:hideMark/>
          </w:tcPr>
          <w:p w14:paraId="5AAEC1AE"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c>
          <w:tcPr>
            <w:tcW w:w="2520" w:type="dxa"/>
            <w:noWrap/>
            <w:hideMark/>
          </w:tcPr>
          <w:p w14:paraId="7D491716" w14:textId="77777777" w:rsidR="00935EAA" w:rsidRPr="00F97952" w:rsidRDefault="00935EAA" w:rsidP="00935E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F97952">
              <w:rPr>
                <w:rFonts w:asciiTheme="minorHAnsi" w:hAnsiTheme="minorHAnsi" w:cstheme="minorHAnsi"/>
                <w:color w:val="000000"/>
              </w:rPr>
              <w:t> </w:t>
            </w:r>
          </w:p>
        </w:tc>
      </w:tr>
      <w:tr w:rsidR="00935EAA" w:rsidRPr="00F97952" w14:paraId="004D3E57" w14:textId="77777777" w:rsidTr="00033F0E">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528030E" w14:textId="77777777" w:rsidR="00935EAA" w:rsidRPr="00F97952" w:rsidRDefault="00935EAA" w:rsidP="00692223">
            <w:pPr>
              <w:jc w:val="center"/>
              <w:rPr>
                <w:rFonts w:asciiTheme="minorHAnsi" w:hAnsiTheme="minorHAnsi" w:cstheme="minorHAnsi"/>
                <w:color w:val="000000"/>
              </w:rPr>
            </w:pPr>
            <w:r w:rsidRPr="00F97952">
              <w:rPr>
                <w:rFonts w:asciiTheme="minorHAnsi" w:hAnsiTheme="minorHAnsi" w:cstheme="minorHAnsi"/>
                <w:color w:val="000000"/>
              </w:rPr>
              <w:t>53</w:t>
            </w:r>
          </w:p>
        </w:tc>
        <w:tc>
          <w:tcPr>
            <w:tcW w:w="2250" w:type="dxa"/>
            <w:noWrap/>
            <w:hideMark/>
          </w:tcPr>
          <w:p w14:paraId="7B0A1935" w14:textId="77777777" w:rsidR="00935EAA" w:rsidRPr="00F97952" w:rsidRDefault="00935EAA" w:rsidP="006922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rPr>
            </w:pPr>
            <w:r w:rsidRPr="00F97952">
              <w:rPr>
                <w:rFonts w:asciiTheme="minorHAnsi" w:hAnsiTheme="minorHAnsi" w:cstheme="minorHAnsi"/>
                <w:b/>
                <w:color w:val="000000"/>
              </w:rPr>
              <w:t>57</w:t>
            </w:r>
          </w:p>
        </w:tc>
        <w:tc>
          <w:tcPr>
            <w:tcW w:w="2160" w:type="dxa"/>
            <w:noWrap/>
            <w:hideMark/>
          </w:tcPr>
          <w:p w14:paraId="4D760063" w14:textId="77777777" w:rsidR="00935EAA" w:rsidRPr="00F97952" w:rsidRDefault="00935EAA" w:rsidP="006922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rPr>
            </w:pPr>
            <w:r w:rsidRPr="00F97952">
              <w:rPr>
                <w:rFonts w:asciiTheme="minorHAnsi" w:hAnsiTheme="minorHAnsi" w:cstheme="minorHAnsi"/>
                <w:b/>
                <w:color w:val="000000"/>
              </w:rPr>
              <w:t>20</w:t>
            </w:r>
          </w:p>
        </w:tc>
        <w:tc>
          <w:tcPr>
            <w:tcW w:w="2520" w:type="dxa"/>
            <w:noWrap/>
            <w:hideMark/>
          </w:tcPr>
          <w:p w14:paraId="42F9B2CD" w14:textId="77777777" w:rsidR="00935EAA" w:rsidRPr="00F97952" w:rsidRDefault="00935EAA" w:rsidP="0069222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rPr>
            </w:pPr>
            <w:r w:rsidRPr="00F97952">
              <w:rPr>
                <w:rFonts w:asciiTheme="minorHAnsi" w:hAnsiTheme="minorHAnsi" w:cstheme="minorHAnsi"/>
                <w:b/>
                <w:color w:val="000000"/>
              </w:rPr>
              <w:t>12</w:t>
            </w:r>
          </w:p>
        </w:tc>
      </w:tr>
    </w:tbl>
    <w:p w14:paraId="434C3935" w14:textId="3C80C91A" w:rsidR="00AF206A" w:rsidRPr="00F97952" w:rsidRDefault="00AF206A" w:rsidP="00AF206A">
      <w:pPr>
        <w:rPr>
          <w:rFonts w:asciiTheme="minorHAnsi" w:hAnsiTheme="minorHAnsi"/>
        </w:rPr>
      </w:pPr>
    </w:p>
    <w:p w14:paraId="33AFCC3A" w14:textId="0958B10D" w:rsidR="000943EE" w:rsidRPr="00F97952" w:rsidRDefault="008E6E21" w:rsidP="00505E6D">
      <w:pPr>
        <w:pStyle w:val="MainParagraphwith"/>
      </w:pPr>
      <w:r w:rsidRPr="00F97952">
        <w:t xml:space="preserve">The GEF-6 portfolio of projects supported </w:t>
      </w:r>
      <w:r w:rsidRPr="00F97952">
        <w:rPr>
          <w:rFonts w:hint="eastAsia"/>
        </w:rPr>
        <w:t>synergies across the Chemicals Conventions as well as across focal areas</w:t>
      </w:r>
      <w:r w:rsidRPr="00F97952">
        <w:t xml:space="preserve">. </w:t>
      </w:r>
      <w:r w:rsidR="007107CC" w:rsidRPr="00F97952">
        <w:t xml:space="preserve">During </w:t>
      </w:r>
      <w:r w:rsidR="0009401B" w:rsidRPr="00F97952">
        <w:t>GEF</w:t>
      </w:r>
      <w:r w:rsidR="00E47796" w:rsidRPr="00F97952">
        <w:t>-</w:t>
      </w:r>
      <w:r w:rsidR="0009401B" w:rsidRPr="00F97952">
        <w:t xml:space="preserve">6, three programs, six </w:t>
      </w:r>
      <w:r w:rsidR="00E47796" w:rsidRPr="00F97952">
        <w:t>FSPs</w:t>
      </w:r>
      <w:r w:rsidR="0009401B" w:rsidRPr="00F97952">
        <w:t xml:space="preserve"> and two </w:t>
      </w:r>
      <w:r w:rsidR="00E47796" w:rsidRPr="00F97952">
        <w:t>MSPs</w:t>
      </w:r>
      <w:r w:rsidR="0009401B" w:rsidRPr="00F97952">
        <w:t xml:space="preserve"> were </w:t>
      </w:r>
      <w:r w:rsidRPr="00F97952">
        <w:t>supported</w:t>
      </w:r>
      <w:r w:rsidR="0009401B" w:rsidRPr="00F97952">
        <w:t xml:space="preserve"> to implement the Minamata Convention. </w:t>
      </w:r>
      <w:r w:rsidR="00E47796" w:rsidRPr="00F97952">
        <w:t>Among</w:t>
      </w:r>
      <w:r w:rsidR="0009401B" w:rsidRPr="00F97952">
        <w:t xml:space="preserve"> these</w:t>
      </w:r>
      <w:r w:rsidR="00E47796" w:rsidRPr="00F97952">
        <w:t>,</w:t>
      </w:r>
      <w:r w:rsidR="0009401B" w:rsidRPr="00F97952">
        <w:t xml:space="preserve"> </w:t>
      </w:r>
      <w:r w:rsidR="00356351" w:rsidRPr="00F97952">
        <w:t xml:space="preserve">five projects including one of the programs implement both the Stockholm Convention and the Minamata Convention in sectors </w:t>
      </w:r>
      <w:r w:rsidR="00E47796" w:rsidRPr="00F97952">
        <w:t>of relevance</w:t>
      </w:r>
      <w:r w:rsidR="00356351" w:rsidRPr="00F97952">
        <w:t xml:space="preserve"> for both Conventions</w:t>
      </w:r>
      <w:r w:rsidRPr="00F97952">
        <w:t xml:space="preserve"> such as healthcare, waste management, and scrap processing</w:t>
      </w:r>
      <w:r w:rsidR="00356351" w:rsidRPr="00F97952">
        <w:t xml:space="preserve">. There were also two projects including one program that were multifocal area and included the Biodiversity </w:t>
      </w:r>
      <w:r w:rsidR="00E47796" w:rsidRPr="00F97952">
        <w:t>f</w:t>
      </w:r>
      <w:r w:rsidR="00356351" w:rsidRPr="00F97952">
        <w:t xml:space="preserve">ocal </w:t>
      </w:r>
      <w:r w:rsidR="00E47796" w:rsidRPr="00F97952">
        <w:t>a</w:t>
      </w:r>
      <w:r w:rsidR="00356351" w:rsidRPr="00F97952">
        <w:t>rea and the International Waters focal area.</w:t>
      </w:r>
      <w:r w:rsidR="0009401B" w:rsidRPr="00F97952">
        <w:t xml:space="preserve"> </w:t>
      </w:r>
      <w:r w:rsidR="00356351" w:rsidRPr="00F97952">
        <w:t>Details are in Annex 2.</w:t>
      </w:r>
    </w:p>
    <w:p w14:paraId="65C77DD4" w14:textId="77777777" w:rsidR="00F633D7" w:rsidRPr="00F97952" w:rsidRDefault="00F633D7" w:rsidP="00AF206A">
      <w:pPr>
        <w:rPr>
          <w:rFonts w:asciiTheme="minorHAnsi" w:hAnsiTheme="minorHAnsi"/>
        </w:rPr>
      </w:pPr>
    </w:p>
    <w:p w14:paraId="384032F0" w14:textId="0F246B14" w:rsidR="0000292F" w:rsidRPr="00F97952" w:rsidRDefault="00B70105" w:rsidP="004B72D4">
      <w:pPr>
        <w:pStyle w:val="Titre2"/>
        <w:rPr>
          <w:rFonts w:asciiTheme="minorHAnsi" w:hAnsiTheme="minorHAnsi"/>
        </w:rPr>
      </w:pPr>
      <w:bookmarkStart w:id="47" w:name="_Toc528774356"/>
      <w:r w:rsidRPr="00F97952">
        <w:rPr>
          <w:rFonts w:asciiTheme="minorHAnsi" w:hAnsiTheme="minorHAnsi"/>
        </w:rPr>
        <w:t xml:space="preserve">Chemicals and Waste Portfolio in </w:t>
      </w:r>
      <w:r w:rsidR="0052328C" w:rsidRPr="00F97952">
        <w:rPr>
          <w:rFonts w:asciiTheme="minorHAnsi" w:hAnsiTheme="minorHAnsi"/>
        </w:rPr>
        <w:t xml:space="preserve">the </w:t>
      </w:r>
      <w:r w:rsidRPr="00F97952">
        <w:rPr>
          <w:rFonts w:asciiTheme="minorHAnsi" w:hAnsiTheme="minorHAnsi"/>
        </w:rPr>
        <w:t xml:space="preserve">Small Grants </w:t>
      </w:r>
      <w:proofErr w:type="spellStart"/>
      <w:r w:rsidRPr="00F97952">
        <w:rPr>
          <w:rFonts w:asciiTheme="minorHAnsi" w:hAnsiTheme="minorHAnsi"/>
        </w:rPr>
        <w:t>Programme</w:t>
      </w:r>
      <w:bookmarkEnd w:id="47"/>
      <w:proofErr w:type="spellEnd"/>
      <w:r w:rsidRPr="00F97952">
        <w:rPr>
          <w:rFonts w:asciiTheme="minorHAnsi" w:hAnsiTheme="minorHAnsi"/>
        </w:rPr>
        <w:t xml:space="preserve"> </w:t>
      </w:r>
    </w:p>
    <w:p w14:paraId="11EEF69C" w14:textId="3C3CE4BE" w:rsidR="00836C6A" w:rsidRPr="00F97952" w:rsidRDefault="001E19D2" w:rsidP="002D5818">
      <w:pPr>
        <w:pStyle w:val="MainParagraphwith"/>
      </w:pPr>
      <w:r w:rsidRPr="00F97952">
        <w:t xml:space="preserve">The GEF Small Grants </w:t>
      </w:r>
      <w:proofErr w:type="spellStart"/>
      <w:r w:rsidRPr="00F97952">
        <w:t>Programme</w:t>
      </w:r>
      <w:proofErr w:type="spellEnd"/>
      <w:r w:rsidRPr="00F97952">
        <w:t xml:space="preserve"> </w:t>
      </w:r>
      <w:r w:rsidR="00826A9C" w:rsidRPr="00F97952">
        <w:t>(SGP) promotes the implementation of the Minamata Convention at local and community level by providing financial and technical support to civil society organizations in addressing mercury management issues. SGP tests and pilots community-based approaches to the reduction, elimination and prevention of mercury use, and promotes safe handling of mercury-containing products. Furthermore, SGP supports local communities to develop local communities’ awareness and capacities. During GEF-</w:t>
      </w:r>
      <w:r w:rsidR="00B9286E" w:rsidRPr="00F97952">
        <w:t>6,</w:t>
      </w:r>
      <w:r w:rsidR="00826A9C" w:rsidRPr="00F97952">
        <w:t xml:space="preserve"> SGP has supported 16 projects on mercury management with a total of $674,859 GEF funding, having generat</w:t>
      </w:r>
      <w:r w:rsidR="007E5629" w:rsidRPr="00F97952">
        <w:t xml:space="preserve">ed $689,794 co-financing. Annex 3 </w:t>
      </w:r>
      <w:r w:rsidR="00826A9C" w:rsidRPr="00F97952">
        <w:t>includes the list of projects supported by SGP during GEF-6.</w:t>
      </w:r>
    </w:p>
    <w:p w14:paraId="177774D9" w14:textId="072012EF" w:rsidR="002013D8" w:rsidRPr="00F97952" w:rsidRDefault="00826A9C" w:rsidP="002D5818">
      <w:pPr>
        <w:pStyle w:val="MainParagraphwith"/>
      </w:pPr>
      <w:r w:rsidRPr="00F97952">
        <w:t xml:space="preserve">At the global level, to promote mercury management portfolio development, a special funding window was opened to support activities addressing mercury contamination in </w:t>
      </w:r>
      <w:r w:rsidR="00B9286E" w:rsidRPr="00F97952">
        <w:t xml:space="preserve">ASGM </w:t>
      </w:r>
      <w:r w:rsidRPr="00F97952">
        <w:t xml:space="preserve">in more than ten countries. </w:t>
      </w:r>
      <w:r w:rsidR="00892EED" w:rsidRPr="00F97952">
        <w:t>Additionally,</w:t>
      </w:r>
      <w:r w:rsidRPr="00F97952">
        <w:t xml:space="preserve"> a global project was launched in 2018, executed by European Environment Bureau’s Zero Mercury Working Group, to provide targeted trainings to civil society organizations for the implementation of the Minamata Convention, including awareness raising for global environmental conventions and campaigns to influence government policies. The first regional training workshop was held in Bangkok, Thailand </w:t>
      </w:r>
      <w:r w:rsidR="00D16421" w:rsidRPr="00F97952">
        <w:t xml:space="preserve">on </w:t>
      </w:r>
      <w:r w:rsidRPr="00F97952">
        <w:t>May</w:t>
      </w:r>
      <w:r w:rsidR="00D16421" w:rsidRPr="00F97952">
        <w:t xml:space="preserve"> 17 and 18,</w:t>
      </w:r>
      <w:r w:rsidRPr="00F97952">
        <w:t xml:space="preserve"> 2018, and trained about 40 </w:t>
      </w:r>
      <w:r w:rsidR="00B9286E" w:rsidRPr="00F97952">
        <w:t>Non-Governmental Organization (</w:t>
      </w:r>
      <w:r w:rsidRPr="00F97952">
        <w:t>NGOs</w:t>
      </w:r>
      <w:r w:rsidR="00B9286E" w:rsidRPr="00F97952">
        <w:t>)</w:t>
      </w:r>
      <w:r w:rsidRPr="00F97952">
        <w:t xml:space="preserve">.     </w:t>
      </w:r>
    </w:p>
    <w:p w14:paraId="5CCA68D2" w14:textId="6AFA006E" w:rsidR="002013D8" w:rsidRPr="00F97952" w:rsidRDefault="002013D8" w:rsidP="004B72D4">
      <w:pPr>
        <w:pStyle w:val="Titre2"/>
        <w:rPr>
          <w:rFonts w:asciiTheme="minorHAnsi" w:hAnsiTheme="minorHAnsi"/>
        </w:rPr>
      </w:pPr>
      <w:bookmarkStart w:id="48" w:name="_bookmark18"/>
      <w:bookmarkStart w:id="49" w:name="_Toc528774357"/>
      <w:bookmarkEnd w:id="48"/>
      <w:r w:rsidRPr="00F97952">
        <w:rPr>
          <w:rFonts w:asciiTheme="minorHAnsi" w:hAnsiTheme="minorHAnsi"/>
        </w:rPr>
        <w:t>Monitoring and Evaluation of Mercury Projects in GEF-6</w:t>
      </w:r>
      <w:bookmarkEnd w:id="49"/>
    </w:p>
    <w:p w14:paraId="5C241EC6" w14:textId="7315734C" w:rsidR="002013D8" w:rsidRPr="00F97952" w:rsidRDefault="002013D8" w:rsidP="002D5818">
      <w:pPr>
        <w:pStyle w:val="MainParagraphwith"/>
      </w:pPr>
      <w:r w:rsidRPr="00F97952">
        <w:t xml:space="preserve">GEF projects and focal area portfolio are monitored by the GEF Secretariat through its Annual Portfolio Monitoring Report and Corporate </w:t>
      </w:r>
      <w:r w:rsidR="001E3918" w:rsidRPr="00F97952">
        <w:t>Scorecard and</w:t>
      </w:r>
      <w:r w:rsidRPr="00F97952">
        <w:t xml:space="preserve"> evaluated by the GEF Independent Evaluation Office (IEO).</w:t>
      </w:r>
      <w:r w:rsidR="00331E4D" w:rsidRPr="00F97952">
        <w:t xml:space="preserve"> </w:t>
      </w:r>
      <w:r w:rsidRPr="00F97952">
        <w:t>The GEF IEO is responsible for undertaking independent evaluations that involve a set of projects from more than one Implementing or Executing Agency. These evaluation results are presented by the following reports:</w:t>
      </w:r>
    </w:p>
    <w:p w14:paraId="70BD6DA4" w14:textId="77777777" w:rsidR="007C0D19" w:rsidRPr="00F97952" w:rsidRDefault="002013D8" w:rsidP="00274979">
      <w:pPr>
        <w:pStyle w:val="SubParagraphLevel1"/>
        <w:numPr>
          <w:ilvl w:val="0"/>
          <w:numId w:val="4"/>
        </w:numPr>
        <w:ind w:left="1276" w:hanging="556"/>
      </w:pPr>
      <w:r w:rsidRPr="00F97952">
        <w:t>Annual Performance</w:t>
      </w:r>
      <w:r w:rsidR="007C0D19" w:rsidRPr="00F97952">
        <w:t xml:space="preserve"> </w:t>
      </w:r>
      <w:r w:rsidRPr="00F97952">
        <w:t>Reports</w:t>
      </w:r>
    </w:p>
    <w:p w14:paraId="2E241302" w14:textId="77777777" w:rsidR="002013D8" w:rsidRPr="00F97952" w:rsidRDefault="002013D8" w:rsidP="00274979">
      <w:pPr>
        <w:pStyle w:val="SubParagraphLevel1"/>
        <w:numPr>
          <w:ilvl w:val="0"/>
          <w:numId w:val="4"/>
        </w:numPr>
        <w:ind w:left="1276" w:hanging="556"/>
      </w:pPr>
      <w:r w:rsidRPr="00F97952">
        <w:t>Annual Country Portfolio Evaluations</w:t>
      </w:r>
    </w:p>
    <w:p w14:paraId="38F9F2E4" w14:textId="77777777" w:rsidR="002013D8" w:rsidRPr="00F97952" w:rsidRDefault="002013D8" w:rsidP="00274979">
      <w:pPr>
        <w:pStyle w:val="SubParagraphLevel1"/>
        <w:numPr>
          <w:ilvl w:val="0"/>
          <w:numId w:val="4"/>
        </w:numPr>
        <w:ind w:left="1276" w:hanging="556"/>
      </w:pPr>
      <w:r w:rsidRPr="00F97952">
        <w:t>Thematic Evaluations: programs, processes, and cross-cutting or focal areas</w:t>
      </w:r>
    </w:p>
    <w:p w14:paraId="67E7F363" w14:textId="7483205B" w:rsidR="00C7283E" w:rsidRPr="00F97952" w:rsidRDefault="00C7283E" w:rsidP="00274979">
      <w:pPr>
        <w:pStyle w:val="SubParagraphLevel1"/>
        <w:numPr>
          <w:ilvl w:val="0"/>
          <w:numId w:val="4"/>
        </w:numPr>
        <w:ind w:left="1276" w:hanging="556"/>
      </w:pPr>
      <w:r w:rsidRPr="00F97952">
        <w:lastRenderedPageBreak/>
        <w:t xml:space="preserve">Comprehensive Evaluations of the GEF: Conducted every </w:t>
      </w:r>
      <w:r w:rsidR="007B4F66" w:rsidRPr="00F97952">
        <w:t>four</w:t>
      </w:r>
      <w:r w:rsidRPr="00F97952">
        <w:t xml:space="preserve"> years as inputs to the replenishment process.</w:t>
      </w:r>
    </w:p>
    <w:p w14:paraId="4870FFA5" w14:textId="77777777" w:rsidR="002013D8" w:rsidRPr="00F97952" w:rsidRDefault="002013D8" w:rsidP="002D5818">
      <w:pPr>
        <w:pStyle w:val="MainParagraphwith"/>
      </w:pPr>
      <w:r w:rsidRPr="00F97952">
        <w:t>The GEF IEO supports knowledge sharing and follow-up of evaluation recommendations. It works with the GEF Secretariat and the GEF Agencies to establish systems to disseminate lessons learned and best practices emanating from monitoring and evaluation activities and provides independent evaluative evidence to the GEF knowledge base.</w:t>
      </w:r>
      <w:bookmarkStart w:id="50" w:name="_bookmark30"/>
      <w:bookmarkEnd w:id="50"/>
    </w:p>
    <w:p w14:paraId="1AE339B8" w14:textId="460FC9B3" w:rsidR="002013D8" w:rsidRPr="00F97952" w:rsidRDefault="004E03BB" w:rsidP="004B72D4">
      <w:pPr>
        <w:pStyle w:val="Titre2"/>
        <w:rPr>
          <w:rFonts w:asciiTheme="minorHAnsi" w:hAnsiTheme="minorHAnsi"/>
        </w:rPr>
      </w:pPr>
      <w:bookmarkStart w:id="51" w:name="_bookmark32"/>
      <w:bookmarkStart w:id="52" w:name="_bookmark33"/>
      <w:bookmarkStart w:id="53" w:name="_Toc528774358"/>
      <w:bookmarkEnd w:id="51"/>
      <w:bookmarkEnd w:id="52"/>
      <w:r w:rsidRPr="00F97952">
        <w:rPr>
          <w:rFonts w:asciiTheme="minorHAnsi" w:hAnsiTheme="minorHAnsi"/>
        </w:rPr>
        <w:t xml:space="preserve">IEO </w:t>
      </w:r>
      <w:r w:rsidR="002013D8" w:rsidRPr="00F97952">
        <w:rPr>
          <w:rFonts w:asciiTheme="minorHAnsi" w:hAnsiTheme="minorHAnsi"/>
        </w:rPr>
        <w:t>Country Portfolio Evaluation</w:t>
      </w:r>
      <w:bookmarkEnd w:id="53"/>
    </w:p>
    <w:p w14:paraId="1A29F58D" w14:textId="77777777" w:rsidR="002013D8" w:rsidRPr="00F97952" w:rsidRDefault="002013D8" w:rsidP="002D5818">
      <w:pPr>
        <w:pStyle w:val="MainParagraphwith"/>
      </w:pPr>
      <w:r w:rsidRPr="00F97952">
        <w:t>The GEF IEO has submitted the country portfolio evaluation reports for 15 countries to the GEF Cou</w:t>
      </w:r>
      <w:r w:rsidR="004800D0" w:rsidRPr="00F97952">
        <w:t>ncil during GEF-6</w:t>
      </w:r>
      <w:r w:rsidRPr="00F97952">
        <w:t>. In these reports, one evaluation report considered the mercury activities in Tajikistan.</w:t>
      </w:r>
    </w:p>
    <w:p w14:paraId="56BDF46B" w14:textId="252DF4D0" w:rsidR="002013D8" w:rsidRPr="00F97952" w:rsidRDefault="002013D8" w:rsidP="002D5818">
      <w:pPr>
        <w:pStyle w:val="MainParagraphwith"/>
      </w:pPr>
      <w:r w:rsidRPr="00F97952">
        <w:t>The evaluation report on Tajikistan concluded that GEF support to dealing with chemicals issues in Tajikistan was effective in the ODS sector. Results on the reduction of POPs are mixed. On mercury, it argued that Tajikistan has not yet signed the Convention, although mercury is among the major mineral resources extracted in Tajikistan, where chemicals leaking in waters because of mining activities is a cause of concern. It recommended that mercury, POPs, and other hazardous chemicals related issues should be given priority in Tajikistan.</w:t>
      </w:r>
    </w:p>
    <w:p w14:paraId="6F158309" w14:textId="4F61E01D" w:rsidR="00E7759D" w:rsidRPr="00F97952" w:rsidRDefault="00E7759D" w:rsidP="00E7759D">
      <w:pPr>
        <w:pStyle w:val="MainParagraphwith"/>
      </w:pPr>
      <w:r w:rsidRPr="00F97952">
        <w:t>In accordance with the guidance to the GEF from COP 1, only signatory countries and Parties are eligible to access GEF resources to conduct enabling activities so Tajikistan is currently not eligible to access the GEF until it becomes a party to the Minamata Convention.</w:t>
      </w:r>
    </w:p>
    <w:p w14:paraId="505690AD" w14:textId="777011A7" w:rsidR="002013D8" w:rsidRPr="00F97952" w:rsidRDefault="004E03BB" w:rsidP="004B72D4">
      <w:pPr>
        <w:pStyle w:val="Titre2"/>
        <w:rPr>
          <w:rFonts w:asciiTheme="minorHAnsi" w:hAnsiTheme="minorHAnsi"/>
        </w:rPr>
      </w:pPr>
      <w:bookmarkStart w:id="54" w:name="_bookmark34"/>
      <w:bookmarkStart w:id="55" w:name="_Toc528774359"/>
      <w:bookmarkEnd w:id="54"/>
      <w:r w:rsidRPr="00F97952">
        <w:rPr>
          <w:rFonts w:asciiTheme="minorHAnsi" w:hAnsiTheme="minorHAnsi"/>
        </w:rPr>
        <w:t xml:space="preserve">IEO </w:t>
      </w:r>
      <w:r w:rsidR="002013D8" w:rsidRPr="00F97952">
        <w:rPr>
          <w:rFonts w:asciiTheme="minorHAnsi" w:hAnsiTheme="minorHAnsi"/>
        </w:rPr>
        <w:t>Thematic Evaluati</w:t>
      </w:r>
      <w:r w:rsidR="00C7283E" w:rsidRPr="00F97952">
        <w:rPr>
          <w:rFonts w:asciiTheme="minorHAnsi" w:hAnsiTheme="minorHAnsi"/>
        </w:rPr>
        <w:t>on: Chemicals and Waste</w:t>
      </w:r>
      <w:r w:rsidR="002013D8" w:rsidRPr="00F97952">
        <w:rPr>
          <w:rFonts w:asciiTheme="minorHAnsi" w:hAnsiTheme="minorHAnsi"/>
        </w:rPr>
        <w:t xml:space="preserve"> Focal Area Study</w:t>
      </w:r>
      <w:bookmarkEnd w:id="55"/>
    </w:p>
    <w:p w14:paraId="23F91497" w14:textId="77777777" w:rsidR="002013D8" w:rsidRPr="00F97952" w:rsidRDefault="00C7283E" w:rsidP="002D5818">
      <w:pPr>
        <w:pStyle w:val="MainParagraphwith"/>
      </w:pPr>
      <w:r w:rsidRPr="00F97952">
        <w:t>The GEF IEO submitted the chemicals and wastes focal area study to the 52</w:t>
      </w:r>
      <w:r w:rsidR="000F4570" w:rsidRPr="00F97952">
        <w:rPr>
          <w:vertAlign w:val="superscript"/>
        </w:rPr>
        <w:t>nd</w:t>
      </w:r>
      <w:r w:rsidRPr="00F97952">
        <w:t xml:space="preserve"> meeting of the GEF Council</w:t>
      </w:r>
      <w:r w:rsidR="000F4570" w:rsidRPr="00F97952">
        <w:t>.</w:t>
      </w:r>
      <w:r w:rsidRPr="00F97952">
        <w:rPr>
          <w:vertAlign w:val="superscript"/>
        </w:rPr>
        <w:footnoteReference w:id="16"/>
      </w:r>
      <w:r w:rsidRPr="00F97952">
        <w:rPr>
          <w:vertAlign w:val="superscript"/>
        </w:rPr>
        <w:t xml:space="preserve"> </w:t>
      </w:r>
      <w:r w:rsidRPr="00F97952">
        <w:t>The purpose of this study is to provide insights and lessons for the focal area going forward into the next replenishment cycle (GEF-7), based on evidence from an analysis of the chemicals and wastes portfolio’s projects and terminal evaluations. The focal area study findings were also incorporated into the Sixth Comprehensive Evaluation of the GEF, which directly fed into the GEF seventh replenishment process.</w:t>
      </w:r>
    </w:p>
    <w:p w14:paraId="2597B33B" w14:textId="2C1AAC52" w:rsidR="002013D8" w:rsidRPr="00F97952" w:rsidRDefault="00C7283E" w:rsidP="002D5818">
      <w:pPr>
        <w:pStyle w:val="MainParagraphwith"/>
      </w:pPr>
      <w:r w:rsidRPr="00F97952">
        <w:t>The study confirms that the chemicals and wastes focal area of the GEF has evolved through the GEF-4, GEF-5, and GEF-6 phases to remain highly relevant, including expanding to cover new global priorities such as mercury and embracing synergies between chemicals issues. The transition to a single chemicals and waste focal area has been synergistic. Reliable data on the aggregate impact of closed chemicals and wastes projects in terms of tons of POPs, ODS, mercury, and other chemicals and related wastes phased out, reduced, or disposed were not consistently available</w:t>
      </w:r>
      <w:r w:rsidR="0027627B" w:rsidRPr="00F97952">
        <w:t xml:space="preserve"> over all regions</w:t>
      </w:r>
      <w:r w:rsidRPr="00F97952">
        <w:t xml:space="preserve"> highlighting the need for systematic data collection and monitoring.</w:t>
      </w:r>
    </w:p>
    <w:p w14:paraId="47C3B81F" w14:textId="77777777" w:rsidR="00C7283E" w:rsidRPr="00F97952" w:rsidRDefault="00C7283E" w:rsidP="002D5818">
      <w:pPr>
        <w:pStyle w:val="MainParagraphwith"/>
      </w:pPr>
      <w:r w:rsidRPr="00F97952">
        <w:t>The recommendations include support for reforms, where the GEF may want to consider providing more support for broad-based regulatory reform and sector-wide approaches, to address chemicals and wastes issues more holistically. Also, given the challenges this study faced in tallying the verified results of the GEF chemicals and wastes focal area, the GEF’s monitoring procedures deserve more attention.</w:t>
      </w:r>
    </w:p>
    <w:p w14:paraId="242BC60E" w14:textId="0176A57B" w:rsidR="00E7759D" w:rsidRPr="00F97952" w:rsidRDefault="00E7759D" w:rsidP="00E7759D">
      <w:pPr>
        <w:pStyle w:val="MainParagraphwith"/>
      </w:pPr>
      <w:r w:rsidRPr="00F97952">
        <w:lastRenderedPageBreak/>
        <w:t>In GEF</w:t>
      </w:r>
      <w:r w:rsidR="00DF7C3E" w:rsidRPr="00F97952">
        <w:t>-</w:t>
      </w:r>
      <w:r w:rsidRPr="00F97952">
        <w:t>6</w:t>
      </w:r>
      <w:r w:rsidR="00DF7C3E" w:rsidRPr="00F97952">
        <w:t>,</w:t>
      </w:r>
      <w:r w:rsidRPr="00F97952">
        <w:t xml:space="preserve"> targets for the Minamata Convention, Stockholm Convention and Montreal Protocol we</w:t>
      </w:r>
      <w:r w:rsidR="00DF7C3E" w:rsidRPr="00F97952">
        <w:t>re</w:t>
      </w:r>
      <w:r w:rsidRPr="00F97952">
        <w:t xml:space="preserve"> set and tracked. In GEF</w:t>
      </w:r>
      <w:r w:rsidR="00DF7C3E" w:rsidRPr="00F97952">
        <w:t>-</w:t>
      </w:r>
      <w:r w:rsidRPr="00F97952">
        <w:t>7</w:t>
      </w:r>
      <w:r w:rsidR="00DF7C3E" w:rsidRPr="00F97952">
        <w:t>,</w:t>
      </w:r>
      <w:r w:rsidRPr="00F97952">
        <w:t xml:space="preserve"> the strengthened results framework forms the backbone of the programming strategy. These two actions </w:t>
      </w:r>
      <w:r w:rsidR="00DF7C3E" w:rsidRPr="00F97952">
        <w:t>are expected to</w:t>
      </w:r>
      <w:r w:rsidRPr="00F97952">
        <w:t xml:space="preserve"> address data collection </w:t>
      </w:r>
      <w:r w:rsidR="00DF7C3E" w:rsidRPr="00F97952">
        <w:t xml:space="preserve">and analysis needs </w:t>
      </w:r>
      <w:r w:rsidRPr="00F97952">
        <w:t>from GEF</w:t>
      </w:r>
      <w:r w:rsidR="00DF7C3E" w:rsidRPr="00F97952">
        <w:t>-</w:t>
      </w:r>
      <w:r w:rsidRPr="00F97952">
        <w:t>6 and beyond.</w:t>
      </w:r>
    </w:p>
    <w:p w14:paraId="3A7B675C" w14:textId="3B89FDF0" w:rsidR="005138BC" w:rsidRPr="00F97952" w:rsidRDefault="005138BC" w:rsidP="004B72D4">
      <w:pPr>
        <w:pStyle w:val="Titre2"/>
        <w:rPr>
          <w:rFonts w:asciiTheme="minorHAnsi" w:hAnsiTheme="minorHAnsi"/>
        </w:rPr>
      </w:pPr>
      <w:bookmarkStart w:id="56" w:name="_Toc528774360"/>
      <w:r w:rsidRPr="00F97952">
        <w:rPr>
          <w:rFonts w:asciiTheme="minorHAnsi" w:hAnsiTheme="minorHAnsi"/>
        </w:rPr>
        <w:t>GEF Corporate Scorecard</w:t>
      </w:r>
      <w:bookmarkEnd w:id="56"/>
    </w:p>
    <w:p w14:paraId="2B39160E" w14:textId="77777777" w:rsidR="005138BC" w:rsidRPr="00F97952" w:rsidRDefault="005138BC" w:rsidP="002D5818">
      <w:pPr>
        <w:pStyle w:val="MainParagraphwith"/>
      </w:pPr>
      <w:r w:rsidRPr="00F97952">
        <w:t>In GEF-6, several corporate indicators were set to monitor the progress of implementation of the GEF-6 programming strategy. The GEF Secretariat presented the final GEF-6 Corporate Scorecards at the 54</w:t>
      </w:r>
      <w:r w:rsidR="000F4570" w:rsidRPr="00F97952">
        <w:rPr>
          <w:vertAlign w:val="superscript"/>
        </w:rPr>
        <w:t>th</w:t>
      </w:r>
      <w:r w:rsidRPr="00F97952">
        <w:t xml:space="preserve"> GEF Council</w:t>
      </w:r>
      <w:r w:rsidR="000F4570" w:rsidRPr="00F97952">
        <w:t>, held in June 2018,</w:t>
      </w:r>
      <w:r w:rsidRPr="00F97952">
        <w:t xml:space="preserve"> including the results of chemicals and wastes focal area in: (</w:t>
      </w:r>
      <w:proofErr w:type="spellStart"/>
      <w:r w:rsidRPr="00F97952">
        <w:t>i</w:t>
      </w:r>
      <w:proofErr w:type="spellEnd"/>
      <w:r w:rsidRPr="00F97952">
        <w:t>) contribution to the generation of global environment benefits; and (ii) cumulative summary of GEF-6 utilization of funds against the programming targets.</w:t>
      </w:r>
      <w:r w:rsidRPr="00F97952">
        <w:rPr>
          <w:vertAlign w:val="superscript"/>
        </w:rPr>
        <w:footnoteReference w:id="17"/>
      </w:r>
    </w:p>
    <w:p w14:paraId="2DD8D9A6" w14:textId="65FAE465" w:rsidR="00F43A96" w:rsidRPr="00F97952" w:rsidRDefault="005138BC" w:rsidP="0009173B">
      <w:pPr>
        <w:pStyle w:val="MainParagraphwith"/>
      </w:pPr>
      <w:r w:rsidRPr="00F97952">
        <w:t xml:space="preserve">The Corporate Scorecard </w:t>
      </w:r>
      <w:r w:rsidR="00AF206A" w:rsidRPr="00F97952">
        <w:t>presented</w:t>
      </w:r>
      <w:r w:rsidRPr="00F97952">
        <w:t xml:space="preserve"> at the 54</w:t>
      </w:r>
      <w:r w:rsidRPr="00F97952">
        <w:rPr>
          <w:vertAlign w:val="superscript"/>
        </w:rPr>
        <w:t xml:space="preserve">th </w:t>
      </w:r>
      <w:r w:rsidRPr="00F97952">
        <w:t>Council showed that the GEF-6 projects approved contributed</w:t>
      </w:r>
      <w:r w:rsidR="00373E25" w:rsidRPr="00F97952">
        <w:t xml:space="preserve"> 638 tons (</w:t>
      </w:r>
      <w:r w:rsidRPr="00F97952">
        <w:t>64 percent</w:t>
      </w:r>
      <w:r w:rsidR="00373E25" w:rsidRPr="00F97952">
        <w:t>)</w:t>
      </w:r>
      <w:r w:rsidRPr="00F97952">
        <w:t xml:space="preserve"> of the GEF-6 corporate target of 1,000 tons for mercury reduction. It also showed that the GEF had programmed 101 percent of the targeted mercury resources for GEF-6. The programming for the Minamata Convention takes into consideration the impact of the shortfall due to the exchange rate, and reflects significant resources programmed prior and up to that </w:t>
      </w:r>
      <w:r w:rsidR="009711E7" w:rsidRPr="00F97952">
        <w:t>time</w:t>
      </w:r>
      <w:r w:rsidRPr="00F97952">
        <w:t>.</w:t>
      </w:r>
    </w:p>
    <w:p w14:paraId="5BCC3EFF" w14:textId="071B49F7" w:rsidR="00DE04A9" w:rsidRPr="00F97952" w:rsidRDefault="00F43A96" w:rsidP="0027627B">
      <w:pPr>
        <w:pStyle w:val="MainParagraphwith"/>
      </w:pPr>
      <w:bookmarkStart w:id="57" w:name="_Hlk528747526"/>
      <w:r w:rsidRPr="00F97952">
        <w:t xml:space="preserve">The lower-than anticipated mercury reduction figure for GEF-6 was in part influenced by the large number of enabling activities without direct mercury reduction supported during the GEF-6 period. The GEF provided such support in response to a request made by the </w:t>
      </w:r>
      <w:r w:rsidRPr="00F97952">
        <w:rPr>
          <w:rStyle w:val="containertitle"/>
        </w:rPr>
        <w:t>Sixth session of the intergovernmental negotiating committee on mercury (INC6)</w:t>
      </w:r>
      <w:r w:rsidRPr="00F97952">
        <w:t xml:space="preserve"> to consider enabling activities as well as expanded eligibility including non-signatories </w:t>
      </w:r>
      <w:r w:rsidR="00DE04A9" w:rsidRPr="00F97952">
        <w:t xml:space="preserve">that are taking bona fide steps to ratify the Convention </w:t>
      </w:r>
      <w:r w:rsidRPr="00F97952">
        <w:t>to access enabling activities resources from the GEF.</w:t>
      </w:r>
      <w:r w:rsidR="00CC57C6" w:rsidRPr="00F97952">
        <w:rPr>
          <w:rStyle w:val="Appelnotedebasdep"/>
        </w:rPr>
        <w:footnoteReference w:id="18"/>
      </w:r>
      <w:r w:rsidRPr="00F97952">
        <w:t xml:space="preserve"> The INC6 request was made in November 2014, after the indicative resource allocation and mercury reduction corporate target were agreed during the GEF-6 replenishment negotiations.</w:t>
      </w:r>
    </w:p>
    <w:p w14:paraId="29CE8787" w14:textId="40941F80" w:rsidR="00CC57C6" w:rsidRPr="00F97952" w:rsidRDefault="00CC57C6" w:rsidP="0027627B">
      <w:pPr>
        <w:pStyle w:val="MainParagraphwith"/>
      </w:pPr>
      <w:r w:rsidRPr="00F97952">
        <w:t>These enabling activities, as well as capacity building, are foundational activities to enable countries to identify needed actions and plans for future significant mercury reductions. Also, such support is likely to have had positive effects on non-signatories to continue to take steps to ratify the Convention.</w:t>
      </w:r>
    </w:p>
    <w:p w14:paraId="7DA86FFE" w14:textId="77777777" w:rsidR="0000292F" w:rsidRPr="00F97952" w:rsidRDefault="001E19D2" w:rsidP="00423B4D">
      <w:pPr>
        <w:pStyle w:val="Titre1"/>
        <w:rPr>
          <w:rFonts w:asciiTheme="minorHAnsi" w:hAnsiTheme="minorHAnsi"/>
        </w:rPr>
      </w:pPr>
      <w:bookmarkStart w:id="58" w:name="_Toc528774361"/>
      <w:bookmarkEnd w:id="57"/>
      <w:r w:rsidRPr="00F97952">
        <w:rPr>
          <w:rFonts w:asciiTheme="minorHAnsi" w:hAnsiTheme="minorHAnsi"/>
        </w:rPr>
        <w:t xml:space="preserve">Part III: </w:t>
      </w:r>
      <w:bookmarkStart w:id="59" w:name="_bookmark29"/>
      <w:bookmarkStart w:id="60" w:name="_Hlk519072734"/>
      <w:bookmarkEnd w:id="59"/>
      <w:r w:rsidR="00406DAF" w:rsidRPr="00F97952">
        <w:rPr>
          <w:rFonts w:asciiTheme="minorHAnsi" w:hAnsiTheme="minorHAnsi"/>
        </w:rPr>
        <w:t>Seventh Replenishment of the GEF Trust Fund</w:t>
      </w:r>
      <w:bookmarkEnd w:id="58"/>
    </w:p>
    <w:p w14:paraId="41DD66C6" w14:textId="154BB88D" w:rsidR="00373E25" w:rsidRPr="00F97952" w:rsidRDefault="00406DAF" w:rsidP="002D5818">
      <w:pPr>
        <w:pStyle w:val="MainParagraphwith"/>
      </w:pPr>
      <w:bookmarkStart w:id="61" w:name="_Hlk520898492"/>
      <w:r w:rsidRPr="00F97952">
        <w:t xml:space="preserve">Negotiations for the seventh replenishment of the GEF Trust Fund (GEF-7) were successfully concluded on April 25, 2018 in Stockholm, Sweden when 28 countries pledged a total of $4,065 million towards programming during the GEF-7 period (July 1, 2018 to June 30, 2022). The 28 countries are: Australia, Austria, Belgium, Brazil, Canada, China, Côte </w:t>
      </w:r>
      <w:r w:rsidR="00BF3BFC" w:rsidRPr="00F97952">
        <w:t>d</w:t>
      </w:r>
      <w:r w:rsidRPr="00F97952">
        <w:t>’Ivoire, Czech Republic, Denmark, Finland, France, Germany, India, Ireland, Italy, Japan, Korea, Luxembourg, Mexico, Netherlands, New Zealand, Norway, Slovenia, South Africa, Sweden, Switzerland, United Kingdom, and the United States of America</w:t>
      </w:r>
      <w:r w:rsidR="001F5117" w:rsidRPr="00F97952">
        <w:t>.</w:t>
      </w:r>
      <w:bookmarkEnd w:id="61"/>
    </w:p>
    <w:p w14:paraId="65BC8B60" w14:textId="14F3BEC2" w:rsidR="00373E25" w:rsidRPr="00F97952" w:rsidRDefault="00406DAF" w:rsidP="002D5818">
      <w:pPr>
        <w:pStyle w:val="MainParagraphwith"/>
      </w:pPr>
      <w:r w:rsidRPr="00F97952">
        <w:lastRenderedPageBreak/>
        <w:t>The GEF Council endorsed the outcomes of the replenishment process at its 54</w:t>
      </w:r>
      <w:r w:rsidR="00F81D32" w:rsidRPr="00F97952">
        <w:rPr>
          <w:vertAlign w:val="superscript"/>
        </w:rPr>
        <w:t>th</w:t>
      </w:r>
      <w:r w:rsidRPr="00F97952">
        <w:rPr>
          <w:vertAlign w:val="superscript"/>
        </w:rPr>
        <w:t xml:space="preserve"> </w:t>
      </w:r>
      <w:r w:rsidRPr="00F97952">
        <w:t>meeting, including the Programming Directions, Policy Recommendations, and Replenishment Resolution</w:t>
      </w:r>
      <w:r w:rsidR="000B1416" w:rsidRPr="00F97952">
        <w:t>.</w:t>
      </w:r>
      <w:r w:rsidR="000B1416" w:rsidRPr="00F97952">
        <w:rPr>
          <w:vertAlign w:val="superscript"/>
        </w:rPr>
        <w:footnoteReference w:id="19"/>
      </w:r>
      <w:r w:rsidRPr="00F97952">
        <w:rPr>
          <w:vertAlign w:val="superscript"/>
        </w:rPr>
        <w:t xml:space="preserve"> </w:t>
      </w:r>
    </w:p>
    <w:p w14:paraId="0D3BCCBA" w14:textId="657D327A" w:rsidR="00373E25" w:rsidRPr="00F97952" w:rsidRDefault="00406DAF" w:rsidP="002D5818">
      <w:pPr>
        <w:pStyle w:val="MainParagraphwith"/>
      </w:pPr>
      <w:r w:rsidRPr="00F97952">
        <w:t>The Participants allocated a total of</w:t>
      </w:r>
      <w:r w:rsidR="00D654C7" w:rsidRPr="00F97952">
        <w:t xml:space="preserve"> $599</w:t>
      </w:r>
      <w:r w:rsidRPr="00F97952">
        <w:t xml:space="preserve"> million</w:t>
      </w:r>
      <w:r w:rsidR="00D654C7" w:rsidRPr="00F97952">
        <w:t xml:space="preserve"> to the chemicals and waste</w:t>
      </w:r>
      <w:r w:rsidRPr="00F97952">
        <w:t xml:space="preserve"> focal area</w:t>
      </w:r>
      <w:r w:rsidR="00D654C7" w:rsidRPr="00F97952">
        <w:t>, representing some 15</w:t>
      </w:r>
      <w:r w:rsidR="00BE0816" w:rsidRPr="00F97952">
        <w:t xml:space="preserve"> percent</w:t>
      </w:r>
      <w:r w:rsidRPr="00F97952">
        <w:t xml:space="preserve"> of the total GEF-7 resource envelope</w:t>
      </w:r>
      <w:r w:rsidR="00D654C7" w:rsidRPr="00F97952">
        <w:t xml:space="preserve">, </w:t>
      </w:r>
      <w:r w:rsidR="00DE75A1" w:rsidRPr="00F97952">
        <w:t>of which</w:t>
      </w:r>
      <w:r w:rsidR="00D654C7" w:rsidRPr="00F97952">
        <w:t xml:space="preserve"> $206 million is </w:t>
      </w:r>
      <w:r w:rsidR="00E07763" w:rsidRPr="00F97952">
        <w:t xml:space="preserve">indicatively </w:t>
      </w:r>
      <w:r w:rsidR="00D654C7" w:rsidRPr="00F97952">
        <w:t>allocated to mercury</w:t>
      </w:r>
      <w:r w:rsidR="00DE75A1" w:rsidRPr="00F97952">
        <w:t>.</w:t>
      </w:r>
      <w:r w:rsidR="00D654C7" w:rsidRPr="00F97952">
        <w:t xml:space="preserve"> </w:t>
      </w:r>
      <w:r w:rsidR="00DE75A1" w:rsidRPr="00F97952">
        <w:t xml:space="preserve">The GEF-7 notional allocation for mercury </w:t>
      </w:r>
      <w:r w:rsidR="00D654C7" w:rsidRPr="00F97952">
        <w:t xml:space="preserve">is </w:t>
      </w:r>
      <w:r w:rsidR="004872A6" w:rsidRPr="00F97952">
        <w:t>a</w:t>
      </w:r>
      <w:r w:rsidR="00EC09F7" w:rsidRPr="00F97952">
        <w:t xml:space="preserve"> significant</w:t>
      </w:r>
      <w:r w:rsidR="00D654C7" w:rsidRPr="00F97952">
        <w:t xml:space="preserve"> increase from </w:t>
      </w:r>
      <w:r w:rsidR="000A545C" w:rsidRPr="00F97952">
        <w:t xml:space="preserve">the </w:t>
      </w:r>
      <w:r w:rsidR="00D654C7" w:rsidRPr="00F97952">
        <w:t>GEF-6</w:t>
      </w:r>
      <w:r w:rsidR="000A545C" w:rsidRPr="00F97952">
        <w:t xml:space="preserve"> figure </w:t>
      </w:r>
      <w:r w:rsidR="009711E7" w:rsidRPr="00F97952">
        <w:t>of $</w:t>
      </w:r>
      <w:r w:rsidR="00D654C7" w:rsidRPr="00F97952">
        <w:t>141 million.</w:t>
      </w:r>
      <w:r w:rsidRPr="00F97952">
        <w:t xml:space="preserve"> </w:t>
      </w:r>
    </w:p>
    <w:p w14:paraId="4A29AFCC" w14:textId="77777777" w:rsidR="006A7CFD" w:rsidRPr="00F97952" w:rsidRDefault="006A7CFD" w:rsidP="002D5818">
      <w:pPr>
        <w:pStyle w:val="MainParagraphwith"/>
      </w:pPr>
      <w:r w:rsidRPr="00F97952">
        <w:t>GEF</w:t>
      </w:r>
      <w:r w:rsidR="000A545C" w:rsidRPr="00F97952">
        <w:t>-</w:t>
      </w:r>
      <w:r w:rsidRPr="00F97952">
        <w:t>7 seeks to phase out, reduce, and where possible eliminate mercury in priority sectors of the Convention.</w:t>
      </w:r>
      <w:r w:rsidR="001F5117" w:rsidRPr="00F97952">
        <w:t xml:space="preserve"> </w:t>
      </w:r>
      <w:r w:rsidRPr="00F97952">
        <w:t>Funding for mercury is included in the four GEF</w:t>
      </w:r>
      <w:r w:rsidR="000A545C" w:rsidRPr="00F97952">
        <w:t>-</w:t>
      </w:r>
      <w:r w:rsidRPr="00F97952">
        <w:t>7 chemicals and waste programming lines and include</w:t>
      </w:r>
      <w:r w:rsidR="000A545C" w:rsidRPr="00F97952">
        <w:t>s</w:t>
      </w:r>
      <w:r w:rsidRPr="00F97952">
        <w:t xml:space="preserve"> </w:t>
      </w:r>
      <w:r w:rsidR="000A545C" w:rsidRPr="00F97952">
        <w:t xml:space="preserve">support </w:t>
      </w:r>
      <w:r w:rsidRPr="00F97952">
        <w:t xml:space="preserve">for enabling activities, reduction of mercury emissions and releases from sectors specified by the Minamata Convention, </w:t>
      </w:r>
      <w:r w:rsidR="000A545C" w:rsidRPr="00F97952">
        <w:t xml:space="preserve">as well as </w:t>
      </w:r>
      <w:r w:rsidRPr="00F97952">
        <w:t>phase out and elimination of mercury in products and processes that are included in the Minamata Convention. Detailed areas that may receive funding can be found in the summary of negotiations of the Seventh Replenishment of the GEF Trust Fund</w:t>
      </w:r>
      <w:r w:rsidR="000A545C" w:rsidRPr="00F97952">
        <w:t>.</w:t>
      </w:r>
      <w:r w:rsidRPr="00F97952">
        <w:rPr>
          <w:vertAlign w:val="superscript"/>
        </w:rPr>
        <w:footnoteReference w:id="20"/>
      </w:r>
      <w:r w:rsidRPr="00F97952">
        <w:t xml:space="preserve"> </w:t>
      </w:r>
    </w:p>
    <w:p w14:paraId="3C49EFBD" w14:textId="77777777" w:rsidR="00406DAF" w:rsidRPr="00F97952" w:rsidRDefault="00406DAF" w:rsidP="002D5818">
      <w:pPr>
        <w:pStyle w:val="MainParagraphwith"/>
      </w:pPr>
      <w:r w:rsidRPr="00F97952">
        <w:t>In addition, the GEF-7 Impact Programs on (</w:t>
      </w:r>
      <w:proofErr w:type="spellStart"/>
      <w:r w:rsidRPr="00F97952">
        <w:t>i</w:t>
      </w:r>
      <w:proofErr w:type="spellEnd"/>
      <w:r w:rsidRPr="00F97952">
        <w:t xml:space="preserve">) Food, Land-Use and Restoration, (ii) Sustainable Cities, and (iii) Sustainable Forest Management for Major Biomes are </w:t>
      </w:r>
      <w:r w:rsidR="00D654C7" w:rsidRPr="00F97952">
        <w:t>expected to deliver</w:t>
      </w:r>
      <w:r w:rsidRPr="00F97952">
        <w:t xml:space="preserve"> global environ</w:t>
      </w:r>
      <w:r w:rsidR="00D654C7" w:rsidRPr="00F97952">
        <w:t>mental benefits for Chemicals and Waste including mercury</w:t>
      </w:r>
      <w:r w:rsidRPr="00F97952">
        <w:t xml:space="preserve">. </w:t>
      </w:r>
    </w:p>
    <w:bookmarkEnd w:id="60"/>
    <w:p w14:paraId="74B735BE" w14:textId="77777777" w:rsidR="0000292F" w:rsidRPr="00F97952" w:rsidRDefault="0000292F" w:rsidP="00BF4281">
      <w:pPr>
        <w:pStyle w:val="Corpsdetexte"/>
        <w:rPr>
          <w:rFonts w:asciiTheme="minorHAnsi" w:hAnsiTheme="minorHAnsi" w:cstheme="minorHAnsi"/>
          <w:sz w:val="20"/>
        </w:rPr>
      </w:pPr>
    </w:p>
    <w:p w14:paraId="33959F1A" w14:textId="77777777" w:rsidR="0000292F" w:rsidRPr="00F97952" w:rsidRDefault="0000292F" w:rsidP="00BF4281">
      <w:pPr>
        <w:tabs>
          <w:tab w:val="left" w:pos="2530"/>
        </w:tabs>
        <w:rPr>
          <w:rFonts w:asciiTheme="minorHAnsi" w:hAnsiTheme="minorHAnsi" w:cstheme="minorHAnsi"/>
        </w:rPr>
        <w:sectPr w:rsidR="0000292F" w:rsidRPr="00F97952" w:rsidSect="0018028C">
          <w:headerReference w:type="even" r:id="rId26"/>
          <w:footerReference w:type="even" r:id="rId27"/>
          <w:footerReference w:type="default" r:id="rId28"/>
          <w:headerReference w:type="first" r:id="rId29"/>
          <w:footerReference w:type="first" r:id="rId30"/>
          <w:pgSz w:w="11907" w:h="16840" w:code="9"/>
          <w:pgMar w:top="907" w:right="992" w:bottom="1418" w:left="1418" w:header="539" w:footer="975" w:gutter="0"/>
          <w:cols w:space="720"/>
          <w:titlePg/>
          <w:docGrid w:linePitch="326"/>
        </w:sectPr>
      </w:pPr>
    </w:p>
    <w:p w14:paraId="0E0583A3" w14:textId="77777777" w:rsidR="0000292F" w:rsidRPr="00F97952" w:rsidRDefault="001E19D2" w:rsidP="00423B4D">
      <w:pPr>
        <w:pStyle w:val="Titre1"/>
        <w:rPr>
          <w:rFonts w:asciiTheme="minorHAnsi" w:hAnsiTheme="minorHAnsi"/>
        </w:rPr>
      </w:pPr>
      <w:bookmarkStart w:id="62" w:name="_bookmark35"/>
      <w:bookmarkStart w:id="63" w:name="_Toc528774362"/>
      <w:bookmarkStart w:id="64" w:name="_Hlk519156126"/>
      <w:bookmarkEnd w:id="62"/>
      <w:r w:rsidRPr="00F97952">
        <w:rPr>
          <w:rFonts w:asciiTheme="minorHAnsi" w:hAnsiTheme="minorHAnsi"/>
        </w:rPr>
        <w:lastRenderedPageBreak/>
        <w:t xml:space="preserve">Annex </w:t>
      </w:r>
      <w:r w:rsidR="00354375" w:rsidRPr="00F97952">
        <w:rPr>
          <w:rFonts w:asciiTheme="minorHAnsi" w:hAnsiTheme="minorHAnsi"/>
        </w:rPr>
        <w:t xml:space="preserve">1: </w:t>
      </w:r>
      <w:r w:rsidR="00644B15" w:rsidRPr="00F97952">
        <w:rPr>
          <w:rFonts w:asciiTheme="minorHAnsi" w:hAnsiTheme="minorHAnsi"/>
        </w:rPr>
        <w:t xml:space="preserve">Projects </w:t>
      </w:r>
      <w:r w:rsidR="00297158" w:rsidRPr="00F97952">
        <w:rPr>
          <w:rFonts w:asciiTheme="minorHAnsi" w:hAnsiTheme="minorHAnsi"/>
        </w:rPr>
        <w:t>A</w:t>
      </w:r>
      <w:r w:rsidR="00644B15" w:rsidRPr="00F97952">
        <w:rPr>
          <w:rFonts w:asciiTheme="minorHAnsi" w:hAnsiTheme="minorHAnsi"/>
        </w:rPr>
        <w:t xml:space="preserve">pproved </w:t>
      </w:r>
      <w:r w:rsidR="00731624" w:rsidRPr="00F97952">
        <w:rPr>
          <w:rFonts w:asciiTheme="minorHAnsi" w:hAnsiTheme="minorHAnsi"/>
        </w:rPr>
        <w:t xml:space="preserve">in the </w:t>
      </w:r>
      <w:r w:rsidR="00297158" w:rsidRPr="00F97952">
        <w:rPr>
          <w:rFonts w:asciiTheme="minorHAnsi" w:hAnsiTheme="minorHAnsi"/>
        </w:rPr>
        <w:t>R</w:t>
      </w:r>
      <w:r w:rsidR="00731624" w:rsidRPr="00F97952">
        <w:rPr>
          <w:rFonts w:asciiTheme="minorHAnsi" w:hAnsiTheme="minorHAnsi"/>
        </w:rPr>
        <w:t xml:space="preserve">eporting </w:t>
      </w:r>
      <w:r w:rsidR="00297158" w:rsidRPr="00F97952">
        <w:rPr>
          <w:rFonts w:asciiTheme="minorHAnsi" w:hAnsiTheme="minorHAnsi"/>
        </w:rPr>
        <w:t>P</w:t>
      </w:r>
      <w:r w:rsidR="00731624" w:rsidRPr="00F97952">
        <w:rPr>
          <w:rFonts w:asciiTheme="minorHAnsi" w:hAnsiTheme="minorHAnsi"/>
        </w:rPr>
        <w:t xml:space="preserve">eriod </w:t>
      </w:r>
      <w:r w:rsidR="00BE0816" w:rsidRPr="00F97952">
        <w:rPr>
          <w:rFonts w:asciiTheme="minorHAnsi" w:hAnsiTheme="minorHAnsi"/>
        </w:rPr>
        <w:t>(</w:t>
      </w:r>
      <w:r w:rsidR="00731624" w:rsidRPr="00F97952">
        <w:rPr>
          <w:rFonts w:asciiTheme="minorHAnsi" w:hAnsiTheme="minorHAnsi"/>
        </w:rPr>
        <w:t>July 1, 2017 to June 30, 2018</w:t>
      </w:r>
      <w:r w:rsidR="00BE0816" w:rsidRPr="00F97952">
        <w:rPr>
          <w:rFonts w:asciiTheme="minorHAnsi" w:hAnsiTheme="minorHAnsi"/>
        </w:rPr>
        <w:t>)</w:t>
      </w:r>
      <w:bookmarkEnd w:id="63"/>
    </w:p>
    <w:p w14:paraId="0497B9DE" w14:textId="77777777" w:rsidR="00117AC3" w:rsidRPr="00F97952" w:rsidRDefault="00117AC3" w:rsidP="00117AC3">
      <w:pPr>
        <w:rPr>
          <w:rFonts w:asciiTheme="minorHAnsi" w:hAnsiTheme="minorHAnsi"/>
        </w:rPr>
      </w:pPr>
    </w:p>
    <w:p w14:paraId="4BC22F39" w14:textId="77777777" w:rsidR="00FC762D" w:rsidRPr="00F97952" w:rsidRDefault="00FC762D" w:rsidP="00117AC3">
      <w:pPr>
        <w:rPr>
          <w:rFonts w:asciiTheme="minorHAnsi" w:hAnsiTheme="minorHAnsi"/>
        </w:rPr>
      </w:pPr>
      <w:r w:rsidRPr="00F97952">
        <w:rPr>
          <w:rFonts w:asciiTheme="minorHAnsi" w:hAnsiTheme="minorHAnsi"/>
        </w:rPr>
        <w:t>GEF grant includes the GEF project grant allocated to mercury components only, excluding associated fees and project preparation grant.</w:t>
      </w:r>
    </w:p>
    <w:p w14:paraId="739A72AC" w14:textId="73E17857" w:rsidR="00FC762D" w:rsidRPr="00F97952" w:rsidRDefault="00E07763" w:rsidP="00874B6D">
      <w:pPr>
        <w:pStyle w:val="Lgende"/>
        <w:jc w:val="center"/>
        <w:rPr>
          <w:color w:val="000000" w:themeColor="text1"/>
          <w:sz w:val="24"/>
          <w:szCs w:val="24"/>
        </w:rPr>
      </w:pPr>
      <w:bookmarkStart w:id="65" w:name="_Toc528774332"/>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6</w:t>
      </w:r>
      <w:r w:rsidRPr="00F97952">
        <w:rPr>
          <w:color w:val="000000" w:themeColor="text1"/>
          <w:sz w:val="24"/>
          <w:szCs w:val="24"/>
        </w:rPr>
        <w:fldChar w:fldCharType="end"/>
      </w:r>
      <w:r w:rsidRPr="00F97952">
        <w:rPr>
          <w:color w:val="000000" w:themeColor="text1"/>
          <w:sz w:val="24"/>
          <w:szCs w:val="24"/>
        </w:rPr>
        <w:t xml:space="preserve">: List </w:t>
      </w:r>
      <w:r w:rsidR="00D87B16" w:rsidRPr="00F97952">
        <w:rPr>
          <w:color w:val="000000" w:themeColor="text1"/>
          <w:sz w:val="24"/>
          <w:szCs w:val="24"/>
        </w:rPr>
        <w:t xml:space="preserve">of Projects Approved </w:t>
      </w:r>
      <w:r w:rsidR="00F633D7" w:rsidRPr="00F97952">
        <w:rPr>
          <w:color w:val="000000" w:themeColor="text1"/>
          <w:sz w:val="24"/>
          <w:szCs w:val="24"/>
        </w:rPr>
        <w:t>d</w:t>
      </w:r>
      <w:r w:rsidR="00D87B16" w:rsidRPr="00F97952">
        <w:rPr>
          <w:color w:val="000000" w:themeColor="text1"/>
          <w:sz w:val="24"/>
          <w:szCs w:val="24"/>
        </w:rPr>
        <w:t>uring the Reporting Period</w:t>
      </w:r>
      <w:bookmarkEnd w:id="65"/>
    </w:p>
    <w:p w14:paraId="19A84B64" w14:textId="77777777" w:rsidR="0009173B" w:rsidRPr="00F97952" w:rsidRDefault="0009173B" w:rsidP="0009173B">
      <w:pPr>
        <w:rPr>
          <w:lang w:val="en-GB"/>
        </w:rPr>
      </w:pPr>
    </w:p>
    <w:tbl>
      <w:tblPr>
        <w:tblStyle w:val="Grilledutableau"/>
        <w:tblW w:w="12685" w:type="dxa"/>
        <w:jc w:val="center"/>
        <w:tblLook w:val="04E0" w:firstRow="1" w:lastRow="1" w:firstColumn="1" w:lastColumn="0" w:noHBand="0" w:noVBand="1"/>
      </w:tblPr>
      <w:tblGrid>
        <w:gridCol w:w="1534"/>
        <w:gridCol w:w="1333"/>
        <w:gridCol w:w="3698"/>
        <w:gridCol w:w="699"/>
        <w:gridCol w:w="939"/>
        <w:gridCol w:w="2118"/>
        <w:gridCol w:w="2364"/>
      </w:tblGrid>
      <w:tr w:rsidR="00BA325A" w:rsidRPr="00F97952" w14:paraId="5D3DC755" w14:textId="5A4114A5" w:rsidTr="00033F0E">
        <w:trPr>
          <w:trHeight w:val="300"/>
          <w:tblHeader/>
          <w:jc w:val="center"/>
        </w:trPr>
        <w:tc>
          <w:tcPr>
            <w:tcW w:w="1534" w:type="dxa"/>
            <w:noWrap/>
            <w:hideMark/>
          </w:tcPr>
          <w:p w14:paraId="74637B48" w14:textId="77777777" w:rsidR="00BA325A" w:rsidRPr="00F97952" w:rsidRDefault="00BA325A" w:rsidP="00BA325A">
            <w:pPr>
              <w:jc w:val="center"/>
              <w:rPr>
                <w:rFonts w:asciiTheme="minorHAnsi" w:hAnsiTheme="minorHAnsi"/>
                <w:b/>
                <w:bCs/>
                <w:color w:val="000000" w:themeColor="text1"/>
              </w:rPr>
            </w:pPr>
            <w:r w:rsidRPr="00F97952">
              <w:rPr>
                <w:rFonts w:asciiTheme="minorHAnsi" w:hAnsiTheme="minorHAnsi"/>
                <w:b/>
                <w:bCs/>
                <w:color w:val="000000" w:themeColor="text1"/>
              </w:rPr>
              <w:t>Country</w:t>
            </w:r>
          </w:p>
        </w:tc>
        <w:tc>
          <w:tcPr>
            <w:tcW w:w="1333" w:type="dxa"/>
            <w:noWrap/>
            <w:hideMark/>
          </w:tcPr>
          <w:p w14:paraId="277D770A" w14:textId="77777777" w:rsidR="00BA325A" w:rsidRPr="00F97952" w:rsidRDefault="00BA325A" w:rsidP="00BA325A">
            <w:pPr>
              <w:jc w:val="center"/>
              <w:rPr>
                <w:rFonts w:asciiTheme="minorHAnsi" w:hAnsiTheme="minorHAnsi"/>
                <w:b/>
                <w:bCs/>
                <w:color w:val="000000" w:themeColor="text1"/>
              </w:rPr>
            </w:pPr>
            <w:r w:rsidRPr="00F97952">
              <w:rPr>
                <w:rFonts w:asciiTheme="minorHAnsi" w:hAnsiTheme="minorHAnsi"/>
                <w:b/>
                <w:bCs/>
                <w:color w:val="000000" w:themeColor="text1"/>
              </w:rPr>
              <w:t>Country List</w:t>
            </w:r>
          </w:p>
        </w:tc>
        <w:tc>
          <w:tcPr>
            <w:tcW w:w="3698" w:type="dxa"/>
            <w:noWrap/>
            <w:hideMark/>
          </w:tcPr>
          <w:p w14:paraId="134C741B" w14:textId="77777777" w:rsidR="00BA325A" w:rsidRPr="00F97952" w:rsidRDefault="00BA325A" w:rsidP="00BA325A">
            <w:pPr>
              <w:jc w:val="center"/>
              <w:rPr>
                <w:rFonts w:asciiTheme="minorHAnsi" w:hAnsiTheme="minorHAnsi"/>
                <w:b/>
                <w:bCs/>
                <w:color w:val="000000" w:themeColor="text1"/>
              </w:rPr>
            </w:pPr>
            <w:r w:rsidRPr="00F97952">
              <w:rPr>
                <w:rFonts w:asciiTheme="minorHAnsi" w:hAnsiTheme="minorHAnsi"/>
                <w:b/>
                <w:bCs/>
                <w:color w:val="000000" w:themeColor="text1"/>
              </w:rPr>
              <w:t>Title</w:t>
            </w:r>
          </w:p>
        </w:tc>
        <w:tc>
          <w:tcPr>
            <w:tcW w:w="563" w:type="dxa"/>
            <w:noWrap/>
            <w:hideMark/>
          </w:tcPr>
          <w:p w14:paraId="770EEF7F" w14:textId="77777777" w:rsidR="00BA325A" w:rsidRPr="00F97952" w:rsidRDefault="00BA325A" w:rsidP="00BA325A">
            <w:pPr>
              <w:jc w:val="center"/>
              <w:rPr>
                <w:rFonts w:asciiTheme="minorHAnsi" w:hAnsiTheme="minorHAnsi"/>
                <w:b/>
                <w:bCs/>
                <w:color w:val="000000" w:themeColor="text1"/>
              </w:rPr>
            </w:pPr>
            <w:r w:rsidRPr="00F97952">
              <w:rPr>
                <w:rFonts w:asciiTheme="minorHAnsi" w:hAnsiTheme="minorHAnsi"/>
                <w:b/>
                <w:bCs/>
                <w:color w:val="000000" w:themeColor="text1"/>
              </w:rPr>
              <w:t>Type</w:t>
            </w:r>
          </w:p>
        </w:tc>
        <w:tc>
          <w:tcPr>
            <w:tcW w:w="939" w:type="dxa"/>
            <w:noWrap/>
            <w:hideMark/>
          </w:tcPr>
          <w:p w14:paraId="1306C41D" w14:textId="77777777" w:rsidR="00BA325A" w:rsidRPr="00F97952" w:rsidRDefault="00BA325A" w:rsidP="00BA325A">
            <w:pPr>
              <w:jc w:val="center"/>
              <w:rPr>
                <w:rFonts w:asciiTheme="minorHAnsi" w:hAnsiTheme="minorHAnsi"/>
                <w:b/>
                <w:bCs/>
                <w:color w:val="000000" w:themeColor="text1"/>
              </w:rPr>
            </w:pPr>
            <w:r w:rsidRPr="00F97952">
              <w:rPr>
                <w:rFonts w:asciiTheme="minorHAnsi" w:hAnsiTheme="minorHAnsi"/>
                <w:b/>
                <w:bCs/>
                <w:color w:val="000000" w:themeColor="text1"/>
              </w:rPr>
              <w:t>Agency</w:t>
            </w:r>
          </w:p>
        </w:tc>
        <w:tc>
          <w:tcPr>
            <w:tcW w:w="2118" w:type="dxa"/>
            <w:noWrap/>
            <w:hideMark/>
          </w:tcPr>
          <w:p w14:paraId="059E5272" w14:textId="70F884DB" w:rsidR="00BA325A" w:rsidRPr="00F97952" w:rsidRDefault="00EC09F7" w:rsidP="00BA325A">
            <w:pPr>
              <w:jc w:val="center"/>
              <w:rPr>
                <w:rFonts w:asciiTheme="minorHAnsi" w:hAnsiTheme="minorHAnsi"/>
                <w:b/>
                <w:bCs/>
                <w:color w:val="000000" w:themeColor="text1"/>
              </w:rPr>
            </w:pPr>
            <w:r w:rsidRPr="00F97952">
              <w:rPr>
                <w:rFonts w:asciiTheme="minorHAnsi" w:hAnsiTheme="minorHAnsi"/>
                <w:b/>
                <w:bCs/>
                <w:color w:val="000000" w:themeColor="text1"/>
              </w:rPr>
              <w:t xml:space="preserve">GEF </w:t>
            </w:r>
            <w:r w:rsidR="00E54C6F" w:rsidRPr="00F97952">
              <w:rPr>
                <w:rFonts w:asciiTheme="minorHAnsi" w:hAnsiTheme="minorHAnsi"/>
                <w:b/>
                <w:bCs/>
                <w:color w:val="000000" w:themeColor="text1"/>
              </w:rPr>
              <w:t>Grant ($)</w:t>
            </w:r>
          </w:p>
        </w:tc>
        <w:tc>
          <w:tcPr>
            <w:tcW w:w="2500" w:type="dxa"/>
          </w:tcPr>
          <w:p w14:paraId="0DC1EDE3" w14:textId="5201F84C" w:rsidR="00BA325A" w:rsidRPr="00F97952" w:rsidRDefault="00BA325A" w:rsidP="00BA325A">
            <w:pPr>
              <w:jc w:val="center"/>
              <w:rPr>
                <w:rFonts w:asciiTheme="minorHAnsi" w:hAnsiTheme="minorHAnsi"/>
                <w:b/>
                <w:bCs/>
                <w:color w:val="000000" w:themeColor="text1"/>
              </w:rPr>
            </w:pPr>
            <w:r w:rsidRPr="00F97952">
              <w:rPr>
                <w:rFonts w:asciiTheme="minorHAnsi" w:hAnsiTheme="minorHAnsi"/>
                <w:b/>
                <w:bCs/>
                <w:color w:val="000000" w:themeColor="text1"/>
              </w:rPr>
              <w:t>Co</w:t>
            </w:r>
            <w:r w:rsidR="00676346" w:rsidRPr="00F97952">
              <w:rPr>
                <w:rFonts w:asciiTheme="minorHAnsi" w:hAnsiTheme="minorHAnsi"/>
                <w:b/>
                <w:bCs/>
                <w:color w:val="000000" w:themeColor="text1"/>
              </w:rPr>
              <w:t>-</w:t>
            </w:r>
            <w:r w:rsidRPr="00F97952">
              <w:rPr>
                <w:rFonts w:asciiTheme="minorHAnsi" w:hAnsiTheme="minorHAnsi"/>
                <w:b/>
                <w:bCs/>
                <w:color w:val="000000" w:themeColor="text1"/>
              </w:rPr>
              <w:t>Financing</w:t>
            </w:r>
            <w:r w:rsidR="00E54C6F" w:rsidRPr="00F97952">
              <w:rPr>
                <w:rFonts w:asciiTheme="minorHAnsi" w:hAnsiTheme="minorHAnsi"/>
                <w:b/>
                <w:bCs/>
                <w:color w:val="000000" w:themeColor="text1"/>
              </w:rPr>
              <w:t xml:space="preserve"> ($)</w:t>
            </w:r>
          </w:p>
        </w:tc>
      </w:tr>
      <w:tr w:rsidR="00BA325A" w:rsidRPr="00F97952" w14:paraId="336DEC94" w14:textId="63CFDF2D" w:rsidTr="00033F0E">
        <w:trPr>
          <w:trHeight w:val="300"/>
          <w:jc w:val="center"/>
        </w:trPr>
        <w:tc>
          <w:tcPr>
            <w:tcW w:w="1534" w:type="dxa"/>
            <w:noWrap/>
            <w:hideMark/>
          </w:tcPr>
          <w:p w14:paraId="2614E58B"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Argentina</w:t>
            </w:r>
          </w:p>
        </w:tc>
        <w:tc>
          <w:tcPr>
            <w:tcW w:w="1333" w:type="dxa"/>
            <w:noWrap/>
            <w:hideMark/>
          </w:tcPr>
          <w:p w14:paraId="0AB6BAE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1F2DB6C5"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Minamata Initial Assessment for Argentina</w:t>
            </w:r>
          </w:p>
        </w:tc>
        <w:tc>
          <w:tcPr>
            <w:tcW w:w="563" w:type="dxa"/>
            <w:noWrap/>
            <w:hideMark/>
          </w:tcPr>
          <w:p w14:paraId="37C95E89"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EA</w:t>
            </w:r>
          </w:p>
        </w:tc>
        <w:tc>
          <w:tcPr>
            <w:tcW w:w="939" w:type="dxa"/>
            <w:noWrap/>
            <w:hideMark/>
          </w:tcPr>
          <w:p w14:paraId="433C85B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UNDP</w:t>
            </w:r>
          </w:p>
        </w:tc>
        <w:tc>
          <w:tcPr>
            <w:tcW w:w="2118" w:type="dxa"/>
            <w:noWrap/>
            <w:hideMark/>
          </w:tcPr>
          <w:p w14:paraId="03E36095" w14:textId="76422C95" w:rsidR="00BA325A" w:rsidRPr="00F97952" w:rsidRDefault="00BA325A" w:rsidP="00C224F3">
            <w:pPr>
              <w:jc w:val="right"/>
              <w:rPr>
                <w:rFonts w:asciiTheme="minorHAnsi" w:hAnsiTheme="minorHAnsi"/>
                <w:color w:val="000000" w:themeColor="text1"/>
              </w:rPr>
            </w:pPr>
            <w:r w:rsidRPr="00F97952">
              <w:rPr>
                <w:rFonts w:asciiTheme="minorHAnsi" w:hAnsiTheme="minorHAnsi"/>
                <w:color w:val="000000" w:themeColor="text1"/>
              </w:rPr>
              <w:t xml:space="preserve">200,000 </w:t>
            </w:r>
          </w:p>
        </w:tc>
        <w:tc>
          <w:tcPr>
            <w:tcW w:w="2500" w:type="dxa"/>
          </w:tcPr>
          <w:p w14:paraId="38B1A6A7" w14:textId="77777777" w:rsidR="00BA325A" w:rsidRPr="00F97952" w:rsidRDefault="00BA325A" w:rsidP="00C224F3">
            <w:pPr>
              <w:jc w:val="right"/>
              <w:rPr>
                <w:rFonts w:asciiTheme="minorHAnsi" w:hAnsiTheme="minorHAnsi"/>
                <w:color w:val="000000" w:themeColor="text1"/>
              </w:rPr>
            </w:pPr>
          </w:p>
        </w:tc>
      </w:tr>
      <w:tr w:rsidR="00BA325A" w:rsidRPr="00F97952" w14:paraId="4F639BEB" w14:textId="12531E53" w:rsidTr="00033F0E">
        <w:trPr>
          <w:trHeight w:val="300"/>
          <w:jc w:val="center"/>
        </w:trPr>
        <w:tc>
          <w:tcPr>
            <w:tcW w:w="1534" w:type="dxa"/>
            <w:noWrap/>
            <w:hideMark/>
          </w:tcPr>
          <w:p w14:paraId="1B19C0D6"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Belize</w:t>
            </w:r>
          </w:p>
        </w:tc>
        <w:tc>
          <w:tcPr>
            <w:tcW w:w="1333" w:type="dxa"/>
            <w:noWrap/>
            <w:hideMark/>
          </w:tcPr>
          <w:p w14:paraId="460787C4"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29F0429F"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Development of Minamata Initial Assessments (MIA) in the Caribbean (Belize)</w:t>
            </w:r>
          </w:p>
        </w:tc>
        <w:tc>
          <w:tcPr>
            <w:tcW w:w="563" w:type="dxa"/>
            <w:noWrap/>
            <w:hideMark/>
          </w:tcPr>
          <w:p w14:paraId="01388E21"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EA</w:t>
            </w:r>
          </w:p>
        </w:tc>
        <w:tc>
          <w:tcPr>
            <w:tcW w:w="939" w:type="dxa"/>
            <w:noWrap/>
            <w:hideMark/>
          </w:tcPr>
          <w:p w14:paraId="71B13C96"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UNEP</w:t>
            </w:r>
          </w:p>
        </w:tc>
        <w:tc>
          <w:tcPr>
            <w:tcW w:w="2118" w:type="dxa"/>
            <w:noWrap/>
            <w:hideMark/>
          </w:tcPr>
          <w:p w14:paraId="376E33F7" w14:textId="63B53548" w:rsidR="00BA325A" w:rsidRPr="00F97952" w:rsidRDefault="00BA325A" w:rsidP="00C224F3">
            <w:pPr>
              <w:jc w:val="right"/>
              <w:rPr>
                <w:rFonts w:asciiTheme="minorHAnsi" w:hAnsiTheme="minorHAnsi"/>
                <w:color w:val="000000" w:themeColor="text1"/>
              </w:rPr>
            </w:pPr>
            <w:r w:rsidRPr="00F97952">
              <w:rPr>
                <w:rFonts w:asciiTheme="minorHAnsi" w:hAnsiTheme="minorHAnsi"/>
                <w:color w:val="000000" w:themeColor="text1"/>
              </w:rPr>
              <w:t xml:space="preserve">150,000 </w:t>
            </w:r>
          </w:p>
        </w:tc>
        <w:tc>
          <w:tcPr>
            <w:tcW w:w="2500" w:type="dxa"/>
          </w:tcPr>
          <w:p w14:paraId="19BF1ED6" w14:textId="77777777" w:rsidR="00BA325A" w:rsidRPr="00F97952" w:rsidRDefault="00BA325A" w:rsidP="00C224F3">
            <w:pPr>
              <w:jc w:val="right"/>
              <w:rPr>
                <w:rFonts w:asciiTheme="minorHAnsi" w:hAnsiTheme="minorHAnsi"/>
                <w:color w:val="000000" w:themeColor="text1"/>
              </w:rPr>
            </w:pPr>
          </w:p>
        </w:tc>
      </w:tr>
      <w:tr w:rsidR="00BA325A" w:rsidRPr="00F97952" w14:paraId="6B992D7F" w14:textId="540EB28F" w:rsidTr="00033F0E">
        <w:trPr>
          <w:trHeight w:val="300"/>
          <w:jc w:val="center"/>
        </w:trPr>
        <w:tc>
          <w:tcPr>
            <w:tcW w:w="1534" w:type="dxa"/>
            <w:noWrap/>
            <w:hideMark/>
          </w:tcPr>
          <w:p w14:paraId="3B617770"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Guyana</w:t>
            </w:r>
          </w:p>
        </w:tc>
        <w:tc>
          <w:tcPr>
            <w:tcW w:w="1333" w:type="dxa"/>
            <w:noWrap/>
            <w:hideMark/>
          </w:tcPr>
          <w:p w14:paraId="252FE133"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38DF2F61"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xml:space="preserve">Strengthening the Enabling Framework for Biodiversity Mainstreaming and Mercury Reduction in Small and Medium-scale Gold Mining Operations </w:t>
            </w:r>
          </w:p>
        </w:tc>
        <w:tc>
          <w:tcPr>
            <w:tcW w:w="563" w:type="dxa"/>
            <w:noWrap/>
            <w:hideMark/>
          </w:tcPr>
          <w:p w14:paraId="65296B83"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FP</w:t>
            </w:r>
          </w:p>
        </w:tc>
        <w:tc>
          <w:tcPr>
            <w:tcW w:w="939" w:type="dxa"/>
            <w:noWrap/>
            <w:hideMark/>
          </w:tcPr>
          <w:p w14:paraId="010E612D"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UNDP</w:t>
            </w:r>
          </w:p>
        </w:tc>
        <w:tc>
          <w:tcPr>
            <w:tcW w:w="2118" w:type="dxa"/>
            <w:noWrap/>
            <w:hideMark/>
          </w:tcPr>
          <w:p w14:paraId="1FB2B3FF" w14:textId="5778EFD8" w:rsidR="00BA325A" w:rsidRPr="00F97952" w:rsidRDefault="00C224F3" w:rsidP="00C224F3">
            <w:pPr>
              <w:jc w:val="right"/>
              <w:rPr>
                <w:rFonts w:asciiTheme="minorHAnsi" w:hAnsiTheme="minorHAnsi"/>
                <w:color w:val="000000" w:themeColor="text1"/>
              </w:rPr>
            </w:pPr>
            <w:r w:rsidRPr="00F97952">
              <w:rPr>
                <w:rFonts w:asciiTheme="minorHAnsi" w:hAnsiTheme="minorHAnsi"/>
                <w:color w:val="000000" w:themeColor="text1"/>
              </w:rPr>
              <w:t>892,759</w:t>
            </w:r>
            <w:r w:rsidR="00BA325A" w:rsidRPr="00F97952">
              <w:rPr>
                <w:rFonts w:asciiTheme="minorHAnsi" w:hAnsiTheme="minorHAnsi"/>
                <w:color w:val="000000" w:themeColor="text1"/>
              </w:rPr>
              <w:t xml:space="preserve"> </w:t>
            </w:r>
          </w:p>
        </w:tc>
        <w:tc>
          <w:tcPr>
            <w:tcW w:w="2500" w:type="dxa"/>
          </w:tcPr>
          <w:p w14:paraId="52E50857" w14:textId="2090F351" w:rsidR="00BA325A" w:rsidRPr="00F97952" w:rsidRDefault="00BA325A" w:rsidP="00C224F3">
            <w:pPr>
              <w:jc w:val="right"/>
              <w:rPr>
                <w:rFonts w:asciiTheme="minorHAnsi" w:hAnsiTheme="minorHAnsi"/>
                <w:color w:val="000000" w:themeColor="text1"/>
              </w:rPr>
            </w:pPr>
            <w:r w:rsidRPr="00F97952">
              <w:rPr>
                <w:rFonts w:asciiTheme="minorHAnsi" w:hAnsiTheme="minorHAnsi" w:cs="Calibri"/>
                <w:color w:val="000000"/>
              </w:rPr>
              <w:t>29,662,745</w:t>
            </w:r>
          </w:p>
        </w:tc>
      </w:tr>
      <w:tr w:rsidR="00BA325A" w:rsidRPr="00F97952" w14:paraId="48B772E8" w14:textId="377DDD21" w:rsidTr="00033F0E">
        <w:trPr>
          <w:trHeight w:val="300"/>
          <w:jc w:val="center"/>
        </w:trPr>
        <w:tc>
          <w:tcPr>
            <w:tcW w:w="1534" w:type="dxa"/>
            <w:noWrap/>
            <w:hideMark/>
          </w:tcPr>
          <w:p w14:paraId="6E7357D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Kyrgyz Republic</w:t>
            </w:r>
          </w:p>
        </w:tc>
        <w:tc>
          <w:tcPr>
            <w:tcW w:w="1333" w:type="dxa"/>
            <w:noWrap/>
            <w:hideMark/>
          </w:tcPr>
          <w:p w14:paraId="59FE78C0"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126B31E6" w14:textId="3CE7FAC1"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xml:space="preserve">Development of Minamata Initial Assessment and Updating of National Action Plan for Artisanal and Small-Scale Gold Mining </w:t>
            </w:r>
          </w:p>
        </w:tc>
        <w:tc>
          <w:tcPr>
            <w:tcW w:w="563" w:type="dxa"/>
            <w:noWrap/>
            <w:hideMark/>
          </w:tcPr>
          <w:p w14:paraId="3565F75B"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EA</w:t>
            </w:r>
          </w:p>
        </w:tc>
        <w:tc>
          <w:tcPr>
            <w:tcW w:w="939" w:type="dxa"/>
            <w:noWrap/>
            <w:hideMark/>
          </w:tcPr>
          <w:p w14:paraId="23CF3DBE"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UNEP</w:t>
            </w:r>
          </w:p>
        </w:tc>
        <w:tc>
          <w:tcPr>
            <w:tcW w:w="2118" w:type="dxa"/>
            <w:noWrap/>
            <w:hideMark/>
          </w:tcPr>
          <w:p w14:paraId="60807A23" w14:textId="5596034A" w:rsidR="00BA325A" w:rsidRPr="00F97952" w:rsidRDefault="00BA325A" w:rsidP="00C224F3">
            <w:pPr>
              <w:jc w:val="right"/>
              <w:rPr>
                <w:rFonts w:asciiTheme="minorHAnsi" w:hAnsiTheme="minorHAnsi"/>
                <w:color w:val="000000" w:themeColor="text1"/>
              </w:rPr>
            </w:pPr>
            <w:r w:rsidRPr="00F97952">
              <w:rPr>
                <w:rFonts w:asciiTheme="minorHAnsi" w:hAnsiTheme="minorHAnsi"/>
                <w:color w:val="000000" w:themeColor="text1"/>
              </w:rPr>
              <w:t xml:space="preserve">700,000 </w:t>
            </w:r>
          </w:p>
        </w:tc>
        <w:tc>
          <w:tcPr>
            <w:tcW w:w="2500" w:type="dxa"/>
          </w:tcPr>
          <w:p w14:paraId="72990790" w14:textId="77777777" w:rsidR="00BA325A" w:rsidRPr="00F97952" w:rsidRDefault="00BA325A" w:rsidP="00C224F3">
            <w:pPr>
              <w:jc w:val="right"/>
              <w:rPr>
                <w:rFonts w:asciiTheme="minorHAnsi" w:hAnsiTheme="minorHAnsi"/>
                <w:color w:val="000000" w:themeColor="text1"/>
              </w:rPr>
            </w:pPr>
          </w:p>
        </w:tc>
      </w:tr>
      <w:tr w:rsidR="00BA325A" w:rsidRPr="00F97952" w14:paraId="6783E056" w14:textId="73C41193" w:rsidTr="00033F0E">
        <w:trPr>
          <w:trHeight w:val="300"/>
          <w:jc w:val="center"/>
        </w:trPr>
        <w:tc>
          <w:tcPr>
            <w:tcW w:w="1534" w:type="dxa"/>
            <w:noWrap/>
            <w:hideMark/>
          </w:tcPr>
          <w:p w14:paraId="40C01A41"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Marshall Islands</w:t>
            </w:r>
          </w:p>
        </w:tc>
        <w:tc>
          <w:tcPr>
            <w:tcW w:w="1333" w:type="dxa"/>
            <w:noWrap/>
            <w:hideMark/>
          </w:tcPr>
          <w:p w14:paraId="24BBFFA4"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5B4AE9C1"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Development of A Minamata Initial Assessment in Marshall Islands</w:t>
            </w:r>
          </w:p>
        </w:tc>
        <w:tc>
          <w:tcPr>
            <w:tcW w:w="563" w:type="dxa"/>
            <w:noWrap/>
            <w:hideMark/>
          </w:tcPr>
          <w:p w14:paraId="63F66D46"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EA</w:t>
            </w:r>
          </w:p>
        </w:tc>
        <w:tc>
          <w:tcPr>
            <w:tcW w:w="939" w:type="dxa"/>
            <w:noWrap/>
            <w:hideMark/>
          </w:tcPr>
          <w:p w14:paraId="7FCB004D"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UNEP</w:t>
            </w:r>
          </w:p>
        </w:tc>
        <w:tc>
          <w:tcPr>
            <w:tcW w:w="2118" w:type="dxa"/>
            <w:noWrap/>
            <w:hideMark/>
          </w:tcPr>
          <w:p w14:paraId="29D77D10" w14:textId="77091535" w:rsidR="00BA325A" w:rsidRPr="00F97952" w:rsidRDefault="00BA325A" w:rsidP="00C224F3">
            <w:pPr>
              <w:jc w:val="right"/>
              <w:rPr>
                <w:rFonts w:asciiTheme="minorHAnsi" w:hAnsiTheme="minorHAnsi"/>
                <w:color w:val="000000" w:themeColor="text1"/>
              </w:rPr>
            </w:pPr>
            <w:r w:rsidRPr="00F97952">
              <w:rPr>
                <w:rFonts w:asciiTheme="minorHAnsi" w:hAnsiTheme="minorHAnsi"/>
                <w:color w:val="000000" w:themeColor="text1"/>
              </w:rPr>
              <w:t xml:space="preserve">125,000 </w:t>
            </w:r>
          </w:p>
        </w:tc>
        <w:tc>
          <w:tcPr>
            <w:tcW w:w="2500" w:type="dxa"/>
          </w:tcPr>
          <w:p w14:paraId="43E334C1" w14:textId="77777777" w:rsidR="00BA325A" w:rsidRPr="00F97952" w:rsidRDefault="00BA325A" w:rsidP="00C224F3">
            <w:pPr>
              <w:jc w:val="right"/>
              <w:rPr>
                <w:rFonts w:asciiTheme="minorHAnsi" w:hAnsiTheme="minorHAnsi"/>
                <w:color w:val="000000" w:themeColor="text1"/>
              </w:rPr>
            </w:pPr>
          </w:p>
        </w:tc>
      </w:tr>
      <w:tr w:rsidR="00BA325A" w:rsidRPr="00F97952" w14:paraId="07D1D64C" w14:textId="7E6BAFCB" w:rsidTr="00033F0E">
        <w:trPr>
          <w:trHeight w:val="300"/>
          <w:jc w:val="center"/>
        </w:trPr>
        <w:tc>
          <w:tcPr>
            <w:tcW w:w="1534" w:type="dxa"/>
            <w:noWrap/>
            <w:hideMark/>
          </w:tcPr>
          <w:p w14:paraId="494242FF" w14:textId="21D53F79"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Micronesia</w:t>
            </w:r>
          </w:p>
        </w:tc>
        <w:tc>
          <w:tcPr>
            <w:tcW w:w="1333" w:type="dxa"/>
            <w:noWrap/>
            <w:hideMark/>
          </w:tcPr>
          <w:p w14:paraId="0E10FEDD"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3D0E300A"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Development of a Minamata Initial Assessment in the Federated States of Micronesia</w:t>
            </w:r>
          </w:p>
        </w:tc>
        <w:tc>
          <w:tcPr>
            <w:tcW w:w="563" w:type="dxa"/>
            <w:noWrap/>
            <w:hideMark/>
          </w:tcPr>
          <w:p w14:paraId="6455BB9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EA</w:t>
            </w:r>
          </w:p>
        </w:tc>
        <w:tc>
          <w:tcPr>
            <w:tcW w:w="939" w:type="dxa"/>
            <w:noWrap/>
            <w:hideMark/>
          </w:tcPr>
          <w:p w14:paraId="480B308E"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UNEP</w:t>
            </w:r>
          </w:p>
        </w:tc>
        <w:tc>
          <w:tcPr>
            <w:tcW w:w="2118" w:type="dxa"/>
            <w:noWrap/>
            <w:hideMark/>
          </w:tcPr>
          <w:p w14:paraId="70528C1A" w14:textId="128C0E75" w:rsidR="00BA325A" w:rsidRPr="00F97952" w:rsidRDefault="00C224F3" w:rsidP="00C224F3">
            <w:pPr>
              <w:jc w:val="right"/>
              <w:rPr>
                <w:rFonts w:asciiTheme="minorHAnsi" w:hAnsiTheme="minorHAnsi"/>
                <w:color w:val="000000" w:themeColor="text1"/>
              </w:rPr>
            </w:pPr>
            <w:r w:rsidRPr="00F97952">
              <w:rPr>
                <w:rFonts w:asciiTheme="minorHAnsi" w:hAnsiTheme="minorHAnsi"/>
                <w:color w:val="000000" w:themeColor="text1"/>
              </w:rPr>
              <w:t>125,000</w:t>
            </w:r>
            <w:r w:rsidR="00BA325A" w:rsidRPr="00F97952">
              <w:rPr>
                <w:rFonts w:asciiTheme="minorHAnsi" w:hAnsiTheme="minorHAnsi"/>
                <w:color w:val="000000" w:themeColor="text1"/>
              </w:rPr>
              <w:t xml:space="preserve"> </w:t>
            </w:r>
          </w:p>
        </w:tc>
        <w:tc>
          <w:tcPr>
            <w:tcW w:w="2500" w:type="dxa"/>
          </w:tcPr>
          <w:p w14:paraId="0443FD3B" w14:textId="77777777" w:rsidR="00BA325A" w:rsidRPr="00F97952" w:rsidRDefault="00BA325A" w:rsidP="00C224F3">
            <w:pPr>
              <w:jc w:val="right"/>
              <w:rPr>
                <w:rFonts w:asciiTheme="minorHAnsi" w:hAnsiTheme="minorHAnsi"/>
                <w:color w:val="000000" w:themeColor="text1"/>
              </w:rPr>
            </w:pPr>
          </w:p>
        </w:tc>
      </w:tr>
      <w:tr w:rsidR="00BA325A" w:rsidRPr="00F97952" w14:paraId="4EAEEE1C" w14:textId="3F5664ED" w:rsidTr="00033F0E">
        <w:trPr>
          <w:trHeight w:val="300"/>
          <w:jc w:val="center"/>
        </w:trPr>
        <w:tc>
          <w:tcPr>
            <w:tcW w:w="1534" w:type="dxa"/>
            <w:noWrap/>
            <w:hideMark/>
          </w:tcPr>
          <w:p w14:paraId="1816DC35"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Niue</w:t>
            </w:r>
          </w:p>
        </w:tc>
        <w:tc>
          <w:tcPr>
            <w:tcW w:w="1333" w:type="dxa"/>
            <w:noWrap/>
            <w:hideMark/>
          </w:tcPr>
          <w:p w14:paraId="400A9261"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w:t>
            </w:r>
          </w:p>
        </w:tc>
        <w:tc>
          <w:tcPr>
            <w:tcW w:w="3698" w:type="dxa"/>
            <w:noWrap/>
            <w:hideMark/>
          </w:tcPr>
          <w:p w14:paraId="709E64C2"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Development of A Minamata Initial Assessment in Niue</w:t>
            </w:r>
          </w:p>
        </w:tc>
        <w:tc>
          <w:tcPr>
            <w:tcW w:w="563" w:type="dxa"/>
            <w:noWrap/>
            <w:hideMark/>
          </w:tcPr>
          <w:p w14:paraId="078C584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EA</w:t>
            </w:r>
          </w:p>
        </w:tc>
        <w:tc>
          <w:tcPr>
            <w:tcW w:w="939" w:type="dxa"/>
            <w:noWrap/>
            <w:hideMark/>
          </w:tcPr>
          <w:p w14:paraId="2E240BCA"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UNEP</w:t>
            </w:r>
          </w:p>
        </w:tc>
        <w:tc>
          <w:tcPr>
            <w:tcW w:w="2118" w:type="dxa"/>
            <w:noWrap/>
            <w:hideMark/>
          </w:tcPr>
          <w:p w14:paraId="37E5165B" w14:textId="6B07A232" w:rsidR="00BA325A" w:rsidRPr="00F97952" w:rsidRDefault="00C224F3" w:rsidP="00C224F3">
            <w:pPr>
              <w:jc w:val="right"/>
              <w:rPr>
                <w:rFonts w:asciiTheme="minorHAnsi" w:hAnsiTheme="minorHAnsi"/>
                <w:color w:val="000000" w:themeColor="text1"/>
              </w:rPr>
            </w:pPr>
            <w:r w:rsidRPr="00F97952">
              <w:rPr>
                <w:rFonts w:asciiTheme="minorHAnsi" w:hAnsiTheme="minorHAnsi"/>
                <w:color w:val="000000" w:themeColor="text1"/>
              </w:rPr>
              <w:t>125,000</w:t>
            </w:r>
            <w:r w:rsidR="00BA325A" w:rsidRPr="00F97952">
              <w:rPr>
                <w:rFonts w:asciiTheme="minorHAnsi" w:hAnsiTheme="minorHAnsi"/>
                <w:color w:val="000000" w:themeColor="text1"/>
              </w:rPr>
              <w:t xml:space="preserve"> </w:t>
            </w:r>
          </w:p>
        </w:tc>
        <w:tc>
          <w:tcPr>
            <w:tcW w:w="2500" w:type="dxa"/>
          </w:tcPr>
          <w:p w14:paraId="706A9D2E" w14:textId="77777777" w:rsidR="00BA325A" w:rsidRPr="00F97952" w:rsidRDefault="00BA325A" w:rsidP="00C224F3">
            <w:pPr>
              <w:jc w:val="right"/>
              <w:rPr>
                <w:rFonts w:asciiTheme="minorHAnsi" w:hAnsiTheme="minorHAnsi"/>
                <w:color w:val="000000" w:themeColor="text1"/>
              </w:rPr>
            </w:pPr>
          </w:p>
        </w:tc>
      </w:tr>
      <w:tr w:rsidR="00BA325A" w:rsidRPr="00F97952" w14:paraId="68B620F0" w14:textId="451CD9AF" w:rsidTr="00033F0E">
        <w:trPr>
          <w:trHeight w:val="300"/>
          <w:jc w:val="center"/>
        </w:trPr>
        <w:tc>
          <w:tcPr>
            <w:tcW w:w="1534" w:type="dxa"/>
            <w:noWrap/>
            <w:hideMark/>
          </w:tcPr>
          <w:p w14:paraId="27F1756D"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Regional</w:t>
            </w:r>
          </w:p>
        </w:tc>
        <w:tc>
          <w:tcPr>
            <w:tcW w:w="1333" w:type="dxa"/>
            <w:noWrap/>
            <w:hideMark/>
          </w:tcPr>
          <w:p w14:paraId="7532947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 xml:space="preserve">Antigua And Barbuda, </w:t>
            </w:r>
            <w:r w:rsidRPr="00F97952">
              <w:rPr>
                <w:rFonts w:asciiTheme="minorHAnsi" w:hAnsiTheme="minorHAnsi"/>
                <w:color w:val="000000" w:themeColor="text1"/>
              </w:rPr>
              <w:lastRenderedPageBreak/>
              <w:t>Dominica, Grenada, St. Vincent and Grenadines</w:t>
            </w:r>
          </w:p>
        </w:tc>
        <w:tc>
          <w:tcPr>
            <w:tcW w:w="3698" w:type="dxa"/>
            <w:noWrap/>
            <w:hideMark/>
          </w:tcPr>
          <w:p w14:paraId="30775A99"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lastRenderedPageBreak/>
              <w:t xml:space="preserve">Development of Minamata Initial Assessments (MIA) in the Caribbean (Antigua and Barbuda, </w:t>
            </w:r>
            <w:r w:rsidRPr="00F97952">
              <w:rPr>
                <w:rFonts w:asciiTheme="minorHAnsi" w:hAnsiTheme="minorHAnsi"/>
                <w:color w:val="000000" w:themeColor="text1"/>
              </w:rPr>
              <w:lastRenderedPageBreak/>
              <w:t>Dominica, Grenada, St. Vincent and the Grenadines)</w:t>
            </w:r>
          </w:p>
        </w:tc>
        <w:tc>
          <w:tcPr>
            <w:tcW w:w="563" w:type="dxa"/>
            <w:noWrap/>
            <w:hideMark/>
          </w:tcPr>
          <w:p w14:paraId="6DDB7BAB"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lastRenderedPageBreak/>
              <w:t>EA</w:t>
            </w:r>
          </w:p>
        </w:tc>
        <w:tc>
          <w:tcPr>
            <w:tcW w:w="939" w:type="dxa"/>
            <w:noWrap/>
            <w:hideMark/>
          </w:tcPr>
          <w:p w14:paraId="18243207"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UNEP</w:t>
            </w:r>
          </w:p>
        </w:tc>
        <w:tc>
          <w:tcPr>
            <w:tcW w:w="2118" w:type="dxa"/>
            <w:noWrap/>
            <w:hideMark/>
          </w:tcPr>
          <w:p w14:paraId="3FA00764" w14:textId="15A01A35" w:rsidR="00BA325A" w:rsidRPr="00F97952" w:rsidRDefault="00C224F3" w:rsidP="00C224F3">
            <w:pPr>
              <w:jc w:val="right"/>
              <w:rPr>
                <w:rFonts w:asciiTheme="minorHAnsi" w:hAnsiTheme="minorHAnsi"/>
                <w:color w:val="000000" w:themeColor="text1"/>
              </w:rPr>
            </w:pPr>
            <w:r w:rsidRPr="00F97952">
              <w:rPr>
                <w:rFonts w:asciiTheme="minorHAnsi" w:hAnsiTheme="minorHAnsi"/>
                <w:color w:val="000000" w:themeColor="text1"/>
              </w:rPr>
              <w:t>600,000</w:t>
            </w:r>
            <w:r w:rsidR="00BA325A" w:rsidRPr="00F97952">
              <w:rPr>
                <w:rFonts w:asciiTheme="minorHAnsi" w:hAnsiTheme="minorHAnsi"/>
                <w:color w:val="000000" w:themeColor="text1"/>
              </w:rPr>
              <w:t xml:space="preserve"> </w:t>
            </w:r>
          </w:p>
        </w:tc>
        <w:tc>
          <w:tcPr>
            <w:tcW w:w="2500" w:type="dxa"/>
          </w:tcPr>
          <w:p w14:paraId="7ED7DEAB" w14:textId="77777777" w:rsidR="00BA325A" w:rsidRPr="00F97952" w:rsidRDefault="00BA325A" w:rsidP="00C224F3">
            <w:pPr>
              <w:jc w:val="right"/>
              <w:rPr>
                <w:rFonts w:asciiTheme="minorHAnsi" w:hAnsiTheme="minorHAnsi"/>
                <w:color w:val="000000" w:themeColor="text1"/>
              </w:rPr>
            </w:pPr>
          </w:p>
        </w:tc>
      </w:tr>
      <w:tr w:rsidR="00BA325A" w:rsidRPr="00F97952" w14:paraId="1804FD4C" w14:textId="3A864CFE" w:rsidTr="00033F0E">
        <w:trPr>
          <w:trHeight w:val="300"/>
          <w:jc w:val="center"/>
        </w:trPr>
        <w:tc>
          <w:tcPr>
            <w:tcW w:w="1534" w:type="dxa"/>
            <w:noWrap/>
            <w:hideMark/>
          </w:tcPr>
          <w:p w14:paraId="2E1A8542"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Regional</w:t>
            </w:r>
          </w:p>
        </w:tc>
        <w:tc>
          <w:tcPr>
            <w:tcW w:w="1333" w:type="dxa"/>
            <w:noWrap/>
            <w:hideMark/>
          </w:tcPr>
          <w:p w14:paraId="4A77084C"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Burkina Faso, Benin, Mali, Niger, Senegal, Togo</w:t>
            </w:r>
          </w:p>
        </w:tc>
        <w:tc>
          <w:tcPr>
            <w:tcW w:w="3698" w:type="dxa"/>
            <w:noWrap/>
            <w:hideMark/>
          </w:tcPr>
          <w:p w14:paraId="538624D9"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Impact Investment and Capacity Building in Support of Sustainable Waste Management to Reduce Emissions of Unintentional POPs (UPOPs) and Mercury in West Africa</w:t>
            </w:r>
          </w:p>
        </w:tc>
        <w:tc>
          <w:tcPr>
            <w:tcW w:w="563" w:type="dxa"/>
            <w:noWrap/>
            <w:hideMark/>
          </w:tcPr>
          <w:p w14:paraId="5C407F7B"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FP</w:t>
            </w:r>
          </w:p>
        </w:tc>
        <w:tc>
          <w:tcPr>
            <w:tcW w:w="939" w:type="dxa"/>
            <w:noWrap/>
            <w:hideMark/>
          </w:tcPr>
          <w:p w14:paraId="31678C0B" w14:textId="77777777" w:rsidR="00BA325A" w:rsidRPr="00F97952" w:rsidRDefault="00BA325A" w:rsidP="002345C4">
            <w:pPr>
              <w:rPr>
                <w:rFonts w:asciiTheme="minorHAnsi" w:hAnsiTheme="minorHAnsi"/>
                <w:color w:val="000000" w:themeColor="text1"/>
              </w:rPr>
            </w:pPr>
            <w:r w:rsidRPr="00F97952">
              <w:rPr>
                <w:rFonts w:asciiTheme="minorHAnsi" w:hAnsiTheme="minorHAnsi"/>
                <w:color w:val="000000" w:themeColor="text1"/>
              </w:rPr>
              <w:t>BOAD</w:t>
            </w:r>
          </w:p>
        </w:tc>
        <w:tc>
          <w:tcPr>
            <w:tcW w:w="2118" w:type="dxa"/>
            <w:noWrap/>
            <w:hideMark/>
          </w:tcPr>
          <w:p w14:paraId="6C744D39" w14:textId="09149CE2" w:rsidR="00BA325A" w:rsidRPr="00F97952" w:rsidRDefault="00BA325A" w:rsidP="00C224F3">
            <w:pPr>
              <w:jc w:val="right"/>
              <w:rPr>
                <w:rFonts w:asciiTheme="minorHAnsi" w:hAnsiTheme="minorHAnsi"/>
                <w:color w:val="000000" w:themeColor="text1"/>
              </w:rPr>
            </w:pPr>
            <w:r w:rsidRPr="00F97952">
              <w:rPr>
                <w:rFonts w:asciiTheme="minorHAnsi" w:hAnsiTheme="minorHAnsi"/>
                <w:color w:val="000000" w:themeColor="text1"/>
              </w:rPr>
              <w:t>5,331,</w:t>
            </w:r>
            <w:r w:rsidR="00C224F3" w:rsidRPr="00F97952">
              <w:rPr>
                <w:rFonts w:asciiTheme="minorHAnsi" w:hAnsiTheme="minorHAnsi"/>
                <w:color w:val="000000" w:themeColor="text1"/>
              </w:rPr>
              <w:t>333</w:t>
            </w:r>
            <w:r w:rsidRPr="00F97952">
              <w:rPr>
                <w:rFonts w:asciiTheme="minorHAnsi" w:hAnsiTheme="minorHAnsi"/>
                <w:color w:val="000000" w:themeColor="text1"/>
              </w:rPr>
              <w:t xml:space="preserve"> </w:t>
            </w:r>
          </w:p>
        </w:tc>
        <w:tc>
          <w:tcPr>
            <w:tcW w:w="2500" w:type="dxa"/>
          </w:tcPr>
          <w:p w14:paraId="4D448450" w14:textId="5707342A" w:rsidR="00BA325A" w:rsidRPr="00F97952" w:rsidRDefault="00BA325A" w:rsidP="00C224F3">
            <w:pPr>
              <w:jc w:val="right"/>
              <w:rPr>
                <w:rFonts w:asciiTheme="minorHAnsi" w:hAnsiTheme="minorHAnsi"/>
                <w:color w:val="000000" w:themeColor="text1"/>
              </w:rPr>
            </w:pPr>
            <w:r w:rsidRPr="00F97952">
              <w:rPr>
                <w:rFonts w:asciiTheme="minorHAnsi" w:hAnsiTheme="minorHAnsi" w:cs="Calibri"/>
                <w:color w:val="000000"/>
              </w:rPr>
              <w:t>77,000,000</w:t>
            </w:r>
          </w:p>
        </w:tc>
      </w:tr>
      <w:tr w:rsidR="00BB0F61" w:rsidRPr="00F97952" w14:paraId="1815804E" w14:textId="77777777" w:rsidTr="00033F0E">
        <w:trPr>
          <w:trHeight w:val="300"/>
          <w:jc w:val="center"/>
        </w:trPr>
        <w:tc>
          <w:tcPr>
            <w:tcW w:w="1534" w:type="dxa"/>
            <w:noWrap/>
          </w:tcPr>
          <w:p w14:paraId="68060C04" w14:textId="7A83ED5F" w:rsidR="00BB0F61" w:rsidRPr="00F97952" w:rsidRDefault="00BB0F61" w:rsidP="002345C4">
            <w:pPr>
              <w:rPr>
                <w:rFonts w:asciiTheme="minorHAnsi" w:hAnsiTheme="minorHAnsi"/>
                <w:b/>
                <w:color w:val="000000" w:themeColor="text1"/>
              </w:rPr>
            </w:pPr>
            <w:r w:rsidRPr="00F97952">
              <w:rPr>
                <w:rFonts w:asciiTheme="minorHAnsi" w:hAnsiTheme="minorHAnsi"/>
                <w:b/>
                <w:color w:val="000000" w:themeColor="text1"/>
              </w:rPr>
              <w:t>Total</w:t>
            </w:r>
          </w:p>
        </w:tc>
        <w:tc>
          <w:tcPr>
            <w:tcW w:w="1333" w:type="dxa"/>
            <w:noWrap/>
          </w:tcPr>
          <w:p w14:paraId="4B07D403" w14:textId="77777777" w:rsidR="00BB0F61" w:rsidRPr="00F97952" w:rsidRDefault="00BB0F61" w:rsidP="002345C4">
            <w:pPr>
              <w:rPr>
                <w:rFonts w:asciiTheme="minorHAnsi" w:hAnsiTheme="minorHAnsi"/>
                <w:b/>
                <w:color w:val="000000" w:themeColor="text1"/>
              </w:rPr>
            </w:pPr>
          </w:p>
        </w:tc>
        <w:tc>
          <w:tcPr>
            <w:tcW w:w="3698" w:type="dxa"/>
            <w:noWrap/>
          </w:tcPr>
          <w:p w14:paraId="065D59C6" w14:textId="77777777" w:rsidR="00BB0F61" w:rsidRPr="00F97952" w:rsidRDefault="00BB0F61" w:rsidP="002345C4">
            <w:pPr>
              <w:rPr>
                <w:rFonts w:asciiTheme="minorHAnsi" w:hAnsiTheme="minorHAnsi"/>
                <w:b/>
                <w:color w:val="000000" w:themeColor="text1"/>
              </w:rPr>
            </w:pPr>
          </w:p>
        </w:tc>
        <w:tc>
          <w:tcPr>
            <w:tcW w:w="563" w:type="dxa"/>
            <w:noWrap/>
          </w:tcPr>
          <w:p w14:paraId="4649BCDF" w14:textId="77777777" w:rsidR="00BB0F61" w:rsidRPr="00F97952" w:rsidRDefault="00BB0F61" w:rsidP="002345C4">
            <w:pPr>
              <w:rPr>
                <w:rFonts w:asciiTheme="minorHAnsi" w:hAnsiTheme="minorHAnsi"/>
                <w:b/>
                <w:color w:val="000000" w:themeColor="text1"/>
              </w:rPr>
            </w:pPr>
          </w:p>
        </w:tc>
        <w:tc>
          <w:tcPr>
            <w:tcW w:w="939" w:type="dxa"/>
            <w:noWrap/>
          </w:tcPr>
          <w:p w14:paraId="15DF9CD8" w14:textId="77777777" w:rsidR="00BB0F61" w:rsidRPr="00F97952" w:rsidRDefault="00BB0F61" w:rsidP="002345C4">
            <w:pPr>
              <w:rPr>
                <w:rFonts w:asciiTheme="minorHAnsi" w:hAnsiTheme="minorHAnsi"/>
                <w:b/>
                <w:color w:val="000000" w:themeColor="text1"/>
              </w:rPr>
            </w:pPr>
          </w:p>
        </w:tc>
        <w:tc>
          <w:tcPr>
            <w:tcW w:w="2118" w:type="dxa"/>
            <w:noWrap/>
          </w:tcPr>
          <w:p w14:paraId="3E90B82D" w14:textId="3DB77D55" w:rsidR="00BB0F61" w:rsidRPr="00F97952" w:rsidRDefault="00BB0F61" w:rsidP="00C224F3">
            <w:pPr>
              <w:jc w:val="right"/>
              <w:rPr>
                <w:rFonts w:asciiTheme="minorHAnsi" w:hAnsiTheme="minorHAnsi"/>
                <w:b/>
                <w:color w:val="000000" w:themeColor="text1"/>
              </w:rPr>
            </w:pPr>
            <w:r w:rsidRPr="00F97952">
              <w:rPr>
                <w:rFonts w:asciiTheme="minorHAnsi" w:hAnsiTheme="minorHAnsi"/>
                <w:b/>
                <w:color w:val="000000" w:themeColor="text1"/>
              </w:rPr>
              <w:fldChar w:fldCharType="begin"/>
            </w:r>
            <w:r w:rsidRPr="00F97952">
              <w:rPr>
                <w:rFonts w:asciiTheme="minorHAnsi" w:hAnsiTheme="minorHAnsi"/>
                <w:b/>
                <w:color w:val="000000" w:themeColor="text1"/>
              </w:rPr>
              <w:instrText xml:space="preserve"> =SUM(ABOVE) </w:instrText>
            </w:r>
            <w:r w:rsidRPr="00F97952">
              <w:rPr>
                <w:rFonts w:asciiTheme="minorHAnsi" w:hAnsiTheme="minorHAnsi"/>
                <w:b/>
                <w:color w:val="000000" w:themeColor="text1"/>
              </w:rPr>
              <w:fldChar w:fldCharType="separate"/>
            </w:r>
            <w:r w:rsidRPr="00F97952">
              <w:rPr>
                <w:rFonts w:asciiTheme="minorHAnsi" w:hAnsiTheme="minorHAnsi"/>
                <w:b/>
                <w:noProof/>
                <w:color w:val="000000" w:themeColor="text1"/>
              </w:rPr>
              <w:t>8,249,092</w:t>
            </w:r>
            <w:r w:rsidRPr="00F97952">
              <w:rPr>
                <w:rFonts w:asciiTheme="minorHAnsi" w:hAnsiTheme="minorHAnsi"/>
                <w:b/>
                <w:color w:val="000000" w:themeColor="text1"/>
              </w:rPr>
              <w:fldChar w:fldCharType="end"/>
            </w:r>
          </w:p>
        </w:tc>
        <w:tc>
          <w:tcPr>
            <w:tcW w:w="2500" w:type="dxa"/>
          </w:tcPr>
          <w:p w14:paraId="50F6688B" w14:textId="0DBB0A3B" w:rsidR="00BB0F61" w:rsidRPr="00F97952" w:rsidRDefault="00BB0F61" w:rsidP="00BB0F61">
            <w:pPr>
              <w:jc w:val="right"/>
              <w:rPr>
                <w:rFonts w:ascii="Calibri" w:hAnsi="Calibri" w:cs="Calibri"/>
                <w:b/>
                <w:color w:val="000000"/>
              </w:rPr>
            </w:pPr>
            <w:r w:rsidRPr="00F97952">
              <w:rPr>
                <w:rFonts w:ascii="Calibri" w:hAnsi="Calibri" w:cs="Calibri"/>
                <w:b/>
                <w:color w:val="000000"/>
              </w:rPr>
              <w:t>99,253,626</w:t>
            </w:r>
          </w:p>
        </w:tc>
      </w:tr>
      <w:bookmarkEnd w:id="64"/>
    </w:tbl>
    <w:p w14:paraId="5C19AFD7" w14:textId="77777777" w:rsidR="004B13CB" w:rsidRPr="00F97952" w:rsidRDefault="004B13CB" w:rsidP="00BF4281">
      <w:pPr>
        <w:rPr>
          <w:rFonts w:asciiTheme="minorHAnsi" w:hAnsiTheme="minorHAnsi"/>
          <w:b/>
          <w:bCs/>
        </w:rPr>
      </w:pPr>
      <w:r w:rsidRPr="00F97952">
        <w:rPr>
          <w:rFonts w:asciiTheme="minorHAnsi" w:hAnsiTheme="minorHAnsi"/>
        </w:rPr>
        <w:br w:type="page"/>
      </w:r>
    </w:p>
    <w:p w14:paraId="607BC0AB" w14:textId="77777777" w:rsidR="00B47926" w:rsidRPr="00F97952" w:rsidRDefault="00632C0B" w:rsidP="00423B4D">
      <w:pPr>
        <w:pStyle w:val="Titre1"/>
        <w:rPr>
          <w:rFonts w:asciiTheme="minorHAnsi" w:hAnsiTheme="minorHAnsi"/>
        </w:rPr>
      </w:pPr>
      <w:bookmarkStart w:id="66" w:name="_Toc528774363"/>
      <w:r w:rsidRPr="00F97952">
        <w:rPr>
          <w:rFonts w:asciiTheme="minorHAnsi" w:hAnsiTheme="minorHAnsi"/>
        </w:rPr>
        <w:lastRenderedPageBreak/>
        <w:t xml:space="preserve">Annex 2: </w:t>
      </w:r>
      <w:r w:rsidR="00B47926" w:rsidRPr="00F97952">
        <w:rPr>
          <w:rFonts w:asciiTheme="minorHAnsi" w:hAnsiTheme="minorHAnsi"/>
        </w:rPr>
        <w:t xml:space="preserve">List of GEF-6 Mercury </w:t>
      </w:r>
      <w:r w:rsidR="00297158" w:rsidRPr="00F97952">
        <w:rPr>
          <w:rFonts w:asciiTheme="minorHAnsi" w:hAnsiTheme="minorHAnsi"/>
        </w:rPr>
        <w:t>P</w:t>
      </w:r>
      <w:r w:rsidR="00B47926" w:rsidRPr="00F97952">
        <w:rPr>
          <w:rFonts w:asciiTheme="minorHAnsi" w:hAnsiTheme="minorHAnsi"/>
        </w:rPr>
        <w:t>rojects (July</w:t>
      </w:r>
      <w:r w:rsidR="00DA5D84" w:rsidRPr="00F97952">
        <w:rPr>
          <w:rFonts w:asciiTheme="minorHAnsi" w:hAnsiTheme="minorHAnsi"/>
        </w:rPr>
        <w:t xml:space="preserve"> 1,</w:t>
      </w:r>
      <w:r w:rsidR="00B47926" w:rsidRPr="00F97952">
        <w:rPr>
          <w:rFonts w:asciiTheme="minorHAnsi" w:hAnsiTheme="minorHAnsi"/>
        </w:rPr>
        <w:t xml:space="preserve"> 2014 </w:t>
      </w:r>
      <w:r w:rsidR="00DA5D84" w:rsidRPr="00F97952">
        <w:rPr>
          <w:rFonts w:asciiTheme="minorHAnsi" w:hAnsiTheme="minorHAnsi"/>
        </w:rPr>
        <w:t>to</w:t>
      </w:r>
      <w:r w:rsidR="00B47926" w:rsidRPr="00F97952">
        <w:rPr>
          <w:rFonts w:asciiTheme="minorHAnsi" w:hAnsiTheme="minorHAnsi"/>
        </w:rPr>
        <w:t xml:space="preserve"> June</w:t>
      </w:r>
      <w:r w:rsidR="00DA5D84" w:rsidRPr="00F97952">
        <w:rPr>
          <w:rFonts w:asciiTheme="minorHAnsi" w:hAnsiTheme="minorHAnsi"/>
        </w:rPr>
        <w:t xml:space="preserve"> 30,</w:t>
      </w:r>
      <w:r w:rsidR="00B47926" w:rsidRPr="00F97952">
        <w:rPr>
          <w:rFonts w:asciiTheme="minorHAnsi" w:hAnsiTheme="minorHAnsi"/>
        </w:rPr>
        <w:t xml:space="preserve"> 2018)</w:t>
      </w:r>
      <w:bookmarkEnd w:id="66"/>
    </w:p>
    <w:p w14:paraId="069B39BD" w14:textId="77777777" w:rsidR="00117AC3" w:rsidRPr="00F97952" w:rsidRDefault="00117AC3" w:rsidP="00117AC3">
      <w:pPr>
        <w:rPr>
          <w:rFonts w:asciiTheme="minorHAnsi" w:hAnsiTheme="minorHAnsi"/>
        </w:rPr>
      </w:pPr>
      <w:bookmarkStart w:id="67" w:name="_Toc521069780"/>
      <w:bookmarkStart w:id="68" w:name="_Toc521071110"/>
      <w:bookmarkStart w:id="69" w:name="_Hlk521332383"/>
    </w:p>
    <w:p w14:paraId="0C02C46E" w14:textId="77777777" w:rsidR="0000292F" w:rsidRPr="00F97952" w:rsidRDefault="00B47926" w:rsidP="00117AC3">
      <w:pPr>
        <w:rPr>
          <w:rFonts w:asciiTheme="minorHAnsi" w:hAnsiTheme="minorHAnsi"/>
        </w:rPr>
      </w:pPr>
      <w:r w:rsidRPr="00F97952">
        <w:rPr>
          <w:rFonts w:asciiTheme="minorHAnsi" w:hAnsiTheme="minorHAnsi"/>
        </w:rPr>
        <w:t>GEF grant includes the GEF project grant allocated to mercury components only, excluding associated fees and project preparation grant.</w:t>
      </w:r>
      <w:bookmarkEnd w:id="67"/>
      <w:bookmarkEnd w:id="68"/>
      <w:bookmarkEnd w:id="69"/>
    </w:p>
    <w:p w14:paraId="61366F59" w14:textId="77777777" w:rsidR="0000292F" w:rsidRPr="00F97952" w:rsidRDefault="0000292F" w:rsidP="00BF4281">
      <w:pPr>
        <w:jc w:val="both"/>
        <w:rPr>
          <w:rFonts w:asciiTheme="minorHAnsi" w:hAnsiTheme="minorHAnsi" w:cstheme="minorHAnsi"/>
        </w:rPr>
      </w:pPr>
      <w:bookmarkStart w:id="70" w:name="_bookmark36"/>
      <w:bookmarkEnd w:id="70"/>
    </w:p>
    <w:p w14:paraId="005A9CCD" w14:textId="2DA5B668" w:rsidR="00235D1D" w:rsidRPr="00F97952" w:rsidRDefault="00614034" w:rsidP="004B72D4">
      <w:pPr>
        <w:pStyle w:val="Titre2"/>
        <w:rPr>
          <w:rFonts w:asciiTheme="minorHAnsi" w:hAnsiTheme="minorHAnsi"/>
        </w:rPr>
      </w:pPr>
      <w:bookmarkStart w:id="71" w:name="_Toc528774364"/>
      <w:r w:rsidRPr="00F97952">
        <w:rPr>
          <w:rFonts w:asciiTheme="minorHAnsi" w:hAnsiTheme="minorHAnsi"/>
        </w:rPr>
        <w:t>Enabling Activity Projects</w:t>
      </w:r>
      <w:bookmarkEnd w:id="71"/>
    </w:p>
    <w:p w14:paraId="2F3E146E" w14:textId="16BCB835" w:rsidR="00614034" w:rsidRPr="00F97952" w:rsidRDefault="00E07763" w:rsidP="002231A2">
      <w:pPr>
        <w:pStyle w:val="Lgende"/>
        <w:jc w:val="center"/>
        <w:rPr>
          <w:color w:val="000000" w:themeColor="text1"/>
          <w:sz w:val="24"/>
          <w:szCs w:val="24"/>
        </w:rPr>
      </w:pPr>
      <w:bookmarkStart w:id="72" w:name="_Toc528774333"/>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7</w:t>
      </w:r>
      <w:r w:rsidRPr="00F97952">
        <w:rPr>
          <w:color w:val="000000" w:themeColor="text1"/>
          <w:sz w:val="24"/>
          <w:szCs w:val="24"/>
        </w:rPr>
        <w:fldChar w:fldCharType="end"/>
      </w:r>
      <w:r w:rsidR="00D87B16" w:rsidRPr="00F97952">
        <w:rPr>
          <w:color w:val="000000" w:themeColor="text1"/>
          <w:sz w:val="24"/>
          <w:szCs w:val="24"/>
        </w:rPr>
        <w:t>: List of Enabling Activities Funded in GEF</w:t>
      </w:r>
      <w:r w:rsidR="00A959C1" w:rsidRPr="00F97952">
        <w:rPr>
          <w:color w:val="000000" w:themeColor="text1"/>
          <w:sz w:val="24"/>
          <w:szCs w:val="24"/>
        </w:rPr>
        <w:t>-</w:t>
      </w:r>
      <w:r w:rsidR="00D87B16" w:rsidRPr="00F97952">
        <w:rPr>
          <w:color w:val="000000" w:themeColor="text1"/>
          <w:sz w:val="24"/>
          <w:szCs w:val="24"/>
        </w:rPr>
        <w:t>6</w:t>
      </w:r>
      <w:bookmarkEnd w:id="72"/>
    </w:p>
    <w:p w14:paraId="137155E8" w14:textId="7DF9560E" w:rsidR="00723E34" w:rsidRPr="00F97952" w:rsidRDefault="00723E34" w:rsidP="00723E34">
      <w:pPr>
        <w:rPr>
          <w:lang w:val="en-GB"/>
        </w:rPr>
      </w:pPr>
    </w:p>
    <w:tbl>
      <w:tblPr>
        <w:tblStyle w:val="Grilledutableau"/>
        <w:tblW w:w="5000" w:type="pct"/>
        <w:tblLook w:val="04A0" w:firstRow="1" w:lastRow="0" w:firstColumn="1" w:lastColumn="0" w:noHBand="0" w:noVBand="1"/>
      </w:tblPr>
      <w:tblGrid>
        <w:gridCol w:w="2064"/>
        <w:gridCol w:w="1927"/>
        <w:gridCol w:w="4534"/>
        <w:gridCol w:w="1073"/>
        <w:gridCol w:w="1027"/>
        <w:gridCol w:w="1785"/>
        <w:gridCol w:w="2010"/>
      </w:tblGrid>
      <w:tr w:rsidR="00723E34" w:rsidRPr="00F97952" w14:paraId="2F586C92" w14:textId="77777777" w:rsidTr="00033F0E">
        <w:trPr>
          <w:trHeight w:val="371"/>
          <w:tblHeader/>
        </w:trPr>
        <w:tc>
          <w:tcPr>
            <w:tcW w:w="716" w:type="pct"/>
            <w:hideMark/>
          </w:tcPr>
          <w:p w14:paraId="002A916B" w14:textId="77777777" w:rsidR="00723E34" w:rsidRPr="00F97952" w:rsidRDefault="00723E34" w:rsidP="00CC3636">
            <w:pPr>
              <w:jc w:val="center"/>
              <w:rPr>
                <w:rFonts w:asciiTheme="minorHAnsi" w:hAnsiTheme="minorHAnsi"/>
                <w:b/>
                <w:bCs/>
              </w:rPr>
            </w:pPr>
            <w:r w:rsidRPr="00F97952">
              <w:rPr>
                <w:rFonts w:asciiTheme="minorHAnsi" w:hAnsiTheme="minorHAnsi"/>
                <w:b/>
                <w:bCs/>
              </w:rPr>
              <w:t>Country</w:t>
            </w:r>
          </w:p>
        </w:tc>
        <w:tc>
          <w:tcPr>
            <w:tcW w:w="668" w:type="pct"/>
            <w:hideMark/>
          </w:tcPr>
          <w:p w14:paraId="7C196932" w14:textId="77777777" w:rsidR="00723E34" w:rsidRPr="00F97952" w:rsidRDefault="00723E34" w:rsidP="00CC3636">
            <w:pPr>
              <w:jc w:val="center"/>
              <w:rPr>
                <w:rFonts w:asciiTheme="minorHAnsi" w:hAnsiTheme="minorHAnsi"/>
                <w:b/>
                <w:bCs/>
              </w:rPr>
            </w:pPr>
            <w:r w:rsidRPr="00F97952">
              <w:rPr>
                <w:rFonts w:asciiTheme="minorHAnsi" w:hAnsiTheme="minorHAnsi"/>
                <w:b/>
                <w:bCs/>
              </w:rPr>
              <w:t>Country List</w:t>
            </w:r>
          </w:p>
        </w:tc>
        <w:tc>
          <w:tcPr>
            <w:tcW w:w="1572" w:type="pct"/>
            <w:hideMark/>
          </w:tcPr>
          <w:p w14:paraId="0269335D" w14:textId="77777777" w:rsidR="00723E34" w:rsidRPr="00F97952" w:rsidRDefault="00723E34" w:rsidP="00CC3636">
            <w:pPr>
              <w:jc w:val="center"/>
              <w:rPr>
                <w:rFonts w:asciiTheme="minorHAnsi" w:hAnsiTheme="minorHAnsi"/>
                <w:b/>
                <w:bCs/>
              </w:rPr>
            </w:pPr>
            <w:r w:rsidRPr="00F97952">
              <w:rPr>
                <w:rFonts w:asciiTheme="minorHAnsi" w:hAnsiTheme="minorHAnsi"/>
                <w:b/>
                <w:bCs/>
              </w:rPr>
              <w:t>Title</w:t>
            </w:r>
          </w:p>
        </w:tc>
        <w:tc>
          <w:tcPr>
            <w:tcW w:w="372" w:type="pct"/>
            <w:hideMark/>
          </w:tcPr>
          <w:p w14:paraId="18E4192E" w14:textId="77777777" w:rsidR="00723E34" w:rsidRPr="00F97952" w:rsidRDefault="00723E34" w:rsidP="00CC3636">
            <w:pPr>
              <w:jc w:val="center"/>
              <w:rPr>
                <w:rFonts w:asciiTheme="minorHAnsi" w:hAnsiTheme="minorHAnsi"/>
                <w:b/>
                <w:bCs/>
              </w:rPr>
            </w:pPr>
            <w:r w:rsidRPr="00F97952">
              <w:rPr>
                <w:rFonts w:asciiTheme="minorHAnsi" w:hAnsiTheme="minorHAnsi"/>
                <w:b/>
                <w:bCs/>
              </w:rPr>
              <w:t>Type</w:t>
            </w:r>
          </w:p>
        </w:tc>
        <w:tc>
          <w:tcPr>
            <w:tcW w:w="356" w:type="pct"/>
            <w:hideMark/>
          </w:tcPr>
          <w:p w14:paraId="01A6BB81" w14:textId="77777777" w:rsidR="00723E34" w:rsidRPr="00F97952" w:rsidRDefault="00723E34" w:rsidP="00CC3636">
            <w:pPr>
              <w:jc w:val="center"/>
              <w:rPr>
                <w:rFonts w:asciiTheme="minorHAnsi" w:hAnsiTheme="minorHAnsi"/>
                <w:b/>
                <w:bCs/>
              </w:rPr>
            </w:pPr>
            <w:r w:rsidRPr="00F97952">
              <w:rPr>
                <w:rFonts w:asciiTheme="minorHAnsi" w:hAnsiTheme="minorHAnsi"/>
                <w:b/>
                <w:bCs/>
              </w:rPr>
              <w:t>Agency</w:t>
            </w:r>
          </w:p>
        </w:tc>
        <w:tc>
          <w:tcPr>
            <w:tcW w:w="619" w:type="pct"/>
            <w:hideMark/>
          </w:tcPr>
          <w:p w14:paraId="205A70FA" w14:textId="518DDA1B" w:rsidR="00723E34" w:rsidRPr="00F97952" w:rsidRDefault="00723E34" w:rsidP="00CC3636">
            <w:pPr>
              <w:jc w:val="center"/>
              <w:rPr>
                <w:rFonts w:asciiTheme="minorHAnsi" w:hAnsiTheme="minorHAnsi"/>
                <w:b/>
                <w:bCs/>
              </w:rPr>
            </w:pPr>
            <w:r w:rsidRPr="00F97952">
              <w:rPr>
                <w:rFonts w:asciiTheme="minorHAnsi" w:hAnsiTheme="minorHAnsi"/>
                <w:b/>
                <w:bCs/>
              </w:rPr>
              <w:t>Amou</w:t>
            </w:r>
            <w:r w:rsidR="00676346" w:rsidRPr="00F97952">
              <w:rPr>
                <w:rFonts w:asciiTheme="minorHAnsi" w:hAnsiTheme="minorHAnsi"/>
                <w:b/>
                <w:bCs/>
              </w:rPr>
              <w:t>nt ($)</w:t>
            </w:r>
          </w:p>
        </w:tc>
        <w:tc>
          <w:tcPr>
            <w:tcW w:w="697" w:type="pct"/>
            <w:hideMark/>
          </w:tcPr>
          <w:p w14:paraId="48ACFC50" w14:textId="28836E59" w:rsidR="00723E34" w:rsidRPr="00F97952" w:rsidRDefault="00723E34" w:rsidP="00CC3636">
            <w:pPr>
              <w:jc w:val="center"/>
              <w:rPr>
                <w:rFonts w:asciiTheme="minorHAnsi" w:hAnsiTheme="minorHAnsi"/>
                <w:b/>
                <w:bCs/>
              </w:rPr>
            </w:pPr>
            <w:r w:rsidRPr="00F97952">
              <w:rPr>
                <w:rFonts w:asciiTheme="minorHAnsi" w:hAnsiTheme="minorHAnsi"/>
                <w:b/>
                <w:bCs/>
              </w:rPr>
              <w:t>Co-financing</w:t>
            </w:r>
            <w:r w:rsidR="00676346" w:rsidRPr="00F97952">
              <w:rPr>
                <w:rFonts w:asciiTheme="minorHAnsi" w:hAnsiTheme="minorHAnsi"/>
                <w:b/>
                <w:bCs/>
              </w:rPr>
              <w:t xml:space="preserve"> ($)</w:t>
            </w:r>
          </w:p>
        </w:tc>
      </w:tr>
      <w:tr w:rsidR="00723E34" w:rsidRPr="00F97952" w14:paraId="5EEC544B" w14:textId="77777777" w:rsidTr="00033F0E">
        <w:trPr>
          <w:trHeight w:val="605"/>
        </w:trPr>
        <w:tc>
          <w:tcPr>
            <w:tcW w:w="716" w:type="pct"/>
            <w:hideMark/>
          </w:tcPr>
          <w:p w14:paraId="6E49D8E7" w14:textId="77777777" w:rsidR="00723E34" w:rsidRPr="00F97952" w:rsidRDefault="00723E34" w:rsidP="00723E34">
            <w:pPr>
              <w:rPr>
                <w:rFonts w:asciiTheme="minorHAnsi" w:hAnsiTheme="minorHAnsi"/>
              </w:rPr>
            </w:pPr>
            <w:r w:rsidRPr="00F97952">
              <w:rPr>
                <w:rFonts w:asciiTheme="minorHAnsi" w:hAnsiTheme="minorHAnsi"/>
              </w:rPr>
              <w:t>Albania</w:t>
            </w:r>
          </w:p>
        </w:tc>
        <w:tc>
          <w:tcPr>
            <w:tcW w:w="668" w:type="pct"/>
            <w:hideMark/>
          </w:tcPr>
          <w:p w14:paraId="22131B25" w14:textId="77777777" w:rsidR="00723E34" w:rsidRPr="00F97952" w:rsidRDefault="00723E34" w:rsidP="00723E34">
            <w:pPr>
              <w:rPr>
                <w:rFonts w:asciiTheme="minorHAnsi" w:hAnsiTheme="minorHAnsi"/>
              </w:rPr>
            </w:pPr>
          </w:p>
        </w:tc>
        <w:tc>
          <w:tcPr>
            <w:tcW w:w="1572" w:type="pct"/>
            <w:hideMark/>
          </w:tcPr>
          <w:p w14:paraId="26BA44A2" w14:textId="77777777" w:rsidR="00723E34" w:rsidRPr="00F97952" w:rsidRDefault="00723E34" w:rsidP="00723E34">
            <w:pPr>
              <w:rPr>
                <w:rFonts w:asciiTheme="minorHAnsi" w:hAnsiTheme="minorHAnsi"/>
              </w:rPr>
            </w:pPr>
            <w:r w:rsidRPr="00F97952">
              <w:rPr>
                <w:rFonts w:asciiTheme="minorHAnsi" w:hAnsiTheme="minorHAnsi"/>
              </w:rPr>
              <w:t>Minamata Initial Assessment for Albania</w:t>
            </w:r>
          </w:p>
        </w:tc>
        <w:tc>
          <w:tcPr>
            <w:tcW w:w="372" w:type="pct"/>
            <w:hideMark/>
          </w:tcPr>
          <w:p w14:paraId="52E7B392"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DE0D523"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7AFF316E" w14:textId="4EE1488C"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2B18511B" w14:textId="77777777" w:rsidR="00723E34" w:rsidRPr="00F97952" w:rsidRDefault="00723E34" w:rsidP="00CC3636">
            <w:pPr>
              <w:jc w:val="right"/>
              <w:rPr>
                <w:rFonts w:asciiTheme="minorHAnsi" w:hAnsiTheme="minorHAnsi"/>
              </w:rPr>
            </w:pPr>
          </w:p>
        </w:tc>
      </w:tr>
      <w:tr w:rsidR="00723E34" w:rsidRPr="00F97952" w14:paraId="35C2D7C1" w14:textId="77777777" w:rsidTr="00033F0E">
        <w:trPr>
          <w:trHeight w:val="578"/>
        </w:trPr>
        <w:tc>
          <w:tcPr>
            <w:tcW w:w="716" w:type="pct"/>
            <w:hideMark/>
          </w:tcPr>
          <w:p w14:paraId="2B6AB922" w14:textId="77777777" w:rsidR="00723E34" w:rsidRPr="00F97952" w:rsidRDefault="00723E34" w:rsidP="00723E34">
            <w:pPr>
              <w:rPr>
                <w:rFonts w:asciiTheme="minorHAnsi" w:hAnsiTheme="minorHAnsi"/>
              </w:rPr>
            </w:pPr>
            <w:r w:rsidRPr="00F97952">
              <w:rPr>
                <w:rFonts w:asciiTheme="minorHAnsi" w:hAnsiTheme="minorHAnsi"/>
              </w:rPr>
              <w:t>Argentina</w:t>
            </w:r>
          </w:p>
        </w:tc>
        <w:tc>
          <w:tcPr>
            <w:tcW w:w="668" w:type="pct"/>
            <w:hideMark/>
          </w:tcPr>
          <w:p w14:paraId="384D18CE" w14:textId="77777777" w:rsidR="00723E34" w:rsidRPr="00F97952" w:rsidRDefault="00723E34" w:rsidP="00723E34">
            <w:pPr>
              <w:rPr>
                <w:rFonts w:asciiTheme="minorHAnsi" w:hAnsiTheme="minorHAnsi"/>
              </w:rPr>
            </w:pPr>
          </w:p>
        </w:tc>
        <w:tc>
          <w:tcPr>
            <w:tcW w:w="1572" w:type="pct"/>
            <w:hideMark/>
          </w:tcPr>
          <w:p w14:paraId="7E171456" w14:textId="77777777" w:rsidR="00723E34" w:rsidRPr="00F97952" w:rsidRDefault="00723E34" w:rsidP="00723E34">
            <w:pPr>
              <w:rPr>
                <w:rFonts w:asciiTheme="minorHAnsi" w:hAnsiTheme="minorHAnsi"/>
              </w:rPr>
            </w:pPr>
            <w:r w:rsidRPr="00F97952">
              <w:rPr>
                <w:rFonts w:asciiTheme="minorHAnsi" w:hAnsiTheme="minorHAnsi"/>
              </w:rPr>
              <w:t>Minamata Initial Assessment for Argentina</w:t>
            </w:r>
          </w:p>
        </w:tc>
        <w:tc>
          <w:tcPr>
            <w:tcW w:w="372" w:type="pct"/>
            <w:hideMark/>
          </w:tcPr>
          <w:p w14:paraId="567420A0"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0148965"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4A744189" w14:textId="7FE5070A"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6903117D" w14:textId="77777777" w:rsidR="00723E34" w:rsidRPr="00F97952" w:rsidRDefault="00723E34" w:rsidP="00CC3636">
            <w:pPr>
              <w:jc w:val="right"/>
              <w:rPr>
                <w:rFonts w:asciiTheme="minorHAnsi" w:hAnsiTheme="minorHAnsi"/>
              </w:rPr>
            </w:pPr>
          </w:p>
        </w:tc>
      </w:tr>
      <w:tr w:rsidR="00723E34" w:rsidRPr="00F97952" w14:paraId="50787FD9" w14:textId="77777777" w:rsidTr="00033F0E">
        <w:trPr>
          <w:trHeight w:val="1109"/>
        </w:trPr>
        <w:tc>
          <w:tcPr>
            <w:tcW w:w="716" w:type="pct"/>
            <w:hideMark/>
          </w:tcPr>
          <w:p w14:paraId="0EDBDDCF" w14:textId="77777777" w:rsidR="00723E34" w:rsidRPr="00F97952" w:rsidRDefault="00723E34" w:rsidP="00723E34">
            <w:pPr>
              <w:rPr>
                <w:rFonts w:asciiTheme="minorHAnsi" w:hAnsiTheme="minorHAnsi"/>
              </w:rPr>
            </w:pPr>
            <w:r w:rsidRPr="00F97952">
              <w:rPr>
                <w:rFonts w:asciiTheme="minorHAnsi" w:hAnsiTheme="minorHAnsi"/>
              </w:rPr>
              <w:t>Azerbaijan</w:t>
            </w:r>
          </w:p>
        </w:tc>
        <w:tc>
          <w:tcPr>
            <w:tcW w:w="668" w:type="pct"/>
            <w:hideMark/>
          </w:tcPr>
          <w:p w14:paraId="23D907BF" w14:textId="77777777" w:rsidR="00723E34" w:rsidRPr="00F97952" w:rsidRDefault="00723E34" w:rsidP="00723E34">
            <w:pPr>
              <w:rPr>
                <w:rFonts w:asciiTheme="minorHAnsi" w:hAnsiTheme="minorHAnsi"/>
              </w:rPr>
            </w:pPr>
          </w:p>
        </w:tc>
        <w:tc>
          <w:tcPr>
            <w:tcW w:w="1572" w:type="pct"/>
            <w:hideMark/>
          </w:tcPr>
          <w:p w14:paraId="36CE17DA" w14:textId="77777777" w:rsidR="00723E34" w:rsidRPr="00F97952" w:rsidRDefault="00723E34" w:rsidP="00723E34">
            <w:pPr>
              <w:rPr>
                <w:rFonts w:asciiTheme="minorHAnsi" w:hAnsiTheme="minorHAnsi"/>
              </w:rPr>
            </w:pPr>
            <w:r w:rsidRPr="00F97952">
              <w:rPr>
                <w:rFonts w:asciiTheme="minorHAnsi" w:hAnsiTheme="minorHAnsi"/>
              </w:rPr>
              <w:t>Strengthen national decision making towards ratification of the Minamata Convention and build capacity towards implementation of future provisions</w:t>
            </w:r>
          </w:p>
        </w:tc>
        <w:tc>
          <w:tcPr>
            <w:tcW w:w="372" w:type="pct"/>
            <w:hideMark/>
          </w:tcPr>
          <w:p w14:paraId="1B75CC68"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12F6CD4"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29D28EA7" w14:textId="104C00CC" w:rsidR="00723E34" w:rsidRPr="00F97952" w:rsidRDefault="00723E34" w:rsidP="00CC3636">
            <w:pPr>
              <w:jc w:val="right"/>
              <w:rPr>
                <w:rFonts w:asciiTheme="minorHAnsi" w:hAnsiTheme="minorHAnsi"/>
              </w:rPr>
            </w:pPr>
            <w:r w:rsidRPr="00F97952">
              <w:rPr>
                <w:rFonts w:asciiTheme="minorHAnsi" w:hAnsiTheme="minorHAnsi"/>
              </w:rPr>
              <w:t xml:space="preserve"> 200,000 </w:t>
            </w:r>
          </w:p>
        </w:tc>
        <w:tc>
          <w:tcPr>
            <w:tcW w:w="697" w:type="pct"/>
            <w:hideMark/>
          </w:tcPr>
          <w:p w14:paraId="0DB76A5F" w14:textId="77777777" w:rsidR="00723E34" w:rsidRPr="00F97952" w:rsidRDefault="00723E34" w:rsidP="00CC3636">
            <w:pPr>
              <w:jc w:val="right"/>
              <w:rPr>
                <w:rFonts w:asciiTheme="minorHAnsi" w:hAnsiTheme="minorHAnsi"/>
              </w:rPr>
            </w:pPr>
          </w:p>
        </w:tc>
      </w:tr>
      <w:tr w:rsidR="00723E34" w:rsidRPr="00F97952" w14:paraId="0F9084BF" w14:textId="77777777" w:rsidTr="00033F0E">
        <w:trPr>
          <w:trHeight w:val="551"/>
        </w:trPr>
        <w:tc>
          <w:tcPr>
            <w:tcW w:w="716" w:type="pct"/>
            <w:hideMark/>
          </w:tcPr>
          <w:p w14:paraId="39CD90A8" w14:textId="77777777" w:rsidR="00723E34" w:rsidRPr="00F97952" w:rsidRDefault="00723E34" w:rsidP="00723E34">
            <w:pPr>
              <w:rPr>
                <w:rFonts w:asciiTheme="minorHAnsi" w:hAnsiTheme="minorHAnsi"/>
              </w:rPr>
            </w:pPr>
            <w:r w:rsidRPr="00F97952">
              <w:rPr>
                <w:rFonts w:asciiTheme="minorHAnsi" w:hAnsiTheme="minorHAnsi"/>
              </w:rPr>
              <w:t>Belarus</w:t>
            </w:r>
          </w:p>
        </w:tc>
        <w:tc>
          <w:tcPr>
            <w:tcW w:w="668" w:type="pct"/>
            <w:hideMark/>
          </w:tcPr>
          <w:p w14:paraId="1E335B4B" w14:textId="77777777" w:rsidR="00723E34" w:rsidRPr="00F97952" w:rsidRDefault="00723E34" w:rsidP="00723E34">
            <w:pPr>
              <w:rPr>
                <w:rFonts w:asciiTheme="minorHAnsi" w:hAnsiTheme="minorHAnsi"/>
              </w:rPr>
            </w:pPr>
          </w:p>
        </w:tc>
        <w:tc>
          <w:tcPr>
            <w:tcW w:w="1572" w:type="pct"/>
            <w:hideMark/>
          </w:tcPr>
          <w:p w14:paraId="08E1CC84" w14:textId="77777777" w:rsidR="00723E34" w:rsidRPr="00F97952" w:rsidRDefault="00723E34" w:rsidP="00723E34">
            <w:pPr>
              <w:rPr>
                <w:rFonts w:asciiTheme="minorHAnsi" w:hAnsiTheme="minorHAnsi"/>
              </w:rPr>
            </w:pPr>
            <w:r w:rsidRPr="00F97952">
              <w:rPr>
                <w:rFonts w:asciiTheme="minorHAnsi" w:hAnsiTheme="minorHAnsi"/>
              </w:rPr>
              <w:t xml:space="preserve">Development of a Minamata Initial Assessment </w:t>
            </w:r>
          </w:p>
        </w:tc>
        <w:tc>
          <w:tcPr>
            <w:tcW w:w="372" w:type="pct"/>
            <w:hideMark/>
          </w:tcPr>
          <w:p w14:paraId="596FA1EB"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AA39687"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090EFD24" w14:textId="4EC756D1"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1F11F92A" w14:textId="77777777" w:rsidR="00723E34" w:rsidRPr="00F97952" w:rsidRDefault="00723E34" w:rsidP="00CC3636">
            <w:pPr>
              <w:jc w:val="right"/>
              <w:rPr>
                <w:rFonts w:asciiTheme="minorHAnsi" w:hAnsiTheme="minorHAnsi"/>
              </w:rPr>
            </w:pPr>
          </w:p>
        </w:tc>
      </w:tr>
      <w:tr w:rsidR="00723E34" w:rsidRPr="00F97952" w14:paraId="2787AD2A" w14:textId="77777777" w:rsidTr="00033F0E">
        <w:trPr>
          <w:trHeight w:val="660"/>
        </w:trPr>
        <w:tc>
          <w:tcPr>
            <w:tcW w:w="716" w:type="pct"/>
            <w:hideMark/>
          </w:tcPr>
          <w:p w14:paraId="3641479D" w14:textId="77777777" w:rsidR="00723E34" w:rsidRPr="00F97952" w:rsidRDefault="00723E34" w:rsidP="00723E34">
            <w:pPr>
              <w:rPr>
                <w:rFonts w:asciiTheme="minorHAnsi" w:hAnsiTheme="minorHAnsi"/>
              </w:rPr>
            </w:pPr>
            <w:r w:rsidRPr="00F97952">
              <w:rPr>
                <w:rFonts w:asciiTheme="minorHAnsi" w:hAnsiTheme="minorHAnsi"/>
              </w:rPr>
              <w:t>Belize</w:t>
            </w:r>
          </w:p>
        </w:tc>
        <w:tc>
          <w:tcPr>
            <w:tcW w:w="668" w:type="pct"/>
            <w:hideMark/>
          </w:tcPr>
          <w:p w14:paraId="01651CAB" w14:textId="77777777" w:rsidR="00723E34" w:rsidRPr="00F97952" w:rsidRDefault="00723E34" w:rsidP="00723E34">
            <w:pPr>
              <w:rPr>
                <w:rFonts w:asciiTheme="minorHAnsi" w:hAnsiTheme="minorHAnsi"/>
              </w:rPr>
            </w:pPr>
          </w:p>
        </w:tc>
        <w:tc>
          <w:tcPr>
            <w:tcW w:w="1572" w:type="pct"/>
            <w:hideMark/>
          </w:tcPr>
          <w:p w14:paraId="49F267F2" w14:textId="77777777" w:rsidR="00723E34" w:rsidRPr="00F97952" w:rsidRDefault="00723E34" w:rsidP="00723E34">
            <w:pPr>
              <w:rPr>
                <w:rFonts w:asciiTheme="minorHAnsi" w:hAnsiTheme="minorHAnsi"/>
              </w:rPr>
            </w:pPr>
            <w:r w:rsidRPr="00F97952">
              <w:rPr>
                <w:rFonts w:asciiTheme="minorHAnsi" w:hAnsiTheme="minorHAnsi"/>
              </w:rPr>
              <w:t>Development of Minamata Initial Assessments (MIA) in the Caribbean (Belize)</w:t>
            </w:r>
          </w:p>
        </w:tc>
        <w:tc>
          <w:tcPr>
            <w:tcW w:w="372" w:type="pct"/>
            <w:hideMark/>
          </w:tcPr>
          <w:p w14:paraId="738A8950"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4C2B4DB"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25AB3DD6" w14:textId="505A7F6B" w:rsidR="00723E34" w:rsidRPr="00F97952" w:rsidRDefault="00723E34" w:rsidP="00CC3636">
            <w:pPr>
              <w:jc w:val="right"/>
              <w:rPr>
                <w:rFonts w:asciiTheme="minorHAnsi" w:hAnsiTheme="minorHAnsi"/>
              </w:rPr>
            </w:pPr>
            <w:r w:rsidRPr="00F97952">
              <w:rPr>
                <w:rFonts w:asciiTheme="minorHAnsi" w:hAnsiTheme="minorHAnsi"/>
              </w:rPr>
              <w:t xml:space="preserve">150,000 </w:t>
            </w:r>
          </w:p>
        </w:tc>
        <w:tc>
          <w:tcPr>
            <w:tcW w:w="697" w:type="pct"/>
            <w:hideMark/>
          </w:tcPr>
          <w:p w14:paraId="357012A2" w14:textId="77777777" w:rsidR="00723E34" w:rsidRPr="00F97952" w:rsidRDefault="00723E34" w:rsidP="00CC3636">
            <w:pPr>
              <w:jc w:val="right"/>
              <w:rPr>
                <w:rFonts w:asciiTheme="minorHAnsi" w:hAnsiTheme="minorHAnsi"/>
              </w:rPr>
            </w:pPr>
          </w:p>
        </w:tc>
      </w:tr>
      <w:tr w:rsidR="00723E34" w:rsidRPr="00F97952" w14:paraId="3AE71012" w14:textId="77777777" w:rsidTr="00033F0E">
        <w:trPr>
          <w:trHeight w:val="980"/>
        </w:trPr>
        <w:tc>
          <w:tcPr>
            <w:tcW w:w="716" w:type="pct"/>
            <w:hideMark/>
          </w:tcPr>
          <w:p w14:paraId="1B0AF5B5" w14:textId="77777777" w:rsidR="00723E34" w:rsidRPr="00F97952" w:rsidRDefault="00723E34" w:rsidP="00723E34">
            <w:pPr>
              <w:rPr>
                <w:rFonts w:asciiTheme="minorHAnsi" w:hAnsiTheme="minorHAnsi"/>
              </w:rPr>
            </w:pPr>
            <w:r w:rsidRPr="00F97952">
              <w:rPr>
                <w:rFonts w:asciiTheme="minorHAnsi" w:hAnsiTheme="minorHAnsi"/>
              </w:rPr>
              <w:t>Bosnia-Herzegovina</w:t>
            </w:r>
          </w:p>
        </w:tc>
        <w:tc>
          <w:tcPr>
            <w:tcW w:w="668" w:type="pct"/>
            <w:hideMark/>
          </w:tcPr>
          <w:p w14:paraId="0E80E53E" w14:textId="77777777" w:rsidR="00723E34" w:rsidRPr="00F97952" w:rsidRDefault="00723E34" w:rsidP="00723E34">
            <w:pPr>
              <w:rPr>
                <w:rFonts w:asciiTheme="minorHAnsi" w:hAnsiTheme="minorHAnsi"/>
              </w:rPr>
            </w:pPr>
          </w:p>
        </w:tc>
        <w:tc>
          <w:tcPr>
            <w:tcW w:w="1572" w:type="pct"/>
            <w:hideMark/>
          </w:tcPr>
          <w:p w14:paraId="1D1FA362" w14:textId="4CD555FC" w:rsidR="00723E34" w:rsidRPr="00F97952" w:rsidRDefault="00723E34" w:rsidP="00723E34">
            <w:pPr>
              <w:rPr>
                <w:rFonts w:asciiTheme="minorHAnsi" w:hAnsiTheme="minorHAnsi"/>
              </w:rPr>
            </w:pPr>
            <w:r w:rsidRPr="00F97952">
              <w:rPr>
                <w:rFonts w:asciiTheme="minorHAnsi" w:hAnsiTheme="minorHAnsi"/>
              </w:rPr>
              <w:t>Strengthen Bosnia and Herzegovina Decision-making Towards Becoming a Party to the Minamata Convention and Build Capacity Towards Implementation of Future Provisions</w:t>
            </w:r>
          </w:p>
        </w:tc>
        <w:tc>
          <w:tcPr>
            <w:tcW w:w="372" w:type="pct"/>
            <w:hideMark/>
          </w:tcPr>
          <w:p w14:paraId="61CB96C8"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5A645FA1"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6B561180" w14:textId="3AD71080"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5FEA4F0A" w14:textId="77777777" w:rsidR="00723E34" w:rsidRPr="00F97952" w:rsidRDefault="00723E34" w:rsidP="00CC3636">
            <w:pPr>
              <w:jc w:val="right"/>
              <w:rPr>
                <w:rFonts w:asciiTheme="minorHAnsi" w:hAnsiTheme="minorHAnsi"/>
              </w:rPr>
            </w:pPr>
          </w:p>
        </w:tc>
      </w:tr>
      <w:tr w:rsidR="00723E34" w:rsidRPr="00F97952" w14:paraId="6959301C" w14:textId="77777777" w:rsidTr="00033F0E">
        <w:trPr>
          <w:trHeight w:val="677"/>
        </w:trPr>
        <w:tc>
          <w:tcPr>
            <w:tcW w:w="716" w:type="pct"/>
            <w:hideMark/>
          </w:tcPr>
          <w:p w14:paraId="4D60496C" w14:textId="77777777" w:rsidR="00723E34" w:rsidRPr="00F97952" w:rsidRDefault="00723E34" w:rsidP="00723E34">
            <w:pPr>
              <w:rPr>
                <w:rFonts w:asciiTheme="minorHAnsi" w:hAnsiTheme="minorHAnsi"/>
              </w:rPr>
            </w:pPr>
            <w:r w:rsidRPr="00F97952">
              <w:rPr>
                <w:rFonts w:asciiTheme="minorHAnsi" w:hAnsiTheme="minorHAnsi"/>
              </w:rPr>
              <w:t>Burkina Faso</w:t>
            </w:r>
          </w:p>
        </w:tc>
        <w:tc>
          <w:tcPr>
            <w:tcW w:w="668" w:type="pct"/>
            <w:hideMark/>
          </w:tcPr>
          <w:p w14:paraId="01ED87A2" w14:textId="77777777" w:rsidR="00723E34" w:rsidRPr="00F97952" w:rsidRDefault="00723E34" w:rsidP="00723E34">
            <w:pPr>
              <w:rPr>
                <w:rFonts w:asciiTheme="minorHAnsi" w:hAnsiTheme="minorHAnsi"/>
              </w:rPr>
            </w:pPr>
          </w:p>
        </w:tc>
        <w:tc>
          <w:tcPr>
            <w:tcW w:w="1572" w:type="pct"/>
            <w:hideMark/>
          </w:tcPr>
          <w:p w14:paraId="0EC28E33"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Artisanal and Small-Scale Gold Mining Sector in Burkina Faso</w:t>
            </w:r>
          </w:p>
        </w:tc>
        <w:tc>
          <w:tcPr>
            <w:tcW w:w="372" w:type="pct"/>
            <w:hideMark/>
          </w:tcPr>
          <w:p w14:paraId="58D5FF89"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24B90FC6"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6EDFF911" w14:textId="67A0D62A"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2162E0DD" w14:textId="2044F708" w:rsidR="00723E34" w:rsidRPr="00F97952" w:rsidRDefault="00723E34" w:rsidP="00CC3636">
            <w:pPr>
              <w:jc w:val="right"/>
              <w:rPr>
                <w:rFonts w:asciiTheme="minorHAnsi" w:hAnsiTheme="minorHAnsi"/>
              </w:rPr>
            </w:pPr>
            <w:r w:rsidRPr="00F97952">
              <w:rPr>
                <w:rFonts w:asciiTheme="minorHAnsi" w:hAnsiTheme="minorHAnsi"/>
              </w:rPr>
              <w:t xml:space="preserve">216,000 </w:t>
            </w:r>
          </w:p>
        </w:tc>
      </w:tr>
      <w:tr w:rsidR="00723E34" w:rsidRPr="00F97952" w14:paraId="55AA6605" w14:textId="77777777" w:rsidTr="00033F0E">
        <w:trPr>
          <w:trHeight w:val="587"/>
        </w:trPr>
        <w:tc>
          <w:tcPr>
            <w:tcW w:w="716" w:type="pct"/>
            <w:hideMark/>
          </w:tcPr>
          <w:p w14:paraId="1D979A5C" w14:textId="77777777" w:rsidR="00723E34" w:rsidRPr="00F97952" w:rsidRDefault="00723E34" w:rsidP="00723E34">
            <w:pPr>
              <w:rPr>
                <w:rFonts w:asciiTheme="minorHAnsi" w:hAnsiTheme="minorHAnsi"/>
              </w:rPr>
            </w:pPr>
            <w:r w:rsidRPr="00F97952">
              <w:rPr>
                <w:rFonts w:asciiTheme="minorHAnsi" w:hAnsiTheme="minorHAnsi"/>
              </w:rPr>
              <w:t>Cameroon</w:t>
            </w:r>
          </w:p>
        </w:tc>
        <w:tc>
          <w:tcPr>
            <w:tcW w:w="668" w:type="pct"/>
            <w:hideMark/>
          </w:tcPr>
          <w:p w14:paraId="5C097C62" w14:textId="77777777" w:rsidR="00723E34" w:rsidRPr="00F97952" w:rsidRDefault="00723E34" w:rsidP="00723E34">
            <w:pPr>
              <w:rPr>
                <w:rFonts w:asciiTheme="minorHAnsi" w:hAnsiTheme="minorHAnsi"/>
              </w:rPr>
            </w:pPr>
          </w:p>
        </w:tc>
        <w:tc>
          <w:tcPr>
            <w:tcW w:w="1572" w:type="pct"/>
            <w:hideMark/>
          </w:tcPr>
          <w:p w14:paraId="5538E1C7" w14:textId="77777777" w:rsidR="00723E34" w:rsidRPr="00F97952" w:rsidRDefault="00723E34" w:rsidP="00723E34">
            <w:pPr>
              <w:rPr>
                <w:rFonts w:asciiTheme="minorHAnsi" w:hAnsiTheme="minorHAnsi"/>
              </w:rPr>
            </w:pPr>
            <w:r w:rsidRPr="00F97952">
              <w:rPr>
                <w:rFonts w:asciiTheme="minorHAnsi" w:hAnsiTheme="minorHAnsi"/>
              </w:rPr>
              <w:t>Development of Minamata Initial Assessment in Cameroon</w:t>
            </w:r>
          </w:p>
        </w:tc>
        <w:tc>
          <w:tcPr>
            <w:tcW w:w="372" w:type="pct"/>
            <w:hideMark/>
          </w:tcPr>
          <w:p w14:paraId="023A7AAB"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880B0C4"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463B3FB7" w14:textId="10C5A55B"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6A082618" w14:textId="77777777" w:rsidR="00723E34" w:rsidRPr="00F97952" w:rsidRDefault="00723E34" w:rsidP="00CC3636">
            <w:pPr>
              <w:jc w:val="right"/>
              <w:rPr>
                <w:rFonts w:asciiTheme="minorHAnsi" w:hAnsiTheme="minorHAnsi"/>
              </w:rPr>
            </w:pPr>
          </w:p>
        </w:tc>
      </w:tr>
      <w:tr w:rsidR="00723E34" w:rsidRPr="00F97952" w14:paraId="38F1598F" w14:textId="77777777" w:rsidTr="00033F0E">
        <w:trPr>
          <w:trHeight w:val="524"/>
        </w:trPr>
        <w:tc>
          <w:tcPr>
            <w:tcW w:w="716" w:type="pct"/>
            <w:hideMark/>
          </w:tcPr>
          <w:p w14:paraId="0518BEF6" w14:textId="77777777" w:rsidR="00723E34" w:rsidRPr="00F97952" w:rsidRDefault="00723E34" w:rsidP="00723E34">
            <w:pPr>
              <w:rPr>
                <w:rFonts w:asciiTheme="minorHAnsi" w:hAnsiTheme="minorHAnsi"/>
              </w:rPr>
            </w:pPr>
            <w:r w:rsidRPr="00F97952">
              <w:rPr>
                <w:rFonts w:asciiTheme="minorHAnsi" w:hAnsiTheme="minorHAnsi"/>
              </w:rPr>
              <w:lastRenderedPageBreak/>
              <w:t>Chad</w:t>
            </w:r>
          </w:p>
        </w:tc>
        <w:tc>
          <w:tcPr>
            <w:tcW w:w="668" w:type="pct"/>
            <w:hideMark/>
          </w:tcPr>
          <w:p w14:paraId="2162A17C" w14:textId="77777777" w:rsidR="00723E34" w:rsidRPr="00F97952" w:rsidRDefault="00723E34" w:rsidP="00723E34">
            <w:pPr>
              <w:rPr>
                <w:rFonts w:asciiTheme="minorHAnsi" w:hAnsiTheme="minorHAnsi"/>
              </w:rPr>
            </w:pPr>
          </w:p>
        </w:tc>
        <w:tc>
          <w:tcPr>
            <w:tcW w:w="1572" w:type="pct"/>
            <w:hideMark/>
          </w:tcPr>
          <w:p w14:paraId="43D130F1" w14:textId="77777777" w:rsidR="00723E34" w:rsidRPr="00F97952" w:rsidRDefault="00723E34" w:rsidP="00723E34">
            <w:pPr>
              <w:rPr>
                <w:rFonts w:asciiTheme="minorHAnsi" w:hAnsiTheme="minorHAnsi"/>
              </w:rPr>
            </w:pPr>
            <w:r w:rsidRPr="00F97952">
              <w:rPr>
                <w:rFonts w:asciiTheme="minorHAnsi" w:hAnsiTheme="minorHAnsi"/>
              </w:rPr>
              <w:t xml:space="preserve">Minamata Convention Initial Assessment in Chad </w:t>
            </w:r>
          </w:p>
        </w:tc>
        <w:tc>
          <w:tcPr>
            <w:tcW w:w="372" w:type="pct"/>
            <w:hideMark/>
          </w:tcPr>
          <w:p w14:paraId="4B4F6A9D"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0B9D370"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4CBDD946" w14:textId="0965576C"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2A452035" w14:textId="0FD78907" w:rsidR="00723E34" w:rsidRPr="00F97952" w:rsidRDefault="00723E34" w:rsidP="00CC3636">
            <w:pPr>
              <w:jc w:val="right"/>
              <w:rPr>
                <w:rFonts w:asciiTheme="minorHAnsi" w:hAnsiTheme="minorHAnsi"/>
              </w:rPr>
            </w:pPr>
            <w:r w:rsidRPr="00F97952">
              <w:rPr>
                <w:rFonts w:asciiTheme="minorHAnsi" w:hAnsiTheme="minorHAnsi"/>
              </w:rPr>
              <w:t xml:space="preserve">78,600 </w:t>
            </w:r>
          </w:p>
        </w:tc>
      </w:tr>
      <w:tr w:rsidR="00723E34" w:rsidRPr="00F97952" w14:paraId="1206E727" w14:textId="77777777" w:rsidTr="00033F0E">
        <w:trPr>
          <w:trHeight w:val="848"/>
        </w:trPr>
        <w:tc>
          <w:tcPr>
            <w:tcW w:w="716" w:type="pct"/>
            <w:hideMark/>
          </w:tcPr>
          <w:p w14:paraId="1E05A7A8" w14:textId="77777777" w:rsidR="00723E34" w:rsidRPr="00F97952" w:rsidRDefault="00723E34" w:rsidP="00723E34">
            <w:pPr>
              <w:rPr>
                <w:rFonts w:asciiTheme="minorHAnsi" w:hAnsiTheme="minorHAnsi"/>
              </w:rPr>
            </w:pPr>
            <w:r w:rsidRPr="00F97952">
              <w:rPr>
                <w:rFonts w:asciiTheme="minorHAnsi" w:hAnsiTheme="minorHAnsi"/>
              </w:rPr>
              <w:t>Colombia</w:t>
            </w:r>
          </w:p>
        </w:tc>
        <w:tc>
          <w:tcPr>
            <w:tcW w:w="668" w:type="pct"/>
            <w:hideMark/>
          </w:tcPr>
          <w:p w14:paraId="59FD904D" w14:textId="77777777" w:rsidR="00723E34" w:rsidRPr="00F97952" w:rsidRDefault="00723E34" w:rsidP="00723E34">
            <w:pPr>
              <w:rPr>
                <w:rFonts w:asciiTheme="minorHAnsi" w:hAnsiTheme="minorHAnsi"/>
              </w:rPr>
            </w:pPr>
          </w:p>
        </w:tc>
        <w:tc>
          <w:tcPr>
            <w:tcW w:w="1572" w:type="pct"/>
            <w:hideMark/>
          </w:tcPr>
          <w:p w14:paraId="5F7E88F2"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(MIA) in the Republic of Colombia</w:t>
            </w:r>
          </w:p>
        </w:tc>
        <w:tc>
          <w:tcPr>
            <w:tcW w:w="372" w:type="pct"/>
            <w:hideMark/>
          </w:tcPr>
          <w:p w14:paraId="14589232"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4ED3952"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51F5A207" w14:textId="5AB08D42"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5755CF84" w14:textId="42281443" w:rsidR="00723E34" w:rsidRPr="00F97952" w:rsidRDefault="00723E34" w:rsidP="00CC3636">
            <w:pPr>
              <w:jc w:val="right"/>
              <w:rPr>
                <w:rFonts w:asciiTheme="minorHAnsi" w:hAnsiTheme="minorHAnsi"/>
              </w:rPr>
            </w:pPr>
            <w:r w:rsidRPr="00F97952">
              <w:rPr>
                <w:rFonts w:asciiTheme="minorHAnsi" w:hAnsiTheme="minorHAnsi"/>
              </w:rPr>
              <w:t xml:space="preserve">8,000 </w:t>
            </w:r>
          </w:p>
        </w:tc>
      </w:tr>
      <w:tr w:rsidR="00723E34" w:rsidRPr="00F97952" w14:paraId="3DBA48F9" w14:textId="77777777" w:rsidTr="00033F0E">
        <w:trPr>
          <w:trHeight w:val="1300"/>
        </w:trPr>
        <w:tc>
          <w:tcPr>
            <w:tcW w:w="716" w:type="pct"/>
            <w:hideMark/>
          </w:tcPr>
          <w:p w14:paraId="2DDE81BC" w14:textId="77777777" w:rsidR="00723E34" w:rsidRPr="00F97952" w:rsidRDefault="00723E34" w:rsidP="00723E34">
            <w:pPr>
              <w:rPr>
                <w:rFonts w:asciiTheme="minorHAnsi" w:hAnsiTheme="minorHAnsi"/>
              </w:rPr>
            </w:pPr>
            <w:r w:rsidRPr="00F97952">
              <w:rPr>
                <w:rFonts w:asciiTheme="minorHAnsi" w:hAnsiTheme="minorHAnsi"/>
              </w:rPr>
              <w:t>Congo DR</w:t>
            </w:r>
          </w:p>
        </w:tc>
        <w:tc>
          <w:tcPr>
            <w:tcW w:w="668" w:type="pct"/>
            <w:hideMark/>
          </w:tcPr>
          <w:p w14:paraId="4C23D679" w14:textId="77777777" w:rsidR="00723E34" w:rsidRPr="00F97952" w:rsidRDefault="00723E34" w:rsidP="00723E34">
            <w:pPr>
              <w:rPr>
                <w:rFonts w:asciiTheme="minorHAnsi" w:hAnsiTheme="minorHAnsi"/>
              </w:rPr>
            </w:pPr>
          </w:p>
        </w:tc>
        <w:tc>
          <w:tcPr>
            <w:tcW w:w="1572" w:type="pct"/>
            <w:hideMark/>
          </w:tcPr>
          <w:p w14:paraId="7653D2D4" w14:textId="4D753300"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National Action Plan for Artisanal and </w:t>
            </w:r>
            <w:r w:rsidR="00F14984" w:rsidRPr="00F97952">
              <w:rPr>
                <w:rFonts w:asciiTheme="minorHAnsi" w:hAnsiTheme="minorHAnsi"/>
              </w:rPr>
              <w:t>Small-Scale</w:t>
            </w:r>
            <w:r w:rsidRPr="00F97952">
              <w:rPr>
                <w:rFonts w:asciiTheme="minorHAnsi" w:hAnsiTheme="minorHAnsi"/>
              </w:rPr>
              <w:t xml:space="preserve"> Gold Mining in Democratic Republic of Congo (DRC)</w:t>
            </w:r>
          </w:p>
        </w:tc>
        <w:tc>
          <w:tcPr>
            <w:tcW w:w="372" w:type="pct"/>
            <w:hideMark/>
          </w:tcPr>
          <w:p w14:paraId="08CC1105"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17B5A5FD"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6A33673" w14:textId="2432755F"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4E6CC47A" w14:textId="77777777" w:rsidR="00723E34" w:rsidRPr="00F97952" w:rsidRDefault="00723E34" w:rsidP="00CC3636">
            <w:pPr>
              <w:jc w:val="right"/>
              <w:rPr>
                <w:rFonts w:asciiTheme="minorHAnsi" w:hAnsiTheme="minorHAnsi"/>
              </w:rPr>
            </w:pPr>
          </w:p>
        </w:tc>
      </w:tr>
      <w:tr w:rsidR="00723E34" w:rsidRPr="00F97952" w14:paraId="11E73B72" w14:textId="77777777" w:rsidTr="00033F0E">
        <w:trPr>
          <w:trHeight w:val="632"/>
        </w:trPr>
        <w:tc>
          <w:tcPr>
            <w:tcW w:w="716" w:type="pct"/>
            <w:hideMark/>
          </w:tcPr>
          <w:p w14:paraId="2E8E4B54" w14:textId="77777777" w:rsidR="00723E34" w:rsidRPr="00F97952" w:rsidRDefault="00723E34" w:rsidP="00723E34">
            <w:pPr>
              <w:rPr>
                <w:rFonts w:asciiTheme="minorHAnsi" w:hAnsiTheme="minorHAnsi"/>
              </w:rPr>
            </w:pPr>
            <w:r w:rsidRPr="00F97952">
              <w:rPr>
                <w:rFonts w:asciiTheme="minorHAnsi" w:hAnsiTheme="minorHAnsi"/>
              </w:rPr>
              <w:t>Djibouti</w:t>
            </w:r>
          </w:p>
        </w:tc>
        <w:tc>
          <w:tcPr>
            <w:tcW w:w="668" w:type="pct"/>
            <w:hideMark/>
          </w:tcPr>
          <w:p w14:paraId="23ECAB50" w14:textId="77777777" w:rsidR="00723E34" w:rsidRPr="00F97952" w:rsidRDefault="00723E34" w:rsidP="00723E34">
            <w:pPr>
              <w:rPr>
                <w:rFonts w:asciiTheme="minorHAnsi" w:hAnsiTheme="minorHAnsi"/>
              </w:rPr>
            </w:pPr>
          </w:p>
        </w:tc>
        <w:tc>
          <w:tcPr>
            <w:tcW w:w="1572" w:type="pct"/>
            <w:hideMark/>
          </w:tcPr>
          <w:p w14:paraId="212B143B" w14:textId="77777777" w:rsidR="00723E34" w:rsidRPr="00F97952" w:rsidRDefault="00723E34" w:rsidP="00723E34">
            <w:pPr>
              <w:rPr>
                <w:rFonts w:asciiTheme="minorHAnsi" w:hAnsiTheme="minorHAnsi"/>
              </w:rPr>
            </w:pPr>
            <w:r w:rsidRPr="00F97952">
              <w:rPr>
                <w:rFonts w:asciiTheme="minorHAnsi" w:hAnsiTheme="minorHAnsi"/>
              </w:rPr>
              <w:t>Development of a Minamata Initial Assessment in Djibouti</w:t>
            </w:r>
          </w:p>
        </w:tc>
        <w:tc>
          <w:tcPr>
            <w:tcW w:w="372" w:type="pct"/>
            <w:hideMark/>
          </w:tcPr>
          <w:p w14:paraId="0CB3D56E"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6A0FA710"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24508FCB" w14:textId="3ECD8658"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41A92B19" w14:textId="77777777" w:rsidR="00723E34" w:rsidRPr="00F97952" w:rsidRDefault="00723E34" w:rsidP="00CC3636">
            <w:pPr>
              <w:jc w:val="right"/>
              <w:rPr>
                <w:rFonts w:asciiTheme="minorHAnsi" w:hAnsiTheme="minorHAnsi"/>
              </w:rPr>
            </w:pPr>
          </w:p>
        </w:tc>
      </w:tr>
      <w:tr w:rsidR="00723E34" w:rsidRPr="00F97952" w14:paraId="3761FFD0" w14:textId="77777777" w:rsidTr="00033F0E">
        <w:trPr>
          <w:trHeight w:val="920"/>
        </w:trPr>
        <w:tc>
          <w:tcPr>
            <w:tcW w:w="716" w:type="pct"/>
            <w:hideMark/>
          </w:tcPr>
          <w:p w14:paraId="6EE04453" w14:textId="77777777" w:rsidR="00723E34" w:rsidRPr="00F97952" w:rsidRDefault="00723E34" w:rsidP="00723E34">
            <w:pPr>
              <w:rPr>
                <w:rFonts w:asciiTheme="minorHAnsi" w:hAnsiTheme="minorHAnsi"/>
              </w:rPr>
            </w:pPr>
            <w:r w:rsidRPr="00F97952">
              <w:rPr>
                <w:rFonts w:asciiTheme="minorHAnsi" w:hAnsiTheme="minorHAnsi"/>
              </w:rPr>
              <w:t>Ecuador</w:t>
            </w:r>
          </w:p>
        </w:tc>
        <w:tc>
          <w:tcPr>
            <w:tcW w:w="668" w:type="pct"/>
            <w:hideMark/>
          </w:tcPr>
          <w:p w14:paraId="2CAA2209" w14:textId="77777777" w:rsidR="00723E34" w:rsidRPr="00F97952" w:rsidRDefault="00723E34" w:rsidP="00723E34">
            <w:pPr>
              <w:rPr>
                <w:rFonts w:asciiTheme="minorHAnsi" w:hAnsiTheme="minorHAnsi"/>
              </w:rPr>
            </w:pPr>
          </w:p>
        </w:tc>
        <w:tc>
          <w:tcPr>
            <w:tcW w:w="1572" w:type="pct"/>
            <w:hideMark/>
          </w:tcPr>
          <w:p w14:paraId="10A074B7"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Artisanal and Small-Scale Gold Mining Sector in Ecuador</w:t>
            </w:r>
          </w:p>
        </w:tc>
        <w:tc>
          <w:tcPr>
            <w:tcW w:w="372" w:type="pct"/>
            <w:hideMark/>
          </w:tcPr>
          <w:p w14:paraId="76AA5317"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7F42858C"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45BE406B" w14:textId="6DA7A6B9"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2EBA2D20" w14:textId="53B3EF5B" w:rsidR="00723E34" w:rsidRPr="00F97952" w:rsidRDefault="00723E34" w:rsidP="00CC3636">
            <w:pPr>
              <w:jc w:val="right"/>
              <w:rPr>
                <w:rFonts w:asciiTheme="minorHAnsi" w:hAnsiTheme="minorHAnsi"/>
              </w:rPr>
            </w:pPr>
            <w:r w:rsidRPr="00F97952">
              <w:rPr>
                <w:rFonts w:asciiTheme="minorHAnsi" w:hAnsiTheme="minorHAnsi"/>
              </w:rPr>
              <w:t xml:space="preserve">81,000 </w:t>
            </w:r>
          </w:p>
        </w:tc>
      </w:tr>
      <w:tr w:rsidR="00723E34" w:rsidRPr="00F97952" w14:paraId="01A3E0C3" w14:textId="77777777" w:rsidTr="00033F0E">
        <w:trPr>
          <w:trHeight w:val="695"/>
        </w:trPr>
        <w:tc>
          <w:tcPr>
            <w:tcW w:w="716" w:type="pct"/>
            <w:hideMark/>
          </w:tcPr>
          <w:p w14:paraId="459FAA93" w14:textId="77777777" w:rsidR="00723E34" w:rsidRPr="00F97952" w:rsidRDefault="00723E34" w:rsidP="00723E34">
            <w:pPr>
              <w:rPr>
                <w:rFonts w:asciiTheme="minorHAnsi" w:hAnsiTheme="minorHAnsi"/>
              </w:rPr>
            </w:pPr>
            <w:r w:rsidRPr="00F97952">
              <w:rPr>
                <w:rFonts w:asciiTheme="minorHAnsi" w:hAnsiTheme="minorHAnsi"/>
              </w:rPr>
              <w:t>El Salvador</w:t>
            </w:r>
          </w:p>
        </w:tc>
        <w:tc>
          <w:tcPr>
            <w:tcW w:w="668" w:type="pct"/>
            <w:hideMark/>
          </w:tcPr>
          <w:p w14:paraId="195FA558" w14:textId="77777777" w:rsidR="00723E34" w:rsidRPr="00F97952" w:rsidRDefault="00723E34" w:rsidP="00723E34">
            <w:pPr>
              <w:rPr>
                <w:rFonts w:asciiTheme="minorHAnsi" w:hAnsiTheme="minorHAnsi"/>
              </w:rPr>
            </w:pPr>
          </w:p>
        </w:tc>
        <w:tc>
          <w:tcPr>
            <w:tcW w:w="1572" w:type="pct"/>
            <w:hideMark/>
          </w:tcPr>
          <w:p w14:paraId="6E66137D" w14:textId="77777777" w:rsidR="00723E34" w:rsidRPr="00F97952" w:rsidRDefault="00723E34" w:rsidP="00723E34">
            <w:pPr>
              <w:rPr>
                <w:rFonts w:asciiTheme="minorHAnsi" w:hAnsiTheme="minorHAnsi"/>
              </w:rPr>
            </w:pPr>
            <w:r w:rsidRPr="00F97952">
              <w:rPr>
                <w:rFonts w:asciiTheme="minorHAnsi" w:hAnsiTheme="minorHAnsi"/>
              </w:rPr>
              <w:t>Development of a Minamata Initial Assessment in El Salvador</w:t>
            </w:r>
          </w:p>
        </w:tc>
        <w:tc>
          <w:tcPr>
            <w:tcW w:w="372" w:type="pct"/>
            <w:hideMark/>
          </w:tcPr>
          <w:p w14:paraId="5D06A17D"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626E14A5"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08475DA1" w14:textId="38F2627B"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34DF9D57" w14:textId="77777777" w:rsidR="00723E34" w:rsidRPr="00F97952" w:rsidRDefault="00723E34" w:rsidP="00CC3636">
            <w:pPr>
              <w:jc w:val="right"/>
              <w:rPr>
                <w:rFonts w:asciiTheme="minorHAnsi" w:hAnsiTheme="minorHAnsi"/>
              </w:rPr>
            </w:pPr>
          </w:p>
        </w:tc>
      </w:tr>
      <w:tr w:rsidR="00723E34" w:rsidRPr="00F97952" w14:paraId="4D916C8A" w14:textId="77777777" w:rsidTr="00033F0E">
        <w:trPr>
          <w:trHeight w:val="980"/>
        </w:trPr>
        <w:tc>
          <w:tcPr>
            <w:tcW w:w="716" w:type="pct"/>
            <w:hideMark/>
          </w:tcPr>
          <w:p w14:paraId="06F23744" w14:textId="77777777" w:rsidR="00723E34" w:rsidRPr="00F97952" w:rsidRDefault="00723E34" w:rsidP="00723E34">
            <w:pPr>
              <w:rPr>
                <w:rFonts w:asciiTheme="minorHAnsi" w:hAnsiTheme="minorHAnsi"/>
              </w:rPr>
            </w:pPr>
            <w:r w:rsidRPr="00F97952">
              <w:rPr>
                <w:rFonts w:asciiTheme="minorHAnsi" w:hAnsiTheme="minorHAnsi"/>
              </w:rPr>
              <w:t>Eritrea</w:t>
            </w:r>
          </w:p>
        </w:tc>
        <w:tc>
          <w:tcPr>
            <w:tcW w:w="668" w:type="pct"/>
            <w:hideMark/>
          </w:tcPr>
          <w:p w14:paraId="153ED571" w14:textId="77777777" w:rsidR="00723E34" w:rsidRPr="00F97952" w:rsidRDefault="00723E34" w:rsidP="00723E34">
            <w:pPr>
              <w:rPr>
                <w:rFonts w:asciiTheme="minorHAnsi" w:hAnsiTheme="minorHAnsi"/>
              </w:rPr>
            </w:pPr>
          </w:p>
        </w:tc>
        <w:tc>
          <w:tcPr>
            <w:tcW w:w="1572" w:type="pct"/>
            <w:hideMark/>
          </w:tcPr>
          <w:p w14:paraId="5A40345A" w14:textId="5FC1A5BB"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National Action Plan for Artisanal and </w:t>
            </w:r>
            <w:r w:rsidR="00F14984" w:rsidRPr="00F97952">
              <w:rPr>
                <w:rFonts w:asciiTheme="minorHAnsi" w:hAnsiTheme="minorHAnsi"/>
              </w:rPr>
              <w:t>Small-Scale</w:t>
            </w:r>
            <w:r w:rsidRPr="00F97952">
              <w:rPr>
                <w:rFonts w:asciiTheme="minorHAnsi" w:hAnsiTheme="minorHAnsi"/>
              </w:rPr>
              <w:t xml:space="preserve"> Gold Mining in Eritrea</w:t>
            </w:r>
          </w:p>
        </w:tc>
        <w:tc>
          <w:tcPr>
            <w:tcW w:w="372" w:type="pct"/>
            <w:hideMark/>
          </w:tcPr>
          <w:p w14:paraId="6C254B5A"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6DC8BE5E"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20D688EE" w14:textId="45B8DC27"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614FCDA7" w14:textId="77777777" w:rsidR="00723E34" w:rsidRPr="00F97952" w:rsidRDefault="00723E34" w:rsidP="00CC3636">
            <w:pPr>
              <w:jc w:val="right"/>
              <w:rPr>
                <w:rFonts w:asciiTheme="minorHAnsi" w:hAnsiTheme="minorHAnsi"/>
              </w:rPr>
            </w:pPr>
          </w:p>
        </w:tc>
      </w:tr>
      <w:tr w:rsidR="00723E34" w:rsidRPr="00F97952" w14:paraId="1D59B6B8" w14:textId="77777777" w:rsidTr="00033F0E">
        <w:trPr>
          <w:trHeight w:val="857"/>
        </w:trPr>
        <w:tc>
          <w:tcPr>
            <w:tcW w:w="716" w:type="pct"/>
            <w:hideMark/>
          </w:tcPr>
          <w:p w14:paraId="5EFDC10C" w14:textId="77777777" w:rsidR="00723E34" w:rsidRPr="00F97952" w:rsidRDefault="00723E34" w:rsidP="00723E34">
            <w:pPr>
              <w:rPr>
                <w:rFonts w:asciiTheme="minorHAnsi" w:hAnsiTheme="minorHAnsi"/>
              </w:rPr>
            </w:pPr>
            <w:r w:rsidRPr="00F97952">
              <w:rPr>
                <w:rFonts w:asciiTheme="minorHAnsi" w:hAnsiTheme="minorHAnsi"/>
              </w:rPr>
              <w:t>Gabon</w:t>
            </w:r>
          </w:p>
        </w:tc>
        <w:tc>
          <w:tcPr>
            <w:tcW w:w="668" w:type="pct"/>
            <w:hideMark/>
          </w:tcPr>
          <w:p w14:paraId="47E3DE2C" w14:textId="77777777" w:rsidR="00723E34" w:rsidRPr="00F97952" w:rsidRDefault="00723E34" w:rsidP="00723E34">
            <w:pPr>
              <w:rPr>
                <w:rFonts w:asciiTheme="minorHAnsi" w:hAnsiTheme="minorHAnsi"/>
              </w:rPr>
            </w:pPr>
          </w:p>
        </w:tc>
        <w:tc>
          <w:tcPr>
            <w:tcW w:w="1572" w:type="pct"/>
            <w:hideMark/>
          </w:tcPr>
          <w:p w14:paraId="23D75F8F"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Artisanal and Small-Scale Gold Mining sector in Gabon</w:t>
            </w:r>
          </w:p>
        </w:tc>
        <w:tc>
          <w:tcPr>
            <w:tcW w:w="372" w:type="pct"/>
            <w:hideMark/>
          </w:tcPr>
          <w:p w14:paraId="1879AC98"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0EDF0D2D"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6257BFD4" w14:textId="5FE2AB58"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5B6719E8" w14:textId="15D42D62" w:rsidR="00723E34" w:rsidRPr="00F97952" w:rsidRDefault="00723E34" w:rsidP="00CC3636">
            <w:pPr>
              <w:jc w:val="right"/>
              <w:rPr>
                <w:rFonts w:asciiTheme="minorHAnsi" w:hAnsiTheme="minorHAnsi"/>
              </w:rPr>
            </w:pPr>
            <w:r w:rsidRPr="00F97952">
              <w:rPr>
                <w:rFonts w:asciiTheme="minorHAnsi" w:hAnsiTheme="minorHAnsi"/>
              </w:rPr>
              <w:t xml:space="preserve">161,000 </w:t>
            </w:r>
          </w:p>
        </w:tc>
      </w:tr>
      <w:tr w:rsidR="00723E34" w:rsidRPr="00F97952" w14:paraId="687CDFD8" w14:textId="77777777" w:rsidTr="00033F0E">
        <w:trPr>
          <w:trHeight w:val="596"/>
        </w:trPr>
        <w:tc>
          <w:tcPr>
            <w:tcW w:w="716" w:type="pct"/>
            <w:hideMark/>
          </w:tcPr>
          <w:p w14:paraId="15C377BB" w14:textId="77777777" w:rsidR="00723E34" w:rsidRPr="00F97952" w:rsidRDefault="00723E34" w:rsidP="00723E34">
            <w:pPr>
              <w:rPr>
                <w:rFonts w:asciiTheme="minorHAnsi" w:hAnsiTheme="minorHAnsi"/>
              </w:rPr>
            </w:pPr>
            <w:r w:rsidRPr="00F97952">
              <w:rPr>
                <w:rFonts w:asciiTheme="minorHAnsi" w:hAnsiTheme="minorHAnsi"/>
              </w:rPr>
              <w:t>Ghana</w:t>
            </w:r>
          </w:p>
        </w:tc>
        <w:tc>
          <w:tcPr>
            <w:tcW w:w="668" w:type="pct"/>
            <w:hideMark/>
          </w:tcPr>
          <w:p w14:paraId="06D4EDF8" w14:textId="77777777" w:rsidR="00723E34" w:rsidRPr="00F97952" w:rsidRDefault="00723E34" w:rsidP="00723E34">
            <w:pPr>
              <w:rPr>
                <w:rFonts w:asciiTheme="minorHAnsi" w:hAnsiTheme="minorHAnsi"/>
              </w:rPr>
            </w:pPr>
          </w:p>
        </w:tc>
        <w:tc>
          <w:tcPr>
            <w:tcW w:w="1572" w:type="pct"/>
            <w:hideMark/>
          </w:tcPr>
          <w:p w14:paraId="472965B8" w14:textId="77777777" w:rsidR="00723E34" w:rsidRPr="00F97952" w:rsidRDefault="00723E34" w:rsidP="00723E34">
            <w:pPr>
              <w:rPr>
                <w:rFonts w:asciiTheme="minorHAnsi" w:hAnsiTheme="minorHAnsi"/>
              </w:rPr>
            </w:pPr>
            <w:r w:rsidRPr="00F97952">
              <w:rPr>
                <w:rFonts w:asciiTheme="minorHAnsi" w:hAnsiTheme="minorHAnsi"/>
              </w:rPr>
              <w:t xml:space="preserve">Development of Minamata Convention Initial Assessment (MIA) for Ghana </w:t>
            </w:r>
          </w:p>
        </w:tc>
        <w:tc>
          <w:tcPr>
            <w:tcW w:w="372" w:type="pct"/>
            <w:hideMark/>
          </w:tcPr>
          <w:p w14:paraId="1A301837"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21DBDB0"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2AC8A938" w14:textId="22FFDC04"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6F1089A1" w14:textId="77777777" w:rsidR="00723E34" w:rsidRPr="00F97952" w:rsidRDefault="00723E34" w:rsidP="00CC3636">
            <w:pPr>
              <w:jc w:val="right"/>
              <w:rPr>
                <w:rFonts w:asciiTheme="minorHAnsi" w:hAnsiTheme="minorHAnsi"/>
              </w:rPr>
            </w:pPr>
          </w:p>
        </w:tc>
      </w:tr>
      <w:tr w:rsidR="00723E34" w:rsidRPr="00F97952" w14:paraId="70FFB73E" w14:textId="77777777" w:rsidTr="00033F0E">
        <w:trPr>
          <w:trHeight w:val="983"/>
        </w:trPr>
        <w:tc>
          <w:tcPr>
            <w:tcW w:w="716" w:type="pct"/>
            <w:hideMark/>
          </w:tcPr>
          <w:p w14:paraId="19A45323" w14:textId="77777777" w:rsidR="00723E34" w:rsidRPr="00F97952" w:rsidRDefault="00723E34" w:rsidP="00723E34">
            <w:pPr>
              <w:rPr>
                <w:rFonts w:asciiTheme="minorHAnsi" w:hAnsiTheme="minorHAnsi"/>
              </w:rPr>
            </w:pPr>
            <w:r w:rsidRPr="00F97952">
              <w:rPr>
                <w:rFonts w:asciiTheme="minorHAnsi" w:hAnsiTheme="minorHAnsi"/>
              </w:rPr>
              <w:t>Ghana</w:t>
            </w:r>
          </w:p>
        </w:tc>
        <w:tc>
          <w:tcPr>
            <w:tcW w:w="668" w:type="pct"/>
            <w:hideMark/>
          </w:tcPr>
          <w:p w14:paraId="50162E3F" w14:textId="77777777" w:rsidR="00723E34" w:rsidRPr="00F97952" w:rsidRDefault="00723E34" w:rsidP="00723E34">
            <w:pPr>
              <w:rPr>
                <w:rFonts w:asciiTheme="minorHAnsi" w:hAnsiTheme="minorHAnsi"/>
              </w:rPr>
            </w:pPr>
          </w:p>
        </w:tc>
        <w:tc>
          <w:tcPr>
            <w:tcW w:w="1572" w:type="pct"/>
            <w:hideMark/>
          </w:tcPr>
          <w:p w14:paraId="53A0BC9F"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Artisanal and Small-scale Gold Mining Sector in Ghana</w:t>
            </w:r>
          </w:p>
        </w:tc>
        <w:tc>
          <w:tcPr>
            <w:tcW w:w="372" w:type="pct"/>
            <w:hideMark/>
          </w:tcPr>
          <w:p w14:paraId="58710AAF"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03B3BD23"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3547D9D7" w14:textId="4CA83A34"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207CDB8F" w14:textId="42B3B206" w:rsidR="00723E34" w:rsidRPr="00F97952" w:rsidRDefault="00723E34" w:rsidP="00CC3636">
            <w:pPr>
              <w:jc w:val="right"/>
              <w:rPr>
                <w:rFonts w:asciiTheme="minorHAnsi" w:hAnsiTheme="minorHAnsi"/>
              </w:rPr>
            </w:pPr>
            <w:r w:rsidRPr="00F97952">
              <w:rPr>
                <w:rFonts w:asciiTheme="minorHAnsi" w:hAnsiTheme="minorHAnsi"/>
              </w:rPr>
              <w:t xml:space="preserve">55,250 </w:t>
            </w:r>
          </w:p>
        </w:tc>
      </w:tr>
      <w:tr w:rsidR="00723E34" w:rsidRPr="00F97952" w14:paraId="65B5EAE1" w14:textId="77777777" w:rsidTr="00033F0E">
        <w:trPr>
          <w:trHeight w:val="1520"/>
        </w:trPr>
        <w:tc>
          <w:tcPr>
            <w:tcW w:w="716" w:type="pct"/>
            <w:hideMark/>
          </w:tcPr>
          <w:p w14:paraId="1D25AB81" w14:textId="77777777" w:rsidR="00723E34" w:rsidRPr="00F97952" w:rsidRDefault="00723E34" w:rsidP="00723E34">
            <w:pPr>
              <w:rPr>
                <w:rFonts w:asciiTheme="minorHAnsi" w:hAnsiTheme="minorHAnsi"/>
              </w:rPr>
            </w:pPr>
            <w:r w:rsidRPr="00F97952">
              <w:rPr>
                <w:rFonts w:asciiTheme="minorHAnsi" w:hAnsiTheme="minorHAnsi"/>
              </w:rPr>
              <w:lastRenderedPageBreak/>
              <w:t>Global</w:t>
            </w:r>
          </w:p>
        </w:tc>
        <w:tc>
          <w:tcPr>
            <w:tcW w:w="668" w:type="pct"/>
            <w:hideMark/>
          </w:tcPr>
          <w:p w14:paraId="49312F95" w14:textId="77777777" w:rsidR="00723E34" w:rsidRPr="0018028C" w:rsidRDefault="00723E34" w:rsidP="00723E34">
            <w:pPr>
              <w:rPr>
                <w:rFonts w:asciiTheme="minorHAnsi" w:hAnsiTheme="minorHAnsi"/>
                <w:lang w:val="fr-FR"/>
              </w:rPr>
            </w:pPr>
            <w:r w:rsidRPr="0018028C">
              <w:rPr>
                <w:rFonts w:asciiTheme="minorHAnsi" w:hAnsiTheme="minorHAnsi"/>
                <w:lang w:val="fr-FR"/>
              </w:rPr>
              <w:t xml:space="preserve">Bangladesh, </w:t>
            </w:r>
            <w:proofErr w:type="spellStart"/>
            <w:r w:rsidRPr="0018028C">
              <w:rPr>
                <w:rFonts w:asciiTheme="minorHAnsi" w:hAnsiTheme="minorHAnsi"/>
                <w:lang w:val="fr-FR"/>
              </w:rPr>
              <w:t>Guinea-Bissau</w:t>
            </w:r>
            <w:proofErr w:type="spellEnd"/>
            <w:r w:rsidRPr="0018028C">
              <w:rPr>
                <w:rFonts w:asciiTheme="minorHAnsi" w:hAnsiTheme="minorHAnsi"/>
                <w:lang w:val="fr-FR"/>
              </w:rPr>
              <w:t xml:space="preserve">, </w:t>
            </w:r>
            <w:proofErr w:type="spellStart"/>
            <w:r w:rsidRPr="0018028C">
              <w:rPr>
                <w:rFonts w:asciiTheme="minorHAnsi" w:hAnsiTheme="minorHAnsi"/>
                <w:lang w:val="fr-FR"/>
              </w:rPr>
              <w:t>Mauritania</w:t>
            </w:r>
            <w:proofErr w:type="spellEnd"/>
            <w:r w:rsidRPr="0018028C">
              <w:rPr>
                <w:rFonts w:asciiTheme="minorHAnsi" w:hAnsiTheme="minorHAnsi"/>
                <w:lang w:val="fr-FR"/>
              </w:rPr>
              <w:t>, Mozambique, Samoa</w:t>
            </w:r>
          </w:p>
        </w:tc>
        <w:tc>
          <w:tcPr>
            <w:tcW w:w="1572" w:type="pct"/>
            <w:hideMark/>
          </w:tcPr>
          <w:p w14:paraId="06A22B29" w14:textId="77777777" w:rsidR="00723E34" w:rsidRPr="00F97952" w:rsidRDefault="00723E34" w:rsidP="00723E34">
            <w:pPr>
              <w:rPr>
                <w:rFonts w:asciiTheme="minorHAnsi" w:hAnsiTheme="minorHAnsi"/>
              </w:rPr>
            </w:pPr>
            <w:r w:rsidRPr="00F97952">
              <w:rPr>
                <w:rFonts w:asciiTheme="minorHAnsi" w:hAnsiTheme="minorHAnsi"/>
              </w:rPr>
              <w:t>Strengthen national decision making towards ratification of the Minamata Convention and build capacity towards implementation of future provisions</w:t>
            </w:r>
          </w:p>
        </w:tc>
        <w:tc>
          <w:tcPr>
            <w:tcW w:w="372" w:type="pct"/>
            <w:hideMark/>
          </w:tcPr>
          <w:p w14:paraId="165E6EAE"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FC8D830"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6C0070EF" w14:textId="02C16C45"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67F96573" w14:textId="77777777" w:rsidR="00723E34" w:rsidRPr="00F97952" w:rsidRDefault="00723E34" w:rsidP="00CC3636">
            <w:pPr>
              <w:jc w:val="right"/>
              <w:rPr>
                <w:rFonts w:asciiTheme="minorHAnsi" w:hAnsiTheme="minorHAnsi"/>
              </w:rPr>
            </w:pPr>
          </w:p>
        </w:tc>
      </w:tr>
      <w:tr w:rsidR="00723E34" w:rsidRPr="00F97952" w14:paraId="5B0EFF0C" w14:textId="77777777" w:rsidTr="00033F0E">
        <w:trPr>
          <w:trHeight w:val="650"/>
        </w:trPr>
        <w:tc>
          <w:tcPr>
            <w:tcW w:w="716" w:type="pct"/>
            <w:hideMark/>
          </w:tcPr>
          <w:p w14:paraId="0F00AE7B" w14:textId="77777777" w:rsidR="00723E34" w:rsidRPr="00F97952" w:rsidRDefault="00723E34" w:rsidP="00723E34">
            <w:pPr>
              <w:rPr>
                <w:rFonts w:asciiTheme="minorHAnsi" w:hAnsiTheme="minorHAnsi"/>
              </w:rPr>
            </w:pPr>
            <w:r w:rsidRPr="00F97952">
              <w:rPr>
                <w:rFonts w:asciiTheme="minorHAnsi" w:hAnsiTheme="minorHAnsi"/>
              </w:rPr>
              <w:t>Guatemala</w:t>
            </w:r>
          </w:p>
        </w:tc>
        <w:tc>
          <w:tcPr>
            <w:tcW w:w="668" w:type="pct"/>
            <w:hideMark/>
          </w:tcPr>
          <w:p w14:paraId="28325803" w14:textId="77777777" w:rsidR="00723E34" w:rsidRPr="00F97952" w:rsidRDefault="00723E34" w:rsidP="00723E34">
            <w:pPr>
              <w:rPr>
                <w:rFonts w:asciiTheme="minorHAnsi" w:hAnsiTheme="minorHAnsi"/>
              </w:rPr>
            </w:pPr>
          </w:p>
        </w:tc>
        <w:tc>
          <w:tcPr>
            <w:tcW w:w="1572" w:type="pct"/>
            <w:hideMark/>
          </w:tcPr>
          <w:p w14:paraId="477C3649" w14:textId="77777777" w:rsidR="00723E34" w:rsidRPr="00F97952" w:rsidRDefault="00723E34" w:rsidP="00723E34">
            <w:pPr>
              <w:rPr>
                <w:rFonts w:asciiTheme="minorHAnsi" w:hAnsiTheme="minorHAnsi"/>
              </w:rPr>
            </w:pPr>
            <w:r w:rsidRPr="00F97952">
              <w:rPr>
                <w:rFonts w:asciiTheme="minorHAnsi" w:hAnsiTheme="minorHAnsi"/>
              </w:rPr>
              <w:t xml:space="preserve">Minamata Convention: Initial Assessment in Guatemala      </w:t>
            </w:r>
          </w:p>
        </w:tc>
        <w:tc>
          <w:tcPr>
            <w:tcW w:w="372" w:type="pct"/>
            <w:hideMark/>
          </w:tcPr>
          <w:p w14:paraId="033B5C00"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745186F"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03828AF3" w14:textId="51634F9C"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42192E38" w14:textId="69F1E485" w:rsidR="00723E34" w:rsidRPr="00F97952" w:rsidRDefault="00723E34" w:rsidP="00CC3636">
            <w:pPr>
              <w:jc w:val="right"/>
              <w:rPr>
                <w:rFonts w:asciiTheme="minorHAnsi" w:hAnsiTheme="minorHAnsi"/>
              </w:rPr>
            </w:pPr>
            <w:r w:rsidRPr="00F97952">
              <w:rPr>
                <w:rFonts w:asciiTheme="minorHAnsi" w:hAnsiTheme="minorHAnsi"/>
              </w:rPr>
              <w:t xml:space="preserve">78,600 </w:t>
            </w:r>
          </w:p>
        </w:tc>
      </w:tr>
      <w:tr w:rsidR="00723E34" w:rsidRPr="00F97952" w14:paraId="2BA03929" w14:textId="77777777" w:rsidTr="00033F0E">
        <w:trPr>
          <w:trHeight w:val="620"/>
        </w:trPr>
        <w:tc>
          <w:tcPr>
            <w:tcW w:w="716" w:type="pct"/>
            <w:hideMark/>
          </w:tcPr>
          <w:p w14:paraId="695B4DFE" w14:textId="77777777" w:rsidR="00723E34" w:rsidRPr="00F97952" w:rsidRDefault="00723E34" w:rsidP="00723E34">
            <w:pPr>
              <w:rPr>
                <w:rFonts w:asciiTheme="minorHAnsi" w:hAnsiTheme="minorHAnsi"/>
              </w:rPr>
            </w:pPr>
            <w:r w:rsidRPr="00F97952">
              <w:rPr>
                <w:rFonts w:asciiTheme="minorHAnsi" w:hAnsiTheme="minorHAnsi"/>
              </w:rPr>
              <w:t>Guyana</w:t>
            </w:r>
          </w:p>
        </w:tc>
        <w:tc>
          <w:tcPr>
            <w:tcW w:w="668" w:type="pct"/>
            <w:hideMark/>
          </w:tcPr>
          <w:p w14:paraId="6ECBF2EB" w14:textId="77777777" w:rsidR="00723E34" w:rsidRPr="00F97952" w:rsidRDefault="00723E34" w:rsidP="00723E34">
            <w:pPr>
              <w:rPr>
                <w:rFonts w:asciiTheme="minorHAnsi" w:hAnsiTheme="minorHAnsi"/>
              </w:rPr>
            </w:pPr>
          </w:p>
        </w:tc>
        <w:tc>
          <w:tcPr>
            <w:tcW w:w="1572" w:type="pct"/>
            <w:hideMark/>
          </w:tcPr>
          <w:p w14:paraId="42428EA6" w14:textId="77777777" w:rsidR="00723E34" w:rsidRPr="00F97952" w:rsidRDefault="00723E34" w:rsidP="00723E34">
            <w:pPr>
              <w:rPr>
                <w:rFonts w:asciiTheme="minorHAnsi" w:hAnsiTheme="minorHAnsi"/>
              </w:rPr>
            </w:pPr>
            <w:r w:rsidRPr="00F97952">
              <w:rPr>
                <w:rFonts w:asciiTheme="minorHAnsi" w:hAnsiTheme="minorHAnsi"/>
              </w:rPr>
              <w:t>Minamata Initial Assessment for Guyana</w:t>
            </w:r>
          </w:p>
        </w:tc>
        <w:tc>
          <w:tcPr>
            <w:tcW w:w="372" w:type="pct"/>
            <w:hideMark/>
          </w:tcPr>
          <w:p w14:paraId="0E674DD3"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C215120"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390FFE0A" w14:textId="7FD8B2C8"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35918B78" w14:textId="77777777" w:rsidR="00723E34" w:rsidRPr="00F97952" w:rsidRDefault="00723E34" w:rsidP="00CC3636">
            <w:pPr>
              <w:jc w:val="right"/>
              <w:rPr>
                <w:rFonts w:asciiTheme="minorHAnsi" w:hAnsiTheme="minorHAnsi"/>
              </w:rPr>
            </w:pPr>
          </w:p>
        </w:tc>
      </w:tr>
      <w:tr w:rsidR="00723E34" w:rsidRPr="00F97952" w14:paraId="6D254A96" w14:textId="77777777" w:rsidTr="00033F0E">
        <w:trPr>
          <w:trHeight w:val="980"/>
        </w:trPr>
        <w:tc>
          <w:tcPr>
            <w:tcW w:w="716" w:type="pct"/>
            <w:hideMark/>
          </w:tcPr>
          <w:p w14:paraId="3CBDA712" w14:textId="77777777" w:rsidR="00723E34" w:rsidRPr="00F97952" w:rsidRDefault="00723E34" w:rsidP="00723E34">
            <w:pPr>
              <w:rPr>
                <w:rFonts w:asciiTheme="minorHAnsi" w:hAnsiTheme="minorHAnsi"/>
              </w:rPr>
            </w:pPr>
            <w:r w:rsidRPr="00F97952">
              <w:rPr>
                <w:rFonts w:asciiTheme="minorHAnsi" w:hAnsiTheme="minorHAnsi"/>
              </w:rPr>
              <w:t>Honduras</w:t>
            </w:r>
          </w:p>
        </w:tc>
        <w:tc>
          <w:tcPr>
            <w:tcW w:w="668" w:type="pct"/>
            <w:hideMark/>
          </w:tcPr>
          <w:p w14:paraId="52BF3AD3" w14:textId="77777777" w:rsidR="00723E34" w:rsidRPr="00F97952" w:rsidRDefault="00723E34" w:rsidP="00723E34">
            <w:pPr>
              <w:rPr>
                <w:rFonts w:asciiTheme="minorHAnsi" w:hAnsiTheme="minorHAnsi"/>
              </w:rPr>
            </w:pPr>
          </w:p>
        </w:tc>
        <w:tc>
          <w:tcPr>
            <w:tcW w:w="1572" w:type="pct"/>
            <w:hideMark/>
          </w:tcPr>
          <w:p w14:paraId="00DFAC02" w14:textId="0866259F"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National Action Plan for Artisanal and </w:t>
            </w:r>
            <w:r w:rsidR="00F14984" w:rsidRPr="00F97952">
              <w:rPr>
                <w:rFonts w:asciiTheme="minorHAnsi" w:hAnsiTheme="minorHAnsi"/>
              </w:rPr>
              <w:t>Small-Scale</w:t>
            </w:r>
            <w:r w:rsidRPr="00F97952">
              <w:rPr>
                <w:rFonts w:asciiTheme="minorHAnsi" w:hAnsiTheme="minorHAnsi"/>
              </w:rPr>
              <w:t xml:space="preserve"> Gold Mining in Honduras</w:t>
            </w:r>
          </w:p>
        </w:tc>
        <w:tc>
          <w:tcPr>
            <w:tcW w:w="372" w:type="pct"/>
            <w:hideMark/>
          </w:tcPr>
          <w:p w14:paraId="1FD681D3"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033F3EDE"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4E5703F9" w14:textId="374F9526"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7B404F0B" w14:textId="77777777" w:rsidR="00723E34" w:rsidRPr="00F97952" w:rsidRDefault="00723E34" w:rsidP="00CC3636">
            <w:pPr>
              <w:jc w:val="right"/>
              <w:rPr>
                <w:rFonts w:asciiTheme="minorHAnsi" w:hAnsiTheme="minorHAnsi"/>
              </w:rPr>
            </w:pPr>
          </w:p>
        </w:tc>
      </w:tr>
      <w:tr w:rsidR="00723E34" w:rsidRPr="00F97952" w14:paraId="18B53724" w14:textId="77777777" w:rsidTr="00033F0E">
        <w:trPr>
          <w:trHeight w:val="425"/>
        </w:trPr>
        <w:tc>
          <w:tcPr>
            <w:tcW w:w="716" w:type="pct"/>
            <w:hideMark/>
          </w:tcPr>
          <w:p w14:paraId="4AAB446B" w14:textId="77777777" w:rsidR="00723E34" w:rsidRPr="00F97952" w:rsidRDefault="00723E34" w:rsidP="00723E34">
            <w:pPr>
              <w:rPr>
                <w:rFonts w:asciiTheme="minorHAnsi" w:hAnsiTheme="minorHAnsi"/>
              </w:rPr>
            </w:pPr>
            <w:r w:rsidRPr="00F97952">
              <w:rPr>
                <w:rFonts w:asciiTheme="minorHAnsi" w:hAnsiTheme="minorHAnsi"/>
              </w:rPr>
              <w:t>India</w:t>
            </w:r>
          </w:p>
        </w:tc>
        <w:tc>
          <w:tcPr>
            <w:tcW w:w="668" w:type="pct"/>
            <w:hideMark/>
          </w:tcPr>
          <w:p w14:paraId="276C9450" w14:textId="77777777" w:rsidR="00723E34" w:rsidRPr="00F97952" w:rsidRDefault="00723E34" w:rsidP="00723E34">
            <w:pPr>
              <w:rPr>
                <w:rFonts w:asciiTheme="minorHAnsi" w:hAnsiTheme="minorHAnsi"/>
              </w:rPr>
            </w:pPr>
          </w:p>
        </w:tc>
        <w:tc>
          <w:tcPr>
            <w:tcW w:w="1572" w:type="pct"/>
            <w:hideMark/>
          </w:tcPr>
          <w:p w14:paraId="2C580346" w14:textId="77777777" w:rsidR="00723E34" w:rsidRPr="00F97952" w:rsidRDefault="00723E34" w:rsidP="00723E34">
            <w:pPr>
              <w:rPr>
                <w:rFonts w:asciiTheme="minorHAnsi" w:hAnsiTheme="minorHAnsi"/>
              </w:rPr>
            </w:pPr>
            <w:r w:rsidRPr="00F97952">
              <w:rPr>
                <w:rFonts w:asciiTheme="minorHAnsi" w:hAnsiTheme="minorHAnsi"/>
              </w:rPr>
              <w:t>Improve Mercury Management in India</w:t>
            </w:r>
          </w:p>
        </w:tc>
        <w:tc>
          <w:tcPr>
            <w:tcW w:w="372" w:type="pct"/>
            <w:hideMark/>
          </w:tcPr>
          <w:p w14:paraId="478256AB"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6E43A779"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31D79B3A" w14:textId="5D8F9315"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376AD68A" w14:textId="77777777" w:rsidR="00723E34" w:rsidRPr="00F97952" w:rsidRDefault="00723E34" w:rsidP="00CC3636">
            <w:pPr>
              <w:jc w:val="right"/>
              <w:rPr>
                <w:rFonts w:asciiTheme="minorHAnsi" w:hAnsiTheme="minorHAnsi"/>
              </w:rPr>
            </w:pPr>
          </w:p>
        </w:tc>
      </w:tr>
      <w:tr w:rsidR="00723E34" w:rsidRPr="00F97952" w14:paraId="02DF9891" w14:textId="77777777" w:rsidTr="00033F0E">
        <w:trPr>
          <w:trHeight w:val="1220"/>
        </w:trPr>
        <w:tc>
          <w:tcPr>
            <w:tcW w:w="716" w:type="pct"/>
            <w:hideMark/>
          </w:tcPr>
          <w:p w14:paraId="7B110CBB" w14:textId="77777777" w:rsidR="00723E34" w:rsidRPr="00F97952" w:rsidRDefault="00723E34" w:rsidP="00723E34">
            <w:pPr>
              <w:rPr>
                <w:rFonts w:asciiTheme="minorHAnsi" w:hAnsiTheme="minorHAnsi"/>
              </w:rPr>
            </w:pPr>
            <w:r w:rsidRPr="00F97952">
              <w:rPr>
                <w:rFonts w:asciiTheme="minorHAnsi" w:hAnsiTheme="minorHAnsi"/>
              </w:rPr>
              <w:t>Indonesia</w:t>
            </w:r>
          </w:p>
        </w:tc>
        <w:tc>
          <w:tcPr>
            <w:tcW w:w="668" w:type="pct"/>
            <w:hideMark/>
          </w:tcPr>
          <w:p w14:paraId="58226C06" w14:textId="77777777" w:rsidR="00723E34" w:rsidRPr="00F97952" w:rsidRDefault="00723E34" w:rsidP="00723E34">
            <w:pPr>
              <w:rPr>
                <w:rFonts w:asciiTheme="minorHAnsi" w:hAnsiTheme="minorHAnsi"/>
              </w:rPr>
            </w:pPr>
          </w:p>
        </w:tc>
        <w:tc>
          <w:tcPr>
            <w:tcW w:w="1572" w:type="pct"/>
            <w:hideMark/>
          </w:tcPr>
          <w:p w14:paraId="2EB5EACB" w14:textId="7F64EAC5"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National Action Plan for Artisanal and </w:t>
            </w:r>
            <w:r w:rsidR="00F14984" w:rsidRPr="00F97952">
              <w:rPr>
                <w:rFonts w:asciiTheme="minorHAnsi" w:hAnsiTheme="minorHAnsi"/>
              </w:rPr>
              <w:t>Small-Scale</w:t>
            </w:r>
            <w:r w:rsidRPr="00F97952">
              <w:rPr>
                <w:rFonts w:asciiTheme="minorHAnsi" w:hAnsiTheme="minorHAnsi"/>
              </w:rPr>
              <w:t xml:space="preserve"> Gold Mining in Indonesia</w:t>
            </w:r>
          </w:p>
        </w:tc>
        <w:tc>
          <w:tcPr>
            <w:tcW w:w="372" w:type="pct"/>
            <w:hideMark/>
          </w:tcPr>
          <w:p w14:paraId="13FD42F1"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75FDDF2E"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6336508" w14:textId="680A6EDC"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0CB7D128" w14:textId="77777777" w:rsidR="00723E34" w:rsidRPr="00F97952" w:rsidRDefault="00723E34" w:rsidP="00CC3636">
            <w:pPr>
              <w:jc w:val="right"/>
              <w:rPr>
                <w:rFonts w:asciiTheme="minorHAnsi" w:hAnsiTheme="minorHAnsi"/>
              </w:rPr>
            </w:pPr>
          </w:p>
        </w:tc>
      </w:tr>
      <w:tr w:rsidR="00723E34" w:rsidRPr="00F97952" w14:paraId="6C4D4B69" w14:textId="77777777" w:rsidTr="00033F0E">
        <w:trPr>
          <w:trHeight w:val="660"/>
        </w:trPr>
        <w:tc>
          <w:tcPr>
            <w:tcW w:w="716" w:type="pct"/>
            <w:hideMark/>
          </w:tcPr>
          <w:p w14:paraId="56ECAC85" w14:textId="77777777" w:rsidR="00723E34" w:rsidRPr="00F97952" w:rsidRDefault="00723E34" w:rsidP="00723E34">
            <w:pPr>
              <w:rPr>
                <w:rFonts w:asciiTheme="minorHAnsi" w:hAnsiTheme="minorHAnsi"/>
              </w:rPr>
            </w:pPr>
            <w:r w:rsidRPr="00F97952">
              <w:rPr>
                <w:rFonts w:asciiTheme="minorHAnsi" w:hAnsiTheme="minorHAnsi"/>
              </w:rPr>
              <w:t>Iraq</w:t>
            </w:r>
          </w:p>
        </w:tc>
        <w:tc>
          <w:tcPr>
            <w:tcW w:w="668" w:type="pct"/>
            <w:hideMark/>
          </w:tcPr>
          <w:p w14:paraId="50A34CD9" w14:textId="77777777" w:rsidR="00723E34" w:rsidRPr="00F97952" w:rsidRDefault="00723E34" w:rsidP="00723E34">
            <w:pPr>
              <w:rPr>
                <w:rFonts w:asciiTheme="minorHAnsi" w:hAnsiTheme="minorHAnsi"/>
              </w:rPr>
            </w:pPr>
          </w:p>
        </w:tc>
        <w:tc>
          <w:tcPr>
            <w:tcW w:w="1572" w:type="pct"/>
            <w:hideMark/>
          </w:tcPr>
          <w:p w14:paraId="4C890BE5" w14:textId="77777777" w:rsidR="00723E34" w:rsidRPr="00F97952" w:rsidRDefault="00723E34" w:rsidP="00723E34">
            <w:pPr>
              <w:rPr>
                <w:rFonts w:asciiTheme="minorHAnsi" w:hAnsiTheme="minorHAnsi"/>
              </w:rPr>
            </w:pPr>
            <w:r w:rsidRPr="00F97952">
              <w:rPr>
                <w:rFonts w:asciiTheme="minorHAnsi" w:hAnsiTheme="minorHAnsi"/>
              </w:rPr>
              <w:t>Develop the National Implementation Plan for the Stockholm Convention on Persistent Organic Pollutants (POPs) and the Minamata Initial Assessment for the Minamata Convention on Mercury in Iraq</w:t>
            </w:r>
          </w:p>
        </w:tc>
        <w:tc>
          <w:tcPr>
            <w:tcW w:w="372" w:type="pct"/>
            <w:hideMark/>
          </w:tcPr>
          <w:p w14:paraId="409A2456"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7470D067"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13F67E6D" w14:textId="734BCCC7"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725CC70E" w14:textId="77777777" w:rsidR="00723E34" w:rsidRPr="00F97952" w:rsidRDefault="00723E34" w:rsidP="00CC3636">
            <w:pPr>
              <w:jc w:val="right"/>
              <w:rPr>
                <w:rFonts w:asciiTheme="minorHAnsi" w:hAnsiTheme="minorHAnsi"/>
              </w:rPr>
            </w:pPr>
          </w:p>
        </w:tc>
      </w:tr>
      <w:tr w:rsidR="00723E34" w:rsidRPr="00F97952" w14:paraId="61349C58" w14:textId="77777777" w:rsidTr="00033F0E">
        <w:trPr>
          <w:trHeight w:val="980"/>
        </w:trPr>
        <w:tc>
          <w:tcPr>
            <w:tcW w:w="716" w:type="pct"/>
            <w:hideMark/>
          </w:tcPr>
          <w:p w14:paraId="6C52E790" w14:textId="77777777" w:rsidR="00723E34" w:rsidRPr="00F97952" w:rsidRDefault="00723E34" w:rsidP="00723E34">
            <w:pPr>
              <w:rPr>
                <w:rFonts w:asciiTheme="minorHAnsi" w:hAnsiTheme="minorHAnsi"/>
              </w:rPr>
            </w:pPr>
            <w:r w:rsidRPr="00F97952">
              <w:rPr>
                <w:rFonts w:asciiTheme="minorHAnsi" w:hAnsiTheme="minorHAnsi"/>
              </w:rPr>
              <w:t>Jordan</w:t>
            </w:r>
          </w:p>
        </w:tc>
        <w:tc>
          <w:tcPr>
            <w:tcW w:w="668" w:type="pct"/>
            <w:hideMark/>
          </w:tcPr>
          <w:p w14:paraId="438A7939" w14:textId="77777777" w:rsidR="00723E34" w:rsidRPr="00F97952" w:rsidRDefault="00723E34" w:rsidP="00723E34">
            <w:pPr>
              <w:rPr>
                <w:rFonts w:asciiTheme="minorHAnsi" w:hAnsiTheme="minorHAnsi"/>
              </w:rPr>
            </w:pPr>
          </w:p>
        </w:tc>
        <w:tc>
          <w:tcPr>
            <w:tcW w:w="1572" w:type="pct"/>
            <w:hideMark/>
          </w:tcPr>
          <w:p w14:paraId="261B4092" w14:textId="77777777" w:rsidR="00723E34" w:rsidRPr="00F97952" w:rsidRDefault="00723E34" w:rsidP="00723E34">
            <w:pPr>
              <w:rPr>
                <w:rFonts w:asciiTheme="minorHAnsi" w:hAnsiTheme="minorHAnsi"/>
              </w:rPr>
            </w:pPr>
            <w:r w:rsidRPr="00F97952">
              <w:rPr>
                <w:rFonts w:asciiTheme="minorHAnsi" w:hAnsiTheme="minorHAnsi"/>
              </w:rPr>
              <w:t>Strengthen national decision making towards ratification of the Minamata Convention and build capacity towards implementation of future provisions</w:t>
            </w:r>
          </w:p>
        </w:tc>
        <w:tc>
          <w:tcPr>
            <w:tcW w:w="372" w:type="pct"/>
            <w:hideMark/>
          </w:tcPr>
          <w:p w14:paraId="7E88F208"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66BA2AAB"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211FF212" w14:textId="3DFBECD9"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619661D9" w14:textId="77777777" w:rsidR="00723E34" w:rsidRPr="00F97952" w:rsidRDefault="00723E34" w:rsidP="00CC3636">
            <w:pPr>
              <w:jc w:val="right"/>
              <w:rPr>
                <w:rFonts w:asciiTheme="minorHAnsi" w:hAnsiTheme="minorHAnsi"/>
              </w:rPr>
            </w:pPr>
          </w:p>
        </w:tc>
      </w:tr>
      <w:tr w:rsidR="00723E34" w:rsidRPr="00F97952" w14:paraId="6DE98970" w14:textId="77777777" w:rsidTr="00033F0E">
        <w:trPr>
          <w:trHeight w:val="389"/>
        </w:trPr>
        <w:tc>
          <w:tcPr>
            <w:tcW w:w="716" w:type="pct"/>
            <w:hideMark/>
          </w:tcPr>
          <w:p w14:paraId="3A5EC5FE" w14:textId="77777777" w:rsidR="00723E34" w:rsidRPr="00F97952" w:rsidRDefault="00723E34" w:rsidP="00723E34">
            <w:pPr>
              <w:rPr>
                <w:rFonts w:asciiTheme="minorHAnsi" w:hAnsiTheme="minorHAnsi"/>
              </w:rPr>
            </w:pPr>
            <w:r w:rsidRPr="00F97952">
              <w:rPr>
                <w:rFonts w:asciiTheme="minorHAnsi" w:hAnsiTheme="minorHAnsi"/>
              </w:rPr>
              <w:t>Kazakhstan</w:t>
            </w:r>
          </w:p>
        </w:tc>
        <w:tc>
          <w:tcPr>
            <w:tcW w:w="668" w:type="pct"/>
            <w:hideMark/>
          </w:tcPr>
          <w:p w14:paraId="60DE7BEF" w14:textId="77777777" w:rsidR="00723E34" w:rsidRPr="00F97952" w:rsidRDefault="00723E34" w:rsidP="00723E34">
            <w:pPr>
              <w:rPr>
                <w:rFonts w:asciiTheme="minorHAnsi" w:hAnsiTheme="minorHAnsi"/>
              </w:rPr>
            </w:pPr>
          </w:p>
        </w:tc>
        <w:tc>
          <w:tcPr>
            <w:tcW w:w="1572" w:type="pct"/>
            <w:hideMark/>
          </w:tcPr>
          <w:p w14:paraId="4E112C71" w14:textId="77777777" w:rsidR="00723E34" w:rsidRPr="00F97952" w:rsidRDefault="00723E34" w:rsidP="00723E34">
            <w:pPr>
              <w:rPr>
                <w:rFonts w:asciiTheme="minorHAnsi" w:hAnsiTheme="minorHAnsi"/>
              </w:rPr>
            </w:pPr>
            <w:r w:rsidRPr="00F97952">
              <w:rPr>
                <w:rFonts w:asciiTheme="minorHAnsi" w:hAnsiTheme="minorHAnsi"/>
              </w:rPr>
              <w:t>Minamata Initial Assessment</w:t>
            </w:r>
          </w:p>
        </w:tc>
        <w:tc>
          <w:tcPr>
            <w:tcW w:w="372" w:type="pct"/>
            <w:hideMark/>
          </w:tcPr>
          <w:p w14:paraId="03E2BD67"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C88BD6F"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4189DFC7" w14:textId="04BA12BC" w:rsidR="00723E34" w:rsidRPr="00F97952" w:rsidRDefault="00723E34" w:rsidP="00CC3636">
            <w:pPr>
              <w:jc w:val="right"/>
              <w:rPr>
                <w:rFonts w:asciiTheme="minorHAnsi" w:hAnsiTheme="minorHAnsi"/>
              </w:rPr>
            </w:pPr>
            <w:r w:rsidRPr="00F97952">
              <w:rPr>
                <w:rFonts w:asciiTheme="minorHAnsi" w:hAnsiTheme="minorHAnsi"/>
              </w:rPr>
              <w:t xml:space="preserve">400,000 </w:t>
            </w:r>
          </w:p>
        </w:tc>
        <w:tc>
          <w:tcPr>
            <w:tcW w:w="697" w:type="pct"/>
            <w:hideMark/>
          </w:tcPr>
          <w:p w14:paraId="615AA7F0" w14:textId="77777777" w:rsidR="00723E34" w:rsidRPr="00F97952" w:rsidRDefault="00723E34" w:rsidP="00CC3636">
            <w:pPr>
              <w:jc w:val="right"/>
              <w:rPr>
                <w:rFonts w:asciiTheme="minorHAnsi" w:hAnsiTheme="minorHAnsi"/>
              </w:rPr>
            </w:pPr>
          </w:p>
        </w:tc>
      </w:tr>
      <w:tr w:rsidR="00723E34" w:rsidRPr="00F97952" w14:paraId="388DF09B" w14:textId="77777777" w:rsidTr="00033F0E">
        <w:trPr>
          <w:trHeight w:val="623"/>
        </w:trPr>
        <w:tc>
          <w:tcPr>
            <w:tcW w:w="716" w:type="pct"/>
            <w:hideMark/>
          </w:tcPr>
          <w:p w14:paraId="334A7311" w14:textId="77777777" w:rsidR="00723E34" w:rsidRPr="00F97952" w:rsidRDefault="00723E34" w:rsidP="00723E34">
            <w:pPr>
              <w:rPr>
                <w:rFonts w:asciiTheme="minorHAnsi" w:hAnsiTheme="minorHAnsi"/>
              </w:rPr>
            </w:pPr>
            <w:r w:rsidRPr="00F97952">
              <w:rPr>
                <w:rFonts w:asciiTheme="minorHAnsi" w:hAnsiTheme="minorHAnsi"/>
              </w:rPr>
              <w:lastRenderedPageBreak/>
              <w:t>Kenya</w:t>
            </w:r>
          </w:p>
        </w:tc>
        <w:tc>
          <w:tcPr>
            <w:tcW w:w="668" w:type="pct"/>
            <w:hideMark/>
          </w:tcPr>
          <w:p w14:paraId="4A2D23E0" w14:textId="77777777" w:rsidR="00723E34" w:rsidRPr="00F97952" w:rsidRDefault="00723E34" w:rsidP="00723E34">
            <w:pPr>
              <w:rPr>
                <w:rFonts w:asciiTheme="minorHAnsi" w:hAnsiTheme="minorHAnsi"/>
              </w:rPr>
            </w:pPr>
          </w:p>
        </w:tc>
        <w:tc>
          <w:tcPr>
            <w:tcW w:w="1572" w:type="pct"/>
            <w:hideMark/>
          </w:tcPr>
          <w:p w14:paraId="09F6625B" w14:textId="77777777" w:rsidR="00723E34" w:rsidRPr="00F97952" w:rsidRDefault="00723E34" w:rsidP="00723E34">
            <w:pPr>
              <w:rPr>
                <w:rFonts w:asciiTheme="minorHAnsi" w:hAnsiTheme="minorHAnsi"/>
              </w:rPr>
            </w:pPr>
            <w:r w:rsidRPr="00F97952">
              <w:rPr>
                <w:rFonts w:asciiTheme="minorHAnsi" w:hAnsiTheme="minorHAnsi"/>
              </w:rPr>
              <w:t xml:space="preserve">Development of a Minamata Initial Assessment </w:t>
            </w:r>
          </w:p>
        </w:tc>
        <w:tc>
          <w:tcPr>
            <w:tcW w:w="372" w:type="pct"/>
            <w:hideMark/>
          </w:tcPr>
          <w:p w14:paraId="4C2803F1"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62C07F2" w14:textId="2F5077CB" w:rsidR="00723E34" w:rsidRPr="00F97952" w:rsidRDefault="00416D96" w:rsidP="00723E34">
            <w:pPr>
              <w:rPr>
                <w:rFonts w:asciiTheme="minorHAnsi" w:hAnsiTheme="minorHAnsi"/>
              </w:rPr>
            </w:pPr>
            <w:r w:rsidRPr="00F97952">
              <w:rPr>
                <w:rFonts w:asciiTheme="minorHAnsi" w:hAnsiTheme="minorHAnsi"/>
              </w:rPr>
              <w:t>Direct access</w:t>
            </w:r>
          </w:p>
        </w:tc>
        <w:tc>
          <w:tcPr>
            <w:tcW w:w="619" w:type="pct"/>
            <w:hideMark/>
          </w:tcPr>
          <w:p w14:paraId="0A001ACC" w14:textId="716D57DD"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4110B21E" w14:textId="77777777" w:rsidR="00723E34" w:rsidRPr="00F97952" w:rsidRDefault="00723E34" w:rsidP="00CC3636">
            <w:pPr>
              <w:jc w:val="right"/>
              <w:rPr>
                <w:rFonts w:asciiTheme="minorHAnsi" w:hAnsiTheme="minorHAnsi"/>
              </w:rPr>
            </w:pPr>
          </w:p>
        </w:tc>
      </w:tr>
      <w:tr w:rsidR="00723E34" w:rsidRPr="00F97952" w14:paraId="0B7BBDD1" w14:textId="77777777" w:rsidTr="00033F0E">
        <w:trPr>
          <w:trHeight w:val="1118"/>
        </w:trPr>
        <w:tc>
          <w:tcPr>
            <w:tcW w:w="716" w:type="pct"/>
            <w:hideMark/>
          </w:tcPr>
          <w:p w14:paraId="38543DA1" w14:textId="77777777" w:rsidR="00723E34" w:rsidRPr="00F97952" w:rsidRDefault="00723E34" w:rsidP="00723E34">
            <w:pPr>
              <w:rPr>
                <w:rFonts w:asciiTheme="minorHAnsi" w:hAnsiTheme="minorHAnsi"/>
              </w:rPr>
            </w:pPr>
            <w:r w:rsidRPr="00F97952">
              <w:rPr>
                <w:rFonts w:asciiTheme="minorHAnsi" w:hAnsiTheme="minorHAnsi"/>
              </w:rPr>
              <w:t>Kyrgyz Republic</w:t>
            </w:r>
          </w:p>
        </w:tc>
        <w:tc>
          <w:tcPr>
            <w:tcW w:w="668" w:type="pct"/>
            <w:hideMark/>
          </w:tcPr>
          <w:p w14:paraId="12CD22BB" w14:textId="77777777" w:rsidR="00723E34" w:rsidRPr="00F97952" w:rsidRDefault="00723E34" w:rsidP="00723E34">
            <w:pPr>
              <w:rPr>
                <w:rFonts w:asciiTheme="minorHAnsi" w:hAnsiTheme="minorHAnsi"/>
              </w:rPr>
            </w:pPr>
          </w:p>
        </w:tc>
        <w:tc>
          <w:tcPr>
            <w:tcW w:w="1572" w:type="pct"/>
            <w:hideMark/>
          </w:tcPr>
          <w:p w14:paraId="1972FEB4" w14:textId="2A13AC0D"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Updating of National Action Plan for Artisanal and </w:t>
            </w:r>
            <w:r w:rsidR="00F14984" w:rsidRPr="00F97952">
              <w:rPr>
                <w:rFonts w:asciiTheme="minorHAnsi" w:hAnsiTheme="minorHAnsi"/>
              </w:rPr>
              <w:t>Small-Scale</w:t>
            </w:r>
            <w:r w:rsidRPr="00F97952">
              <w:rPr>
                <w:rFonts w:asciiTheme="minorHAnsi" w:hAnsiTheme="minorHAnsi"/>
              </w:rPr>
              <w:t xml:space="preserve"> Gold Mining </w:t>
            </w:r>
          </w:p>
        </w:tc>
        <w:tc>
          <w:tcPr>
            <w:tcW w:w="372" w:type="pct"/>
            <w:hideMark/>
          </w:tcPr>
          <w:p w14:paraId="6BA20A9E"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427E3753"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20909A16" w14:textId="0AD0A184"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667401F3" w14:textId="77777777" w:rsidR="00723E34" w:rsidRPr="00F97952" w:rsidRDefault="00723E34" w:rsidP="00CC3636">
            <w:pPr>
              <w:jc w:val="right"/>
              <w:rPr>
                <w:rFonts w:asciiTheme="minorHAnsi" w:hAnsiTheme="minorHAnsi"/>
              </w:rPr>
            </w:pPr>
          </w:p>
        </w:tc>
      </w:tr>
      <w:tr w:rsidR="00723E34" w:rsidRPr="00F97952" w14:paraId="1C306D63" w14:textId="77777777" w:rsidTr="00033F0E">
        <w:trPr>
          <w:trHeight w:val="980"/>
        </w:trPr>
        <w:tc>
          <w:tcPr>
            <w:tcW w:w="716" w:type="pct"/>
            <w:hideMark/>
          </w:tcPr>
          <w:p w14:paraId="252DBC0A" w14:textId="77777777" w:rsidR="00723E34" w:rsidRPr="00F97952" w:rsidRDefault="00723E34" w:rsidP="00723E34">
            <w:pPr>
              <w:rPr>
                <w:rFonts w:asciiTheme="minorHAnsi" w:hAnsiTheme="minorHAnsi"/>
              </w:rPr>
            </w:pPr>
            <w:r w:rsidRPr="00F97952">
              <w:rPr>
                <w:rFonts w:asciiTheme="minorHAnsi" w:hAnsiTheme="minorHAnsi"/>
              </w:rPr>
              <w:t>Lao PDR</w:t>
            </w:r>
          </w:p>
        </w:tc>
        <w:tc>
          <w:tcPr>
            <w:tcW w:w="668" w:type="pct"/>
            <w:hideMark/>
          </w:tcPr>
          <w:p w14:paraId="66939F8D" w14:textId="77777777" w:rsidR="00723E34" w:rsidRPr="00F97952" w:rsidRDefault="00723E34" w:rsidP="00723E34">
            <w:pPr>
              <w:rPr>
                <w:rFonts w:asciiTheme="minorHAnsi" w:hAnsiTheme="minorHAnsi"/>
              </w:rPr>
            </w:pPr>
          </w:p>
        </w:tc>
        <w:tc>
          <w:tcPr>
            <w:tcW w:w="1572" w:type="pct"/>
            <w:hideMark/>
          </w:tcPr>
          <w:p w14:paraId="2B782084" w14:textId="42BAE2FC"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Updating of National Action Plan for Artisanal and </w:t>
            </w:r>
            <w:r w:rsidR="00AC6E7B" w:rsidRPr="00F97952">
              <w:rPr>
                <w:rFonts w:asciiTheme="minorHAnsi" w:hAnsiTheme="minorHAnsi"/>
              </w:rPr>
              <w:t>Small-Scale</w:t>
            </w:r>
            <w:r w:rsidRPr="00F97952">
              <w:rPr>
                <w:rFonts w:asciiTheme="minorHAnsi" w:hAnsiTheme="minorHAnsi"/>
              </w:rPr>
              <w:t xml:space="preserve"> Gold Mining </w:t>
            </w:r>
          </w:p>
        </w:tc>
        <w:tc>
          <w:tcPr>
            <w:tcW w:w="372" w:type="pct"/>
            <w:hideMark/>
          </w:tcPr>
          <w:p w14:paraId="3A843EF2"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7E6F9F54"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0F2634F0" w14:textId="00D0EB8C"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47C99A47" w14:textId="77777777" w:rsidR="00723E34" w:rsidRPr="00F97952" w:rsidRDefault="00723E34" w:rsidP="00CC3636">
            <w:pPr>
              <w:jc w:val="right"/>
              <w:rPr>
                <w:rFonts w:asciiTheme="minorHAnsi" w:hAnsiTheme="minorHAnsi"/>
              </w:rPr>
            </w:pPr>
          </w:p>
        </w:tc>
      </w:tr>
      <w:tr w:rsidR="00723E34" w:rsidRPr="00F97952" w14:paraId="1B502FE6" w14:textId="77777777" w:rsidTr="00033F0E">
        <w:trPr>
          <w:trHeight w:val="668"/>
        </w:trPr>
        <w:tc>
          <w:tcPr>
            <w:tcW w:w="716" w:type="pct"/>
            <w:hideMark/>
          </w:tcPr>
          <w:p w14:paraId="08E12F68" w14:textId="77777777" w:rsidR="00723E34" w:rsidRPr="00F97952" w:rsidRDefault="00723E34" w:rsidP="00723E34">
            <w:pPr>
              <w:rPr>
                <w:rFonts w:asciiTheme="minorHAnsi" w:hAnsiTheme="minorHAnsi"/>
              </w:rPr>
            </w:pPr>
            <w:r w:rsidRPr="00F97952">
              <w:rPr>
                <w:rFonts w:asciiTheme="minorHAnsi" w:hAnsiTheme="minorHAnsi"/>
              </w:rPr>
              <w:t>Macedonia</w:t>
            </w:r>
          </w:p>
        </w:tc>
        <w:tc>
          <w:tcPr>
            <w:tcW w:w="668" w:type="pct"/>
            <w:hideMark/>
          </w:tcPr>
          <w:p w14:paraId="41E46459" w14:textId="77777777" w:rsidR="00723E34" w:rsidRPr="00F97952" w:rsidRDefault="00723E34" w:rsidP="00723E34">
            <w:pPr>
              <w:rPr>
                <w:rFonts w:asciiTheme="minorHAnsi" w:hAnsiTheme="minorHAnsi"/>
              </w:rPr>
            </w:pPr>
          </w:p>
        </w:tc>
        <w:tc>
          <w:tcPr>
            <w:tcW w:w="1572" w:type="pct"/>
            <w:hideMark/>
          </w:tcPr>
          <w:p w14:paraId="4F3062E3" w14:textId="77777777" w:rsidR="00723E34" w:rsidRPr="00F97952" w:rsidRDefault="00723E34" w:rsidP="00723E34">
            <w:pPr>
              <w:rPr>
                <w:rFonts w:asciiTheme="minorHAnsi" w:hAnsiTheme="minorHAnsi"/>
              </w:rPr>
            </w:pPr>
            <w:r w:rsidRPr="00F97952">
              <w:rPr>
                <w:rFonts w:asciiTheme="minorHAnsi" w:hAnsiTheme="minorHAnsi"/>
              </w:rPr>
              <w:t xml:space="preserve">Development of a Minamata Initial Assessment </w:t>
            </w:r>
          </w:p>
        </w:tc>
        <w:tc>
          <w:tcPr>
            <w:tcW w:w="372" w:type="pct"/>
            <w:hideMark/>
          </w:tcPr>
          <w:p w14:paraId="0E4E6EDE"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71FFEA4D"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1C6D0BA7" w14:textId="3DC51177"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1E64C7C2" w14:textId="77777777" w:rsidR="00723E34" w:rsidRPr="00F97952" w:rsidRDefault="00723E34" w:rsidP="00CC3636">
            <w:pPr>
              <w:jc w:val="right"/>
              <w:rPr>
                <w:rFonts w:asciiTheme="minorHAnsi" w:hAnsiTheme="minorHAnsi"/>
              </w:rPr>
            </w:pPr>
          </w:p>
        </w:tc>
      </w:tr>
      <w:tr w:rsidR="00723E34" w:rsidRPr="00F97952" w14:paraId="6167DAC2" w14:textId="77777777" w:rsidTr="00033F0E">
        <w:trPr>
          <w:trHeight w:val="902"/>
        </w:trPr>
        <w:tc>
          <w:tcPr>
            <w:tcW w:w="716" w:type="pct"/>
            <w:hideMark/>
          </w:tcPr>
          <w:p w14:paraId="6E4A5CE6" w14:textId="77777777" w:rsidR="00723E34" w:rsidRPr="00F97952" w:rsidRDefault="00723E34" w:rsidP="00723E34">
            <w:pPr>
              <w:rPr>
                <w:rFonts w:asciiTheme="minorHAnsi" w:hAnsiTheme="minorHAnsi"/>
              </w:rPr>
            </w:pPr>
            <w:r w:rsidRPr="00F97952">
              <w:rPr>
                <w:rFonts w:asciiTheme="minorHAnsi" w:hAnsiTheme="minorHAnsi"/>
              </w:rPr>
              <w:t>Madagascar</w:t>
            </w:r>
          </w:p>
        </w:tc>
        <w:tc>
          <w:tcPr>
            <w:tcW w:w="668" w:type="pct"/>
            <w:hideMark/>
          </w:tcPr>
          <w:p w14:paraId="35DAD54C" w14:textId="77777777" w:rsidR="00723E34" w:rsidRPr="00F97952" w:rsidRDefault="00723E34" w:rsidP="00723E34">
            <w:pPr>
              <w:rPr>
                <w:rFonts w:asciiTheme="minorHAnsi" w:hAnsiTheme="minorHAnsi"/>
              </w:rPr>
            </w:pPr>
          </w:p>
        </w:tc>
        <w:tc>
          <w:tcPr>
            <w:tcW w:w="1572" w:type="pct"/>
            <w:hideMark/>
          </w:tcPr>
          <w:p w14:paraId="4D858509" w14:textId="404184EA" w:rsidR="00723E34" w:rsidRPr="00F97952" w:rsidRDefault="00723E34" w:rsidP="00723E34">
            <w:pPr>
              <w:rPr>
                <w:rFonts w:asciiTheme="minorHAnsi" w:hAnsiTheme="minorHAnsi"/>
              </w:rPr>
            </w:pPr>
            <w:r w:rsidRPr="00F97952">
              <w:rPr>
                <w:rFonts w:asciiTheme="minorHAnsi" w:hAnsiTheme="minorHAnsi"/>
              </w:rPr>
              <w:t xml:space="preserve">Development of National Action Plan for Artisanal and </w:t>
            </w:r>
            <w:r w:rsidR="00AC6E7B" w:rsidRPr="00F97952">
              <w:rPr>
                <w:rFonts w:asciiTheme="minorHAnsi" w:hAnsiTheme="minorHAnsi"/>
              </w:rPr>
              <w:t>Small-Scale</w:t>
            </w:r>
            <w:r w:rsidRPr="00F97952">
              <w:rPr>
                <w:rFonts w:asciiTheme="minorHAnsi" w:hAnsiTheme="minorHAnsi"/>
              </w:rPr>
              <w:t xml:space="preserve"> Gold Mining in Madagascar</w:t>
            </w:r>
          </w:p>
        </w:tc>
        <w:tc>
          <w:tcPr>
            <w:tcW w:w="372" w:type="pct"/>
            <w:hideMark/>
          </w:tcPr>
          <w:p w14:paraId="164D9B0A"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3A419045"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79328E31" w14:textId="63BCB842"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2385DC79" w14:textId="77777777" w:rsidR="00723E34" w:rsidRPr="00F97952" w:rsidRDefault="00723E34" w:rsidP="00CC3636">
            <w:pPr>
              <w:jc w:val="right"/>
              <w:rPr>
                <w:rFonts w:asciiTheme="minorHAnsi" w:hAnsiTheme="minorHAnsi"/>
              </w:rPr>
            </w:pPr>
          </w:p>
        </w:tc>
      </w:tr>
      <w:tr w:rsidR="00723E34" w:rsidRPr="00F97952" w14:paraId="483EC16F" w14:textId="77777777" w:rsidTr="00033F0E">
        <w:trPr>
          <w:trHeight w:val="578"/>
        </w:trPr>
        <w:tc>
          <w:tcPr>
            <w:tcW w:w="716" w:type="pct"/>
            <w:hideMark/>
          </w:tcPr>
          <w:p w14:paraId="68402548" w14:textId="77777777" w:rsidR="00723E34" w:rsidRPr="00F97952" w:rsidRDefault="00723E34" w:rsidP="00723E34">
            <w:pPr>
              <w:rPr>
                <w:rFonts w:asciiTheme="minorHAnsi" w:hAnsiTheme="minorHAnsi"/>
              </w:rPr>
            </w:pPr>
            <w:r w:rsidRPr="00F97952">
              <w:rPr>
                <w:rFonts w:asciiTheme="minorHAnsi" w:hAnsiTheme="minorHAnsi"/>
              </w:rPr>
              <w:t>Malaysia</w:t>
            </w:r>
          </w:p>
        </w:tc>
        <w:tc>
          <w:tcPr>
            <w:tcW w:w="668" w:type="pct"/>
            <w:hideMark/>
          </w:tcPr>
          <w:p w14:paraId="7FE32F11" w14:textId="77777777" w:rsidR="00723E34" w:rsidRPr="00F97952" w:rsidRDefault="00723E34" w:rsidP="00723E34">
            <w:pPr>
              <w:rPr>
                <w:rFonts w:asciiTheme="minorHAnsi" w:hAnsiTheme="minorHAnsi"/>
              </w:rPr>
            </w:pPr>
          </w:p>
        </w:tc>
        <w:tc>
          <w:tcPr>
            <w:tcW w:w="1572" w:type="pct"/>
            <w:hideMark/>
          </w:tcPr>
          <w:p w14:paraId="72993E30"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in Malaysia</w:t>
            </w:r>
          </w:p>
        </w:tc>
        <w:tc>
          <w:tcPr>
            <w:tcW w:w="372" w:type="pct"/>
            <w:hideMark/>
          </w:tcPr>
          <w:p w14:paraId="7BF3A2E2"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CBCA439"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0090DD4B" w14:textId="2EA92B93" w:rsidR="00723E34" w:rsidRPr="00F97952" w:rsidRDefault="00723E34" w:rsidP="00CC3636">
            <w:pPr>
              <w:jc w:val="right"/>
              <w:rPr>
                <w:rFonts w:asciiTheme="minorHAnsi" w:hAnsiTheme="minorHAnsi"/>
              </w:rPr>
            </w:pPr>
            <w:r w:rsidRPr="00F97952">
              <w:rPr>
                <w:rFonts w:asciiTheme="minorHAnsi" w:hAnsiTheme="minorHAnsi"/>
              </w:rPr>
              <w:t xml:space="preserve">250,000 </w:t>
            </w:r>
          </w:p>
        </w:tc>
        <w:tc>
          <w:tcPr>
            <w:tcW w:w="697" w:type="pct"/>
            <w:hideMark/>
          </w:tcPr>
          <w:p w14:paraId="508638D2" w14:textId="5F4A32BF" w:rsidR="00723E34" w:rsidRPr="00F97952" w:rsidRDefault="00723E34" w:rsidP="00CC3636">
            <w:pPr>
              <w:jc w:val="right"/>
              <w:rPr>
                <w:rFonts w:asciiTheme="minorHAnsi" w:hAnsiTheme="minorHAnsi"/>
              </w:rPr>
            </w:pPr>
            <w:r w:rsidRPr="00F97952">
              <w:rPr>
                <w:rFonts w:asciiTheme="minorHAnsi" w:hAnsiTheme="minorHAnsi"/>
              </w:rPr>
              <w:t xml:space="preserve">250,000 </w:t>
            </w:r>
          </w:p>
        </w:tc>
      </w:tr>
      <w:tr w:rsidR="00723E34" w:rsidRPr="00F97952" w14:paraId="222ABB06" w14:textId="77777777" w:rsidTr="00033F0E">
        <w:trPr>
          <w:trHeight w:val="578"/>
        </w:trPr>
        <w:tc>
          <w:tcPr>
            <w:tcW w:w="716" w:type="pct"/>
            <w:hideMark/>
          </w:tcPr>
          <w:p w14:paraId="2A8F88E8" w14:textId="77777777" w:rsidR="00723E34" w:rsidRPr="00F97952" w:rsidRDefault="00723E34" w:rsidP="00723E34">
            <w:pPr>
              <w:rPr>
                <w:rFonts w:asciiTheme="minorHAnsi" w:hAnsiTheme="minorHAnsi"/>
              </w:rPr>
            </w:pPr>
            <w:r w:rsidRPr="00F97952">
              <w:rPr>
                <w:rFonts w:asciiTheme="minorHAnsi" w:hAnsiTheme="minorHAnsi"/>
              </w:rPr>
              <w:t>Maldives</w:t>
            </w:r>
          </w:p>
        </w:tc>
        <w:tc>
          <w:tcPr>
            <w:tcW w:w="668" w:type="pct"/>
            <w:hideMark/>
          </w:tcPr>
          <w:p w14:paraId="5F83EDFE" w14:textId="77777777" w:rsidR="00723E34" w:rsidRPr="00F97952" w:rsidRDefault="00723E34" w:rsidP="00723E34">
            <w:pPr>
              <w:rPr>
                <w:rFonts w:asciiTheme="minorHAnsi" w:hAnsiTheme="minorHAnsi"/>
              </w:rPr>
            </w:pPr>
          </w:p>
        </w:tc>
        <w:tc>
          <w:tcPr>
            <w:tcW w:w="1572" w:type="pct"/>
            <w:hideMark/>
          </w:tcPr>
          <w:p w14:paraId="44920D6C" w14:textId="77777777" w:rsidR="00723E34" w:rsidRPr="00F97952" w:rsidRDefault="00723E34" w:rsidP="00723E34">
            <w:pPr>
              <w:rPr>
                <w:rFonts w:asciiTheme="minorHAnsi" w:hAnsiTheme="minorHAnsi"/>
              </w:rPr>
            </w:pPr>
            <w:r w:rsidRPr="00F97952">
              <w:rPr>
                <w:rFonts w:asciiTheme="minorHAnsi" w:hAnsiTheme="minorHAnsi"/>
              </w:rPr>
              <w:t>Development of a Minamata Initial Assessment in Maldives</w:t>
            </w:r>
          </w:p>
        </w:tc>
        <w:tc>
          <w:tcPr>
            <w:tcW w:w="372" w:type="pct"/>
            <w:hideMark/>
          </w:tcPr>
          <w:p w14:paraId="3219B0E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EA4E231"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6B21F89" w14:textId="3C899FB4"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0A70BDB7" w14:textId="77777777" w:rsidR="00723E34" w:rsidRPr="00F97952" w:rsidRDefault="00723E34" w:rsidP="00CC3636">
            <w:pPr>
              <w:jc w:val="right"/>
              <w:rPr>
                <w:rFonts w:asciiTheme="minorHAnsi" w:hAnsiTheme="minorHAnsi"/>
              </w:rPr>
            </w:pPr>
          </w:p>
        </w:tc>
      </w:tr>
      <w:tr w:rsidR="00723E34" w:rsidRPr="00F97952" w14:paraId="52A66EF7" w14:textId="77777777" w:rsidTr="00033F0E">
        <w:trPr>
          <w:trHeight w:val="695"/>
        </w:trPr>
        <w:tc>
          <w:tcPr>
            <w:tcW w:w="716" w:type="pct"/>
            <w:hideMark/>
          </w:tcPr>
          <w:p w14:paraId="5C5588BB" w14:textId="77777777" w:rsidR="00723E34" w:rsidRPr="00F97952" w:rsidRDefault="00723E34" w:rsidP="00723E34">
            <w:pPr>
              <w:rPr>
                <w:rFonts w:asciiTheme="minorHAnsi" w:hAnsiTheme="minorHAnsi"/>
              </w:rPr>
            </w:pPr>
            <w:r w:rsidRPr="00F97952">
              <w:rPr>
                <w:rFonts w:asciiTheme="minorHAnsi" w:hAnsiTheme="minorHAnsi"/>
              </w:rPr>
              <w:t>Marshall Islands</w:t>
            </w:r>
          </w:p>
        </w:tc>
        <w:tc>
          <w:tcPr>
            <w:tcW w:w="668" w:type="pct"/>
            <w:hideMark/>
          </w:tcPr>
          <w:p w14:paraId="586B4693" w14:textId="77777777" w:rsidR="00723E34" w:rsidRPr="00F97952" w:rsidRDefault="00723E34" w:rsidP="00723E34">
            <w:pPr>
              <w:rPr>
                <w:rFonts w:asciiTheme="minorHAnsi" w:hAnsiTheme="minorHAnsi"/>
              </w:rPr>
            </w:pPr>
          </w:p>
        </w:tc>
        <w:tc>
          <w:tcPr>
            <w:tcW w:w="1572" w:type="pct"/>
            <w:hideMark/>
          </w:tcPr>
          <w:p w14:paraId="7C607715" w14:textId="77777777" w:rsidR="00723E34" w:rsidRPr="00F97952" w:rsidRDefault="00723E34" w:rsidP="00723E34">
            <w:pPr>
              <w:rPr>
                <w:rFonts w:asciiTheme="minorHAnsi" w:hAnsiTheme="minorHAnsi"/>
              </w:rPr>
            </w:pPr>
            <w:r w:rsidRPr="00F97952">
              <w:rPr>
                <w:rFonts w:asciiTheme="minorHAnsi" w:hAnsiTheme="minorHAnsi"/>
              </w:rPr>
              <w:t>Development of A Minamata Initial Assessment in Marshall Islands</w:t>
            </w:r>
          </w:p>
        </w:tc>
        <w:tc>
          <w:tcPr>
            <w:tcW w:w="372" w:type="pct"/>
            <w:hideMark/>
          </w:tcPr>
          <w:p w14:paraId="1BC54F3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7B7D1B70"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92FE842" w14:textId="06C09FD3" w:rsidR="00723E34" w:rsidRPr="00F97952" w:rsidRDefault="00723E34" w:rsidP="00CC3636">
            <w:pPr>
              <w:jc w:val="right"/>
              <w:rPr>
                <w:rFonts w:asciiTheme="minorHAnsi" w:hAnsiTheme="minorHAnsi"/>
              </w:rPr>
            </w:pPr>
            <w:r w:rsidRPr="00F97952">
              <w:rPr>
                <w:rFonts w:asciiTheme="minorHAnsi" w:hAnsiTheme="minorHAnsi"/>
              </w:rPr>
              <w:t xml:space="preserve">125,000 </w:t>
            </w:r>
          </w:p>
        </w:tc>
        <w:tc>
          <w:tcPr>
            <w:tcW w:w="697" w:type="pct"/>
            <w:hideMark/>
          </w:tcPr>
          <w:p w14:paraId="1DEE1B9F" w14:textId="77777777" w:rsidR="00723E34" w:rsidRPr="00F97952" w:rsidRDefault="00723E34" w:rsidP="00CC3636">
            <w:pPr>
              <w:jc w:val="right"/>
              <w:rPr>
                <w:rFonts w:asciiTheme="minorHAnsi" w:hAnsiTheme="minorHAnsi"/>
              </w:rPr>
            </w:pPr>
          </w:p>
        </w:tc>
      </w:tr>
      <w:tr w:rsidR="00723E34" w:rsidRPr="00F97952" w14:paraId="6FB406F9" w14:textId="77777777" w:rsidTr="00033F0E">
        <w:trPr>
          <w:trHeight w:val="866"/>
        </w:trPr>
        <w:tc>
          <w:tcPr>
            <w:tcW w:w="716" w:type="pct"/>
            <w:hideMark/>
          </w:tcPr>
          <w:p w14:paraId="55FBC927" w14:textId="77777777" w:rsidR="00723E34" w:rsidRPr="00F97952" w:rsidRDefault="00723E34" w:rsidP="00723E34">
            <w:pPr>
              <w:rPr>
                <w:rFonts w:asciiTheme="minorHAnsi" w:hAnsiTheme="minorHAnsi"/>
              </w:rPr>
            </w:pPr>
            <w:proofErr w:type="spellStart"/>
            <w:r w:rsidRPr="00F97952">
              <w:rPr>
                <w:rFonts w:asciiTheme="minorHAnsi" w:hAnsiTheme="minorHAnsi"/>
              </w:rPr>
              <w:t>Miconesia</w:t>
            </w:r>
            <w:proofErr w:type="spellEnd"/>
          </w:p>
        </w:tc>
        <w:tc>
          <w:tcPr>
            <w:tcW w:w="668" w:type="pct"/>
            <w:hideMark/>
          </w:tcPr>
          <w:p w14:paraId="3760CBB0" w14:textId="77777777" w:rsidR="00723E34" w:rsidRPr="00F97952" w:rsidRDefault="00723E34" w:rsidP="00723E34">
            <w:pPr>
              <w:rPr>
                <w:rFonts w:asciiTheme="minorHAnsi" w:hAnsiTheme="minorHAnsi"/>
              </w:rPr>
            </w:pPr>
          </w:p>
        </w:tc>
        <w:tc>
          <w:tcPr>
            <w:tcW w:w="1572" w:type="pct"/>
            <w:hideMark/>
          </w:tcPr>
          <w:p w14:paraId="3048E145" w14:textId="77777777" w:rsidR="00723E34" w:rsidRPr="00F97952" w:rsidRDefault="00723E34" w:rsidP="00723E34">
            <w:pPr>
              <w:rPr>
                <w:rFonts w:asciiTheme="minorHAnsi" w:hAnsiTheme="minorHAnsi"/>
              </w:rPr>
            </w:pPr>
            <w:r w:rsidRPr="00F97952">
              <w:rPr>
                <w:rFonts w:asciiTheme="minorHAnsi" w:hAnsiTheme="minorHAnsi"/>
              </w:rPr>
              <w:t>Development of a Minamata Initial Assessment in the Federated States of Micronesia</w:t>
            </w:r>
          </w:p>
        </w:tc>
        <w:tc>
          <w:tcPr>
            <w:tcW w:w="372" w:type="pct"/>
            <w:hideMark/>
          </w:tcPr>
          <w:p w14:paraId="76F6D69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7693B72C"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07629205" w14:textId="26C0168E" w:rsidR="00723E34" w:rsidRPr="00F97952" w:rsidRDefault="00723E34" w:rsidP="00CC3636">
            <w:pPr>
              <w:jc w:val="right"/>
              <w:rPr>
                <w:rFonts w:asciiTheme="minorHAnsi" w:hAnsiTheme="minorHAnsi"/>
              </w:rPr>
            </w:pPr>
            <w:r w:rsidRPr="00F97952">
              <w:rPr>
                <w:rFonts w:asciiTheme="minorHAnsi" w:hAnsiTheme="minorHAnsi"/>
              </w:rPr>
              <w:t xml:space="preserve">125,000 </w:t>
            </w:r>
          </w:p>
        </w:tc>
        <w:tc>
          <w:tcPr>
            <w:tcW w:w="697" w:type="pct"/>
            <w:hideMark/>
          </w:tcPr>
          <w:p w14:paraId="6B88871B" w14:textId="77777777" w:rsidR="00723E34" w:rsidRPr="00F97952" w:rsidRDefault="00723E34" w:rsidP="00CC3636">
            <w:pPr>
              <w:jc w:val="right"/>
              <w:rPr>
                <w:rFonts w:asciiTheme="minorHAnsi" w:hAnsiTheme="minorHAnsi"/>
              </w:rPr>
            </w:pPr>
          </w:p>
        </w:tc>
      </w:tr>
      <w:tr w:rsidR="00723E34" w:rsidRPr="00F97952" w14:paraId="346BC257" w14:textId="77777777" w:rsidTr="00033F0E">
        <w:trPr>
          <w:trHeight w:val="812"/>
        </w:trPr>
        <w:tc>
          <w:tcPr>
            <w:tcW w:w="716" w:type="pct"/>
            <w:hideMark/>
          </w:tcPr>
          <w:p w14:paraId="687C7B83" w14:textId="77777777" w:rsidR="00723E34" w:rsidRPr="00F97952" w:rsidRDefault="00723E34" w:rsidP="00723E34">
            <w:pPr>
              <w:rPr>
                <w:rFonts w:asciiTheme="minorHAnsi" w:hAnsiTheme="minorHAnsi"/>
              </w:rPr>
            </w:pPr>
            <w:r w:rsidRPr="00F97952">
              <w:rPr>
                <w:rFonts w:asciiTheme="minorHAnsi" w:hAnsiTheme="minorHAnsi"/>
              </w:rPr>
              <w:t>Mongolia</w:t>
            </w:r>
          </w:p>
        </w:tc>
        <w:tc>
          <w:tcPr>
            <w:tcW w:w="668" w:type="pct"/>
            <w:hideMark/>
          </w:tcPr>
          <w:p w14:paraId="0A9B3094" w14:textId="77777777" w:rsidR="00723E34" w:rsidRPr="00F97952" w:rsidRDefault="00723E34" w:rsidP="00723E34">
            <w:pPr>
              <w:rPr>
                <w:rFonts w:asciiTheme="minorHAnsi" w:hAnsiTheme="minorHAnsi"/>
              </w:rPr>
            </w:pPr>
          </w:p>
        </w:tc>
        <w:tc>
          <w:tcPr>
            <w:tcW w:w="1572" w:type="pct"/>
            <w:hideMark/>
          </w:tcPr>
          <w:p w14:paraId="589BFE46" w14:textId="5D4C6119" w:rsidR="00723E34" w:rsidRPr="00F97952" w:rsidRDefault="00723E34" w:rsidP="00723E34">
            <w:pPr>
              <w:rPr>
                <w:rFonts w:asciiTheme="minorHAnsi" w:hAnsiTheme="minorHAnsi"/>
              </w:rPr>
            </w:pPr>
            <w:r w:rsidRPr="00F97952">
              <w:rPr>
                <w:rFonts w:asciiTheme="minorHAnsi" w:hAnsiTheme="minorHAnsi"/>
              </w:rPr>
              <w:t xml:space="preserve">Development of National Action Plan for Artisanal and </w:t>
            </w:r>
            <w:r w:rsidR="00AC6E7B" w:rsidRPr="00F97952">
              <w:rPr>
                <w:rFonts w:asciiTheme="minorHAnsi" w:hAnsiTheme="minorHAnsi"/>
              </w:rPr>
              <w:t>Small-Scale</w:t>
            </w:r>
            <w:r w:rsidRPr="00F97952">
              <w:rPr>
                <w:rFonts w:asciiTheme="minorHAnsi" w:hAnsiTheme="minorHAnsi"/>
              </w:rPr>
              <w:t xml:space="preserve"> Gold Mining </w:t>
            </w:r>
          </w:p>
        </w:tc>
        <w:tc>
          <w:tcPr>
            <w:tcW w:w="372" w:type="pct"/>
            <w:hideMark/>
          </w:tcPr>
          <w:p w14:paraId="7376B073"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2B5C10A2"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6A912998" w14:textId="322E0234"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5DF5A946" w14:textId="77777777" w:rsidR="00723E34" w:rsidRPr="00F97952" w:rsidRDefault="00723E34" w:rsidP="00CC3636">
            <w:pPr>
              <w:jc w:val="right"/>
              <w:rPr>
                <w:rFonts w:asciiTheme="minorHAnsi" w:hAnsiTheme="minorHAnsi"/>
              </w:rPr>
            </w:pPr>
          </w:p>
        </w:tc>
      </w:tr>
      <w:tr w:rsidR="00723E34" w:rsidRPr="00F97952" w14:paraId="1C5C1AA9" w14:textId="77777777" w:rsidTr="00033F0E">
        <w:trPr>
          <w:trHeight w:val="551"/>
        </w:trPr>
        <w:tc>
          <w:tcPr>
            <w:tcW w:w="716" w:type="pct"/>
            <w:hideMark/>
          </w:tcPr>
          <w:p w14:paraId="250B4A44" w14:textId="77777777" w:rsidR="00723E34" w:rsidRPr="00F97952" w:rsidRDefault="00723E34" w:rsidP="00723E34">
            <w:pPr>
              <w:rPr>
                <w:rFonts w:asciiTheme="minorHAnsi" w:hAnsiTheme="minorHAnsi"/>
              </w:rPr>
            </w:pPr>
            <w:r w:rsidRPr="00F97952">
              <w:rPr>
                <w:rFonts w:asciiTheme="minorHAnsi" w:hAnsiTheme="minorHAnsi"/>
              </w:rPr>
              <w:t>Mongolia</w:t>
            </w:r>
          </w:p>
        </w:tc>
        <w:tc>
          <w:tcPr>
            <w:tcW w:w="668" w:type="pct"/>
            <w:hideMark/>
          </w:tcPr>
          <w:p w14:paraId="3D2CD132" w14:textId="77777777" w:rsidR="00723E34" w:rsidRPr="00F97952" w:rsidRDefault="00723E34" w:rsidP="00723E34">
            <w:pPr>
              <w:rPr>
                <w:rFonts w:asciiTheme="minorHAnsi" w:hAnsiTheme="minorHAnsi"/>
              </w:rPr>
            </w:pPr>
          </w:p>
        </w:tc>
        <w:tc>
          <w:tcPr>
            <w:tcW w:w="1572" w:type="pct"/>
            <w:hideMark/>
          </w:tcPr>
          <w:p w14:paraId="010CEAEC" w14:textId="77777777" w:rsidR="00723E34" w:rsidRPr="00F97952" w:rsidRDefault="00723E34" w:rsidP="00723E34">
            <w:pPr>
              <w:rPr>
                <w:rFonts w:asciiTheme="minorHAnsi" w:hAnsiTheme="minorHAnsi"/>
              </w:rPr>
            </w:pPr>
            <w:r w:rsidRPr="00F97952">
              <w:rPr>
                <w:rFonts w:asciiTheme="minorHAnsi" w:hAnsiTheme="minorHAnsi"/>
              </w:rPr>
              <w:t>Advanced Minamata Initial Assessment in Mongolia</w:t>
            </w:r>
          </w:p>
        </w:tc>
        <w:tc>
          <w:tcPr>
            <w:tcW w:w="372" w:type="pct"/>
            <w:hideMark/>
          </w:tcPr>
          <w:p w14:paraId="679D184E"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0BA4780"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52BFE5A8" w14:textId="7A96D44C"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26DA3626" w14:textId="075B54EF" w:rsidR="00723E34" w:rsidRPr="00F97952" w:rsidRDefault="00723E34" w:rsidP="00CC3636">
            <w:pPr>
              <w:jc w:val="right"/>
              <w:rPr>
                <w:rFonts w:asciiTheme="minorHAnsi" w:hAnsiTheme="minorHAnsi"/>
              </w:rPr>
            </w:pPr>
            <w:r w:rsidRPr="00F97952">
              <w:rPr>
                <w:rFonts w:asciiTheme="minorHAnsi" w:hAnsiTheme="minorHAnsi"/>
              </w:rPr>
              <w:t xml:space="preserve">18,600 </w:t>
            </w:r>
          </w:p>
        </w:tc>
      </w:tr>
      <w:tr w:rsidR="00723E34" w:rsidRPr="00F97952" w14:paraId="0A1EC591" w14:textId="77777777" w:rsidTr="00033F0E">
        <w:trPr>
          <w:trHeight w:val="551"/>
        </w:trPr>
        <w:tc>
          <w:tcPr>
            <w:tcW w:w="716" w:type="pct"/>
            <w:hideMark/>
          </w:tcPr>
          <w:p w14:paraId="14778A7B" w14:textId="77777777" w:rsidR="00723E34" w:rsidRPr="00F97952" w:rsidRDefault="00723E34" w:rsidP="00723E34">
            <w:pPr>
              <w:rPr>
                <w:rFonts w:asciiTheme="minorHAnsi" w:hAnsiTheme="minorHAnsi"/>
              </w:rPr>
            </w:pPr>
            <w:r w:rsidRPr="00F97952">
              <w:rPr>
                <w:rFonts w:asciiTheme="minorHAnsi" w:hAnsiTheme="minorHAnsi"/>
              </w:rPr>
              <w:lastRenderedPageBreak/>
              <w:t>Montenegro</w:t>
            </w:r>
          </w:p>
        </w:tc>
        <w:tc>
          <w:tcPr>
            <w:tcW w:w="668" w:type="pct"/>
            <w:hideMark/>
          </w:tcPr>
          <w:p w14:paraId="4908564B" w14:textId="77777777" w:rsidR="00723E34" w:rsidRPr="00F97952" w:rsidRDefault="00723E34" w:rsidP="00723E34">
            <w:pPr>
              <w:rPr>
                <w:rFonts w:asciiTheme="minorHAnsi" w:hAnsiTheme="minorHAnsi"/>
              </w:rPr>
            </w:pPr>
          </w:p>
        </w:tc>
        <w:tc>
          <w:tcPr>
            <w:tcW w:w="1572" w:type="pct"/>
            <w:hideMark/>
          </w:tcPr>
          <w:p w14:paraId="2DCB6F9B" w14:textId="77777777" w:rsidR="00723E34" w:rsidRPr="00F97952" w:rsidRDefault="00723E34" w:rsidP="00723E34">
            <w:pPr>
              <w:rPr>
                <w:rFonts w:asciiTheme="minorHAnsi" w:hAnsiTheme="minorHAnsi"/>
              </w:rPr>
            </w:pPr>
            <w:r w:rsidRPr="00F97952">
              <w:rPr>
                <w:rFonts w:asciiTheme="minorHAnsi" w:hAnsiTheme="minorHAnsi"/>
              </w:rPr>
              <w:t>Minamata Initial Assessment for Montenegro</w:t>
            </w:r>
          </w:p>
        </w:tc>
        <w:tc>
          <w:tcPr>
            <w:tcW w:w="372" w:type="pct"/>
            <w:hideMark/>
          </w:tcPr>
          <w:p w14:paraId="70856978" w14:textId="7222A41C" w:rsidR="00723E34" w:rsidRPr="00F97952" w:rsidRDefault="00196030" w:rsidP="00723E34">
            <w:pPr>
              <w:rPr>
                <w:rFonts w:asciiTheme="minorHAnsi" w:hAnsiTheme="minorHAnsi"/>
              </w:rPr>
            </w:pPr>
            <w:r w:rsidRPr="00F97952">
              <w:rPr>
                <w:rFonts w:asciiTheme="minorHAnsi" w:hAnsiTheme="minorHAnsi"/>
              </w:rPr>
              <w:t>MIA</w:t>
            </w:r>
          </w:p>
        </w:tc>
        <w:tc>
          <w:tcPr>
            <w:tcW w:w="356" w:type="pct"/>
            <w:hideMark/>
          </w:tcPr>
          <w:p w14:paraId="492C0A78"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73F0857F" w14:textId="55D608E6"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6D3E4D0C" w14:textId="0F20429D" w:rsidR="00723E34" w:rsidRPr="00F97952" w:rsidRDefault="00723E34" w:rsidP="00CC3636">
            <w:pPr>
              <w:jc w:val="right"/>
              <w:rPr>
                <w:rFonts w:asciiTheme="minorHAnsi" w:hAnsiTheme="minorHAnsi"/>
              </w:rPr>
            </w:pPr>
            <w:r w:rsidRPr="00F97952">
              <w:rPr>
                <w:rFonts w:asciiTheme="minorHAnsi" w:hAnsiTheme="minorHAnsi"/>
              </w:rPr>
              <w:t xml:space="preserve">20,000 </w:t>
            </w:r>
          </w:p>
        </w:tc>
      </w:tr>
      <w:tr w:rsidR="00723E34" w:rsidRPr="00F97952" w14:paraId="1A25DAE1" w14:textId="77777777" w:rsidTr="00033F0E">
        <w:trPr>
          <w:trHeight w:val="620"/>
        </w:trPr>
        <w:tc>
          <w:tcPr>
            <w:tcW w:w="716" w:type="pct"/>
            <w:hideMark/>
          </w:tcPr>
          <w:p w14:paraId="598DF70F" w14:textId="77777777" w:rsidR="00723E34" w:rsidRPr="00F97952" w:rsidRDefault="00723E34" w:rsidP="00723E34">
            <w:pPr>
              <w:rPr>
                <w:rFonts w:asciiTheme="minorHAnsi" w:hAnsiTheme="minorHAnsi"/>
              </w:rPr>
            </w:pPr>
            <w:r w:rsidRPr="00F97952">
              <w:rPr>
                <w:rFonts w:asciiTheme="minorHAnsi" w:hAnsiTheme="minorHAnsi"/>
              </w:rPr>
              <w:t>Morocco</w:t>
            </w:r>
          </w:p>
        </w:tc>
        <w:tc>
          <w:tcPr>
            <w:tcW w:w="668" w:type="pct"/>
            <w:hideMark/>
          </w:tcPr>
          <w:p w14:paraId="364BDACF" w14:textId="77777777" w:rsidR="00723E34" w:rsidRPr="00F97952" w:rsidRDefault="00723E34" w:rsidP="00723E34">
            <w:pPr>
              <w:rPr>
                <w:rFonts w:asciiTheme="minorHAnsi" w:hAnsiTheme="minorHAnsi"/>
              </w:rPr>
            </w:pPr>
          </w:p>
        </w:tc>
        <w:tc>
          <w:tcPr>
            <w:tcW w:w="1572" w:type="pct"/>
            <w:hideMark/>
          </w:tcPr>
          <w:p w14:paraId="423CD977" w14:textId="47B10EBA" w:rsidR="00723E34" w:rsidRPr="00F97952" w:rsidRDefault="00723E34" w:rsidP="00723E34">
            <w:pPr>
              <w:rPr>
                <w:rFonts w:asciiTheme="minorHAnsi" w:hAnsiTheme="minorHAnsi"/>
              </w:rPr>
            </w:pPr>
            <w:r w:rsidRPr="00F97952">
              <w:rPr>
                <w:rFonts w:asciiTheme="minorHAnsi" w:hAnsiTheme="minorHAnsi"/>
              </w:rPr>
              <w:t xml:space="preserve">Strengthen the National </w:t>
            </w:r>
            <w:r w:rsidR="00AC6E7B" w:rsidRPr="00F97952">
              <w:rPr>
                <w:rFonts w:asciiTheme="minorHAnsi" w:hAnsiTheme="minorHAnsi"/>
              </w:rPr>
              <w:t>Decision-Making</w:t>
            </w:r>
            <w:r w:rsidRPr="00F97952">
              <w:rPr>
                <w:rFonts w:asciiTheme="minorHAnsi" w:hAnsiTheme="minorHAnsi"/>
              </w:rPr>
              <w:t xml:space="preserve"> Mechanism to Ratify the Minamata Convention and Strengthen National Capacities for the Implementation of its Futures Provisions</w:t>
            </w:r>
          </w:p>
        </w:tc>
        <w:tc>
          <w:tcPr>
            <w:tcW w:w="372" w:type="pct"/>
            <w:hideMark/>
          </w:tcPr>
          <w:p w14:paraId="336F72B0"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558F9637"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2C3630E9" w14:textId="6E8ECB83"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35FF31CA" w14:textId="77777777" w:rsidR="00723E34" w:rsidRPr="00F97952" w:rsidRDefault="00723E34" w:rsidP="00CC3636">
            <w:pPr>
              <w:jc w:val="right"/>
              <w:rPr>
                <w:rFonts w:asciiTheme="minorHAnsi" w:hAnsiTheme="minorHAnsi"/>
              </w:rPr>
            </w:pPr>
          </w:p>
        </w:tc>
      </w:tr>
      <w:tr w:rsidR="00723E34" w:rsidRPr="00F97952" w14:paraId="581DE54E" w14:textId="77777777" w:rsidTr="00033F0E">
        <w:trPr>
          <w:trHeight w:val="884"/>
        </w:trPr>
        <w:tc>
          <w:tcPr>
            <w:tcW w:w="716" w:type="pct"/>
            <w:hideMark/>
          </w:tcPr>
          <w:p w14:paraId="394AA648" w14:textId="77777777" w:rsidR="00723E34" w:rsidRPr="00F97952" w:rsidRDefault="00723E34" w:rsidP="00723E34">
            <w:pPr>
              <w:rPr>
                <w:rFonts w:asciiTheme="minorHAnsi" w:hAnsiTheme="minorHAnsi"/>
              </w:rPr>
            </w:pPr>
            <w:r w:rsidRPr="00F97952">
              <w:rPr>
                <w:rFonts w:asciiTheme="minorHAnsi" w:hAnsiTheme="minorHAnsi"/>
              </w:rPr>
              <w:t>Mozambique</w:t>
            </w:r>
          </w:p>
        </w:tc>
        <w:tc>
          <w:tcPr>
            <w:tcW w:w="668" w:type="pct"/>
            <w:hideMark/>
          </w:tcPr>
          <w:p w14:paraId="7FD9E900" w14:textId="77777777" w:rsidR="00723E34" w:rsidRPr="00F97952" w:rsidRDefault="00723E34" w:rsidP="00723E34">
            <w:pPr>
              <w:rPr>
                <w:rFonts w:asciiTheme="minorHAnsi" w:hAnsiTheme="minorHAnsi"/>
              </w:rPr>
            </w:pPr>
          </w:p>
        </w:tc>
        <w:tc>
          <w:tcPr>
            <w:tcW w:w="1572" w:type="pct"/>
            <w:hideMark/>
          </w:tcPr>
          <w:p w14:paraId="76DC2E5B"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Mozambican Artisanal and Small-Scale Gold Mining sector</w:t>
            </w:r>
          </w:p>
        </w:tc>
        <w:tc>
          <w:tcPr>
            <w:tcW w:w="372" w:type="pct"/>
            <w:hideMark/>
          </w:tcPr>
          <w:p w14:paraId="77EB54FD"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1A285889"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624D2A00" w14:textId="7722478A"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455139A9" w14:textId="791F6926" w:rsidR="00723E34" w:rsidRPr="00F97952" w:rsidRDefault="00723E34" w:rsidP="00CC3636">
            <w:pPr>
              <w:jc w:val="right"/>
              <w:rPr>
                <w:rFonts w:asciiTheme="minorHAnsi" w:hAnsiTheme="minorHAnsi"/>
              </w:rPr>
            </w:pPr>
            <w:r w:rsidRPr="00F97952">
              <w:rPr>
                <w:rFonts w:asciiTheme="minorHAnsi" w:hAnsiTheme="minorHAnsi"/>
              </w:rPr>
              <w:t xml:space="preserve">84,000 </w:t>
            </w:r>
          </w:p>
        </w:tc>
      </w:tr>
      <w:tr w:rsidR="00723E34" w:rsidRPr="00F97952" w14:paraId="6415EB1A" w14:textId="77777777" w:rsidTr="00033F0E">
        <w:trPr>
          <w:trHeight w:val="1154"/>
        </w:trPr>
        <w:tc>
          <w:tcPr>
            <w:tcW w:w="716" w:type="pct"/>
            <w:hideMark/>
          </w:tcPr>
          <w:p w14:paraId="0DF2C42B" w14:textId="77777777" w:rsidR="00723E34" w:rsidRPr="00F97952" w:rsidRDefault="00723E34" w:rsidP="00723E34">
            <w:pPr>
              <w:rPr>
                <w:rFonts w:asciiTheme="minorHAnsi" w:hAnsiTheme="minorHAnsi"/>
              </w:rPr>
            </w:pPr>
            <w:r w:rsidRPr="00F97952">
              <w:rPr>
                <w:rFonts w:asciiTheme="minorHAnsi" w:hAnsiTheme="minorHAnsi"/>
              </w:rPr>
              <w:t>Myanmar</w:t>
            </w:r>
          </w:p>
        </w:tc>
        <w:tc>
          <w:tcPr>
            <w:tcW w:w="668" w:type="pct"/>
            <w:hideMark/>
          </w:tcPr>
          <w:p w14:paraId="355C6F80" w14:textId="77777777" w:rsidR="00723E34" w:rsidRPr="00F97952" w:rsidRDefault="00723E34" w:rsidP="00723E34">
            <w:pPr>
              <w:rPr>
                <w:rFonts w:asciiTheme="minorHAnsi" w:hAnsiTheme="minorHAnsi"/>
              </w:rPr>
            </w:pPr>
          </w:p>
        </w:tc>
        <w:tc>
          <w:tcPr>
            <w:tcW w:w="1572" w:type="pct"/>
            <w:hideMark/>
          </w:tcPr>
          <w:p w14:paraId="2C02A3D0" w14:textId="7A5D683E"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National Action Plan for Artisanal and </w:t>
            </w:r>
            <w:r w:rsidR="00AC6E7B" w:rsidRPr="00F97952">
              <w:rPr>
                <w:rFonts w:asciiTheme="minorHAnsi" w:hAnsiTheme="minorHAnsi"/>
              </w:rPr>
              <w:t>Small-Scale</w:t>
            </w:r>
            <w:r w:rsidRPr="00F97952">
              <w:rPr>
                <w:rFonts w:asciiTheme="minorHAnsi" w:hAnsiTheme="minorHAnsi"/>
              </w:rPr>
              <w:t xml:space="preserve"> Gold Mining in Myanmar </w:t>
            </w:r>
          </w:p>
        </w:tc>
        <w:tc>
          <w:tcPr>
            <w:tcW w:w="372" w:type="pct"/>
            <w:hideMark/>
          </w:tcPr>
          <w:p w14:paraId="7C532DB6"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1E0DA671"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617B399C" w14:textId="4511C5EC"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4F5DFF3F" w14:textId="77777777" w:rsidR="00723E34" w:rsidRPr="00F97952" w:rsidRDefault="00723E34" w:rsidP="00CC3636">
            <w:pPr>
              <w:jc w:val="right"/>
              <w:rPr>
                <w:rFonts w:asciiTheme="minorHAnsi" w:hAnsiTheme="minorHAnsi"/>
              </w:rPr>
            </w:pPr>
          </w:p>
        </w:tc>
      </w:tr>
      <w:tr w:rsidR="00723E34" w:rsidRPr="00F97952" w14:paraId="7AB42EE8" w14:textId="77777777" w:rsidTr="00033F0E">
        <w:trPr>
          <w:trHeight w:val="389"/>
        </w:trPr>
        <w:tc>
          <w:tcPr>
            <w:tcW w:w="716" w:type="pct"/>
            <w:hideMark/>
          </w:tcPr>
          <w:p w14:paraId="37E92EC5" w14:textId="77777777" w:rsidR="00723E34" w:rsidRPr="00F97952" w:rsidRDefault="00723E34" w:rsidP="00723E34">
            <w:pPr>
              <w:rPr>
                <w:rFonts w:asciiTheme="minorHAnsi" w:hAnsiTheme="minorHAnsi"/>
              </w:rPr>
            </w:pPr>
            <w:r w:rsidRPr="00F97952">
              <w:rPr>
                <w:rFonts w:asciiTheme="minorHAnsi" w:hAnsiTheme="minorHAnsi"/>
              </w:rPr>
              <w:t>Nepal</w:t>
            </w:r>
          </w:p>
        </w:tc>
        <w:tc>
          <w:tcPr>
            <w:tcW w:w="668" w:type="pct"/>
            <w:hideMark/>
          </w:tcPr>
          <w:p w14:paraId="07B40BBE" w14:textId="77777777" w:rsidR="00723E34" w:rsidRPr="00F97952" w:rsidRDefault="00723E34" w:rsidP="00723E34">
            <w:pPr>
              <w:rPr>
                <w:rFonts w:asciiTheme="minorHAnsi" w:hAnsiTheme="minorHAnsi"/>
              </w:rPr>
            </w:pPr>
          </w:p>
        </w:tc>
        <w:tc>
          <w:tcPr>
            <w:tcW w:w="1572" w:type="pct"/>
            <w:hideMark/>
          </w:tcPr>
          <w:p w14:paraId="4523C7A2" w14:textId="77777777" w:rsidR="00723E34" w:rsidRPr="00F97952" w:rsidRDefault="00723E34" w:rsidP="00723E34">
            <w:pPr>
              <w:rPr>
                <w:rFonts w:asciiTheme="minorHAnsi" w:hAnsiTheme="minorHAnsi"/>
              </w:rPr>
            </w:pPr>
            <w:r w:rsidRPr="00F97952">
              <w:rPr>
                <w:rFonts w:asciiTheme="minorHAnsi" w:hAnsiTheme="minorHAnsi"/>
              </w:rPr>
              <w:t>Minamata Initial Assessment in Nepal</w:t>
            </w:r>
          </w:p>
        </w:tc>
        <w:tc>
          <w:tcPr>
            <w:tcW w:w="372" w:type="pct"/>
            <w:hideMark/>
          </w:tcPr>
          <w:p w14:paraId="08AE7C7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8EA1A01"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3760CB7A" w14:textId="6C74FA4C"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176AE3DC" w14:textId="5EB3257A" w:rsidR="00723E34" w:rsidRPr="00F97952" w:rsidRDefault="00723E34" w:rsidP="00CC3636">
            <w:pPr>
              <w:jc w:val="right"/>
              <w:rPr>
                <w:rFonts w:asciiTheme="minorHAnsi" w:hAnsiTheme="minorHAnsi"/>
              </w:rPr>
            </w:pPr>
            <w:r w:rsidRPr="00F97952">
              <w:rPr>
                <w:rFonts w:asciiTheme="minorHAnsi" w:hAnsiTheme="minorHAnsi"/>
              </w:rPr>
              <w:t xml:space="preserve">108,600 </w:t>
            </w:r>
          </w:p>
        </w:tc>
      </w:tr>
      <w:tr w:rsidR="00723E34" w:rsidRPr="00F97952" w14:paraId="67EE454F" w14:textId="77777777" w:rsidTr="00033F0E">
        <w:trPr>
          <w:trHeight w:val="920"/>
        </w:trPr>
        <w:tc>
          <w:tcPr>
            <w:tcW w:w="716" w:type="pct"/>
            <w:hideMark/>
          </w:tcPr>
          <w:p w14:paraId="6D787F20" w14:textId="77777777" w:rsidR="00723E34" w:rsidRPr="00F97952" w:rsidRDefault="00723E34" w:rsidP="00723E34">
            <w:pPr>
              <w:rPr>
                <w:rFonts w:asciiTheme="minorHAnsi" w:hAnsiTheme="minorHAnsi"/>
              </w:rPr>
            </w:pPr>
            <w:r w:rsidRPr="00F97952">
              <w:rPr>
                <w:rFonts w:asciiTheme="minorHAnsi" w:hAnsiTheme="minorHAnsi"/>
              </w:rPr>
              <w:t>Nigeria</w:t>
            </w:r>
          </w:p>
        </w:tc>
        <w:tc>
          <w:tcPr>
            <w:tcW w:w="668" w:type="pct"/>
            <w:hideMark/>
          </w:tcPr>
          <w:p w14:paraId="42B1F0C7" w14:textId="77777777" w:rsidR="00723E34" w:rsidRPr="00F97952" w:rsidRDefault="00723E34" w:rsidP="00723E34">
            <w:pPr>
              <w:rPr>
                <w:rFonts w:asciiTheme="minorHAnsi" w:hAnsiTheme="minorHAnsi"/>
              </w:rPr>
            </w:pPr>
          </w:p>
        </w:tc>
        <w:tc>
          <w:tcPr>
            <w:tcW w:w="1572" w:type="pct"/>
            <w:hideMark/>
          </w:tcPr>
          <w:p w14:paraId="1831365C"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Nigerian Artisanal and Small-Scale Gold Mining sector</w:t>
            </w:r>
          </w:p>
        </w:tc>
        <w:tc>
          <w:tcPr>
            <w:tcW w:w="372" w:type="pct"/>
            <w:hideMark/>
          </w:tcPr>
          <w:p w14:paraId="32FF14E8"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7ED1C592"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0DE561F3" w14:textId="19B19A81"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33EB60D3" w14:textId="4D8110E4" w:rsidR="00723E34" w:rsidRPr="00F97952" w:rsidRDefault="00723E34" w:rsidP="00CC3636">
            <w:pPr>
              <w:jc w:val="right"/>
              <w:rPr>
                <w:rFonts w:asciiTheme="minorHAnsi" w:hAnsiTheme="minorHAnsi"/>
              </w:rPr>
            </w:pPr>
            <w:r w:rsidRPr="00F97952">
              <w:rPr>
                <w:rFonts w:asciiTheme="minorHAnsi" w:hAnsiTheme="minorHAnsi"/>
              </w:rPr>
              <w:t xml:space="preserve">373,000 </w:t>
            </w:r>
          </w:p>
        </w:tc>
      </w:tr>
      <w:tr w:rsidR="00723E34" w:rsidRPr="00F97952" w14:paraId="24DC2EF2" w14:textId="77777777" w:rsidTr="00033F0E">
        <w:trPr>
          <w:trHeight w:val="660"/>
        </w:trPr>
        <w:tc>
          <w:tcPr>
            <w:tcW w:w="716" w:type="pct"/>
            <w:hideMark/>
          </w:tcPr>
          <w:p w14:paraId="3AE5CC8E" w14:textId="77777777" w:rsidR="00723E34" w:rsidRPr="00F97952" w:rsidRDefault="00723E34" w:rsidP="00723E34">
            <w:pPr>
              <w:rPr>
                <w:rFonts w:asciiTheme="minorHAnsi" w:hAnsiTheme="minorHAnsi"/>
              </w:rPr>
            </w:pPr>
            <w:r w:rsidRPr="00F97952">
              <w:rPr>
                <w:rFonts w:asciiTheme="minorHAnsi" w:hAnsiTheme="minorHAnsi"/>
              </w:rPr>
              <w:t>Niue</w:t>
            </w:r>
          </w:p>
        </w:tc>
        <w:tc>
          <w:tcPr>
            <w:tcW w:w="668" w:type="pct"/>
            <w:hideMark/>
          </w:tcPr>
          <w:p w14:paraId="1CE529CC" w14:textId="77777777" w:rsidR="00723E34" w:rsidRPr="00F97952" w:rsidRDefault="00723E34" w:rsidP="00723E34">
            <w:pPr>
              <w:rPr>
                <w:rFonts w:asciiTheme="minorHAnsi" w:hAnsiTheme="minorHAnsi"/>
              </w:rPr>
            </w:pPr>
          </w:p>
        </w:tc>
        <w:tc>
          <w:tcPr>
            <w:tcW w:w="1572" w:type="pct"/>
            <w:hideMark/>
          </w:tcPr>
          <w:p w14:paraId="5D6DE11A" w14:textId="77777777" w:rsidR="00723E34" w:rsidRPr="00F97952" w:rsidRDefault="00723E34" w:rsidP="00723E34">
            <w:pPr>
              <w:rPr>
                <w:rFonts w:asciiTheme="minorHAnsi" w:hAnsiTheme="minorHAnsi"/>
              </w:rPr>
            </w:pPr>
            <w:r w:rsidRPr="00F97952">
              <w:rPr>
                <w:rFonts w:asciiTheme="minorHAnsi" w:hAnsiTheme="minorHAnsi"/>
              </w:rPr>
              <w:t>Development of A Minamata Initial Assessment in Niue</w:t>
            </w:r>
          </w:p>
        </w:tc>
        <w:tc>
          <w:tcPr>
            <w:tcW w:w="372" w:type="pct"/>
            <w:hideMark/>
          </w:tcPr>
          <w:p w14:paraId="5B61819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6B5E502"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0E82EF6D" w14:textId="6B71E659" w:rsidR="00723E34" w:rsidRPr="00F97952" w:rsidRDefault="00723E34" w:rsidP="00CC3636">
            <w:pPr>
              <w:jc w:val="right"/>
              <w:rPr>
                <w:rFonts w:asciiTheme="minorHAnsi" w:hAnsiTheme="minorHAnsi"/>
              </w:rPr>
            </w:pPr>
            <w:r w:rsidRPr="00F97952">
              <w:rPr>
                <w:rFonts w:asciiTheme="minorHAnsi" w:hAnsiTheme="minorHAnsi"/>
              </w:rPr>
              <w:t xml:space="preserve">125,000 </w:t>
            </w:r>
          </w:p>
        </w:tc>
        <w:tc>
          <w:tcPr>
            <w:tcW w:w="697" w:type="pct"/>
            <w:hideMark/>
          </w:tcPr>
          <w:p w14:paraId="5027E07E" w14:textId="77777777" w:rsidR="00723E34" w:rsidRPr="00F97952" w:rsidRDefault="00723E34" w:rsidP="00CC3636">
            <w:pPr>
              <w:jc w:val="right"/>
              <w:rPr>
                <w:rFonts w:asciiTheme="minorHAnsi" w:hAnsiTheme="minorHAnsi"/>
              </w:rPr>
            </w:pPr>
          </w:p>
        </w:tc>
      </w:tr>
      <w:tr w:rsidR="00723E34" w:rsidRPr="00F97952" w14:paraId="5A1F733D" w14:textId="77777777" w:rsidTr="00033F0E">
        <w:trPr>
          <w:trHeight w:val="660"/>
        </w:trPr>
        <w:tc>
          <w:tcPr>
            <w:tcW w:w="716" w:type="pct"/>
            <w:hideMark/>
          </w:tcPr>
          <w:p w14:paraId="2E01C658" w14:textId="77777777" w:rsidR="00723E34" w:rsidRPr="00F97952" w:rsidRDefault="00723E34" w:rsidP="00723E34">
            <w:pPr>
              <w:rPr>
                <w:rFonts w:asciiTheme="minorHAnsi" w:hAnsiTheme="minorHAnsi"/>
              </w:rPr>
            </w:pPr>
            <w:r w:rsidRPr="00F97952">
              <w:rPr>
                <w:rFonts w:asciiTheme="minorHAnsi" w:hAnsiTheme="minorHAnsi"/>
              </w:rPr>
              <w:t>Panama</w:t>
            </w:r>
          </w:p>
        </w:tc>
        <w:tc>
          <w:tcPr>
            <w:tcW w:w="668" w:type="pct"/>
            <w:hideMark/>
          </w:tcPr>
          <w:p w14:paraId="1522DBF0" w14:textId="77777777" w:rsidR="00723E34" w:rsidRPr="00F97952" w:rsidRDefault="00723E34" w:rsidP="00723E34">
            <w:pPr>
              <w:rPr>
                <w:rFonts w:asciiTheme="minorHAnsi" w:hAnsiTheme="minorHAnsi"/>
              </w:rPr>
            </w:pPr>
          </w:p>
        </w:tc>
        <w:tc>
          <w:tcPr>
            <w:tcW w:w="1572" w:type="pct"/>
            <w:hideMark/>
          </w:tcPr>
          <w:p w14:paraId="6F5C1212" w14:textId="77777777" w:rsidR="00723E34" w:rsidRPr="00F97952" w:rsidRDefault="00723E34" w:rsidP="00723E34">
            <w:pPr>
              <w:rPr>
                <w:rFonts w:asciiTheme="minorHAnsi" w:hAnsiTheme="minorHAnsi"/>
              </w:rPr>
            </w:pPr>
            <w:r w:rsidRPr="00F97952">
              <w:rPr>
                <w:rFonts w:asciiTheme="minorHAnsi" w:hAnsiTheme="minorHAnsi"/>
              </w:rPr>
              <w:t>Minamata Initial Assessment for Panama</w:t>
            </w:r>
          </w:p>
        </w:tc>
        <w:tc>
          <w:tcPr>
            <w:tcW w:w="372" w:type="pct"/>
            <w:hideMark/>
          </w:tcPr>
          <w:p w14:paraId="3A2E3F4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B3ED260"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6F8BEC18" w14:textId="0B9ED747"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65ED4290" w14:textId="77777777" w:rsidR="00723E34" w:rsidRPr="00F97952" w:rsidRDefault="00723E34" w:rsidP="00CC3636">
            <w:pPr>
              <w:jc w:val="right"/>
              <w:rPr>
                <w:rFonts w:asciiTheme="minorHAnsi" w:hAnsiTheme="minorHAnsi"/>
              </w:rPr>
            </w:pPr>
          </w:p>
        </w:tc>
      </w:tr>
      <w:tr w:rsidR="00723E34" w:rsidRPr="00F97952" w14:paraId="50F850CC" w14:textId="77777777" w:rsidTr="00033F0E">
        <w:trPr>
          <w:trHeight w:val="677"/>
        </w:trPr>
        <w:tc>
          <w:tcPr>
            <w:tcW w:w="716" w:type="pct"/>
            <w:hideMark/>
          </w:tcPr>
          <w:p w14:paraId="0394DEB4" w14:textId="77777777" w:rsidR="00723E34" w:rsidRPr="00F97952" w:rsidRDefault="00723E34" w:rsidP="00723E34">
            <w:pPr>
              <w:rPr>
                <w:rFonts w:asciiTheme="minorHAnsi" w:hAnsiTheme="minorHAnsi"/>
              </w:rPr>
            </w:pPr>
            <w:r w:rsidRPr="00F97952">
              <w:rPr>
                <w:rFonts w:asciiTheme="minorHAnsi" w:hAnsiTheme="minorHAnsi"/>
              </w:rPr>
              <w:t>Papua New Guinea</w:t>
            </w:r>
          </w:p>
        </w:tc>
        <w:tc>
          <w:tcPr>
            <w:tcW w:w="668" w:type="pct"/>
            <w:hideMark/>
          </w:tcPr>
          <w:p w14:paraId="01305651" w14:textId="77777777" w:rsidR="00723E34" w:rsidRPr="00F97952" w:rsidRDefault="00723E34" w:rsidP="00723E34">
            <w:pPr>
              <w:rPr>
                <w:rFonts w:asciiTheme="minorHAnsi" w:hAnsiTheme="minorHAnsi"/>
              </w:rPr>
            </w:pPr>
          </w:p>
        </w:tc>
        <w:tc>
          <w:tcPr>
            <w:tcW w:w="1572" w:type="pct"/>
            <w:hideMark/>
          </w:tcPr>
          <w:p w14:paraId="6C3C8A26" w14:textId="77777777" w:rsidR="00723E34" w:rsidRPr="00F97952" w:rsidRDefault="00723E34" w:rsidP="00723E34">
            <w:pPr>
              <w:rPr>
                <w:rFonts w:asciiTheme="minorHAnsi" w:hAnsiTheme="minorHAnsi"/>
              </w:rPr>
            </w:pPr>
            <w:r w:rsidRPr="00F97952">
              <w:rPr>
                <w:rFonts w:asciiTheme="minorHAnsi" w:hAnsiTheme="minorHAnsi"/>
              </w:rPr>
              <w:t>Development of Minamata Initial Assessment in Papua New Guinea</w:t>
            </w:r>
          </w:p>
        </w:tc>
        <w:tc>
          <w:tcPr>
            <w:tcW w:w="372" w:type="pct"/>
            <w:hideMark/>
          </w:tcPr>
          <w:p w14:paraId="698CBEBA"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577DC733"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06D25FF3" w14:textId="67B5647B" w:rsidR="00723E34" w:rsidRPr="00F97952" w:rsidRDefault="00723E34" w:rsidP="00CC3636">
            <w:pPr>
              <w:jc w:val="right"/>
              <w:rPr>
                <w:rFonts w:asciiTheme="minorHAnsi" w:hAnsiTheme="minorHAnsi"/>
              </w:rPr>
            </w:pPr>
            <w:r w:rsidRPr="00F97952">
              <w:rPr>
                <w:rFonts w:asciiTheme="minorHAnsi" w:hAnsiTheme="minorHAnsi"/>
              </w:rPr>
              <w:t xml:space="preserve">300,000 </w:t>
            </w:r>
          </w:p>
        </w:tc>
        <w:tc>
          <w:tcPr>
            <w:tcW w:w="697" w:type="pct"/>
            <w:hideMark/>
          </w:tcPr>
          <w:p w14:paraId="4FB795BD" w14:textId="77777777" w:rsidR="00723E34" w:rsidRPr="00F97952" w:rsidRDefault="00723E34" w:rsidP="00CC3636">
            <w:pPr>
              <w:jc w:val="right"/>
              <w:rPr>
                <w:rFonts w:asciiTheme="minorHAnsi" w:hAnsiTheme="minorHAnsi"/>
              </w:rPr>
            </w:pPr>
          </w:p>
        </w:tc>
      </w:tr>
      <w:tr w:rsidR="00723E34" w:rsidRPr="00F97952" w14:paraId="49FCDD5E" w14:textId="77777777" w:rsidTr="00033F0E">
        <w:trPr>
          <w:trHeight w:val="902"/>
        </w:trPr>
        <w:tc>
          <w:tcPr>
            <w:tcW w:w="716" w:type="pct"/>
            <w:hideMark/>
          </w:tcPr>
          <w:p w14:paraId="6140737B" w14:textId="77777777" w:rsidR="00723E34" w:rsidRPr="00F97952" w:rsidRDefault="00723E34" w:rsidP="00723E34">
            <w:pPr>
              <w:rPr>
                <w:rFonts w:asciiTheme="minorHAnsi" w:hAnsiTheme="minorHAnsi"/>
              </w:rPr>
            </w:pPr>
            <w:r w:rsidRPr="00F97952">
              <w:rPr>
                <w:rFonts w:asciiTheme="minorHAnsi" w:hAnsiTheme="minorHAnsi"/>
              </w:rPr>
              <w:t>Paraguay</w:t>
            </w:r>
          </w:p>
        </w:tc>
        <w:tc>
          <w:tcPr>
            <w:tcW w:w="668" w:type="pct"/>
            <w:hideMark/>
          </w:tcPr>
          <w:p w14:paraId="009B1991" w14:textId="77777777" w:rsidR="00723E34" w:rsidRPr="00F97952" w:rsidRDefault="00723E34" w:rsidP="00723E34">
            <w:pPr>
              <w:rPr>
                <w:rFonts w:asciiTheme="minorHAnsi" w:hAnsiTheme="minorHAnsi"/>
              </w:rPr>
            </w:pPr>
          </w:p>
        </w:tc>
        <w:tc>
          <w:tcPr>
            <w:tcW w:w="1572" w:type="pct"/>
            <w:hideMark/>
          </w:tcPr>
          <w:p w14:paraId="35DF1870" w14:textId="10871A2C" w:rsidR="00723E34" w:rsidRPr="00F97952" w:rsidRDefault="00723E34" w:rsidP="00723E34">
            <w:pPr>
              <w:rPr>
                <w:rFonts w:asciiTheme="minorHAnsi" w:hAnsiTheme="minorHAnsi"/>
              </w:rPr>
            </w:pPr>
            <w:r w:rsidRPr="00F97952">
              <w:rPr>
                <w:rFonts w:asciiTheme="minorHAnsi" w:hAnsiTheme="minorHAnsi"/>
              </w:rPr>
              <w:t xml:space="preserve">Development of National Action Plans for Artisanal and </w:t>
            </w:r>
            <w:r w:rsidR="00AC6E7B" w:rsidRPr="00F97952">
              <w:rPr>
                <w:rFonts w:asciiTheme="minorHAnsi" w:hAnsiTheme="minorHAnsi"/>
              </w:rPr>
              <w:t>Small-Scale</w:t>
            </w:r>
            <w:r w:rsidRPr="00F97952">
              <w:rPr>
                <w:rFonts w:asciiTheme="minorHAnsi" w:hAnsiTheme="minorHAnsi"/>
              </w:rPr>
              <w:t xml:space="preserve"> Gold Mining in Paraguay</w:t>
            </w:r>
          </w:p>
        </w:tc>
        <w:tc>
          <w:tcPr>
            <w:tcW w:w="372" w:type="pct"/>
            <w:hideMark/>
          </w:tcPr>
          <w:p w14:paraId="4AB93FDA"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3FD36CC1"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75AAF00D" w14:textId="2A03B9A4"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39C8088D" w14:textId="77777777" w:rsidR="00723E34" w:rsidRPr="00F97952" w:rsidRDefault="00723E34" w:rsidP="00CC3636">
            <w:pPr>
              <w:jc w:val="right"/>
              <w:rPr>
                <w:rFonts w:asciiTheme="minorHAnsi" w:hAnsiTheme="minorHAnsi"/>
              </w:rPr>
            </w:pPr>
          </w:p>
        </w:tc>
      </w:tr>
      <w:tr w:rsidR="00723E34" w:rsidRPr="00F97952" w14:paraId="62728035" w14:textId="77777777" w:rsidTr="00033F0E">
        <w:trPr>
          <w:trHeight w:val="660"/>
        </w:trPr>
        <w:tc>
          <w:tcPr>
            <w:tcW w:w="716" w:type="pct"/>
            <w:hideMark/>
          </w:tcPr>
          <w:p w14:paraId="04C53851" w14:textId="77777777" w:rsidR="00723E34" w:rsidRPr="00F97952" w:rsidRDefault="00723E34" w:rsidP="00723E34">
            <w:pPr>
              <w:rPr>
                <w:rFonts w:asciiTheme="minorHAnsi" w:hAnsiTheme="minorHAnsi"/>
              </w:rPr>
            </w:pPr>
            <w:r w:rsidRPr="00F97952">
              <w:rPr>
                <w:rFonts w:asciiTheme="minorHAnsi" w:hAnsiTheme="minorHAnsi"/>
              </w:rPr>
              <w:lastRenderedPageBreak/>
              <w:t>Peru</w:t>
            </w:r>
          </w:p>
        </w:tc>
        <w:tc>
          <w:tcPr>
            <w:tcW w:w="668" w:type="pct"/>
            <w:hideMark/>
          </w:tcPr>
          <w:p w14:paraId="1D0E34C0" w14:textId="77777777" w:rsidR="00723E34" w:rsidRPr="00F97952" w:rsidRDefault="00723E34" w:rsidP="00723E34">
            <w:pPr>
              <w:rPr>
                <w:rFonts w:asciiTheme="minorHAnsi" w:hAnsiTheme="minorHAnsi"/>
              </w:rPr>
            </w:pPr>
          </w:p>
        </w:tc>
        <w:tc>
          <w:tcPr>
            <w:tcW w:w="1572" w:type="pct"/>
            <w:hideMark/>
          </w:tcPr>
          <w:p w14:paraId="39652EB8" w14:textId="77777777" w:rsidR="00723E34" w:rsidRPr="00F97952" w:rsidRDefault="00723E34" w:rsidP="00723E34">
            <w:pPr>
              <w:rPr>
                <w:rFonts w:asciiTheme="minorHAnsi" w:hAnsiTheme="minorHAnsi"/>
              </w:rPr>
            </w:pPr>
            <w:r w:rsidRPr="00F97952">
              <w:rPr>
                <w:rFonts w:asciiTheme="minorHAnsi" w:hAnsiTheme="minorHAnsi"/>
              </w:rPr>
              <w:t>National Action Plan on Mercury in the Artisanal and Small-Scale Gold Mining Sector in Peru</w:t>
            </w:r>
          </w:p>
        </w:tc>
        <w:tc>
          <w:tcPr>
            <w:tcW w:w="372" w:type="pct"/>
            <w:hideMark/>
          </w:tcPr>
          <w:p w14:paraId="79BE0DED"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0B292913"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7AA9B8B8" w14:textId="2CA5238C"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5C20693F" w14:textId="6B82E16E" w:rsidR="00723E34" w:rsidRPr="00F97952" w:rsidRDefault="00723E34" w:rsidP="00CC3636">
            <w:pPr>
              <w:jc w:val="right"/>
              <w:rPr>
                <w:rFonts w:asciiTheme="minorHAnsi" w:hAnsiTheme="minorHAnsi"/>
              </w:rPr>
            </w:pPr>
            <w:r w:rsidRPr="00F97952">
              <w:rPr>
                <w:rFonts w:asciiTheme="minorHAnsi" w:hAnsiTheme="minorHAnsi"/>
              </w:rPr>
              <w:t xml:space="preserve">217,000 </w:t>
            </w:r>
          </w:p>
        </w:tc>
      </w:tr>
      <w:tr w:rsidR="00723E34" w:rsidRPr="00F97952" w14:paraId="5965B8E8" w14:textId="77777777" w:rsidTr="00033F0E">
        <w:trPr>
          <w:trHeight w:val="600"/>
        </w:trPr>
        <w:tc>
          <w:tcPr>
            <w:tcW w:w="716" w:type="pct"/>
            <w:hideMark/>
          </w:tcPr>
          <w:p w14:paraId="5DAD67CA"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607397DB" w14:textId="77777777" w:rsidR="00723E34" w:rsidRPr="00F97952" w:rsidRDefault="00723E34" w:rsidP="00723E34">
            <w:pPr>
              <w:rPr>
                <w:rFonts w:asciiTheme="minorHAnsi" w:hAnsiTheme="minorHAnsi"/>
              </w:rPr>
            </w:pPr>
            <w:r w:rsidRPr="00F97952">
              <w:rPr>
                <w:rFonts w:asciiTheme="minorHAnsi" w:hAnsiTheme="minorHAnsi"/>
              </w:rPr>
              <w:t>Angola, Malawi, Zimbabwe</w:t>
            </w:r>
          </w:p>
        </w:tc>
        <w:tc>
          <w:tcPr>
            <w:tcW w:w="1572" w:type="pct"/>
            <w:hideMark/>
          </w:tcPr>
          <w:p w14:paraId="012E70BC" w14:textId="77777777" w:rsidR="00723E34" w:rsidRPr="00F97952" w:rsidRDefault="00723E34" w:rsidP="00723E34">
            <w:pPr>
              <w:rPr>
                <w:rFonts w:asciiTheme="minorHAnsi" w:hAnsiTheme="minorHAnsi"/>
              </w:rPr>
            </w:pPr>
            <w:r w:rsidRPr="00F97952">
              <w:rPr>
                <w:rFonts w:asciiTheme="minorHAnsi" w:hAnsiTheme="minorHAnsi"/>
              </w:rPr>
              <w:t>Development of Minamata Convention on Mercury Initial Assessment in Africa</w:t>
            </w:r>
          </w:p>
        </w:tc>
        <w:tc>
          <w:tcPr>
            <w:tcW w:w="372" w:type="pct"/>
            <w:hideMark/>
          </w:tcPr>
          <w:p w14:paraId="6DA77B9D"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D3E3364"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3584FFE1" w14:textId="170F1D5E" w:rsidR="00723E34" w:rsidRPr="00F97952" w:rsidRDefault="00723E34" w:rsidP="00CC3636">
            <w:pPr>
              <w:jc w:val="right"/>
              <w:rPr>
                <w:rFonts w:asciiTheme="minorHAnsi" w:hAnsiTheme="minorHAnsi"/>
              </w:rPr>
            </w:pPr>
            <w:r w:rsidRPr="00F97952">
              <w:rPr>
                <w:rFonts w:asciiTheme="minorHAnsi" w:hAnsiTheme="minorHAnsi"/>
              </w:rPr>
              <w:t xml:space="preserve">547,945 </w:t>
            </w:r>
          </w:p>
        </w:tc>
        <w:tc>
          <w:tcPr>
            <w:tcW w:w="697" w:type="pct"/>
            <w:hideMark/>
          </w:tcPr>
          <w:p w14:paraId="4A592824" w14:textId="39E661E9" w:rsidR="00723E34" w:rsidRPr="00F97952" w:rsidRDefault="00723E34" w:rsidP="00CC3636">
            <w:pPr>
              <w:jc w:val="right"/>
              <w:rPr>
                <w:rFonts w:asciiTheme="minorHAnsi" w:hAnsiTheme="minorHAnsi"/>
              </w:rPr>
            </w:pPr>
            <w:r w:rsidRPr="00F97952">
              <w:rPr>
                <w:rFonts w:asciiTheme="minorHAnsi" w:hAnsiTheme="minorHAnsi"/>
              </w:rPr>
              <w:t xml:space="preserve">505,000 </w:t>
            </w:r>
          </w:p>
        </w:tc>
      </w:tr>
      <w:tr w:rsidR="00723E34" w:rsidRPr="00F97952" w14:paraId="1938EE14" w14:textId="77777777" w:rsidTr="00033F0E">
        <w:trPr>
          <w:trHeight w:val="320"/>
        </w:trPr>
        <w:tc>
          <w:tcPr>
            <w:tcW w:w="716" w:type="pct"/>
            <w:hideMark/>
          </w:tcPr>
          <w:p w14:paraId="2E736F3A"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1D7EE0D5" w14:textId="77777777" w:rsidR="00723E34" w:rsidRPr="00F97952" w:rsidRDefault="00723E34" w:rsidP="00723E34">
            <w:pPr>
              <w:rPr>
                <w:rFonts w:asciiTheme="minorHAnsi" w:hAnsiTheme="minorHAnsi"/>
              </w:rPr>
            </w:pPr>
            <w:r w:rsidRPr="00F97952">
              <w:rPr>
                <w:rFonts w:asciiTheme="minorHAnsi" w:hAnsiTheme="minorHAnsi"/>
              </w:rPr>
              <w:t>Antigua And Barbuda, Dominica, Grenada, St. Vincent and Grenadines</w:t>
            </w:r>
          </w:p>
        </w:tc>
        <w:tc>
          <w:tcPr>
            <w:tcW w:w="1572" w:type="pct"/>
            <w:hideMark/>
          </w:tcPr>
          <w:p w14:paraId="12D6EF8E" w14:textId="77777777" w:rsidR="00723E34" w:rsidRPr="00F97952" w:rsidRDefault="00723E34" w:rsidP="00723E34">
            <w:pPr>
              <w:rPr>
                <w:rFonts w:asciiTheme="minorHAnsi" w:hAnsiTheme="minorHAnsi"/>
              </w:rPr>
            </w:pPr>
            <w:r w:rsidRPr="00F97952">
              <w:rPr>
                <w:rFonts w:asciiTheme="minorHAnsi" w:hAnsiTheme="minorHAnsi"/>
              </w:rPr>
              <w:t>Development of Minamata Initial Assessments (MIA) in the Caribbean (Antigua and Barbuda, Dominica, Grenada, St. Vincent and the Grenadines)</w:t>
            </w:r>
          </w:p>
        </w:tc>
        <w:tc>
          <w:tcPr>
            <w:tcW w:w="372" w:type="pct"/>
            <w:hideMark/>
          </w:tcPr>
          <w:p w14:paraId="5AB0D10F"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4C510850"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7BA4A06" w14:textId="5646FB6A" w:rsidR="00723E34" w:rsidRPr="00F97952" w:rsidRDefault="00723E34" w:rsidP="00CC3636">
            <w:pPr>
              <w:jc w:val="right"/>
              <w:rPr>
                <w:rFonts w:asciiTheme="minorHAnsi" w:hAnsiTheme="minorHAnsi"/>
              </w:rPr>
            </w:pPr>
            <w:r w:rsidRPr="00F97952">
              <w:rPr>
                <w:rFonts w:asciiTheme="minorHAnsi" w:hAnsiTheme="minorHAnsi"/>
              </w:rPr>
              <w:t xml:space="preserve">600,000 </w:t>
            </w:r>
          </w:p>
        </w:tc>
        <w:tc>
          <w:tcPr>
            <w:tcW w:w="697" w:type="pct"/>
            <w:hideMark/>
          </w:tcPr>
          <w:p w14:paraId="20B6A086" w14:textId="77777777" w:rsidR="00723E34" w:rsidRPr="00F97952" w:rsidRDefault="00723E34" w:rsidP="00CC3636">
            <w:pPr>
              <w:jc w:val="right"/>
              <w:rPr>
                <w:rFonts w:asciiTheme="minorHAnsi" w:hAnsiTheme="minorHAnsi"/>
              </w:rPr>
            </w:pPr>
          </w:p>
        </w:tc>
      </w:tr>
      <w:tr w:rsidR="00723E34" w:rsidRPr="00F97952" w14:paraId="367520FA" w14:textId="77777777" w:rsidTr="00033F0E">
        <w:trPr>
          <w:trHeight w:val="1500"/>
        </w:trPr>
        <w:tc>
          <w:tcPr>
            <w:tcW w:w="716" w:type="pct"/>
            <w:hideMark/>
          </w:tcPr>
          <w:p w14:paraId="38122DFD"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2C7B09A5" w14:textId="77777777" w:rsidR="00723E34" w:rsidRPr="00F97952" w:rsidRDefault="00723E34" w:rsidP="00723E34">
            <w:pPr>
              <w:rPr>
                <w:rFonts w:asciiTheme="minorHAnsi" w:hAnsiTheme="minorHAnsi"/>
              </w:rPr>
            </w:pPr>
            <w:r w:rsidRPr="00F97952">
              <w:rPr>
                <w:rFonts w:asciiTheme="minorHAnsi" w:hAnsiTheme="minorHAnsi"/>
              </w:rPr>
              <w:t>Botswana, Lesotho, Namibia, Swaziland</w:t>
            </w:r>
          </w:p>
        </w:tc>
        <w:tc>
          <w:tcPr>
            <w:tcW w:w="1572" w:type="pct"/>
            <w:hideMark/>
          </w:tcPr>
          <w:p w14:paraId="01D46582" w14:textId="77777777"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w:t>
            </w:r>
          </w:p>
        </w:tc>
        <w:tc>
          <w:tcPr>
            <w:tcW w:w="372" w:type="pct"/>
            <w:hideMark/>
          </w:tcPr>
          <w:p w14:paraId="4C46E7A5"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5731805B"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64BBE7E7" w14:textId="7C27EE31" w:rsidR="00723E34" w:rsidRPr="00F97952" w:rsidRDefault="00723E34" w:rsidP="00CC3636">
            <w:pPr>
              <w:jc w:val="right"/>
              <w:rPr>
                <w:rFonts w:asciiTheme="minorHAnsi" w:hAnsiTheme="minorHAnsi"/>
              </w:rPr>
            </w:pPr>
            <w:r w:rsidRPr="00F97952">
              <w:rPr>
                <w:rFonts w:asciiTheme="minorHAnsi" w:hAnsiTheme="minorHAnsi"/>
              </w:rPr>
              <w:t xml:space="preserve">800,000 </w:t>
            </w:r>
          </w:p>
        </w:tc>
        <w:tc>
          <w:tcPr>
            <w:tcW w:w="697" w:type="pct"/>
            <w:hideMark/>
          </w:tcPr>
          <w:p w14:paraId="17BC8633" w14:textId="22E9C217" w:rsidR="00723E34" w:rsidRPr="00F97952" w:rsidRDefault="00723E34" w:rsidP="00CC3636">
            <w:pPr>
              <w:jc w:val="right"/>
              <w:rPr>
                <w:rFonts w:asciiTheme="minorHAnsi" w:hAnsiTheme="minorHAnsi"/>
              </w:rPr>
            </w:pPr>
            <w:r w:rsidRPr="00F97952">
              <w:rPr>
                <w:rFonts w:asciiTheme="minorHAnsi" w:hAnsiTheme="minorHAnsi"/>
              </w:rPr>
              <w:t xml:space="preserve">61,000 </w:t>
            </w:r>
          </w:p>
        </w:tc>
      </w:tr>
      <w:tr w:rsidR="00723E34" w:rsidRPr="00F97952" w14:paraId="7789215C" w14:textId="77777777" w:rsidTr="00033F0E">
        <w:trPr>
          <w:trHeight w:val="900"/>
        </w:trPr>
        <w:tc>
          <w:tcPr>
            <w:tcW w:w="716" w:type="pct"/>
            <w:hideMark/>
          </w:tcPr>
          <w:p w14:paraId="467EF77A"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0FE8E94D" w14:textId="77777777" w:rsidR="00723E34" w:rsidRPr="00F97952" w:rsidRDefault="00723E34" w:rsidP="00723E34">
            <w:pPr>
              <w:rPr>
                <w:rFonts w:asciiTheme="minorHAnsi" w:hAnsiTheme="minorHAnsi"/>
              </w:rPr>
            </w:pPr>
            <w:r w:rsidRPr="00F97952">
              <w:rPr>
                <w:rFonts w:asciiTheme="minorHAnsi" w:hAnsiTheme="minorHAnsi"/>
              </w:rPr>
              <w:t>Burkina Faso, Benin, Niger, Togo</w:t>
            </w:r>
          </w:p>
        </w:tc>
        <w:tc>
          <w:tcPr>
            <w:tcW w:w="1572" w:type="pct"/>
            <w:hideMark/>
          </w:tcPr>
          <w:p w14:paraId="5617795A" w14:textId="77777777" w:rsidR="00723E34" w:rsidRPr="00F97952" w:rsidRDefault="00723E34" w:rsidP="00723E34">
            <w:pPr>
              <w:rPr>
                <w:rFonts w:asciiTheme="minorHAnsi" w:hAnsiTheme="minorHAnsi"/>
              </w:rPr>
            </w:pPr>
            <w:r w:rsidRPr="00F97952">
              <w:rPr>
                <w:rFonts w:asciiTheme="minorHAnsi" w:hAnsiTheme="minorHAnsi"/>
              </w:rPr>
              <w:t xml:space="preserve">Minamata Convention Initial Assessment in Francophone Africa II     </w:t>
            </w:r>
          </w:p>
        </w:tc>
        <w:tc>
          <w:tcPr>
            <w:tcW w:w="372" w:type="pct"/>
            <w:hideMark/>
          </w:tcPr>
          <w:p w14:paraId="5D975653"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1D785D2"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65FCDA79" w14:textId="7CC7C298" w:rsidR="00723E34" w:rsidRPr="00F97952" w:rsidRDefault="00723E34" w:rsidP="00CC3636">
            <w:pPr>
              <w:jc w:val="right"/>
              <w:rPr>
                <w:rFonts w:asciiTheme="minorHAnsi" w:hAnsiTheme="minorHAnsi"/>
              </w:rPr>
            </w:pPr>
            <w:r w:rsidRPr="00F97952">
              <w:rPr>
                <w:rFonts w:asciiTheme="minorHAnsi" w:hAnsiTheme="minorHAnsi"/>
              </w:rPr>
              <w:t xml:space="preserve">800,000 </w:t>
            </w:r>
          </w:p>
        </w:tc>
        <w:tc>
          <w:tcPr>
            <w:tcW w:w="697" w:type="pct"/>
            <w:hideMark/>
          </w:tcPr>
          <w:p w14:paraId="30563DAF" w14:textId="1681440C" w:rsidR="00723E34" w:rsidRPr="00F97952" w:rsidRDefault="00723E34" w:rsidP="00CC3636">
            <w:pPr>
              <w:jc w:val="right"/>
              <w:rPr>
                <w:rFonts w:asciiTheme="minorHAnsi" w:hAnsiTheme="minorHAnsi"/>
              </w:rPr>
            </w:pPr>
            <w:r w:rsidRPr="00F97952">
              <w:rPr>
                <w:rFonts w:asciiTheme="minorHAnsi" w:hAnsiTheme="minorHAnsi"/>
              </w:rPr>
              <w:t xml:space="preserve">134,400 </w:t>
            </w:r>
          </w:p>
        </w:tc>
      </w:tr>
      <w:tr w:rsidR="00723E34" w:rsidRPr="00F97952" w14:paraId="669055CC" w14:textId="77777777" w:rsidTr="00033F0E">
        <w:trPr>
          <w:trHeight w:val="900"/>
        </w:trPr>
        <w:tc>
          <w:tcPr>
            <w:tcW w:w="716" w:type="pct"/>
            <w:hideMark/>
          </w:tcPr>
          <w:p w14:paraId="62D1CEDD"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25F9EBA6" w14:textId="77777777" w:rsidR="00723E34" w:rsidRPr="00F97952" w:rsidRDefault="00723E34" w:rsidP="00723E34">
            <w:pPr>
              <w:rPr>
                <w:rFonts w:asciiTheme="minorHAnsi" w:hAnsiTheme="minorHAnsi"/>
              </w:rPr>
            </w:pPr>
            <w:r w:rsidRPr="00F97952">
              <w:rPr>
                <w:rFonts w:asciiTheme="minorHAnsi" w:hAnsiTheme="minorHAnsi"/>
              </w:rPr>
              <w:t>Burundi, Central African Republic, Congo, Cote d'Ivoire, Gabon</w:t>
            </w:r>
          </w:p>
        </w:tc>
        <w:tc>
          <w:tcPr>
            <w:tcW w:w="1572" w:type="pct"/>
            <w:hideMark/>
          </w:tcPr>
          <w:p w14:paraId="3663FCEC" w14:textId="77777777" w:rsidR="00723E34" w:rsidRPr="00F97952" w:rsidRDefault="00723E34" w:rsidP="00723E34">
            <w:pPr>
              <w:rPr>
                <w:rFonts w:asciiTheme="minorHAnsi" w:hAnsiTheme="minorHAnsi"/>
              </w:rPr>
            </w:pPr>
            <w:r w:rsidRPr="00F97952">
              <w:rPr>
                <w:rFonts w:asciiTheme="minorHAnsi" w:hAnsiTheme="minorHAnsi"/>
              </w:rPr>
              <w:t>Development of Minamata Convention Mercury Initial Assessment in Africa</w:t>
            </w:r>
          </w:p>
        </w:tc>
        <w:tc>
          <w:tcPr>
            <w:tcW w:w="372" w:type="pct"/>
            <w:hideMark/>
          </w:tcPr>
          <w:p w14:paraId="34EAB231"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AC2CE14"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608E366E" w14:textId="781C3987"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4ACAF11A" w14:textId="6DD7E095" w:rsidR="00723E34" w:rsidRPr="00F97952" w:rsidRDefault="00723E34" w:rsidP="00CC3636">
            <w:pPr>
              <w:jc w:val="right"/>
              <w:rPr>
                <w:rFonts w:asciiTheme="minorHAnsi" w:hAnsiTheme="minorHAnsi"/>
              </w:rPr>
            </w:pPr>
            <w:r w:rsidRPr="00F97952">
              <w:rPr>
                <w:rFonts w:asciiTheme="minorHAnsi" w:hAnsiTheme="minorHAnsi"/>
              </w:rPr>
              <w:t xml:space="preserve">60,000 </w:t>
            </w:r>
          </w:p>
        </w:tc>
      </w:tr>
      <w:tr w:rsidR="00723E34" w:rsidRPr="00F97952" w14:paraId="44427F2B" w14:textId="77777777" w:rsidTr="00033F0E">
        <w:trPr>
          <w:trHeight w:val="300"/>
        </w:trPr>
        <w:tc>
          <w:tcPr>
            <w:tcW w:w="716" w:type="pct"/>
            <w:hideMark/>
          </w:tcPr>
          <w:p w14:paraId="4A386DC4"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71D7DF4D" w14:textId="77777777" w:rsidR="00723E34" w:rsidRPr="00F97952" w:rsidRDefault="00723E34" w:rsidP="00723E34">
            <w:pPr>
              <w:rPr>
                <w:rFonts w:asciiTheme="minorHAnsi" w:hAnsiTheme="minorHAnsi"/>
              </w:rPr>
            </w:pPr>
            <w:r w:rsidRPr="00F97952">
              <w:rPr>
                <w:rFonts w:asciiTheme="minorHAnsi" w:hAnsiTheme="minorHAnsi"/>
              </w:rPr>
              <w:t>Burundi, Central African Republic, Congo, Kenya, Swaziland, Uganda, Zambia, Zimbabwe</w:t>
            </w:r>
          </w:p>
        </w:tc>
        <w:tc>
          <w:tcPr>
            <w:tcW w:w="1572" w:type="pct"/>
            <w:hideMark/>
          </w:tcPr>
          <w:p w14:paraId="3A3ECD3C" w14:textId="7AD6719F" w:rsidR="00723E34" w:rsidRPr="00F97952" w:rsidRDefault="00723E34" w:rsidP="00723E34">
            <w:pPr>
              <w:rPr>
                <w:rFonts w:asciiTheme="minorHAnsi" w:hAnsiTheme="minorHAnsi"/>
              </w:rPr>
            </w:pPr>
            <w:r w:rsidRPr="00F97952">
              <w:rPr>
                <w:rFonts w:asciiTheme="minorHAnsi" w:hAnsiTheme="minorHAnsi"/>
              </w:rPr>
              <w:t xml:space="preserve">Regional Project on the Development of National Action Plans for the Artisanal and </w:t>
            </w:r>
            <w:r w:rsidR="00926141" w:rsidRPr="00F97952">
              <w:rPr>
                <w:rFonts w:asciiTheme="minorHAnsi" w:hAnsiTheme="minorHAnsi"/>
              </w:rPr>
              <w:t>Small-Scale</w:t>
            </w:r>
            <w:r w:rsidRPr="00F97952">
              <w:rPr>
                <w:rFonts w:asciiTheme="minorHAnsi" w:hAnsiTheme="minorHAnsi"/>
              </w:rPr>
              <w:t xml:space="preserve"> Gold Mining in Africa</w:t>
            </w:r>
          </w:p>
        </w:tc>
        <w:tc>
          <w:tcPr>
            <w:tcW w:w="372" w:type="pct"/>
            <w:hideMark/>
          </w:tcPr>
          <w:p w14:paraId="16544194"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39649459"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1055774D" w14:textId="0DCFADBE" w:rsidR="00723E34" w:rsidRPr="00F97952" w:rsidRDefault="00723E34" w:rsidP="00CC3636">
            <w:pPr>
              <w:jc w:val="right"/>
              <w:rPr>
                <w:rFonts w:asciiTheme="minorHAnsi" w:hAnsiTheme="minorHAnsi"/>
              </w:rPr>
            </w:pPr>
            <w:r w:rsidRPr="00F97952">
              <w:rPr>
                <w:rFonts w:asciiTheme="minorHAnsi" w:hAnsiTheme="minorHAnsi"/>
              </w:rPr>
              <w:t xml:space="preserve">4,000,000 </w:t>
            </w:r>
          </w:p>
        </w:tc>
        <w:tc>
          <w:tcPr>
            <w:tcW w:w="697" w:type="pct"/>
            <w:hideMark/>
          </w:tcPr>
          <w:p w14:paraId="39CE8EA1" w14:textId="7348FE01" w:rsidR="00723E34" w:rsidRPr="00F97952" w:rsidRDefault="00723E34" w:rsidP="00CC3636">
            <w:pPr>
              <w:jc w:val="right"/>
              <w:rPr>
                <w:rFonts w:asciiTheme="minorHAnsi" w:hAnsiTheme="minorHAnsi"/>
              </w:rPr>
            </w:pPr>
            <w:r w:rsidRPr="00F97952">
              <w:rPr>
                <w:rFonts w:asciiTheme="minorHAnsi" w:hAnsiTheme="minorHAnsi"/>
              </w:rPr>
              <w:t xml:space="preserve">50,000 </w:t>
            </w:r>
          </w:p>
        </w:tc>
      </w:tr>
      <w:tr w:rsidR="00723E34" w:rsidRPr="00F97952" w14:paraId="37E75AA0" w14:textId="77777777" w:rsidTr="00033F0E">
        <w:trPr>
          <w:trHeight w:val="900"/>
        </w:trPr>
        <w:tc>
          <w:tcPr>
            <w:tcW w:w="716" w:type="pct"/>
            <w:hideMark/>
          </w:tcPr>
          <w:p w14:paraId="461575CE" w14:textId="77777777" w:rsidR="00723E34" w:rsidRPr="00F97952" w:rsidRDefault="00723E34" w:rsidP="00723E34">
            <w:pPr>
              <w:rPr>
                <w:rFonts w:asciiTheme="minorHAnsi" w:hAnsiTheme="minorHAnsi"/>
              </w:rPr>
            </w:pPr>
            <w:r w:rsidRPr="00F97952">
              <w:rPr>
                <w:rFonts w:asciiTheme="minorHAnsi" w:hAnsiTheme="minorHAnsi"/>
              </w:rPr>
              <w:lastRenderedPageBreak/>
              <w:t>Regional</w:t>
            </w:r>
          </w:p>
        </w:tc>
        <w:tc>
          <w:tcPr>
            <w:tcW w:w="668" w:type="pct"/>
            <w:hideMark/>
          </w:tcPr>
          <w:p w14:paraId="405529DE" w14:textId="77777777" w:rsidR="00723E34" w:rsidRPr="00F97952" w:rsidRDefault="00723E34" w:rsidP="00723E34">
            <w:pPr>
              <w:rPr>
                <w:rFonts w:asciiTheme="minorHAnsi" w:hAnsiTheme="minorHAnsi"/>
              </w:rPr>
            </w:pPr>
            <w:r w:rsidRPr="00F97952">
              <w:rPr>
                <w:rFonts w:asciiTheme="minorHAnsi" w:hAnsiTheme="minorHAnsi"/>
              </w:rPr>
              <w:t>Cabo Verde, Sao Tome and Principe</w:t>
            </w:r>
          </w:p>
        </w:tc>
        <w:tc>
          <w:tcPr>
            <w:tcW w:w="1572" w:type="pct"/>
            <w:hideMark/>
          </w:tcPr>
          <w:p w14:paraId="495D47C7"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in Cabo Verde and Sao Tome and Principe</w:t>
            </w:r>
          </w:p>
        </w:tc>
        <w:tc>
          <w:tcPr>
            <w:tcW w:w="372" w:type="pct"/>
            <w:hideMark/>
          </w:tcPr>
          <w:p w14:paraId="1A976933"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DAB7D14"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13C8D98D" w14:textId="52455E1B" w:rsidR="00723E34" w:rsidRPr="00F97952" w:rsidRDefault="00723E34" w:rsidP="00CC3636">
            <w:pPr>
              <w:jc w:val="right"/>
              <w:rPr>
                <w:rFonts w:asciiTheme="minorHAnsi" w:hAnsiTheme="minorHAnsi"/>
              </w:rPr>
            </w:pPr>
            <w:r w:rsidRPr="00F97952">
              <w:rPr>
                <w:rFonts w:asciiTheme="minorHAnsi" w:hAnsiTheme="minorHAnsi"/>
              </w:rPr>
              <w:t xml:space="preserve">400,000 </w:t>
            </w:r>
          </w:p>
        </w:tc>
        <w:tc>
          <w:tcPr>
            <w:tcW w:w="697" w:type="pct"/>
            <w:hideMark/>
          </w:tcPr>
          <w:p w14:paraId="1B4EC4FA" w14:textId="4A380175" w:rsidR="00723E34" w:rsidRPr="00F97952" w:rsidRDefault="00723E34" w:rsidP="00CC3636">
            <w:pPr>
              <w:jc w:val="right"/>
              <w:rPr>
                <w:rFonts w:asciiTheme="minorHAnsi" w:hAnsiTheme="minorHAnsi"/>
              </w:rPr>
            </w:pPr>
            <w:r w:rsidRPr="00F97952">
              <w:rPr>
                <w:rFonts w:asciiTheme="minorHAnsi" w:hAnsiTheme="minorHAnsi"/>
              </w:rPr>
              <w:t xml:space="preserve">187,200 </w:t>
            </w:r>
          </w:p>
        </w:tc>
      </w:tr>
      <w:tr w:rsidR="00723E34" w:rsidRPr="00F97952" w14:paraId="395712B5" w14:textId="77777777" w:rsidTr="00033F0E">
        <w:trPr>
          <w:trHeight w:val="600"/>
        </w:trPr>
        <w:tc>
          <w:tcPr>
            <w:tcW w:w="716" w:type="pct"/>
            <w:hideMark/>
          </w:tcPr>
          <w:p w14:paraId="418C819E"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46556DE7" w14:textId="77777777" w:rsidR="00723E34" w:rsidRPr="00F97952" w:rsidRDefault="00723E34" w:rsidP="00723E34">
            <w:pPr>
              <w:rPr>
                <w:rFonts w:asciiTheme="minorHAnsi" w:hAnsiTheme="minorHAnsi"/>
              </w:rPr>
            </w:pPr>
            <w:r w:rsidRPr="00F97952">
              <w:rPr>
                <w:rFonts w:asciiTheme="minorHAnsi" w:hAnsiTheme="minorHAnsi"/>
              </w:rPr>
              <w:t>Cook Islands, Kiribati, Palau, Tonga, Vanuatu</w:t>
            </w:r>
          </w:p>
        </w:tc>
        <w:tc>
          <w:tcPr>
            <w:tcW w:w="1572" w:type="pct"/>
            <w:hideMark/>
          </w:tcPr>
          <w:p w14:paraId="25DFA5AA" w14:textId="77777777" w:rsidR="00723E34" w:rsidRPr="00F97952" w:rsidRDefault="00723E34" w:rsidP="00723E34">
            <w:pPr>
              <w:rPr>
                <w:rFonts w:asciiTheme="minorHAnsi" w:hAnsiTheme="minorHAnsi"/>
              </w:rPr>
            </w:pPr>
            <w:r w:rsidRPr="00F97952">
              <w:rPr>
                <w:rFonts w:asciiTheme="minorHAnsi" w:hAnsiTheme="minorHAnsi"/>
              </w:rPr>
              <w:t>Development of Minamata Convention Mercury Initial Assessment in Pacific</w:t>
            </w:r>
          </w:p>
        </w:tc>
        <w:tc>
          <w:tcPr>
            <w:tcW w:w="372" w:type="pct"/>
            <w:hideMark/>
          </w:tcPr>
          <w:p w14:paraId="0FE342F4"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C8C361A"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20C13621" w14:textId="619CC290"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2F465C7E" w14:textId="55E0FF14" w:rsidR="00723E34" w:rsidRPr="00F97952" w:rsidRDefault="00723E34" w:rsidP="00CC3636">
            <w:pPr>
              <w:jc w:val="right"/>
              <w:rPr>
                <w:rFonts w:asciiTheme="minorHAnsi" w:hAnsiTheme="minorHAnsi"/>
              </w:rPr>
            </w:pPr>
            <w:r w:rsidRPr="00F97952">
              <w:rPr>
                <w:rFonts w:asciiTheme="minorHAnsi" w:hAnsiTheme="minorHAnsi"/>
              </w:rPr>
              <w:t xml:space="preserve">20,000 </w:t>
            </w:r>
          </w:p>
        </w:tc>
      </w:tr>
      <w:tr w:rsidR="00723E34" w:rsidRPr="00F97952" w14:paraId="233E9085" w14:textId="77777777" w:rsidTr="00033F0E">
        <w:trPr>
          <w:trHeight w:val="300"/>
        </w:trPr>
        <w:tc>
          <w:tcPr>
            <w:tcW w:w="716" w:type="pct"/>
            <w:hideMark/>
          </w:tcPr>
          <w:p w14:paraId="5C7587CA"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23E728A6" w14:textId="77777777" w:rsidR="00723E34" w:rsidRPr="00F97952" w:rsidRDefault="00723E34" w:rsidP="00723E34">
            <w:pPr>
              <w:rPr>
                <w:rFonts w:asciiTheme="minorHAnsi" w:hAnsiTheme="minorHAnsi"/>
              </w:rPr>
            </w:pPr>
            <w:r w:rsidRPr="00F97952">
              <w:rPr>
                <w:rFonts w:asciiTheme="minorHAnsi" w:hAnsiTheme="minorHAnsi"/>
              </w:rPr>
              <w:t>Guinea, Mali, Senegal</w:t>
            </w:r>
          </w:p>
        </w:tc>
        <w:tc>
          <w:tcPr>
            <w:tcW w:w="1572" w:type="pct"/>
            <w:hideMark/>
          </w:tcPr>
          <w:p w14:paraId="424118ED"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in Francophone Africa I</w:t>
            </w:r>
          </w:p>
        </w:tc>
        <w:tc>
          <w:tcPr>
            <w:tcW w:w="372" w:type="pct"/>
            <w:hideMark/>
          </w:tcPr>
          <w:p w14:paraId="56660274"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2790B7C"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429DB492" w14:textId="33A68A44" w:rsidR="00723E34" w:rsidRPr="00F97952" w:rsidRDefault="00723E34" w:rsidP="00CC3636">
            <w:pPr>
              <w:jc w:val="right"/>
              <w:rPr>
                <w:rFonts w:asciiTheme="minorHAnsi" w:hAnsiTheme="minorHAnsi"/>
              </w:rPr>
            </w:pPr>
            <w:r w:rsidRPr="00F97952">
              <w:rPr>
                <w:rFonts w:asciiTheme="minorHAnsi" w:hAnsiTheme="minorHAnsi"/>
              </w:rPr>
              <w:t xml:space="preserve">600,000 </w:t>
            </w:r>
          </w:p>
        </w:tc>
        <w:tc>
          <w:tcPr>
            <w:tcW w:w="697" w:type="pct"/>
            <w:hideMark/>
          </w:tcPr>
          <w:p w14:paraId="37250BB3" w14:textId="1713310A" w:rsidR="00723E34" w:rsidRPr="00F97952" w:rsidRDefault="00723E34" w:rsidP="00CC3636">
            <w:pPr>
              <w:jc w:val="right"/>
              <w:rPr>
                <w:rFonts w:asciiTheme="minorHAnsi" w:hAnsiTheme="minorHAnsi"/>
              </w:rPr>
            </w:pPr>
            <w:r w:rsidRPr="00F97952">
              <w:rPr>
                <w:rFonts w:asciiTheme="minorHAnsi" w:hAnsiTheme="minorHAnsi"/>
              </w:rPr>
              <w:t xml:space="preserve">175,800 </w:t>
            </w:r>
          </w:p>
        </w:tc>
      </w:tr>
      <w:tr w:rsidR="00723E34" w:rsidRPr="00F97952" w14:paraId="28159BA7" w14:textId="77777777" w:rsidTr="00033F0E">
        <w:trPr>
          <w:trHeight w:val="600"/>
        </w:trPr>
        <w:tc>
          <w:tcPr>
            <w:tcW w:w="716" w:type="pct"/>
            <w:hideMark/>
          </w:tcPr>
          <w:p w14:paraId="323B0486"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1D296A17" w14:textId="77777777" w:rsidR="00723E34" w:rsidRPr="00F97952" w:rsidRDefault="00723E34" w:rsidP="00723E34">
            <w:pPr>
              <w:rPr>
                <w:rFonts w:asciiTheme="minorHAnsi" w:hAnsiTheme="minorHAnsi"/>
              </w:rPr>
            </w:pPr>
            <w:r w:rsidRPr="00F97952">
              <w:rPr>
                <w:rFonts w:asciiTheme="minorHAnsi" w:hAnsiTheme="minorHAnsi"/>
              </w:rPr>
              <w:t>Guinea, Niger</w:t>
            </w:r>
          </w:p>
        </w:tc>
        <w:tc>
          <w:tcPr>
            <w:tcW w:w="1572" w:type="pct"/>
            <w:hideMark/>
          </w:tcPr>
          <w:p w14:paraId="6511DF41" w14:textId="41F75B16" w:rsidR="00723E34" w:rsidRPr="00F97952" w:rsidRDefault="00723E34" w:rsidP="00723E34">
            <w:pPr>
              <w:rPr>
                <w:rFonts w:asciiTheme="minorHAnsi" w:hAnsiTheme="minorHAnsi"/>
              </w:rPr>
            </w:pPr>
            <w:r w:rsidRPr="00F97952">
              <w:rPr>
                <w:rFonts w:asciiTheme="minorHAnsi" w:hAnsiTheme="minorHAnsi"/>
              </w:rPr>
              <w:t xml:space="preserve">Development of National Action Plan for Artisanal and </w:t>
            </w:r>
            <w:r w:rsidR="00B55D2E" w:rsidRPr="00F97952">
              <w:rPr>
                <w:rFonts w:asciiTheme="minorHAnsi" w:hAnsiTheme="minorHAnsi"/>
              </w:rPr>
              <w:t>Small-Scale</w:t>
            </w:r>
            <w:r w:rsidRPr="00F97952">
              <w:rPr>
                <w:rFonts w:asciiTheme="minorHAnsi" w:hAnsiTheme="minorHAnsi"/>
              </w:rPr>
              <w:t xml:space="preserve"> Gold Mining in Guinea and Niger </w:t>
            </w:r>
          </w:p>
        </w:tc>
        <w:tc>
          <w:tcPr>
            <w:tcW w:w="372" w:type="pct"/>
            <w:hideMark/>
          </w:tcPr>
          <w:p w14:paraId="79AEB4AD"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3E56388D"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F3286D5" w14:textId="564D1A68"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306B868D" w14:textId="77777777" w:rsidR="00723E34" w:rsidRPr="00F97952" w:rsidRDefault="00723E34" w:rsidP="00CC3636">
            <w:pPr>
              <w:jc w:val="right"/>
              <w:rPr>
                <w:rFonts w:asciiTheme="minorHAnsi" w:hAnsiTheme="minorHAnsi"/>
              </w:rPr>
            </w:pPr>
          </w:p>
        </w:tc>
      </w:tr>
      <w:tr w:rsidR="00723E34" w:rsidRPr="00F97952" w14:paraId="4598964D" w14:textId="77777777" w:rsidTr="00033F0E">
        <w:trPr>
          <w:trHeight w:val="900"/>
        </w:trPr>
        <w:tc>
          <w:tcPr>
            <w:tcW w:w="716" w:type="pct"/>
            <w:hideMark/>
          </w:tcPr>
          <w:p w14:paraId="600113A2"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245B1002" w14:textId="77777777" w:rsidR="00723E34" w:rsidRPr="00F97952" w:rsidRDefault="00723E34" w:rsidP="00723E34">
            <w:pPr>
              <w:rPr>
                <w:rFonts w:asciiTheme="minorHAnsi" w:hAnsiTheme="minorHAnsi"/>
              </w:rPr>
            </w:pPr>
            <w:r w:rsidRPr="00F97952">
              <w:rPr>
                <w:rFonts w:asciiTheme="minorHAnsi" w:hAnsiTheme="minorHAnsi"/>
              </w:rPr>
              <w:t>Jamaica, St. Kitts And Nevis, St. Lucia, Trinidad and Tobago</w:t>
            </w:r>
          </w:p>
        </w:tc>
        <w:tc>
          <w:tcPr>
            <w:tcW w:w="1572" w:type="pct"/>
            <w:hideMark/>
          </w:tcPr>
          <w:p w14:paraId="18922DB6" w14:textId="77777777"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in the Caribbean (Trinidad and Tobago, Jamaica, St Kitts and Nevis, St Lucia)  </w:t>
            </w:r>
          </w:p>
        </w:tc>
        <w:tc>
          <w:tcPr>
            <w:tcW w:w="372" w:type="pct"/>
            <w:hideMark/>
          </w:tcPr>
          <w:p w14:paraId="3AF07091"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51B2F29"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17EAE9AE" w14:textId="66FAF673" w:rsidR="00723E34" w:rsidRPr="00F97952" w:rsidRDefault="00723E34" w:rsidP="00CC3636">
            <w:pPr>
              <w:jc w:val="right"/>
              <w:rPr>
                <w:rFonts w:asciiTheme="minorHAnsi" w:hAnsiTheme="minorHAnsi"/>
              </w:rPr>
            </w:pPr>
            <w:r w:rsidRPr="00F97952">
              <w:rPr>
                <w:rFonts w:asciiTheme="minorHAnsi" w:hAnsiTheme="minorHAnsi"/>
              </w:rPr>
              <w:t xml:space="preserve">600,000 </w:t>
            </w:r>
          </w:p>
        </w:tc>
        <w:tc>
          <w:tcPr>
            <w:tcW w:w="697" w:type="pct"/>
            <w:hideMark/>
          </w:tcPr>
          <w:p w14:paraId="2A136864" w14:textId="77777777" w:rsidR="00723E34" w:rsidRPr="00F97952" w:rsidRDefault="00723E34" w:rsidP="00CC3636">
            <w:pPr>
              <w:jc w:val="right"/>
              <w:rPr>
                <w:rFonts w:asciiTheme="minorHAnsi" w:hAnsiTheme="minorHAnsi"/>
              </w:rPr>
            </w:pPr>
          </w:p>
        </w:tc>
      </w:tr>
      <w:tr w:rsidR="00723E34" w:rsidRPr="00F97952" w14:paraId="57EA6988" w14:textId="77777777" w:rsidTr="00033F0E">
        <w:trPr>
          <w:trHeight w:val="900"/>
        </w:trPr>
        <w:tc>
          <w:tcPr>
            <w:tcW w:w="716" w:type="pct"/>
            <w:hideMark/>
          </w:tcPr>
          <w:p w14:paraId="09CAD6E0" w14:textId="77777777" w:rsidR="00723E34" w:rsidRPr="00F97952" w:rsidRDefault="00723E34" w:rsidP="00723E34">
            <w:pPr>
              <w:rPr>
                <w:rFonts w:asciiTheme="minorHAnsi" w:hAnsiTheme="minorHAnsi"/>
              </w:rPr>
            </w:pPr>
            <w:r w:rsidRPr="00F97952">
              <w:rPr>
                <w:rFonts w:asciiTheme="minorHAnsi" w:hAnsiTheme="minorHAnsi"/>
              </w:rPr>
              <w:t>Regional</w:t>
            </w:r>
          </w:p>
        </w:tc>
        <w:tc>
          <w:tcPr>
            <w:tcW w:w="668" w:type="pct"/>
            <w:hideMark/>
          </w:tcPr>
          <w:p w14:paraId="45A20D1E" w14:textId="77777777" w:rsidR="00723E34" w:rsidRPr="00F97952" w:rsidRDefault="00723E34" w:rsidP="00723E34">
            <w:pPr>
              <w:rPr>
                <w:rFonts w:asciiTheme="minorHAnsi" w:hAnsiTheme="minorHAnsi"/>
              </w:rPr>
            </w:pPr>
            <w:r w:rsidRPr="00F97952">
              <w:rPr>
                <w:rFonts w:asciiTheme="minorHAnsi" w:hAnsiTheme="minorHAnsi"/>
              </w:rPr>
              <w:t>Mali, Senegal</w:t>
            </w:r>
          </w:p>
        </w:tc>
        <w:tc>
          <w:tcPr>
            <w:tcW w:w="1572" w:type="pct"/>
            <w:hideMark/>
          </w:tcPr>
          <w:p w14:paraId="04786710" w14:textId="25C7EBB7" w:rsidR="00723E34" w:rsidRPr="00F97952" w:rsidRDefault="00723E34" w:rsidP="00723E34">
            <w:pPr>
              <w:rPr>
                <w:rFonts w:asciiTheme="minorHAnsi" w:hAnsiTheme="minorHAnsi"/>
              </w:rPr>
            </w:pPr>
            <w:r w:rsidRPr="00F97952">
              <w:rPr>
                <w:rFonts w:asciiTheme="minorHAnsi" w:hAnsiTheme="minorHAnsi"/>
              </w:rPr>
              <w:t xml:space="preserve">Development of National Action Plan for Artisanal and </w:t>
            </w:r>
            <w:r w:rsidR="00B55D2E" w:rsidRPr="00F97952">
              <w:rPr>
                <w:rFonts w:asciiTheme="minorHAnsi" w:hAnsiTheme="minorHAnsi"/>
              </w:rPr>
              <w:t>Small-Scale</w:t>
            </w:r>
            <w:r w:rsidRPr="00F97952">
              <w:rPr>
                <w:rFonts w:asciiTheme="minorHAnsi" w:hAnsiTheme="minorHAnsi"/>
              </w:rPr>
              <w:t xml:space="preserve"> Gold Mining Mali and Senegal </w:t>
            </w:r>
          </w:p>
        </w:tc>
        <w:tc>
          <w:tcPr>
            <w:tcW w:w="372" w:type="pct"/>
            <w:hideMark/>
          </w:tcPr>
          <w:p w14:paraId="1A1685CA"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6D1759F7"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32EBE52D" w14:textId="44CD7E7B"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1EC3C85D" w14:textId="77777777" w:rsidR="00723E34" w:rsidRPr="00F97952" w:rsidRDefault="00723E34" w:rsidP="00CC3636">
            <w:pPr>
              <w:jc w:val="right"/>
              <w:rPr>
                <w:rFonts w:asciiTheme="minorHAnsi" w:hAnsiTheme="minorHAnsi"/>
              </w:rPr>
            </w:pPr>
          </w:p>
        </w:tc>
      </w:tr>
      <w:tr w:rsidR="00723E34" w:rsidRPr="00F97952" w14:paraId="12045314" w14:textId="77777777" w:rsidTr="00033F0E">
        <w:trPr>
          <w:trHeight w:val="300"/>
        </w:trPr>
        <w:tc>
          <w:tcPr>
            <w:tcW w:w="716" w:type="pct"/>
            <w:hideMark/>
          </w:tcPr>
          <w:p w14:paraId="56DF66C3" w14:textId="77777777" w:rsidR="00723E34" w:rsidRPr="00F97952" w:rsidRDefault="00723E34" w:rsidP="00723E34">
            <w:pPr>
              <w:rPr>
                <w:rFonts w:asciiTheme="minorHAnsi" w:hAnsiTheme="minorHAnsi"/>
              </w:rPr>
            </w:pPr>
            <w:r w:rsidRPr="00F97952">
              <w:rPr>
                <w:rFonts w:asciiTheme="minorHAnsi" w:hAnsiTheme="minorHAnsi"/>
              </w:rPr>
              <w:t>Serbia</w:t>
            </w:r>
          </w:p>
        </w:tc>
        <w:tc>
          <w:tcPr>
            <w:tcW w:w="668" w:type="pct"/>
            <w:hideMark/>
          </w:tcPr>
          <w:p w14:paraId="5376374E" w14:textId="77777777" w:rsidR="00723E34" w:rsidRPr="00F97952" w:rsidRDefault="00723E34" w:rsidP="00723E34">
            <w:pPr>
              <w:rPr>
                <w:rFonts w:asciiTheme="minorHAnsi" w:hAnsiTheme="minorHAnsi"/>
              </w:rPr>
            </w:pPr>
          </w:p>
        </w:tc>
        <w:tc>
          <w:tcPr>
            <w:tcW w:w="1572" w:type="pct"/>
            <w:hideMark/>
          </w:tcPr>
          <w:p w14:paraId="72979678" w14:textId="77777777" w:rsidR="00723E34" w:rsidRPr="00F97952" w:rsidRDefault="00723E34" w:rsidP="00723E34">
            <w:pPr>
              <w:rPr>
                <w:rFonts w:asciiTheme="minorHAnsi" w:hAnsiTheme="minorHAnsi"/>
              </w:rPr>
            </w:pPr>
            <w:r w:rsidRPr="00F97952">
              <w:rPr>
                <w:rFonts w:asciiTheme="minorHAnsi" w:hAnsiTheme="minorHAnsi"/>
              </w:rPr>
              <w:t>Minamata Initial Assessment</w:t>
            </w:r>
          </w:p>
        </w:tc>
        <w:tc>
          <w:tcPr>
            <w:tcW w:w="372" w:type="pct"/>
            <w:hideMark/>
          </w:tcPr>
          <w:p w14:paraId="3C746C4F"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596BF022"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135D01FB" w14:textId="01AA8913"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7221B407" w14:textId="06595D38" w:rsidR="00723E34" w:rsidRPr="00F97952" w:rsidRDefault="00723E34" w:rsidP="00CC3636">
            <w:pPr>
              <w:jc w:val="right"/>
              <w:rPr>
                <w:rFonts w:asciiTheme="minorHAnsi" w:hAnsiTheme="minorHAnsi"/>
              </w:rPr>
            </w:pPr>
            <w:r w:rsidRPr="00F97952">
              <w:rPr>
                <w:rFonts w:asciiTheme="minorHAnsi" w:hAnsiTheme="minorHAnsi"/>
              </w:rPr>
              <w:t xml:space="preserve">97,220 </w:t>
            </w:r>
          </w:p>
        </w:tc>
      </w:tr>
      <w:tr w:rsidR="00723E34" w:rsidRPr="00F97952" w14:paraId="78E994B2" w14:textId="77777777" w:rsidTr="00033F0E">
        <w:trPr>
          <w:trHeight w:val="1200"/>
        </w:trPr>
        <w:tc>
          <w:tcPr>
            <w:tcW w:w="716" w:type="pct"/>
            <w:hideMark/>
          </w:tcPr>
          <w:p w14:paraId="4AF3D459" w14:textId="77777777" w:rsidR="00723E34" w:rsidRPr="00F97952" w:rsidRDefault="00723E34" w:rsidP="00723E34">
            <w:pPr>
              <w:rPr>
                <w:rFonts w:asciiTheme="minorHAnsi" w:hAnsiTheme="minorHAnsi"/>
              </w:rPr>
            </w:pPr>
            <w:r w:rsidRPr="00F97952">
              <w:rPr>
                <w:rFonts w:asciiTheme="minorHAnsi" w:hAnsiTheme="minorHAnsi"/>
              </w:rPr>
              <w:t>Seychelles</w:t>
            </w:r>
          </w:p>
        </w:tc>
        <w:tc>
          <w:tcPr>
            <w:tcW w:w="668" w:type="pct"/>
            <w:hideMark/>
          </w:tcPr>
          <w:p w14:paraId="07262903" w14:textId="77777777" w:rsidR="00723E34" w:rsidRPr="00F97952" w:rsidRDefault="00723E34" w:rsidP="00723E34">
            <w:pPr>
              <w:rPr>
                <w:rFonts w:asciiTheme="minorHAnsi" w:hAnsiTheme="minorHAnsi"/>
              </w:rPr>
            </w:pPr>
          </w:p>
        </w:tc>
        <w:tc>
          <w:tcPr>
            <w:tcW w:w="1572" w:type="pct"/>
            <w:hideMark/>
          </w:tcPr>
          <w:p w14:paraId="41305DB6" w14:textId="77777777" w:rsidR="00723E34" w:rsidRPr="00F97952" w:rsidRDefault="00723E34" w:rsidP="00723E34">
            <w:pPr>
              <w:rPr>
                <w:rFonts w:asciiTheme="minorHAnsi" w:hAnsiTheme="minorHAnsi"/>
              </w:rPr>
            </w:pPr>
            <w:r w:rsidRPr="00F97952">
              <w:rPr>
                <w:rFonts w:asciiTheme="minorHAnsi" w:hAnsiTheme="minorHAnsi"/>
              </w:rPr>
              <w:t>Strengthen National Decision Making Towards Ratification of the Minamata Convention and Build Capacity Towards Implementation of Future Provisions.</w:t>
            </w:r>
          </w:p>
        </w:tc>
        <w:tc>
          <w:tcPr>
            <w:tcW w:w="372" w:type="pct"/>
            <w:hideMark/>
          </w:tcPr>
          <w:p w14:paraId="7787F23F"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56540A4"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70BFC944" w14:textId="2D59F37B" w:rsidR="00723E34" w:rsidRPr="00F97952" w:rsidRDefault="00723E34" w:rsidP="00CC3636">
            <w:pPr>
              <w:jc w:val="right"/>
              <w:rPr>
                <w:rFonts w:asciiTheme="minorHAnsi" w:hAnsiTheme="minorHAnsi"/>
              </w:rPr>
            </w:pPr>
            <w:r w:rsidRPr="00F97952">
              <w:rPr>
                <w:rFonts w:asciiTheme="minorHAnsi" w:hAnsiTheme="minorHAnsi"/>
              </w:rPr>
              <w:t xml:space="preserve">199,100 </w:t>
            </w:r>
          </w:p>
        </w:tc>
        <w:tc>
          <w:tcPr>
            <w:tcW w:w="697" w:type="pct"/>
            <w:hideMark/>
          </w:tcPr>
          <w:p w14:paraId="08993742" w14:textId="6EDE80C0" w:rsidR="00723E34" w:rsidRPr="00F97952" w:rsidRDefault="00723E34" w:rsidP="00CC3636">
            <w:pPr>
              <w:jc w:val="right"/>
              <w:rPr>
                <w:rFonts w:asciiTheme="minorHAnsi" w:hAnsiTheme="minorHAnsi"/>
              </w:rPr>
            </w:pPr>
            <w:r w:rsidRPr="00F97952">
              <w:rPr>
                <w:rFonts w:asciiTheme="minorHAnsi" w:hAnsiTheme="minorHAnsi"/>
              </w:rPr>
              <w:t xml:space="preserve">25,000 </w:t>
            </w:r>
          </w:p>
        </w:tc>
      </w:tr>
      <w:tr w:rsidR="00723E34" w:rsidRPr="00F97952" w14:paraId="1C97ED67" w14:textId="77777777" w:rsidTr="00033F0E">
        <w:trPr>
          <w:trHeight w:val="900"/>
        </w:trPr>
        <w:tc>
          <w:tcPr>
            <w:tcW w:w="716" w:type="pct"/>
            <w:hideMark/>
          </w:tcPr>
          <w:p w14:paraId="33FA79EF" w14:textId="77777777" w:rsidR="00723E34" w:rsidRPr="00F97952" w:rsidRDefault="00723E34" w:rsidP="00723E34">
            <w:pPr>
              <w:rPr>
                <w:rFonts w:asciiTheme="minorHAnsi" w:hAnsiTheme="minorHAnsi"/>
              </w:rPr>
            </w:pPr>
            <w:r w:rsidRPr="00F97952">
              <w:rPr>
                <w:rFonts w:asciiTheme="minorHAnsi" w:hAnsiTheme="minorHAnsi"/>
              </w:rPr>
              <w:t>Sierra Leone</w:t>
            </w:r>
          </w:p>
        </w:tc>
        <w:tc>
          <w:tcPr>
            <w:tcW w:w="668" w:type="pct"/>
            <w:hideMark/>
          </w:tcPr>
          <w:p w14:paraId="2B2496AC" w14:textId="77777777" w:rsidR="00723E34" w:rsidRPr="00F97952" w:rsidRDefault="00723E34" w:rsidP="00723E34">
            <w:pPr>
              <w:rPr>
                <w:rFonts w:asciiTheme="minorHAnsi" w:hAnsiTheme="minorHAnsi"/>
              </w:rPr>
            </w:pPr>
          </w:p>
        </w:tc>
        <w:tc>
          <w:tcPr>
            <w:tcW w:w="1572" w:type="pct"/>
            <w:hideMark/>
          </w:tcPr>
          <w:p w14:paraId="004AC87A" w14:textId="7B8B3D68" w:rsidR="00723E34" w:rsidRPr="00F97952" w:rsidRDefault="00723E34" w:rsidP="00723E34">
            <w:pPr>
              <w:rPr>
                <w:rFonts w:asciiTheme="minorHAnsi" w:hAnsiTheme="minorHAnsi"/>
              </w:rPr>
            </w:pPr>
            <w:r w:rsidRPr="00F97952">
              <w:rPr>
                <w:rFonts w:asciiTheme="minorHAnsi" w:hAnsiTheme="minorHAnsi"/>
              </w:rPr>
              <w:t xml:space="preserve">Development of Minamata Initial Assessment and National Action Plan for Artisanal and </w:t>
            </w:r>
            <w:r w:rsidR="00B55D2E" w:rsidRPr="00F97952">
              <w:rPr>
                <w:rFonts w:asciiTheme="minorHAnsi" w:hAnsiTheme="minorHAnsi"/>
              </w:rPr>
              <w:t>Small-Scale</w:t>
            </w:r>
            <w:r w:rsidRPr="00F97952">
              <w:rPr>
                <w:rFonts w:asciiTheme="minorHAnsi" w:hAnsiTheme="minorHAnsi"/>
              </w:rPr>
              <w:t xml:space="preserve"> Gold Mining in Sierra Leone</w:t>
            </w:r>
          </w:p>
        </w:tc>
        <w:tc>
          <w:tcPr>
            <w:tcW w:w="372" w:type="pct"/>
            <w:hideMark/>
          </w:tcPr>
          <w:p w14:paraId="4FF99196" w14:textId="77777777" w:rsidR="00723E34" w:rsidRPr="00F97952" w:rsidRDefault="00723E34" w:rsidP="00723E34">
            <w:pPr>
              <w:rPr>
                <w:rFonts w:asciiTheme="minorHAnsi" w:hAnsiTheme="minorHAnsi"/>
              </w:rPr>
            </w:pPr>
            <w:r w:rsidRPr="00F97952">
              <w:rPr>
                <w:rFonts w:asciiTheme="minorHAnsi" w:hAnsiTheme="minorHAnsi"/>
              </w:rPr>
              <w:t>MIA, NAP</w:t>
            </w:r>
          </w:p>
        </w:tc>
        <w:tc>
          <w:tcPr>
            <w:tcW w:w="356" w:type="pct"/>
            <w:hideMark/>
          </w:tcPr>
          <w:p w14:paraId="34531A36"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FE0947B" w14:textId="27BFB46C" w:rsidR="00723E34" w:rsidRPr="00F97952" w:rsidRDefault="00723E34" w:rsidP="00CC3636">
            <w:pPr>
              <w:jc w:val="right"/>
              <w:rPr>
                <w:rFonts w:asciiTheme="minorHAnsi" w:hAnsiTheme="minorHAnsi"/>
              </w:rPr>
            </w:pPr>
            <w:r w:rsidRPr="00F97952">
              <w:rPr>
                <w:rFonts w:asciiTheme="minorHAnsi" w:hAnsiTheme="minorHAnsi"/>
              </w:rPr>
              <w:t xml:space="preserve">700,000 </w:t>
            </w:r>
          </w:p>
        </w:tc>
        <w:tc>
          <w:tcPr>
            <w:tcW w:w="697" w:type="pct"/>
            <w:hideMark/>
          </w:tcPr>
          <w:p w14:paraId="45AD18A9" w14:textId="77777777" w:rsidR="00723E34" w:rsidRPr="00F97952" w:rsidRDefault="00723E34" w:rsidP="00CC3636">
            <w:pPr>
              <w:jc w:val="right"/>
              <w:rPr>
                <w:rFonts w:asciiTheme="minorHAnsi" w:hAnsiTheme="minorHAnsi"/>
              </w:rPr>
            </w:pPr>
          </w:p>
        </w:tc>
      </w:tr>
      <w:tr w:rsidR="00723E34" w:rsidRPr="00F97952" w14:paraId="76052A1D" w14:textId="77777777" w:rsidTr="00033F0E">
        <w:trPr>
          <w:trHeight w:val="600"/>
        </w:trPr>
        <w:tc>
          <w:tcPr>
            <w:tcW w:w="716" w:type="pct"/>
            <w:hideMark/>
          </w:tcPr>
          <w:p w14:paraId="0B7B5260" w14:textId="77777777" w:rsidR="00723E34" w:rsidRPr="00F97952" w:rsidRDefault="00723E34" w:rsidP="00723E34">
            <w:pPr>
              <w:rPr>
                <w:rFonts w:asciiTheme="minorHAnsi" w:hAnsiTheme="minorHAnsi"/>
              </w:rPr>
            </w:pPr>
            <w:r w:rsidRPr="00F97952">
              <w:rPr>
                <w:rFonts w:asciiTheme="minorHAnsi" w:hAnsiTheme="minorHAnsi"/>
              </w:rPr>
              <w:t>South Africa</w:t>
            </w:r>
          </w:p>
        </w:tc>
        <w:tc>
          <w:tcPr>
            <w:tcW w:w="668" w:type="pct"/>
            <w:hideMark/>
          </w:tcPr>
          <w:p w14:paraId="1513EB12" w14:textId="77777777" w:rsidR="00723E34" w:rsidRPr="00F97952" w:rsidRDefault="00723E34" w:rsidP="00723E34">
            <w:pPr>
              <w:rPr>
                <w:rFonts w:asciiTheme="minorHAnsi" w:hAnsiTheme="minorHAnsi"/>
              </w:rPr>
            </w:pPr>
          </w:p>
        </w:tc>
        <w:tc>
          <w:tcPr>
            <w:tcW w:w="1572" w:type="pct"/>
            <w:hideMark/>
          </w:tcPr>
          <w:p w14:paraId="4D8D4BE7" w14:textId="77777777" w:rsidR="00723E34" w:rsidRPr="00F97952" w:rsidRDefault="00723E34" w:rsidP="00723E34">
            <w:pPr>
              <w:rPr>
                <w:rFonts w:asciiTheme="minorHAnsi" w:hAnsiTheme="minorHAnsi"/>
              </w:rPr>
            </w:pPr>
            <w:r w:rsidRPr="00F97952">
              <w:rPr>
                <w:rFonts w:asciiTheme="minorHAnsi" w:hAnsiTheme="minorHAnsi"/>
              </w:rPr>
              <w:t>Development of Minamata Initial Assessment in South Africa</w:t>
            </w:r>
          </w:p>
        </w:tc>
        <w:tc>
          <w:tcPr>
            <w:tcW w:w="372" w:type="pct"/>
            <w:hideMark/>
          </w:tcPr>
          <w:p w14:paraId="40A5BA5B"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0EAFBF1"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6866671F" w14:textId="00794D9C" w:rsidR="00723E34" w:rsidRPr="00F97952" w:rsidRDefault="00723E34" w:rsidP="00CC3636">
            <w:pPr>
              <w:jc w:val="right"/>
              <w:rPr>
                <w:rFonts w:asciiTheme="minorHAnsi" w:hAnsiTheme="minorHAnsi"/>
              </w:rPr>
            </w:pPr>
            <w:r w:rsidRPr="00F97952">
              <w:rPr>
                <w:rFonts w:asciiTheme="minorHAnsi" w:hAnsiTheme="minorHAnsi"/>
              </w:rPr>
              <w:t xml:space="preserve">1,000,000 </w:t>
            </w:r>
          </w:p>
        </w:tc>
        <w:tc>
          <w:tcPr>
            <w:tcW w:w="697" w:type="pct"/>
            <w:hideMark/>
          </w:tcPr>
          <w:p w14:paraId="3B8EF2CB" w14:textId="77777777" w:rsidR="00723E34" w:rsidRPr="00F97952" w:rsidRDefault="00723E34" w:rsidP="00CC3636">
            <w:pPr>
              <w:jc w:val="right"/>
              <w:rPr>
                <w:rFonts w:asciiTheme="minorHAnsi" w:hAnsiTheme="minorHAnsi"/>
              </w:rPr>
            </w:pPr>
          </w:p>
        </w:tc>
      </w:tr>
      <w:tr w:rsidR="00723E34" w:rsidRPr="00F97952" w14:paraId="0CD86D2B" w14:textId="77777777" w:rsidTr="00033F0E">
        <w:trPr>
          <w:trHeight w:val="600"/>
        </w:trPr>
        <w:tc>
          <w:tcPr>
            <w:tcW w:w="716" w:type="pct"/>
            <w:hideMark/>
          </w:tcPr>
          <w:p w14:paraId="3F2D889B" w14:textId="77777777" w:rsidR="00723E34" w:rsidRPr="00F97952" w:rsidRDefault="00723E34" w:rsidP="00723E34">
            <w:pPr>
              <w:rPr>
                <w:rFonts w:asciiTheme="minorHAnsi" w:hAnsiTheme="minorHAnsi"/>
              </w:rPr>
            </w:pPr>
            <w:r w:rsidRPr="00F97952">
              <w:rPr>
                <w:rFonts w:asciiTheme="minorHAnsi" w:hAnsiTheme="minorHAnsi"/>
              </w:rPr>
              <w:lastRenderedPageBreak/>
              <w:t>Sri Lanka</w:t>
            </w:r>
          </w:p>
        </w:tc>
        <w:tc>
          <w:tcPr>
            <w:tcW w:w="668" w:type="pct"/>
            <w:hideMark/>
          </w:tcPr>
          <w:p w14:paraId="50DE75B4" w14:textId="77777777" w:rsidR="00723E34" w:rsidRPr="00F97952" w:rsidRDefault="00723E34" w:rsidP="00723E34">
            <w:pPr>
              <w:rPr>
                <w:rFonts w:asciiTheme="minorHAnsi" w:hAnsiTheme="minorHAnsi"/>
              </w:rPr>
            </w:pPr>
          </w:p>
        </w:tc>
        <w:tc>
          <w:tcPr>
            <w:tcW w:w="1572" w:type="pct"/>
            <w:hideMark/>
          </w:tcPr>
          <w:p w14:paraId="68DE821C"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in Sri Lanka</w:t>
            </w:r>
          </w:p>
        </w:tc>
        <w:tc>
          <w:tcPr>
            <w:tcW w:w="372" w:type="pct"/>
            <w:hideMark/>
          </w:tcPr>
          <w:p w14:paraId="3B3266E8"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17A2A574"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2D46C3F2" w14:textId="48A2F9E4"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0ED7EE2A" w14:textId="2F597DB7" w:rsidR="00723E34" w:rsidRPr="00F97952" w:rsidRDefault="00723E34" w:rsidP="00CC3636">
            <w:pPr>
              <w:jc w:val="right"/>
              <w:rPr>
                <w:rFonts w:asciiTheme="minorHAnsi" w:hAnsiTheme="minorHAnsi"/>
              </w:rPr>
            </w:pPr>
            <w:r w:rsidRPr="00F97952">
              <w:rPr>
                <w:rFonts w:asciiTheme="minorHAnsi" w:hAnsiTheme="minorHAnsi"/>
              </w:rPr>
              <w:t xml:space="preserve">38,600 </w:t>
            </w:r>
          </w:p>
        </w:tc>
      </w:tr>
      <w:tr w:rsidR="00723E34" w:rsidRPr="00F97952" w14:paraId="18129C64" w14:textId="77777777" w:rsidTr="00033F0E">
        <w:trPr>
          <w:trHeight w:val="600"/>
        </w:trPr>
        <w:tc>
          <w:tcPr>
            <w:tcW w:w="716" w:type="pct"/>
            <w:hideMark/>
          </w:tcPr>
          <w:p w14:paraId="65E0CF07" w14:textId="77777777" w:rsidR="00723E34" w:rsidRPr="00F97952" w:rsidRDefault="00723E34" w:rsidP="00723E34">
            <w:pPr>
              <w:rPr>
                <w:rFonts w:asciiTheme="minorHAnsi" w:hAnsiTheme="minorHAnsi"/>
              </w:rPr>
            </w:pPr>
            <w:r w:rsidRPr="00F97952">
              <w:rPr>
                <w:rFonts w:asciiTheme="minorHAnsi" w:hAnsiTheme="minorHAnsi"/>
              </w:rPr>
              <w:t>Sudan</w:t>
            </w:r>
          </w:p>
        </w:tc>
        <w:tc>
          <w:tcPr>
            <w:tcW w:w="668" w:type="pct"/>
            <w:hideMark/>
          </w:tcPr>
          <w:p w14:paraId="7C733986" w14:textId="77777777" w:rsidR="00723E34" w:rsidRPr="00F97952" w:rsidRDefault="00723E34" w:rsidP="00723E34">
            <w:pPr>
              <w:rPr>
                <w:rFonts w:asciiTheme="minorHAnsi" w:hAnsiTheme="minorHAnsi"/>
              </w:rPr>
            </w:pPr>
          </w:p>
        </w:tc>
        <w:tc>
          <w:tcPr>
            <w:tcW w:w="1572" w:type="pct"/>
            <w:hideMark/>
          </w:tcPr>
          <w:p w14:paraId="2C0E47FD"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in the Republic of Sudan</w:t>
            </w:r>
          </w:p>
        </w:tc>
        <w:tc>
          <w:tcPr>
            <w:tcW w:w="372" w:type="pct"/>
            <w:hideMark/>
          </w:tcPr>
          <w:p w14:paraId="3AEC9172"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2094A8C5"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6B4D4CA6" w14:textId="1738AB47"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0F8262BD" w14:textId="740F7571" w:rsidR="00723E34" w:rsidRPr="00F97952" w:rsidRDefault="00723E34" w:rsidP="00CC3636">
            <w:pPr>
              <w:jc w:val="right"/>
              <w:rPr>
                <w:rFonts w:asciiTheme="minorHAnsi" w:hAnsiTheme="minorHAnsi"/>
              </w:rPr>
            </w:pPr>
            <w:r w:rsidRPr="00F97952">
              <w:rPr>
                <w:rFonts w:asciiTheme="minorHAnsi" w:hAnsiTheme="minorHAnsi"/>
              </w:rPr>
              <w:t xml:space="preserve">118,600 </w:t>
            </w:r>
          </w:p>
        </w:tc>
      </w:tr>
      <w:tr w:rsidR="00723E34" w:rsidRPr="00F97952" w14:paraId="5F552029" w14:textId="77777777" w:rsidTr="00033F0E">
        <w:trPr>
          <w:trHeight w:val="300"/>
        </w:trPr>
        <w:tc>
          <w:tcPr>
            <w:tcW w:w="716" w:type="pct"/>
            <w:hideMark/>
          </w:tcPr>
          <w:p w14:paraId="1D0676DB" w14:textId="77777777" w:rsidR="00723E34" w:rsidRPr="00F97952" w:rsidRDefault="00723E34" w:rsidP="00723E34">
            <w:pPr>
              <w:rPr>
                <w:rFonts w:asciiTheme="minorHAnsi" w:hAnsiTheme="minorHAnsi"/>
              </w:rPr>
            </w:pPr>
            <w:r w:rsidRPr="00F97952">
              <w:rPr>
                <w:rFonts w:asciiTheme="minorHAnsi" w:hAnsiTheme="minorHAnsi"/>
              </w:rPr>
              <w:t>Suriname</w:t>
            </w:r>
          </w:p>
        </w:tc>
        <w:tc>
          <w:tcPr>
            <w:tcW w:w="668" w:type="pct"/>
            <w:hideMark/>
          </w:tcPr>
          <w:p w14:paraId="1C0A70D3" w14:textId="77777777" w:rsidR="00723E34" w:rsidRPr="00F97952" w:rsidRDefault="00723E34" w:rsidP="00723E34">
            <w:pPr>
              <w:rPr>
                <w:rFonts w:asciiTheme="minorHAnsi" w:hAnsiTheme="minorHAnsi"/>
              </w:rPr>
            </w:pPr>
          </w:p>
        </w:tc>
        <w:tc>
          <w:tcPr>
            <w:tcW w:w="1572" w:type="pct"/>
            <w:hideMark/>
          </w:tcPr>
          <w:p w14:paraId="586D0FD2" w14:textId="77777777" w:rsidR="00723E34" w:rsidRPr="00F97952" w:rsidRDefault="00723E34" w:rsidP="00723E34">
            <w:pPr>
              <w:rPr>
                <w:rFonts w:asciiTheme="minorHAnsi" w:hAnsiTheme="minorHAnsi"/>
              </w:rPr>
            </w:pPr>
            <w:r w:rsidRPr="00F97952">
              <w:rPr>
                <w:rFonts w:asciiTheme="minorHAnsi" w:hAnsiTheme="minorHAnsi"/>
              </w:rPr>
              <w:t xml:space="preserve">Minamata Initial Assessment for Suriname </w:t>
            </w:r>
          </w:p>
        </w:tc>
        <w:tc>
          <w:tcPr>
            <w:tcW w:w="372" w:type="pct"/>
            <w:hideMark/>
          </w:tcPr>
          <w:p w14:paraId="6B04D815"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3E293F1"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6FE8006A" w14:textId="1019682A" w:rsidR="00723E34" w:rsidRPr="00F97952" w:rsidRDefault="00723E34" w:rsidP="00CC3636">
            <w:pPr>
              <w:jc w:val="right"/>
              <w:rPr>
                <w:rFonts w:asciiTheme="minorHAnsi" w:hAnsiTheme="minorHAnsi"/>
              </w:rPr>
            </w:pPr>
            <w:r w:rsidRPr="00F97952">
              <w:rPr>
                <w:rFonts w:asciiTheme="minorHAnsi" w:hAnsiTheme="minorHAnsi"/>
              </w:rPr>
              <w:t xml:space="preserve">200,000 </w:t>
            </w:r>
          </w:p>
        </w:tc>
        <w:tc>
          <w:tcPr>
            <w:tcW w:w="697" w:type="pct"/>
            <w:hideMark/>
          </w:tcPr>
          <w:p w14:paraId="3264C7E3" w14:textId="77777777" w:rsidR="00723E34" w:rsidRPr="00F97952" w:rsidRDefault="00723E34" w:rsidP="00CC3636">
            <w:pPr>
              <w:jc w:val="right"/>
              <w:rPr>
                <w:rFonts w:asciiTheme="minorHAnsi" w:hAnsiTheme="minorHAnsi"/>
              </w:rPr>
            </w:pPr>
          </w:p>
        </w:tc>
      </w:tr>
      <w:tr w:rsidR="00723E34" w:rsidRPr="00F97952" w14:paraId="669DDB14" w14:textId="77777777" w:rsidTr="00033F0E">
        <w:trPr>
          <w:trHeight w:val="900"/>
        </w:trPr>
        <w:tc>
          <w:tcPr>
            <w:tcW w:w="716" w:type="pct"/>
            <w:hideMark/>
          </w:tcPr>
          <w:p w14:paraId="5FBFB6C9" w14:textId="77777777" w:rsidR="00723E34" w:rsidRPr="00F97952" w:rsidRDefault="00723E34" w:rsidP="00723E34">
            <w:pPr>
              <w:rPr>
                <w:rFonts w:asciiTheme="minorHAnsi" w:hAnsiTheme="minorHAnsi"/>
              </w:rPr>
            </w:pPr>
            <w:r w:rsidRPr="00F97952">
              <w:rPr>
                <w:rFonts w:asciiTheme="minorHAnsi" w:hAnsiTheme="minorHAnsi"/>
              </w:rPr>
              <w:t>Suriname</w:t>
            </w:r>
          </w:p>
        </w:tc>
        <w:tc>
          <w:tcPr>
            <w:tcW w:w="668" w:type="pct"/>
            <w:hideMark/>
          </w:tcPr>
          <w:p w14:paraId="58D41A74" w14:textId="77777777" w:rsidR="00723E34" w:rsidRPr="00F97952" w:rsidRDefault="00723E34" w:rsidP="00723E34">
            <w:pPr>
              <w:rPr>
                <w:rFonts w:asciiTheme="minorHAnsi" w:hAnsiTheme="minorHAnsi"/>
              </w:rPr>
            </w:pPr>
          </w:p>
        </w:tc>
        <w:tc>
          <w:tcPr>
            <w:tcW w:w="1572" w:type="pct"/>
            <w:hideMark/>
          </w:tcPr>
          <w:p w14:paraId="3092C65C" w14:textId="77777777" w:rsidR="00723E34" w:rsidRPr="00F97952" w:rsidRDefault="00723E34" w:rsidP="00723E34">
            <w:pPr>
              <w:rPr>
                <w:rFonts w:asciiTheme="minorHAnsi" w:hAnsiTheme="minorHAnsi"/>
              </w:rPr>
            </w:pPr>
            <w:r w:rsidRPr="00F97952">
              <w:rPr>
                <w:rFonts w:asciiTheme="minorHAnsi" w:hAnsiTheme="minorHAnsi"/>
              </w:rPr>
              <w:t xml:space="preserve">Artisanal and Small-Scale Gold Mining (ASGM) National Action Plan (NAP) for Suriname </w:t>
            </w:r>
          </w:p>
        </w:tc>
        <w:tc>
          <w:tcPr>
            <w:tcW w:w="372" w:type="pct"/>
            <w:hideMark/>
          </w:tcPr>
          <w:p w14:paraId="09D097A2"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2255DE05" w14:textId="77777777" w:rsidR="00723E34" w:rsidRPr="00F97952" w:rsidRDefault="00723E34" w:rsidP="00723E34">
            <w:pPr>
              <w:rPr>
                <w:rFonts w:asciiTheme="minorHAnsi" w:hAnsiTheme="minorHAnsi"/>
              </w:rPr>
            </w:pPr>
            <w:r w:rsidRPr="00F97952">
              <w:rPr>
                <w:rFonts w:asciiTheme="minorHAnsi" w:hAnsiTheme="minorHAnsi"/>
              </w:rPr>
              <w:t>UNDP</w:t>
            </w:r>
          </w:p>
        </w:tc>
        <w:tc>
          <w:tcPr>
            <w:tcW w:w="619" w:type="pct"/>
            <w:hideMark/>
          </w:tcPr>
          <w:p w14:paraId="6F4C0B24" w14:textId="39BDCD54"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53545DC3" w14:textId="77777777" w:rsidR="00723E34" w:rsidRPr="00F97952" w:rsidRDefault="00723E34" w:rsidP="00CC3636">
            <w:pPr>
              <w:jc w:val="right"/>
              <w:rPr>
                <w:rFonts w:asciiTheme="minorHAnsi" w:hAnsiTheme="minorHAnsi"/>
              </w:rPr>
            </w:pPr>
          </w:p>
        </w:tc>
      </w:tr>
      <w:tr w:rsidR="00723E34" w:rsidRPr="00F97952" w14:paraId="629DC727" w14:textId="77777777" w:rsidTr="00033F0E">
        <w:trPr>
          <w:trHeight w:val="900"/>
        </w:trPr>
        <w:tc>
          <w:tcPr>
            <w:tcW w:w="716" w:type="pct"/>
            <w:hideMark/>
          </w:tcPr>
          <w:p w14:paraId="50EA74EB" w14:textId="77777777" w:rsidR="00723E34" w:rsidRPr="00F97952" w:rsidRDefault="00723E34" w:rsidP="00723E34">
            <w:pPr>
              <w:rPr>
                <w:rFonts w:asciiTheme="minorHAnsi" w:hAnsiTheme="minorHAnsi"/>
              </w:rPr>
            </w:pPr>
            <w:r w:rsidRPr="00F97952">
              <w:rPr>
                <w:rFonts w:asciiTheme="minorHAnsi" w:hAnsiTheme="minorHAnsi"/>
              </w:rPr>
              <w:t>Tanzania</w:t>
            </w:r>
          </w:p>
        </w:tc>
        <w:tc>
          <w:tcPr>
            <w:tcW w:w="668" w:type="pct"/>
            <w:hideMark/>
          </w:tcPr>
          <w:p w14:paraId="4D942F5D" w14:textId="77777777" w:rsidR="00723E34" w:rsidRPr="00F97952" w:rsidRDefault="00723E34" w:rsidP="00723E34">
            <w:pPr>
              <w:rPr>
                <w:rFonts w:asciiTheme="minorHAnsi" w:hAnsiTheme="minorHAnsi"/>
              </w:rPr>
            </w:pPr>
          </w:p>
        </w:tc>
        <w:tc>
          <w:tcPr>
            <w:tcW w:w="1572" w:type="pct"/>
            <w:hideMark/>
          </w:tcPr>
          <w:p w14:paraId="5250EECD" w14:textId="2206C8DD" w:rsidR="00723E34" w:rsidRPr="00F97952" w:rsidRDefault="00723E34" w:rsidP="00723E34">
            <w:pPr>
              <w:rPr>
                <w:rFonts w:asciiTheme="minorHAnsi" w:hAnsiTheme="minorHAnsi"/>
              </w:rPr>
            </w:pPr>
            <w:r w:rsidRPr="00F97952">
              <w:rPr>
                <w:rFonts w:asciiTheme="minorHAnsi" w:hAnsiTheme="minorHAnsi"/>
              </w:rPr>
              <w:t xml:space="preserve">Development of National Action Plans for Artisanal and </w:t>
            </w:r>
            <w:r w:rsidR="00B55D2E" w:rsidRPr="00F97952">
              <w:rPr>
                <w:rFonts w:asciiTheme="minorHAnsi" w:hAnsiTheme="minorHAnsi"/>
              </w:rPr>
              <w:t>Small-Scale</w:t>
            </w:r>
            <w:r w:rsidRPr="00F97952">
              <w:rPr>
                <w:rFonts w:asciiTheme="minorHAnsi" w:hAnsiTheme="minorHAnsi"/>
              </w:rPr>
              <w:t xml:space="preserve"> Gold Mining in the United Republic of Tanzania</w:t>
            </w:r>
          </w:p>
        </w:tc>
        <w:tc>
          <w:tcPr>
            <w:tcW w:w="372" w:type="pct"/>
            <w:hideMark/>
          </w:tcPr>
          <w:p w14:paraId="05E605D8" w14:textId="77777777" w:rsidR="00723E34" w:rsidRPr="00F97952" w:rsidRDefault="00723E34" w:rsidP="00723E34">
            <w:pPr>
              <w:rPr>
                <w:rFonts w:asciiTheme="minorHAnsi" w:hAnsiTheme="minorHAnsi"/>
              </w:rPr>
            </w:pPr>
            <w:r w:rsidRPr="00F97952">
              <w:rPr>
                <w:rFonts w:asciiTheme="minorHAnsi" w:hAnsiTheme="minorHAnsi"/>
              </w:rPr>
              <w:t>NAP</w:t>
            </w:r>
          </w:p>
        </w:tc>
        <w:tc>
          <w:tcPr>
            <w:tcW w:w="356" w:type="pct"/>
            <w:hideMark/>
          </w:tcPr>
          <w:p w14:paraId="647ADB00" w14:textId="77777777" w:rsidR="00723E34" w:rsidRPr="00F97952" w:rsidRDefault="00723E34" w:rsidP="00723E34">
            <w:pPr>
              <w:rPr>
                <w:rFonts w:asciiTheme="minorHAnsi" w:hAnsiTheme="minorHAnsi"/>
              </w:rPr>
            </w:pPr>
            <w:r w:rsidRPr="00F97952">
              <w:rPr>
                <w:rFonts w:asciiTheme="minorHAnsi" w:hAnsiTheme="minorHAnsi"/>
              </w:rPr>
              <w:t>UNEP</w:t>
            </w:r>
          </w:p>
        </w:tc>
        <w:tc>
          <w:tcPr>
            <w:tcW w:w="619" w:type="pct"/>
            <w:hideMark/>
          </w:tcPr>
          <w:p w14:paraId="57438E78" w14:textId="79548F1D"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55BD84D5" w14:textId="77777777" w:rsidR="00723E34" w:rsidRPr="00F97952" w:rsidRDefault="00723E34" w:rsidP="00CC3636">
            <w:pPr>
              <w:jc w:val="right"/>
              <w:rPr>
                <w:rFonts w:asciiTheme="minorHAnsi" w:hAnsiTheme="minorHAnsi"/>
              </w:rPr>
            </w:pPr>
          </w:p>
        </w:tc>
      </w:tr>
      <w:tr w:rsidR="00723E34" w:rsidRPr="00F97952" w14:paraId="02B315F4" w14:textId="77777777" w:rsidTr="00033F0E">
        <w:trPr>
          <w:trHeight w:val="600"/>
        </w:trPr>
        <w:tc>
          <w:tcPr>
            <w:tcW w:w="716" w:type="pct"/>
            <w:hideMark/>
          </w:tcPr>
          <w:p w14:paraId="59EE12F6" w14:textId="77777777" w:rsidR="00723E34" w:rsidRPr="00F97952" w:rsidRDefault="00723E34" w:rsidP="00723E34">
            <w:pPr>
              <w:rPr>
                <w:rFonts w:asciiTheme="minorHAnsi" w:hAnsiTheme="minorHAnsi"/>
              </w:rPr>
            </w:pPr>
            <w:r w:rsidRPr="00F97952">
              <w:rPr>
                <w:rFonts w:asciiTheme="minorHAnsi" w:hAnsiTheme="minorHAnsi"/>
              </w:rPr>
              <w:t>Turkey</w:t>
            </w:r>
          </w:p>
        </w:tc>
        <w:tc>
          <w:tcPr>
            <w:tcW w:w="668" w:type="pct"/>
            <w:hideMark/>
          </w:tcPr>
          <w:p w14:paraId="1D5A4182" w14:textId="77777777" w:rsidR="00723E34" w:rsidRPr="00F97952" w:rsidRDefault="00723E34" w:rsidP="00723E34">
            <w:pPr>
              <w:rPr>
                <w:rFonts w:asciiTheme="minorHAnsi" w:hAnsiTheme="minorHAnsi"/>
              </w:rPr>
            </w:pPr>
          </w:p>
        </w:tc>
        <w:tc>
          <w:tcPr>
            <w:tcW w:w="1572" w:type="pct"/>
            <w:hideMark/>
          </w:tcPr>
          <w:p w14:paraId="6C7A880C" w14:textId="77777777" w:rsidR="00723E34" w:rsidRPr="00F97952" w:rsidRDefault="00723E34" w:rsidP="00723E34">
            <w:pPr>
              <w:rPr>
                <w:rFonts w:asciiTheme="minorHAnsi" w:hAnsiTheme="minorHAnsi"/>
              </w:rPr>
            </w:pPr>
            <w:r w:rsidRPr="00F97952">
              <w:rPr>
                <w:rFonts w:asciiTheme="minorHAnsi" w:hAnsiTheme="minorHAnsi"/>
              </w:rPr>
              <w:t>Minamata Convention: Initial Assessment in Turkey</w:t>
            </w:r>
          </w:p>
        </w:tc>
        <w:tc>
          <w:tcPr>
            <w:tcW w:w="372" w:type="pct"/>
            <w:hideMark/>
          </w:tcPr>
          <w:p w14:paraId="33C22A73" w14:textId="77777777" w:rsidR="00723E34" w:rsidRPr="00F97952" w:rsidRDefault="00723E34" w:rsidP="00723E34">
            <w:pPr>
              <w:rPr>
                <w:rFonts w:asciiTheme="minorHAnsi" w:hAnsiTheme="minorHAnsi"/>
              </w:rPr>
            </w:pPr>
            <w:r w:rsidRPr="00F97952">
              <w:rPr>
                <w:rFonts w:asciiTheme="minorHAnsi" w:hAnsiTheme="minorHAnsi"/>
              </w:rPr>
              <w:t>MIA</w:t>
            </w:r>
          </w:p>
        </w:tc>
        <w:tc>
          <w:tcPr>
            <w:tcW w:w="356" w:type="pct"/>
            <w:hideMark/>
          </w:tcPr>
          <w:p w14:paraId="3AE33B72" w14:textId="77777777" w:rsidR="00723E34" w:rsidRPr="00F97952" w:rsidRDefault="00723E34" w:rsidP="00723E34">
            <w:pPr>
              <w:rPr>
                <w:rFonts w:asciiTheme="minorHAnsi" w:hAnsiTheme="minorHAnsi"/>
              </w:rPr>
            </w:pPr>
            <w:r w:rsidRPr="00F97952">
              <w:rPr>
                <w:rFonts w:asciiTheme="minorHAnsi" w:hAnsiTheme="minorHAnsi"/>
              </w:rPr>
              <w:t>UNIDO</w:t>
            </w:r>
          </w:p>
        </w:tc>
        <w:tc>
          <w:tcPr>
            <w:tcW w:w="619" w:type="pct"/>
            <w:hideMark/>
          </w:tcPr>
          <w:p w14:paraId="677A7709" w14:textId="3C033AA8" w:rsidR="00723E34" w:rsidRPr="00F97952" w:rsidRDefault="00723E34" w:rsidP="00CC3636">
            <w:pPr>
              <w:jc w:val="right"/>
              <w:rPr>
                <w:rFonts w:asciiTheme="minorHAnsi" w:hAnsiTheme="minorHAnsi"/>
              </w:rPr>
            </w:pPr>
            <w:r w:rsidRPr="00F97952">
              <w:rPr>
                <w:rFonts w:asciiTheme="minorHAnsi" w:hAnsiTheme="minorHAnsi"/>
              </w:rPr>
              <w:t xml:space="preserve">500,000 </w:t>
            </w:r>
          </w:p>
        </w:tc>
        <w:tc>
          <w:tcPr>
            <w:tcW w:w="697" w:type="pct"/>
            <w:hideMark/>
          </w:tcPr>
          <w:p w14:paraId="60359572" w14:textId="62EE00E4" w:rsidR="00723E34" w:rsidRPr="00F97952" w:rsidRDefault="00723E34" w:rsidP="00CC3636">
            <w:pPr>
              <w:jc w:val="right"/>
              <w:rPr>
                <w:rFonts w:asciiTheme="minorHAnsi" w:hAnsiTheme="minorHAnsi"/>
              </w:rPr>
            </w:pPr>
            <w:r w:rsidRPr="00F97952">
              <w:rPr>
                <w:rFonts w:asciiTheme="minorHAnsi" w:hAnsiTheme="minorHAnsi"/>
              </w:rPr>
              <w:t xml:space="preserve">29,000 </w:t>
            </w:r>
          </w:p>
        </w:tc>
      </w:tr>
      <w:tr w:rsidR="00D86F6D" w:rsidRPr="00F97952" w14:paraId="5C7A88B1" w14:textId="77777777" w:rsidTr="00033F0E">
        <w:trPr>
          <w:trHeight w:val="488"/>
        </w:trPr>
        <w:tc>
          <w:tcPr>
            <w:tcW w:w="716" w:type="pct"/>
          </w:tcPr>
          <w:p w14:paraId="35BE7914" w14:textId="262898AC" w:rsidR="00D86F6D" w:rsidRPr="00F97952" w:rsidRDefault="00D86F6D" w:rsidP="00D86F6D">
            <w:pPr>
              <w:rPr>
                <w:rFonts w:asciiTheme="minorHAnsi" w:hAnsiTheme="minorHAnsi"/>
              </w:rPr>
            </w:pPr>
            <w:r w:rsidRPr="00F97952">
              <w:rPr>
                <w:rFonts w:asciiTheme="minorHAnsi" w:hAnsiTheme="minorHAnsi" w:cstheme="minorHAnsi"/>
                <w:b/>
              </w:rPr>
              <w:t>TOTAL</w:t>
            </w:r>
          </w:p>
        </w:tc>
        <w:tc>
          <w:tcPr>
            <w:tcW w:w="668" w:type="pct"/>
          </w:tcPr>
          <w:p w14:paraId="6737B1DB" w14:textId="77777777" w:rsidR="00D86F6D" w:rsidRPr="00F97952" w:rsidRDefault="00D86F6D" w:rsidP="00D86F6D">
            <w:pPr>
              <w:rPr>
                <w:rFonts w:asciiTheme="minorHAnsi" w:hAnsiTheme="minorHAnsi"/>
              </w:rPr>
            </w:pPr>
          </w:p>
        </w:tc>
        <w:tc>
          <w:tcPr>
            <w:tcW w:w="1572" w:type="pct"/>
          </w:tcPr>
          <w:p w14:paraId="5EAF043C" w14:textId="77777777" w:rsidR="00D86F6D" w:rsidRPr="00F97952" w:rsidRDefault="00D86F6D" w:rsidP="00D86F6D">
            <w:pPr>
              <w:rPr>
                <w:rFonts w:asciiTheme="minorHAnsi" w:hAnsiTheme="minorHAnsi"/>
              </w:rPr>
            </w:pPr>
          </w:p>
        </w:tc>
        <w:tc>
          <w:tcPr>
            <w:tcW w:w="372" w:type="pct"/>
          </w:tcPr>
          <w:p w14:paraId="7B425E4A" w14:textId="77777777" w:rsidR="00D86F6D" w:rsidRPr="00F97952" w:rsidRDefault="00D86F6D" w:rsidP="00D86F6D">
            <w:pPr>
              <w:rPr>
                <w:rFonts w:asciiTheme="minorHAnsi" w:hAnsiTheme="minorHAnsi"/>
              </w:rPr>
            </w:pPr>
          </w:p>
        </w:tc>
        <w:tc>
          <w:tcPr>
            <w:tcW w:w="356" w:type="pct"/>
          </w:tcPr>
          <w:p w14:paraId="3C283DAF" w14:textId="77777777" w:rsidR="00D86F6D" w:rsidRPr="00F97952" w:rsidRDefault="00D86F6D" w:rsidP="00D86F6D">
            <w:pPr>
              <w:rPr>
                <w:rFonts w:asciiTheme="minorHAnsi" w:hAnsiTheme="minorHAnsi"/>
              </w:rPr>
            </w:pPr>
          </w:p>
        </w:tc>
        <w:tc>
          <w:tcPr>
            <w:tcW w:w="619" w:type="pct"/>
          </w:tcPr>
          <w:p w14:paraId="6ED345B4" w14:textId="26FBBCC7" w:rsidR="00D86F6D" w:rsidRPr="00F97952" w:rsidRDefault="00D86F6D" w:rsidP="00D86F6D">
            <w:pPr>
              <w:jc w:val="right"/>
              <w:rPr>
                <w:rFonts w:asciiTheme="minorHAnsi" w:hAnsiTheme="minorHAnsi"/>
                <w:b/>
              </w:rPr>
            </w:pPr>
            <w:r w:rsidRPr="00F97952">
              <w:rPr>
                <w:rFonts w:asciiTheme="minorHAnsi" w:hAnsiTheme="minorHAnsi"/>
                <w:b/>
              </w:rPr>
              <w:fldChar w:fldCharType="begin"/>
            </w:r>
            <w:r w:rsidRPr="00F97952">
              <w:rPr>
                <w:rFonts w:asciiTheme="minorHAnsi" w:hAnsiTheme="minorHAnsi"/>
                <w:b/>
              </w:rPr>
              <w:instrText xml:space="preserve"> =SUM(ABOVE) </w:instrText>
            </w:r>
            <w:r w:rsidRPr="00F97952">
              <w:rPr>
                <w:rFonts w:asciiTheme="minorHAnsi" w:hAnsiTheme="minorHAnsi"/>
                <w:b/>
              </w:rPr>
              <w:fldChar w:fldCharType="separate"/>
            </w:r>
            <w:r w:rsidRPr="00F97952">
              <w:rPr>
                <w:rFonts w:asciiTheme="minorHAnsi" w:hAnsiTheme="minorHAnsi"/>
                <w:b/>
                <w:noProof/>
              </w:rPr>
              <w:t>34,322,045</w:t>
            </w:r>
            <w:r w:rsidRPr="00F97952">
              <w:rPr>
                <w:rFonts w:asciiTheme="minorHAnsi" w:hAnsiTheme="minorHAnsi"/>
                <w:b/>
              </w:rPr>
              <w:fldChar w:fldCharType="end"/>
            </w:r>
          </w:p>
        </w:tc>
        <w:tc>
          <w:tcPr>
            <w:tcW w:w="697" w:type="pct"/>
          </w:tcPr>
          <w:p w14:paraId="3A25F025" w14:textId="49F51E51" w:rsidR="00D86F6D" w:rsidRPr="00F97952" w:rsidRDefault="00D86F6D" w:rsidP="00512A26">
            <w:pPr>
              <w:jc w:val="right"/>
              <w:rPr>
                <w:rFonts w:asciiTheme="minorHAnsi" w:hAnsiTheme="minorHAnsi"/>
                <w:b/>
              </w:rPr>
            </w:pPr>
            <w:r w:rsidRPr="00F97952">
              <w:rPr>
                <w:rFonts w:ascii="Calibri" w:hAnsi="Calibri" w:cs="Calibri"/>
                <w:b/>
                <w:color w:val="000000"/>
                <w:szCs w:val="22"/>
              </w:rPr>
              <w:t>3,251,470</w:t>
            </w:r>
          </w:p>
        </w:tc>
      </w:tr>
    </w:tbl>
    <w:p w14:paraId="0DE96ECC" w14:textId="23818B54" w:rsidR="00336D5D" w:rsidRPr="00F97952" w:rsidRDefault="00336D5D" w:rsidP="00BF4281">
      <w:pPr>
        <w:jc w:val="both"/>
        <w:rPr>
          <w:rFonts w:asciiTheme="minorHAnsi" w:hAnsiTheme="minorHAnsi" w:cstheme="minorHAnsi"/>
        </w:rPr>
      </w:pPr>
    </w:p>
    <w:p w14:paraId="3BCADBE0" w14:textId="77777777" w:rsidR="00336D5D" w:rsidRPr="00F97952" w:rsidRDefault="00336D5D">
      <w:pPr>
        <w:widowControl w:val="0"/>
        <w:autoSpaceDE w:val="0"/>
        <w:autoSpaceDN w:val="0"/>
        <w:rPr>
          <w:rFonts w:asciiTheme="minorHAnsi" w:hAnsiTheme="minorHAnsi" w:cstheme="minorHAnsi"/>
        </w:rPr>
      </w:pPr>
      <w:r w:rsidRPr="00F97952">
        <w:rPr>
          <w:rFonts w:asciiTheme="minorHAnsi" w:hAnsiTheme="minorHAnsi" w:cstheme="minorHAnsi"/>
        </w:rPr>
        <w:br w:type="page"/>
      </w:r>
    </w:p>
    <w:p w14:paraId="4A3FDF7D" w14:textId="7CF00873" w:rsidR="00614034" w:rsidRPr="00F97952" w:rsidRDefault="00614034" w:rsidP="00D87B16">
      <w:pPr>
        <w:pStyle w:val="Titre2"/>
        <w:rPr>
          <w:rFonts w:asciiTheme="minorHAnsi" w:hAnsiTheme="minorHAnsi"/>
        </w:rPr>
      </w:pPr>
      <w:bookmarkStart w:id="73" w:name="_Toc528774365"/>
      <w:r w:rsidRPr="00F97952">
        <w:rPr>
          <w:rFonts w:asciiTheme="minorHAnsi" w:hAnsiTheme="minorHAnsi"/>
        </w:rPr>
        <w:lastRenderedPageBreak/>
        <w:t>Programs</w:t>
      </w:r>
      <w:bookmarkEnd w:id="73"/>
    </w:p>
    <w:p w14:paraId="0136722A" w14:textId="2827BE1D" w:rsidR="005F63FE" w:rsidRPr="00F97952" w:rsidRDefault="00D87B16" w:rsidP="002231A2">
      <w:pPr>
        <w:pStyle w:val="Lgende"/>
        <w:jc w:val="center"/>
        <w:rPr>
          <w:color w:val="000000" w:themeColor="text1"/>
          <w:sz w:val="24"/>
          <w:szCs w:val="24"/>
        </w:rPr>
      </w:pPr>
      <w:bookmarkStart w:id="74" w:name="_Toc528774334"/>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8</w:t>
      </w:r>
      <w:r w:rsidRPr="00F97952">
        <w:rPr>
          <w:color w:val="000000" w:themeColor="text1"/>
          <w:sz w:val="24"/>
          <w:szCs w:val="24"/>
        </w:rPr>
        <w:fldChar w:fldCharType="end"/>
      </w:r>
      <w:r w:rsidRPr="00F97952">
        <w:rPr>
          <w:color w:val="000000" w:themeColor="text1"/>
          <w:sz w:val="24"/>
          <w:szCs w:val="24"/>
        </w:rPr>
        <w:t xml:space="preserve">: </w:t>
      </w:r>
      <w:r w:rsidR="005F63FE" w:rsidRPr="00F97952">
        <w:rPr>
          <w:color w:val="000000" w:themeColor="text1"/>
          <w:sz w:val="24"/>
          <w:szCs w:val="24"/>
        </w:rPr>
        <w:t xml:space="preserve">Single </w:t>
      </w:r>
      <w:r w:rsidR="00AF0D88" w:rsidRPr="00F97952">
        <w:rPr>
          <w:color w:val="000000" w:themeColor="text1"/>
          <w:sz w:val="24"/>
          <w:szCs w:val="24"/>
        </w:rPr>
        <w:t>Focal Area Programs</w:t>
      </w:r>
      <w:bookmarkEnd w:id="74"/>
    </w:p>
    <w:tbl>
      <w:tblPr>
        <w:tblStyle w:val="Grilledutableau"/>
        <w:tblW w:w="0" w:type="auto"/>
        <w:tblLook w:val="04A0" w:firstRow="1" w:lastRow="0" w:firstColumn="1" w:lastColumn="0" w:noHBand="0" w:noVBand="1"/>
      </w:tblPr>
      <w:tblGrid>
        <w:gridCol w:w="1435"/>
        <w:gridCol w:w="3870"/>
        <w:gridCol w:w="4410"/>
        <w:gridCol w:w="1620"/>
        <w:gridCol w:w="1835"/>
      </w:tblGrid>
      <w:tr w:rsidR="00614034" w:rsidRPr="00F97952" w14:paraId="052FF2C4" w14:textId="77777777" w:rsidTr="00033F0E">
        <w:trPr>
          <w:trHeight w:val="434"/>
          <w:tblHeader/>
        </w:trPr>
        <w:tc>
          <w:tcPr>
            <w:tcW w:w="1435" w:type="dxa"/>
            <w:hideMark/>
          </w:tcPr>
          <w:p w14:paraId="0F6DA4EA"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Agency</w:t>
            </w:r>
          </w:p>
        </w:tc>
        <w:tc>
          <w:tcPr>
            <w:tcW w:w="3870" w:type="dxa"/>
            <w:hideMark/>
          </w:tcPr>
          <w:p w14:paraId="7C5C6B10"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Country</w:t>
            </w:r>
          </w:p>
        </w:tc>
        <w:tc>
          <w:tcPr>
            <w:tcW w:w="4410" w:type="dxa"/>
            <w:hideMark/>
          </w:tcPr>
          <w:p w14:paraId="00843EA6"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Title</w:t>
            </w:r>
          </w:p>
        </w:tc>
        <w:tc>
          <w:tcPr>
            <w:tcW w:w="1620" w:type="dxa"/>
            <w:hideMark/>
          </w:tcPr>
          <w:p w14:paraId="6C642744"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GEF Grant ($)</w:t>
            </w:r>
          </w:p>
        </w:tc>
        <w:tc>
          <w:tcPr>
            <w:tcW w:w="1835" w:type="dxa"/>
            <w:hideMark/>
          </w:tcPr>
          <w:p w14:paraId="5943480D"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Co-financing ($)</w:t>
            </w:r>
          </w:p>
        </w:tc>
      </w:tr>
      <w:tr w:rsidR="00614034" w:rsidRPr="00F97952" w14:paraId="7AD70800" w14:textId="77777777" w:rsidTr="00033F0E">
        <w:trPr>
          <w:trHeight w:val="893"/>
        </w:trPr>
        <w:tc>
          <w:tcPr>
            <w:tcW w:w="1435" w:type="dxa"/>
            <w:hideMark/>
          </w:tcPr>
          <w:p w14:paraId="06B009EF"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UNEP, UNDP, UNIDO, CI</w:t>
            </w:r>
          </w:p>
        </w:tc>
        <w:tc>
          <w:tcPr>
            <w:tcW w:w="3870" w:type="dxa"/>
            <w:hideMark/>
          </w:tcPr>
          <w:p w14:paraId="2A79D9A3" w14:textId="77777777" w:rsidR="00614034" w:rsidRPr="00F97952" w:rsidRDefault="00614034" w:rsidP="00BF4281">
            <w:pPr>
              <w:rPr>
                <w:rFonts w:asciiTheme="minorHAnsi" w:hAnsiTheme="minorHAnsi" w:cstheme="minorHAnsi"/>
              </w:rPr>
            </w:pPr>
            <w:r w:rsidRPr="00F97952">
              <w:rPr>
                <w:rFonts w:asciiTheme="minorHAnsi" w:hAnsiTheme="minorHAnsi" w:cstheme="minorHAnsi"/>
              </w:rPr>
              <w:t>Global (Burkina Faso, Colombia, Guyana, Indonesia, Kenya, Mongolia, Peru, Philippines)</w:t>
            </w:r>
          </w:p>
        </w:tc>
        <w:tc>
          <w:tcPr>
            <w:tcW w:w="4410" w:type="dxa"/>
            <w:hideMark/>
          </w:tcPr>
          <w:p w14:paraId="1F9F0474"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Global Opportunities for Long-term Development of ASGM Sector - GEF GOLD</w:t>
            </w:r>
          </w:p>
        </w:tc>
        <w:tc>
          <w:tcPr>
            <w:tcW w:w="1620" w:type="dxa"/>
            <w:hideMark/>
          </w:tcPr>
          <w:p w14:paraId="327A9F7F" w14:textId="77777777" w:rsidR="00614034" w:rsidRPr="00F97952" w:rsidRDefault="00614034" w:rsidP="00C224F3">
            <w:pPr>
              <w:jc w:val="right"/>
              <w:rPr>
                <w:rFonts w:asciiTheme="minorHAnsi" w:hAnsiTheme="minorHAnsi" w:cstheme="minorHAnsi"/>
              </w:rPr>
            </w:pPr>
            <w:r w:rsidRPr="00F97952">
              <w:rPr>
                <w:rFonts w:asciiTheme="minorHAnsi" w:hAnsiTheme="minorHAnsi" w:cstheme="minorHAnsi"/>
              </w:rPr>
              <w:t>45,262,294</w:t>
            </w:r>
          </w:p>
        </w:tc>
        <w:tc>
          <w:tcPr>
            <w:tcW w:w="1835" w:type="dxa"/>
            <w:hideMark/>
          </w:tcPr>
          <w:p w14:paraId="25459E4F" w14:textId="77777777" w:rsidR="00614034" w:rsidRPr="00F97952" w:rsidRDefault="00614034" w:rsidP="00C224F3">
            <w:pPr>
              <w:jc w:val="right"/>
              <w:rPr>
                <w:rFonts w:asciiTheme="minorHAnsi" w:hAnsiTheme="minorHAnsi" w:cstheme="minorHAnsi"/>
              </w:rPr>
            </w:pPr>
            <w:r w:rsidRPr="00F97952">
              <w:rPr>
                <w:rFonts w:asciiTheme="minorHAnsi" w:hAnsiTheme="minorHAnsi" w:cstheme="minorHAnsi"/>
              </w:rPr>
              <w:t>135,174,956</w:t>
            </w:r>
          </w:p>
        </w:tc>
      </w:tr>
      <w:tr w:rsidR="00614034" w:rsidRPr="00F97952" w14:paraId="551CBDC2" w14:textId="77777777" w:rsidTr="00033F0E">
        <w:trPr>
          <w:trHeight w:val="704"/>
        </w:trPr>
        <w:tc>
          <w:tcPr>
            <w:tcW w:w="1435" w:type="dxa"/>
            <w:hideMark/>
          </w:tcPr>
          <w:p w14:paraId="265AD6E5"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World Bank</w:t>
            </w:r>
          </w:p>
        </w:tc>
        <w:tc>
          <w:tcPr>
            <w:tcW w:w="3870" w:type="dxa"/>
            <w:hideMark/>
          </w:tcPr>
          <w:p w14:paraId="05F2E271" w14:textId="77777777" w:rsidR="00614034" w:rsidRPr="00F97952" w:rsidRDefault="00614034" w:rsidP="00BF4281">
            <w:pPr>
              <w:rPr>
                <w:rFonts w:asciiTheme="minorHAnsi" w:hAnsiTheme="minorHAnsi" w:cstheme="minorHAnsi"/>
              </w:rPr>
            </w:pPr>
            <w:r w:rsidRPr="00F97952">
              <w:rPr>
                <w:rFonts w:asciiTheme="minorHAnsi" w:hAnsiTheme="minorHAnsi" w:cstheme="minorHAnsi"/>
              </w:rPr>
              <w:t>Regional (Ghana, Kenya, Senegal, Tanzania, Zambia)</w:t>
            </w:r>
          </w:p>
        </w:tc>
        <w:tc>
          <w:tcPr>
            <w:tcW w:w="4410" w:type="dxa"/>
            <w:hideMark/>
          </w:tcPr>
          <w:p w14:paraId="51E5B4F5" w14:textId="7A5C679D" w:rsidR="00614034" w:rsidRPr="00F97952" w:rsidRDefault="00614034" w:rsidP="00BF4281">
            <w:pPr>
              <w:jc w:val="both"/>
              <w:rPr>
                <w:rFonts w:asciiTheme="minorHAnsi" w:hAnsiTheme="minorHAnsi" w:cstheme="minorHAnsi"/>
              </w:rPr>
            </w:pPr>
            <w:r w:rsidRPr="00F97952">
              <w:rPr>
                <w:rFonts w:asciiTheme="minorHAnsi" w:hAnsiTheme="minorHAnsi" w:cstheme="minorHAnsi"/>
              </w:rPr>
              <w:t xml:space="preserve">EHPMP - Environmental Health and Pollution Management Program </w:t>
            </w:r>
            <w:r w:rsidR="00C224F3" w:rsidRPr="00F97952">
              <w:rPr>
                <w:rFonts w:asciiTheme="minorHAnsi" w:hAnsiTheme="minorHAnsi" w:cstheme="minorHAnsi"/>
              </w:rPr>
              <w:t>in</w:t>
            </w:r>
            <w:r w:rsidRPr="00F97952">
              <w:rPr>
                <w:rFonts w:asciiTheme="minorHAnsi" w:hAnsiTheme="minorHAnsi" w:cstheme="minorHAnsi"/>
              </w:rPr>
              <w:t xml:space="preserve"> Africa</w:t>
            </w:r>
          </w:p>
        </w:tc>
        <w:tc>
          <w:tcPr>
            <w:tcW w:w="1620" w:type="dxa"/>
            <w:hideMark/>
          </w:tcPr>
          <w:p w14:paraId="745C05C6" w14:textId="77777777" w:rsidR="00614034" w:rsidRPr="00F97952" w:rsidRDefault="00614034" w:rsidP="00C224F3">
            <w:pPr>
              <w:jc w:val="right"/>
              <w:rPr>
                <w:rFonts w:asciiTheme="minorHAnsi" w:hAnsiTheme="minorHAnsi" w:cstheme="minorHAnsi"/>
              </w:rPr>
            </w:pPr>
            <w:r w:rsidRPr="00F97952">
              <w:rPr>
                <w:rFonts w:asciiTheme="minorHAnsi" w:hAnsiTheme="minorHAnsi" w:cstheme="minorHAnsi"/>
              </w:rPr>
              <w:t>13,486,239</w:t>
            </w:r>
          </w:p>
        </w:tc>
        <w:tc>
          <w:tcPr>
            <w:tcW w:w="1835" w:type="dxa"/>
            <w:hideMark/>
          </w:tcPr>
          <w:p w14:paraId="095676EB" w14:textId="77777777" w:rsidR="00614034" w:rsidRPr="00F97952" w:rsidRDefault="00614034" w:rsidP="00C224F3">
            <w:pPr>
              <w:jc w:val="right"/>
              <w:rPr>
                <w:rFonts w:asciiTheme="minorHAnsi" w:hAnsiTheme="minorHAnsi" w:cstheme="minorHAnsi"/>
              </w:rPr>
            </w:pPr>
            <w:r w:rsidRPr="00F97952">
              <w:rPr>
                <w:rFonts w:asciiTheme="minorHAnsi" w:hAnsiTheme="minorHAnsi" w:cstheme="minorHAnsi"/>
              </w:rPr>
              <w:t>98,600,000</w:t>
            </w:r>
          </w:p>
        </w:tc>
      </w:tr>
      <w:tr w:rsidR="004E15F5" w:rsidRPr="00F97952" w14:paraId="2FDF5BC8" w14:textId="77777777" w:rsidTr="00033F0E">
        <w:trPr>
          <w:trHeight w:val="371"/>
        </w:trPr>
        <w:tc>
          <w:tcPr>
            <w:tcW w:w="1435" w:type="dxa"/>
          </w:tcPr>
          <w:p w14:paraId="7F5DD3A1" w14:textId="46340CE3" w:rsidR="004E15F5" w:rsidRPr="00F97952" w:rsidRDefault="004E15F5" w:rsidP="00BF4281">
            <w:pPr>
              <w:jc w:val="both"/>
              <w:rPr>
                <w:rFonts w:asciiTheme="minorHAnsi" w:hAnsiTheme="minorHAnsi" w:cstheme="minorHAnsi"/>
                <w:b/>
              </w:rPr>
            </w:pPr>
            <w:r w:rsidRPr="00F97952">
              <w:rPr>
                <w:rFonts w:asciiTheme="minorHAnsi" w:hAnsiTheme="minorHAnsi" w:cstheme="minorHAnsi"/>
                <w:b/>
              </w:rPr>
              <w:t>TOTAL</w:t>
            </w:r>
          </w:p>
        </w:tc>
        <w:tc>
          <w:tcPr>
            <w:tcW w:w="3870" w:type="dxa"/>
          </w:tcPr>
          <w:p w14:paraId="4D8CCF7C" w14:textId="77777777" w:rsidR="004E15F5" w:rsidRPr="00F97952" w:rsidRDefault="004E15F5" w:rsidP="00BF4281">
            <w:pPr>
              <w:rPr>
                <w:rFonts w:asciiTheme="minorHAnsi" w:hAnsiTheme="minorHAnsi" w:cstheme="minorHAnsi"/>
                <w:b/>
              </w:rPr>
            </w:pPr>
          </w:p>
        </w:tc>
        <w:tc>
          <w:tcPr>
            <w:tcW w:w="4410" w:type="dxa"/>
          </w:tcPr>
          <w:p w14:paraId="2E009599" w14:textId="77777777" w:rsidR="004E15F5" w:rsidRPr="00F97952" w:rsidRDefault="004E15F5" w:rsidP="00BF4281">
            <w:pPr>
              <w:jc w:val="both"/>
              <w:rPr>
                <w:rFonts w:asciiTheme="minorHAnsi" w:hAnsiTheme="minorHAnsi" w:cstheme="minorHAnsi"/>
                <w:b/>
              </w:rPr>
            </w:pPr>
          </w:p>
        </w:tc>
        <w:tc>
          <w:tcPr>
            <w:tcW w:w="1620" w:type="dxa"/>
          </w:tcPr>
          <w:p w14:paraId="6777E858" w14:textId="6DEA3A7E" w:rsidR="004E15F5" w:rsidRPr="00F97952" w:rsidRDefault="004E15F5" w:rsidP="00512A26">
            <w:pPr>
              <w:jc w:val="right"/>
              <w:rPr>
                <w:rFonts w:asciiTheme="minorHAnsi" w:hAnsiTheme="minorHAnsi" w:cstheme="minorHAnsi"/>
                <w:b/>
              </w:rPr>
            </w:pPr>
            <w:r w:rsidRPr="00F97952">
              <w:rPr>
                <w:rFonts w:asciiTheme="minorHAnsi" w:hAnsiTheme="minorHAnsi" w:cstheme="minorHAnsi"/>
                <w:b/>
              </w:rPr>
              <w:fldChar w:fldCharType="begin"/>
            </w:r>
            <w:r w:rsidRPr="00F97952">
              <w:rPr>
                <w:rFonts w:asciiTheme="minorHAnsi" w:hAnsiTheme="minorHAnsi" w:cstheme="minorHAnsi"/>
                <w:b/>
              </w:rPr>
              <w:instrText xml:space="preserve"> =SUM(ABOVE) </w:instrText>
            </w:r>
            <w:r w:rsidRPr="00F97952">
              <w:rPr>
                <w:rFonts w:asciiTheme="minorHAnsi" w:hAnsiTheme="minorHAnsi" w:cstheme="minorHAnsi"/>
                <w:b/>
              </w:rPr>
              <w:fldChar w:fldCharType="separate"/>
            </w:r>
            <w:r w:rsidRPr="00F97952">
              <w:rPr>
                <w:rFonts w:asciiTheme="minorHAnsi" w:hAnsiTheme="minorHAnsi" w:cstheme="minorHAnsi"/>
                <w:b/>
                <w:noProof/>
              </w:rPr>
              <w:t>58,748,533</w:t>
            </w:r>
            <w:r w:rsidRPr="00F97952">
              <w:rPr>
                <w:rFonts w:asciiTheme="minorHAnsi" w:hAnsiTheme="minorHAnsi" w:cstheme="minorHAnsi"/>
                <w:b/>
              </w:rPr>
              <w:fldChar w:fldCharType="end"/>
            </w:r>
          </w:p>
        </w:tc>
        <w:tc>
          <w:tcPr>
            <w:tcW w:w="1835" w:type="dxa"/>
          </w:tcPr>
          <w:p w14:paraId="7E196908" w14:textId="15090F8A" w:rsidR="004E15F5" w:rsidRPr="00F97952" w:rsidRDefault="004E15F5" w:rsidP="00C224F3">
            <w:pPr>
              <w:jc w:val="right"/>
              <w:rPr>
                <w:rFonts w:asciiTheme="minorHAnsi" w:hAnsiTheme="minorHAnsi" w:cstheme="minorHAnsi"/>
                <w:b/>
              </w:rPr>
            </w:pPr>
            <w:r w:rsidRPr="00F97952">
              <w:rPr>
                <w:rFonts w:asciiTheme="minorHAnsi" w:hAnsiTheme="minorHAnsi" w:cstheme="minorHAnsi"/>
                <w:b/>
              </w:rPr>
              <w:fldChar w:fldCharType="begin"/>
            </w:r>
            <w:r w:rsidRPr="00F97952">
              <w:rPr>
                <w:rFonts w:asciiTheme="minorHAnsi" w:hAnsiTheme="minorHAnsi" w:cstheme="minorHAnsi"/>
                <w:b/>
              </w:rPr>
              <w:instrText xml:space="preserve"> =SUM(ABOVE) </w:instrText>
            </w:r>
            <w:r w:rsidRPr="00F97952">
              <w:rPr>
                <w:rFonts w:asciiTheme="minorHAnsi" w:hAnsiTheme="minorHAnsi" w:cstheme="minorHAnsi"/>
                <w:b/>
              </w:rPr>
              <w:fldChar w:fldCharType="separate"/>
            </w:r>
            <w:r w:rsidRPr="00F97952">
              <w:rPr>
                <w:rFonts w:asciiTheme="minorHAnsi" w:hAnsiTheme="minorHAnsi" w:cstheme="minorHAnsi"/>
                <w:b/>
                <w:noProof/>
              </w:rPr>
              <w:t>233,774,956</w:t>
            </w:r>
            <w:r w:rsidRPr="00F97952">
              <w:rPr>
                <w:rFonts w:asciiTheme="minorHAnsi" w:hAnsiTheme="minorHAnsi" w:cstheme="minorHAnsi"/>
                <w:b/>
              </w:rPr>
              <w:fldChar w:fldCharType="end"/>
            </w:r>
          </w:p>
        </w:tc>
      </w:tr>
    </w:tbl>
    <w:p w14:paraId="7FB7A595" w14:textId="0A751F6F" w:rsidR="00614034" w:rsidRPr="00F97952" w:rsidRDefault="00614034" w:rsidP="00BF4281">
      <w:pPr>
        <w:jc w:val="both"/>
        <w:rPr>
          <w:rFonts w:asciiTheme="minorHAnsi" w:hAnsiTheme="minorHAnsi" w:cstheme="minorHAnsi"/>
        </w:rPr>
      </w:pPr>
    </w:p>
    <w:p w14:paraId="4A439ECB" w14:textId="2176AA7E" w:rsidR="001C20EA" w:rsidRPr="00F97952" w:rsidRDefault="00D87B16" w:rsidP="002231A2">
      <w:pPr>
        <w:pStyle w:val="Lgende"/>
        <w:jc w:val="center"/>
        <w:rPr>
          <w:color w:val="000000" w:themeColor="text1"/>
          <w:sz w:val="24"/>
          <w:szCs w:val="24"/>
        </w:rPr>
      </w:pPr>
      <w:bookmarkStart w:id="75" w:name="_Toc528774335"/>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9</w:t>
      </w:r>
      <w:r w:rsidRPr="00F97952">
        <w:rPr>
          <w:color w:val="000000" w:themeColor="text1"/>
          <w:sz w:val="24"/>
          <w:szCs w:val="24"/>
        </w:rPr>
        <w:fldChar w:fldCharType="end"/>
      </w:r>
      <w:r w:rsidRPr="00F97952">
        <w:rPr>
          <w:color w:val="000000" w:themeColor="text1"/>
          <w:sz w:val="24"/>
          <w:szCs w:val="24"/>
        </w:rPr>
        <w:t xml:space="preserve">: </w:t>
      </w:r>
      <w:r w:rsidR="001C20EA" w:rsidRPr="00F97952">
        <w:rPr>
          <w:color w:val="000000" w:themeColor="text1"/>
          <w:sz w:val="24"/>
          <w:szCs w:val="24"/>
        </w:rPr>
        <w:t xml:space="preserve">Multi </w:t>
      </w:r>
      <w:r w:rsidR="00AF0D88" w:rsidRPr="00F97952">
        <w:rPr>
          <w:color w:val="000000" w:themeColor="text1"/>
          <w:sz w:val="24"/>
          <w:szCs w:val="24"/>
        </w:rPr>
        <w:t>Focal Area Programs</w:t>
      </w:r>
      <w:bookmarkEnd w:id="75"/>
    </w:p>
    <w:tbl>
      <w:tblPr>
        <w:tblStyle w:val="Grilledutableau"/>
        <w:tblW w:w="0" w:type="auto"/>
        <w:tblLook w:val="04A0" w:firstRow="1" w:lastRow="0" w:firstColumn="1" w:lastColumn="0" w:noHBand="0" w:noVBand="1"/>
      </w:tblPr>
      <w:tblGrid>
        <w:gridCol w:w="1435"/>
        <w:gridCol w:w="3870"/>
        <w:gridCol w:w="4410"/>
        <w:gridCol w:w="1620"/>
        <w:gridCol w:w="1835"/>
      </w:tblGrid>
      <w:tr w:rsidR="005F63FE" w:rsidRPr="00F97952" w14:paraId="4E55D3A7" w14:textId="77777777" w:rsidTr="00033F0E">
        <w:trPr>
          <w:trHeight w:val="389"/>
          <w:tblHeader/>
        </w:trPr>
        <w:tc>
          <w:tcPr>
            <w:tcW w:w="1435" w:type="dxa"/>
            <w:hideMark/>
          </w:tcPr>
          <w:p w14:paraId="0A00E34C" w14:textId="77777777" w:rsidR="005F63FE" w:rsidRPr="00F97952" w:rsidRDefault="005F63FE" w:rsidP="00C224F3">
            <w:pPr>
              <w:jc w:val="center"/>
              <w:rPr>
                <w:rFonts w:asciiTheme="minorHAnsi" w:hAnsiTheme="minorHAnsi" w:cstheme="minorHAnsi"/>
                <w:b/>
              </w:rPr>
            </w:pPr>
            <w:r w:rsidRPr="00F97952">
              <w:rPr>
                <w:rFonts w:asciiTheme="minorHAnsi" w:hAnsiTheme="minorHAnsi" w:cstheme="minorHAnsi"/>
                <w:b/>
              </w:rPr>
              <w:t>Agency</w:t>
            </w:r>
          </w:p>
        </w:tc>
        <w:tc>
          <w:tcPr>
            <w:tcW w:w="3870" w:type="dxa"/>
            <w:hideMark/>
          </w:tcPr>
          <w:p w14:paraId="5F1C9461" w14:textId="77777777" w:rsidR="005F63FE" w:rsidRPr="00F97952" w:rsidRDefault="005F63FE" w:rsidP="00C224F3">
            <w:pPr>
              <w:jc w:val="center"/>
              <w:rPr>
                <w:rFonts w:asciiTheme="minorHAnsi" w:hAnsiTheme="minorHAnsi" w:cstheme="minorHAnsi"/>
                <w:b/>
              </w:rPr>
            </w:pPr>
            <w:r w:rsidRPr="00F97952">
              <w:rPr>
                <w:rFonts w:asciiTheme="minorHAnsi" w:hAnsiTheme="minorHAnsi" w:cstheme="minorHAnsi"/>
                <w:b/>
              </w:rPr>
              <w:t>Country</w:t>
            </w:r>
          </w:p>
        </w:tc>
        <w:tc>
          <w:tcPr>
            <w:tcW w:w="4410" w:type="dxa"/>
            <w:hideMark/>
          </w:tcPr>
          <w:p w14:paraId="667528CC" w14:textId="77777777" w:rsidR="005F63FE" w:rsidRPr="00F97952" w:rsidRDefault="005F63FE" w:rsidP="00C224F3">
            <w:pPr>
              <w:jc w:val="center"/>
              <w:rPr>
                <w:rFonts w:asciiTheme="minorHAnsi" w:hAnsiTheme="minorHAnsi" w:cstheme="minorHAnsi"/>
                <w:b/>
              </w:rPr>
            </w:pPr>
            <w:r w:rsidRPr="00F97952">
              <w:rPr>
                <w:rFonts w:asciiTheme="minorHAnsi" w:hAnsiTheme="minorHAnsi" w:cstheme="minorHAnsi"/>
                <w:b/>
              </w:rPr>
              <w:t>Title</w:t>
            </w:r>
          </w:p>
        </w:tc>
        <w:tc>
          <w:tcPr>
            <w:tcW w:w="1620" w:type="dxa"/>
            <w:hideMark/>
          </w:tcPr>
          <w:p w14:paraId="37AB18F7" w14:textId="77777777" w:rsidR="005F63FE" w:rsidRPr="00F97952" w:rsidRDefault="005F63FE" w:rsidP="00C224F3">
            <w:pPr>
              <w:jc w:val="center"/>
              <w:rPr>
                <w:rFonts w:asciiTheme="minorHAnsi" w:hAnsiTheme="minorHAnsi" w:cstheme="minorHAnsi"/>
                <w:b/>
              </w:rPr>
            </w:pPr>
            <w:r w:rsidRPr="00F97952">
              <w:rPr>
                <w:rFonts w:asciiTheme="minorHAnsi" w:hAnsiTheme="minorHAnsi" w:cstheme="minorHAnsi"/>
                <w:b/>
              </w:rPr>
              <w:t>GEF Grant ($)</w:t>
            </w:r>
          </w:p>
        </w:tc>
        <w:tc>
          <w:tcPr>
            <w:tcW w:w="1835" w:type="dxa"/>
            <w:hideMark/>
          </w:tcPr>
          <w:p w14:paraId="39E98310" w14:textId="77777777" w:rsidR="005F63FE" w:rsidRPr="00F97952" w:rsidRDefault="005F63FE" w:rsidP="00C224F3">
            <w:pPr>
              <w:jc w:val="center"/>
              <w:rPr>
                <w:rFonts w:asciiTheme="minorHAnsi" w:hAnsiTheme="minorHAnsi" w:cstheme="minorHAnsi"/>
                <w:b/>
              </w:rPr>
            </w:pPr>
            <w:r w:rsidRPr="00F97952">
              <w:rPr>
                <w:rFonts w:asciiTheme="minorHAnsi" w:hAnsiTheme="minorHAnsi" w:cstheme="minorHAnsi"/>
                <w:b/>
              </w:rPr>
              <w:t>Co-financing ($)</w:t>
            </w:r>
          </w:p>
        </w:tc>
      </w:tr>
      <w:tr w:rsidR="005F63FE" w:rsidRPr="00F97952" w14:paraId="398FEF8C" w14:textId="77777777" w:rsidTr="00033F0E">
        <w:trPr>
          <w:trHeight w:val="812"/>
        </w:trPr>
        <w:tc>
          <w:tcPr>
            <w:tcW w:w="1435" w:type="dxa"/>
            <w:hideMark/>
          </w:tcPr>
          <w:p w14:paraId="4777EAFB" w14:textId="77777777" w:rsidR="005F63FE" w:rsidRPr="00F97952" w:rsidRDefault="005F63FE" w:rsidP="001C20EA">
            <w:pPr>
              <w:jc w:val="both"/>
              <w:rPr>
                <w:rFonts w:asciiTheme="minorHAnsi" w:hAnsiTheme="minorHAnsi" w:cstheme="minorHAnsi"/>
              </w:rPr>
            </w:pPr>
            <w:r w:rsidRPr="00F97952">
              <w:rPr>
                <w:rFonts w:asciiTheme="minorHAnsi" w:hAnsiTheme="minorHAnsi" w:cstheme="minorHAnsi"/>
              </w:rPr>
              <w:t>UNEP</w:t>
            </w:r>
          </w:p>
        </w:tc>
        <w:tc>
          <w:tcPr>
            <w:tcW w:w="3870" w:type="dxa"/>
            <w:hideMark/>
          </w:tcPr>
          <w:p w14:paraId="5E7E6B9C" w14:textId="3D107905" w:rsidR="005F63FE" w:rsidRPr="00F97952" w:rsidRDefault="005F63FE" w:rsidP="001C20EA">
            <w:pPr>
              <w:rPr>
                <w:rFonts w:asciiTheme="minorHAnsi" w:hAnsiTheme="minorHAnsi" w:cstheme="minorHAnsi"/>
              </w:rPr>
            </w:pPr>
            <w:r w:rsidRPr="00F97952">
              <w:rPr>
                <w:rFonts w:asciiTheme="minorHAnsi" w:hAnsiTheme="minorHAnsi" w:cstheme="minorHAnsi"/>
              </w:rPr>
              <w:t>Regional (Albania, Bosnia-Herzegovina, Egypt, Lebanon, Libya, Morocco, Montenegro, Tunisia)</w:t>
            </w:r>
          </w:p>
        </w:tc>
        <w:tc>
          <w:tcPr>
            <w:tcW w:w="4410" w:type="dxa"/>
            <w:hideMark/>
          </w:tcPr>
          <w:p w14:paraId="32F32401" w14:textId="77777777" w:rsidR="005F63FE" w:rsidRPr="00F97952" w:rsidRDefault="005F63FE" w:rsidP="001C20EA">
            <w:pPr>
              <w:rPr>
                <w:rFonts w:asciiTheme="minorHAnsi" w:hAnsiTheme="minorHAnsi" w:cstheme="minorHAnsi"/>
              </w:rPr>
            </w:pPr>
            <w:r w:rsidRPr="00F97952">
              <w:rPr>
                <w:rFonts w:asciiTheme="minorHAnsi" w:hAnsiTheme="minorHAnsi" w:cstheme="minorHAnsi"/>
              </w:rPr>
              <w:t xml:space="preserve">Mediterranean Sea </w:t>
            </w:r>
            <w:proofErr w:type="spellStart"/>
            <w:r w:rsidRPr="00F97952">
              <w:rPr>
                <w:rFonts w:asciiTheme="minorHAnsi" w:hAnsiTheme="minorHAnsi" w:cstheme="minorHAnsi"/>
              </w:rPr>
              <w:t>Programme</w:t>
            </w:r>
            <w:proofErr w:type="spellEnd"/>
            <w:r w:rsidRPr="00F97952">
              <w:rPr>
                <w:rFonts w:asciiTheme="minorHAnsi" w:hAnsiTheme="minorHAnsi" w:cstheme="minorHAnsi"/>
              </w:rPr>
              <w:t xml:space="preserve"> (</w:t>
            </w:r>
            <w:proofErr w:type="spellStart"/>
            <w:r w:rsidRPr="00F97952">
              <w:rPr>
                <w:rFonts w:asciiTheme="minorHAnsi" w:hAnsiTheme="minorHAnsi" w:cstheme="minorHAnsi"/>
              </w:rPr>
              <w:t>MedProgramme</w:t>
            </w:r>
            <w:proofErr w:type="spellEnd"/>
            <w:r w:rsidRPr="00F97952">
              <w:rPr>
                <w:rFonts w:asciiTheme="minorHAnsi" w:hAnsiTheme="minorHAnsi" w:cstheme="minorHAnsi"/>
              </w:rPr>
              <w:t>): Enhancing Environmental Security</w:t>
            </w:r>
          </w:p>
        </w:tc>
        <w:tc>
          <w:tcPr>
            <w:tcW w:w="1620" w:type="dxa"/>
            <w:hideMark/>
          </w:tcPr>
          <w:p w14:paraId="34B8F628" w14:textId="77777777" w:rsidR="005F63FE" w:rsidRPr="00F97952" w:rsidRDefault="005F63FE" w:rsidP="00C224F3">
            <w:pPr>
              <w:jc w:val="right"/>
              <w:rPr>
                <w:rFonts w:asciiTheme="minorHAnsi" w:hAnsiTheme="minorHAnsi" w:cstheme="minorHAnsi"/>
              </w:rPr>
            </w:pPr>
            <w:r w:rsidRPr="00F97952">
              <w:rPr>
                <w:rFonts w:asciiTheme="minorHAnsi" w:hAnsiTheme="minorHAnsi" w:cstheme="minorHAnsi"/>
              </w:rPr>
              <w:t>5,250,000</w:t>
            </w:r>
          </w:p>
        </w:tc>
        <w:tc>
          <w:tcPr>
            <w:tcW w:w="1835" w:type="dxa"/>
            <w:hideMark/>
          </w:tcPr>
          <w:p w14:paraId="36C8346C" w14:textId="77777777" w:rsidR="005F63FE" w:rsidRPr="00F97952" w:rsidRDefault="005F63FE" w:rsidP="00C224F3">
            <w:pPr>
              <w:jc w:val="right"/>
              <w:rPr>
                <w:rFonts w:asciiTheme="minorHAnsi" w:hAnsiTheme="minorHAnsi" w:cstheme="minorHAnsi"/>
              </w:rPr>
            </w:pPr>
            <w:r w:rsidRPr="00F97952">
              <w:rPr>
                <w:rFonts w:asciiTheme="minorHAnsi" w:hAnsiTheme="minorHAnsi" w:cstheme="minorHAnsi"/>
              </w:rPr>
              <w:t>20,500,000</w:t>
            </w:r>
          </w:p>
        </w:tc>
      </w:tr>
    </w:tbl>
    <w:p w14:paraId="73DEA07E" w14:textId="4DD2E118" w:rsidR="00C224F3" w:rsidRPr="00F97952" w:rsidRDefault="00C224F3">
      <w:pPr>
        <w:widowControl w:val="0"/>
        <w:autoSpaceDE w:val="0"/>
        <w:autoSpaceDN w:val="0"/>
        <w:rPr>
          <w:rFonts w:asciiTheme="minorHAnsi" w:eastAsiaTheme="majorEastAsia" w:hAnsiTheme="minorHAnsi"/>
          <w:b/>
          <w:bCs/>
          <w:smallCaps/>
        </w:rPr>
      </w:pPr>
    </w:p>
    <w:p w14:paraId="5DDAF4C2" w14:textId="3BFF793A" w:rsidR="004B72D4" w:rsidRPr="00F97952" w:rsidRDefault="004B72D4" w:rsidP="00D87B16">
      <w:pPr>
        <w:pStyle w:val="Titre2"/>
        <w:rPr>
          <w:rFonts w:asciiTheme="minorHAnsi" w:hAnsiTheme="minorHAnsi"/>
        </w:rPr>
      </w:pPr>
      <w:bookmarkStart w:id="76" w:name="_Toc528774366"/>
      <w:r w:rsidRPr="00F97952">
        <w:rPr>
          <w:rFonts w:asciiTheme="minorHAnsi" w:hAnsiTheme="minorHAnsi"/>
        </w:rPr>
        <w:t>Full</w:t>
      </w:r>
      <w:r w:rsidR="009E35CC" w:rsidRPr="00F97952">
        <w:rPr>
          <w:rFonts w:asciiTheme="minorHAnsi" w:hAnsiTheme="minorHAnsi"/>
        </w:rPr>
        <w:t>-</w:t>
      </w:r>
      <w:r w:rsidRPr="00F97952">
        <w:rPr>
          <w:rFonts w:asciiTheme="minorHAnsi" w:hAnsiTheme="minorHAnsi"/>
        </w:rPr>
        <w:t>Sized Projects</w:t>
      </w:r>
      <w:bookmarkEnd w:id="76"/>
    </w:p>
    <w:p w14:paraId="16E03641" w14:textId="5054CF31" w:rsidR="004B72D4" w:rsidRPr="00F97952" w:rsidRDefault="00D87B16" w:rsidP="002231A2">
      <w:pPr>
        <w:pStyle w:val="Lgende"/>
        <w:jc w:val="center"/>
        <w:rPr>
          <w:color w:val="000000" w:themeColor="text1"/>
          <w:sz w:val="24"/>
          <w:szCs w:val="24"/>
        </w:rPr>
      </w:pPr>
      <w:bookmarkStart w:id="77" w:name="_Toc528774336"/>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10</w:t>
      </w:r>
      <w:r w:rsidRPr="00F97952">
        <w:rPr>
          <w:color w:val="000000" w:themeColor="text1"/>
          <w:sz w:val="24"/>
          <w:szCs w:val="24"/>
        </w:rPr>
        <w:fldChar w:fldCharType="end"/>
      </w:r>
      <w:r w:rsidRPr="00F97952">
        <w:rPr>
          <w:color w:val="000000" w:themeColor="text1"/>
          <w:sz w:val="24"/>
          <w:szCs w:val="24"/>
        </w:rPr>
        <w:t xml:space="preserve">: </w:t>
      </w:r>
      <w:r w:rsidR="004B72D4" w:rsidRPr="00F97952">
        <w:rPr>
          <w:color w:val="000000" w:themeColor="text1"/>
          <w:sz w:val="24"/>
          <w:szCs w:val="24"/>
        </w:rPr>
        <w:t xml:space="preserve">Single </w:t>
      </w:r>
      <w:r w:rsidR="00AF0D88" w:rsidRPr="00F97952">
        <w:rPr>
          <w:color w:val="000000" w:themeColor="text1"/>
          <w:sz w:val="24"/>
          <w:szCs w:val="24"/>
        </w:rPr>
        <w:t xml:space="preserve">Focal Area </w:t>
      </w:r>
      <w:r w:rsidR="004B72D4" w:rsidRPr="00F97952">
        <w:rPr>
          <w:color w:val="000000" w:themeColor="text1"/>
          <w:sz w:val="24"/>
          <w:szCs w:val="24"/>
        </w:rPr>
        <w:t>F</w:t>
      </w:r>
      <w:r w:rsidR="00732426" w:rsidRPr="00F97952">
        <w:rPr>
          <w:color w:val="000000" w:themeColor="text1"/>
          <w:sz w:val="24"/>
          <w:szCs w:val="24"/>
        </w:rPr>
        <w:t>ull-Sized Projects</w:t>
      </w:r>
      <w:bookmarkEnd w:id="77"/>
    </w:p>
    <w:tbl>
      <w:tblPr>
        <w:tblStyle w:val="Grilledutableau"/>
        <w:tblW w:w="0" w:type="auto"/>
        <w:tblLook w:val="04A0" w:firstRow="1" w:lastRow="0" w:firstColumn="1" w:lastColumn="0" w:noHBand="0" w:noVBand="1"/>
      </w:tblPr>
      <w:tblGrid>
        <w:gridCol w:w="1435"/>
        <w:gridCol w:w="3870"/>
        <w:gridCol w:w="4410"/>
        <w:gridCol w:w="1620"/>
        <w:gridCol w:w="1835"/>
      </w:tblGrid>
      <w:tr w:rsidR="001C20EA" w:rsidRPr="00F97952" w14:paraId="0A68ACA1" w14:textId="77777777" w:rsidTr="00033F0E">
        <w:trPr>
          <w:trHeight w:val="326"/>
          <w:tblHeader/>
        </w:trPr>
        <w:tc>
          <w:tcPr>
            <w:tcW w:w="1435" w:type="dxa"/>
            <w:hideMark/>
          </w:tcPr>
          <w:p w14:paraId="39C47A1F"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Agency</w:t>
            </w:r>
          </w:p>
        </w:tc>
        <w:tc>
          <w:tcPr>
            <w:tcW w:w="3870" w:type="dxa"/>
            <w:hideMark/>
          </w:tcPr>
          <w:p w14:paraId="418DDA64"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Country</w:t>
            </w:r>
          </w:p>
        </w:tc>
        <w:tc>
          <w:tcPr>
            <w:tcW w:w="4410" w:type="dxa"/>
            <w:hideMark/>
          </w:tcPr>
          <w:p w14:paraId="7A001414"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Title</w:t>
            </w:r>
          </w:p>
        </w:tc>
        <w:tc>
          <w:tcPr>
            <w:tcW w:w="1620" w:type="dxa"/>
            <w:hideMark/>
          </w:tcPr>
          <w:p w14:paraId="700F36BA"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GEF Grant ($)</w:t>
            </w:r>
          </w:p>
        </w:tc>
        <w:tc>
          <w:tcPr>
            <w:tcW w:w="1835" w:type="dxa"/>
            <w:hideMark/>
          </w:tcPr>
          <w:p w14:paraId="12B37A54"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Co-financing ($)</w:t>
            </w:r>
          </w:p>
        </w:tc>
      </w:tr>
      <w:tr w:rsidR="001C20EA" w:rsidRPr="00F97952" w14:paraId="6109968A" w14:textId="77777777" w:rsidTr="00033F0E">
        <w:trPr>
          <w:trHeight w:val="623"/>
        </w:trPr>
        <w:tc>
          <w:tcPr>
            <w:tcW w:w="1435" w:type="dxa"/>
            <w:hideMark/>
          </w:tcPr>
          <w:p w14:paraId="6CB3543C"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UNIDO</w:t>
            </w:r>
          </w:p>
        </w:tc>
        <w:tc>
          <w:tcPr>
            <w:tcW w:w="3870" w:type="dxa"/>
            <w:hideMark/>
          </w:tcPr>
          <w:p w14:paraId="36B36108"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China</w:t>
            </w:r>
          </w:p>
        </w:tc>
        <w:tc>
          <w:tcPr>
            <w:tcW w:w="4410" w:type="dxa"/>
            <w:hideMark/>
          </w:tcPr>
          <w:p w14:paraId="1A9E44A7"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Demonstration of Mercury Reduction and Minimization in the Production of Vinyl Chloride Monomer</w:t>
            </w:r>
          </w:p>
        </w:tc>
        <w:tc>
          <w:tcPr>
            <w:tcW w:w="1620" w:type="dxa"/>
            <w:hideMark/>
          </w:tcPr>
          <w:p w14:paraId="44BC7EDA"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16,200,000</w:t>
            </w:r>
          </w:p>
        </w:tc>
        <w:tc>
          <w:tcPr>
            <w:tcW w:w="1835" w:type="dxa"/>
            <w:hideMark/>
          </w:tcPr>
          <w:p w14:paraId="0E5B5647"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99,000,000</w:t>
            </w:r>
          </w:p>
        </w:tc>
      </w:tr>
      <w:tr w:rsidR="001C20EA" w:rsidRPr="00F97952" w14:paraId="24446E9D" w14:textId="77777777" w:rsidTr="00033F0E">
        <w:trPr>
          <w:trHeight w:val="623"/>
        </w:trPr>
        <w:tc>
          <w:tcPr>
            <w:tcW w:w="1435" w:type="dxa"/>
            <w:hideMark/>
          </w:tcPr>
          <w:p w14:paraId="47E1278A"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World Bank</w:t>
            </w:r>
          </w:p>
        </w:tc>
        <w:tc>
          <w:tcPr>
            <w:tcW w:w="3870" w:type="dxa"/>
            <w:hideMark/>
          </w:tcPr>
          <w:p w14:paraId="23B6B931"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China</w:t>
            </w:r>
          </w:p>
        </w:tc>
        <w:tc>
          <w:tcPr>
            <w:tcW w:w="4410" w:type="dxa"/>
            <w:hideMark/>
          </w:tcPr>
          <w:p w14:paraId="33EB6165"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Capacity Strengthening for Implementation of Minamata Convention on Mercury</w:t>
            </w:r>
          </w:p>
        </w:tc>
        <w:tc>
          <w:tcPr>
            <w:tcW w:w="1620" w:type="dxa"/>
            <w:hideMark/>
          </w:tcPr>
          <w:p w14:paraId="68043C4D"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8,000,000</w:t>
            </w:r>
          </w:p>
        </w:tc>
        <w:tc>
          <w:tcPr>
            <w:tcW w:w="1835" w:type="dxa"/>
            <w:hideMark/>
          </w:tcPr>
          <w:p w14:paraId="058A434C"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8,000,000</w:t>
            </w:r>
          </w:p>
        </w:tc>
      </w:tr>
      <w:tr w:rsidR="001C20EA" w:rsidRPr="00F97952" w14:paraId="66F2E979" w14:textId="77777777" w:rsidTr="00033F0E">
        <w:trPr>
          <w:trHeight w:val="623"/>
        </w:trPr>
        <w:tc>
          <w:tcPr>
            <w:tcW w:w="1435" w:type="dxa"/>
            <w:hideMark/>
          </w:tcPr>
          <w:p w14:paraId="705432C2"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UNDP</w:t>
            </w:r>
          </w:p>
        </w:tc>
        <w:tc>
          <w:tcPr>
            <w:tcW w:w="3870" w:type="dxa"/>
            <w:hideMark/>
          </w:tcPr>
          <w:p w14:paraId="692C1F61"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Colombia</w:t>
            </w:r>
          </w:p>
        </w:tc>
        <w:tc>
          <w:tcPr>
            <w:tcW w:w="4410" w:type="dxa"/>
            <w:hideMark/>
          </w:tcPr>
          <w:p w14:paraId="5CBCC373"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Reducing UPOPs and Mercury Releases from Healthcare Waste Management, e-Waste Treatment, Scrap Processing and Biomass Burning</w:t>
            </w:r>
          </w:p>
        </w:tc>
        <w:tc>
          <w:tcPr>
            <w:tcW w:w="1620" w:type="dxa"/>
            <w:hideMark/>
          </w:tcPr>
          <w:p w14:paraId="50A2EC3E"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686,000</w:t>
            </w:r>
          </w:p>
        </w:tc>
        <w:tc>
          <w:tcPr>
            <w:tcW w:w="1835" w:type="dxa"/>
            <w:hideMark/>
          </w:tcPr>
          <w:p w14:paraId="154DDBB8"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1,000,000</w:t>
            </w:r>
          </w:p>
        </w:tc>
      </w:tr>
      <w:tr w:rsidR="001C20EA" w:rsidRPr="00F97952" w14:paraId="074466CE" w14:textId="77777777" w:rsidTr="00033F0E">
        <w:trPr>
          <w:trHeight w:val="623"/>
        </w:trPr>
        <w:tc>
          <w:tcPr>
            <w:tcW w:w="1435" w:type="dxa"/>
            <w:hideMark/>
          </w:tcPr>
          <w:p w14:paraId="0FF3B9AD"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lastRenderedPageBreak/>
              <w:t>UNDP</w:t>
            </w:r>
          </w:p>
        </w:tc>
        <w:tc>
          <w:tcPr>
            <w:tcW w:w="3870" w:type="dxa"/>
            <w:hideMark/>
          </w:tcPr>
          <w:p w14:paraId="1426D8D9" w14:textId="77777777" w:rsidR="001C20EA" w:rsidRPr="00F97952" w:rsidRDefault="001C20EA" w:rsidP="001C20EA">
            <w:pPr>
              <w:rPr>
                <w:rFonts w:asciiTheme="minorHAnsi" w:hAnsiTheme="minorHAnsi" w:cstheme="minorHAnsi"/>
              </w:rPr>
            </w:pPr>
            <w:r w:rsidRPr="00F97952">
              <w:rPr>
                <w:rFonts w:asciiTheme="minorHAnsi" w:hAnsiTheme="minorHAnsi" w:cstheme="minorHAnsi"/>
              </w:rPr>
              <w:t>Ecuador</w:t>
            </w:r>
          </w:p>
        </w:tc>
        <w:tc>
          <w:tcPr>
            <w:tcW w:w="4410" w:type="dxa"/>
            <w:hideMark/>
          </w:tcPr>
          <w:p w14:paraId="3159BCBF" w14:textId="77777777" w:rsidR="001C20EA" w:rsidRPr="00F97952" w:rsidRDefault="001C20EA" w:rsidP="001C20EA">
            <w:pPr>
              <w:jc w:val="both"/>
              <w:rPr>
                <w:rFonts w:asciiTheme="minorHAnsi" w:hAnsiTheme="minorHAnsi" w:cstheme="minorHAnsi"/>
              </w:rPr>
            </w:pPr>
            <w:r w:rsidRPr="00F97952">
              <w:rPr>
                <w:rFonts w:asciiTheme="minorHAnsi" w:hAnsiTheme="minorHAnsi" w:cstheme="minorHAnsi"/>
              </w:rPr>
              <w:t>National Program for the Environmental Sound Management and Live Cycle Management of Chemical Substances</w:t>
            </w:r>
          </w:p>
        </w:tc>
        <w:tc>
          <w:tcPr>
            <w:tcW w:w="1620" w:type="dxa"/>
            <w:hideMark/>
          </w:tcPr>
          <w:p w14:paraId="2294C13F" w14:textId="11DCE105" w:rsidR="007F6D27" w:rsidRPr="00F97952" w:rsidRDefault="007F6D27" w:rsidP="007F6D27">
            <w:pPr>
              <w:jc w:val="right"/>
              <w:rPr>
                <w:rFonts w:asciiTheme="minorHAnsi" w:hAnsiTheme="minorHAnsi" w:cstheme="minorHAnsi"/>
              </w:rPr>
            </w:pPr>
            <w:r w:rsidRPr="00F97952">
              <w:rPr>
                <w:rFonts w:asciiTheme="minorHAnsi" w:hAnsiTheme="minorHAnsi" w:cstheme="minorHAnsi"/>
              </w:rPr>
              <w:t xml:space="preserve">3,795,000 </w:t>
            </w:r>
          </w:p>
          <w:p w14:paraId="5AAAC2E7" w14:textId="67C938E8" w:rsidR="001C20EA" w:rsidRPr="00F97952" w:rsidRDefault="001C20EA" w:rsidP="00C224F3">
            <w:pPr>
              <w:jc w:val="right"/>
              <w:rPr>
                <w:rFonts w:asciiTheme="minorHAnsi" w:hAnsiTheme="minorHAnsi" w:cstheme="minorHAnsi"/>
              </w:rPr>
            </w:pPr>
          </w:p>
        </w:tc>
        <w:tc>
          <w:tcPr>
            <w:tcW w:w="1835" w:type="dxa"/>
            <w:hideMark/>
          </w:tcPr>
          <w:p w14:paraId="6403F7C0" w14:textId="77777777" w:rsidR="001C20EA" w:rsidRPr="00F97952" w:rsidRDefault="001C20EA" w:rsidP="00C224F3">
            <w:pPr>
              <w:jc w:val="right"/>
              <w:rPr>
                <w:rFonts w:asciiTheme="minorHAnsi" w:hAnsiTheme="minorHAnsi" w:cstheme="minorHAnsi"/>
              </w:rPr>
            </w:pPr>
            <w:r w:rsidRPr="00F97952">
              <w:rPr>
                <w:rFonts w:asciiTheme="minorHAnsi" w:hAnsiTheme="minorHAnsi" w:cstheme="minorHAnsi"/>
              </w:rPr>
              <w:t>15,131,702</w:t>
            </w:r>
          </w:p>
        </w:tc>
      </w:tr>
      <w:tr w:rsidR="001C20EA" w:rsidRPr="00F97952" w14:paraId="2F4558EF" w14:textId="77777777" w:rsidTr="00033F0E">
        <w:trPr>
          <w:trHeight w:val="704"/>
        </w:trPr>
        <w:tc>
          <w:tcPr>
            <w:tcW w:w="1435" w:type="dxa"/>
          </w:tcPr>
          <w:p w14:paraId="22A4AB25" w14:textId="77777777" w:rsidR="001C20EA" w:rsidRPr="00F97952" w:rsidRDefault="001C20EA" w:rsidP="001C20EA">
            <w:pPr>
              <w:jc w:val="both"/>
              <w:rPr>
                <w:rFonts w:asciiTheme="minorHAnsi" w:hAnsiTheme="minorHAnsi" w:cstheme="minorHAnsi"/>
              </w:rPr>
            </w:pPr>
            <w:r w:rsidRPr="00F97952">
              <w:rPr>
                <w:rFonts w:asciiTheme="minorHAnsi" w:hAnsiTheme="minorHAnsi" w:cs="Calibri"/>
                <w:color w:val="000000"/>
              </w:rPr>
              <w:t>BOAD</w:t>
            </w:r>
          </w:p>
        </w:tc>
        <w:tc>
          <w:tcPr>
            <w:tcW w:w="3870" w:type="dxa"/>
          </w:tcPr>
          <w:p w14:paraId="224673B9" w14:textId="77777777" w:rsidR="001C20EA" w:rsidRPr="00F97952" w:rsidRDefault="001C20EA" w:rsidP="001C20EA">
            <w:pPr>
              <w:rPr>
                <w:rFonts w:asciiTheme="minorHAnsi" w:hAnsiTheme="minorHAnsi" w:cstheme="minorHAnsi"/>
              </w:rPr>
            </w:pPr>
            <w:r w:rsidRPr="00F97952">
              <w:rPr>
                <w:rFonts w:asciiTheme="minorHAnsi" w:hAnsiTheme="minorHAnsi" w:cs="Calibri"/>
                <w:color w:val="000000"/>
              </w:rPr>
              <w:t>Regional (Burkina Faso, Benin, Mali, Niger, Senegal, Togo)</w:t>
            </w:r>
          </w:p>
        </w:tc>
        <w:tc>
          <w:tcPr>
            <w:tcW w:w="4410" w:type="dxa"/>
          </w:tcPr>
          <w:p w14:paraId="03D24C6A" w14:textId="77777777" w:rsidR="001C20EA" w:rsidRPr="00F97952" w:rsidRDefault="001C20EA" w:rsidP="001C20EA">
            <w:pPr>
              <w:jc w:val="both"/>
              <w:rPr>
                <w:rFonts w:asciiTheme="minorHAnsi" w:hAnsiTheme="minorHAnsi" w:cstheme="minorHAnsi"/>
              </w:rPr>
            </w:pPr>
            <w:r w:rsidRPr="00F97952">
              <w:rPr>
                <w:rFonts w:asciiTheme="minorHAnsi" w:hAnsiTheme="minorHAnsi" w:cs="Calibri"/>
                <w:color w:val="000000"/>
              </w:rPr>
              <w:t>Impact Investment and Capacity Building in Support of Sustainable Waste Management to Reduce Emissions of Unintentional POPs (UPOPs) and Mercury in West Africa</w:t>
            </w:r>
          </w:p>
        </w:tc>
        <w:tc>
          <w:tcPr>
            <w:tcW w:w="1620" w:type="dxa"/>
          </w:tcPr>
          <w:p w14:paraId="35CA2792" w14:textId="77777777" w:rsidR="001C20EA" w:rsidRPr="00F97952" w:rsidRDefault="001C20EA" w:rsidP="00C224F3">
            <w:pPr>
              <w:jc w:val="right"/>
              <w:rPr>
                <w:rFonts w:asciiTheme="minorHAnsi" w:hAnsiTheme="minorHAnsi" w:cstheme="minorHAnsi"/>
              </w:rPr>
            </w:pPr>
            <w:r w:rsidRPr="00F97952">
              <w:rPr>
                <w:rFonts w:asciiTheme="minorHAnsi" w:hAnsiTheme="minorHAnsi" w:cs="Calibri"/>
                <w:color w:val="000000"/>
              </w:rPr>
              <w:t>5,331,334</w:t>
            </w:r>
          </w:p>
        </w:tc>
        <w:tc>
          <w:tcPr>
            <w:tcW w:w="1835" w:type="dxa"/>
          </w:tcPr>
          <w:p w14:paraId="275CD432" w14:textId="77777777" w:rsidR="001C20EA" w:rsidRPr="00F97952" w:rsidRDefault="001C20EA" w:rsidP="00C224F3">
            <w:pPr>
              <w:jc w:val="right"/>
              <w:rPr>
                <w:rFonts w:asciiTheme="minorHAnsi" w:hAnsiTheme="minorHAnsi" w:cstheme="minorHAnsi"/>
              </w:rPr>
            </w:pPr>
            <w:r w:rsidRPr="00F97952">
              <w:rPr>
                <w:rFonts w:asciiTheme="minorHAnsi" w:hAnsiTheme="minorHAnsi" w:cs="Calibri"/>
                <w:color w:val="000000"/>
              </w:rPr>
              <w:t>77,000,000</w:t>
            </w:r>
          </w:p>
        </w:tc>
      </w:tr>
      <w:tr w:rsidR="004E15F5" w:rsidRPr="00F97952" w14:paraId="28188AC6" w14:textId="77777777" w:rsidTr="00033F0E">
        <w:trPr>
          <w:trHeight w:val="335"/>
        </w:trPr>
        <w:tc>
          <w:tcPr>
            <w:tcW w:w="1435" w:type="dxa"/>
          </w:tcPr>
          <w:p w14:paraId="710CC31D" w14:textId="5F5AE9E0" w:rsidR="004E15F5" w:rsidRPr="00F97952" w:rsidRDefault="004E15F5" w:rsidP="001C20EA">
            <w:pPr>
              <w:jc w:val="both"/>
              <w:rPr>
                <w:rFonts w:asciiTheme="minorHAnsi" w:hAnsiTheme="minorHAnsi" w:cs="Calibri"/>
                <w:b/>
                <w:color w:val="000000"/>
              </w:rPr>
            </w:pPr>
            <w:r w:rsidRPr="00F97952">
              <w:rPr>
                <w:rFonts w:asciiTheme="minorHAnsi" w:hAnsiTheme="minorHAnsi" w:cs="Calibri"/>
                <w:b/>
                <w:color w:val="000000"/>
              </w:rPr>
              <w:t>TOTAL</w:t>
            </w:r>
          </w:p>
        </w:tc>
        <w:tc>
          <w:tcPr>
            <w:tcW w:w="3870" w:type="dxa"/>
          </w:tcPr>
          <w:p w14:paraId="11A62ED7" w14:textId="77777777" w:rsidR="004E15F5" w:rsidRPr="00F97952" w:rsidRDefault="004E15F5" w:rsidP="001C20EA">
            <w:pPr>
              <w:rPr>
                <w:rFonts w:asciiTheme="minorHAnsi" w:hAnsiTheme="minorHAnsi" w:cs="Calibri"/>
                <w:b/>
                <w:color w:val="000000"/>
              </w:rPr>
            </w:pPr>
          </w:p>
        </w:tc>
        <w:tc>
          <w:tcPr>
            <w:tcW w:w="4410" w:type="dxa"/>
          </w:tcPr>
          <w:p w14:paraId="2F5FB8F6" w14:textId="77777777" w:rsidR="004E15F5" w:rsidRPr="00F97952" w:rsidRDefault="004E15F5" w:rsidP="001C20EA">
            <w:pPr>
              <w:jc w:val="both"/>
              <w:rPr>
                <w:rFonts w:asciiTheme="minorHAnsi" w:hAnsiTheme="minorHAnsi" w:cs="Calibri"/>
                <w:b/>
                <w:color w:val="000000"/>
              </w:rPr>
            </w:pPr>
          </w:p>
        </w:tc>
        <w:tc>
          <w:tcPr>
            <w:tcW w:w="1620" w:type="dxa"/>
          </w:tcPr>
          <w:p w14:paraId="06477A74" w14:textId="08715D04" w:rsidR="004E15F5" w:rsidRPr="00F97952" w:rsidRDefault="004E15F5" w:rsidP="00C224F3">
            <w:pPr>
              <w:jc w:val="right"/>
              <w:rPr>
                <w:rFonts w:asciiTheme="minorHAnsi" w:hAnsiTheme="minorHAnsi" w:cs="Calibri"/>
                <w:b/>
                <w:color w:val="000000"/>
              </w:rPr>
            </w:pPr>
            <w:r w:rsidRPr="00F97952">
              <w:rPr>
                <w:rFonts w:asciiTheme="minorHAnsi" w:hAnsiTheme="minorHAnsi" w:cs="Calibri"/>
                <w:b/>
                <w:color w:val="000000"/>
              </w:rPr>
              <w:fldChar w:fldCharType="begin"/>
            </w:r>
            <w:r w:rsidRPr="00F97952">
              <w:rPr>
                <w:rFonts w:asciiTheme="minorHAnsi" w:hAnsiTheme="minorHAnsi" w:cs="Calibri"/>
                <w:b/>
                <w:color w:val="000000"/>
              </w:rPr>
              <w:instrText xml:space="preserve"> =SUM(ABOVE) </w:instrText>
            </w:r>
            <w:r w:rsidRPr="00F97952">
              <w:rPr>
                <w:rFonts w:asciiTheme="minorHAnsi" w:hAnsiTheme="minorHAnsi" w:cs="Calibri"/>
                <w:b/>
                <w:color w:val="000000"/>
              </w:rPr>
              <w:fldChar w:fldCharType="separate"/>
            </w:r>
            <w:r w:rsidRPr="00F97952">
              <w:rPr>
                <w:rFonts w:asciiTheme="minorHAnsi" w:hAnsiTheme="minorHAnsi" w:cs="Calibri"/>
                <w:b/>
                <w:noProof/>
                <w:color w:val="000000"/>
              </w:rPr>
              <w:t>34,</w:t>
            </w:r>
            <w:r w:rsidR="002231A2" w:rsidRPr="00F97952">
              <w:rPr>
                <w:rFonts w:asciiTheme="minorHAnsi" w:hAnsiTheme="minorHAnsi" w:cs="Calibri"/>
                <w:b/>
                <w:noProof/>
                <w:color w:val="000000"/>
              </w:rPr>
              <w:t>01</w:t>
            </w:r>
            <w:r w:rsidRPr="00F97952">
              <w:rPr>
                <w:rFonts w:asciiTheme="minorHAnsi" w:hAnsiTheme="minorHAnsi" w:cs="Calibri"/>
                <w:b/>
                <w:noProof/>
                <w:color w:val="000000"/>
              </w:rPr>
              <w:t>2,334</w:t>
            </w:r>
            <w:r w:rsidRPr="00F97952">
              <w:rPr>
                <w:rFonts w:asciiTheme="minorHAnsi" w:hAnsiTheme="minorHAnsi" w:cs="Calibri"/>
                <w:b/>
                <w:color w:val="000000"/>
              </w:rPr>
              <w:fldChar w:fldCharType="end"/>
            </w:r>
          </w:p>
        </w:tc>
        <w:tc>
          <w:tcPr>
            <w:tcW w:w="1835" w:type="dxa"/>
          </w:tcPr>
          <w:p w14:paraId="7F3179BF" w14:textId="6F641022" w:rsidR="004E15F5" w:rsidRPr="00F97952" w:rsidRDefault="004E15F5" w:rsidP="00C224F3">
            <w:pPr>
              <w:jc w:val="right"/>
              <w:rPr>
                <w:rFonts w:asciiTheme="minorHAnsi" w:hAnsiTheme="minorHAnsi" w:cs="Calibri"/>
                <w:b/>
                <w:color w:val="000000"/>
              </w:rPr>
            </w:pPr>
            <w:r w:rsidRPr="00F97952">
              <w:rPr>
                <w:rFonts w:asciiTheme="minorHAnsi" w:hAnsiTheme="minorHAnsi" w:cs="Calibri"/>
                <w:b/>
                <w:color w:val="000000"/>
              </w:rPr>
              <w:fldChar w:fldCharType="begin"/>
            </w:r>
            <w:r w:rsidRPr="00F97952">
              <w:rPr>
                <w:rFonts w:asciiTheme="minorHAnsi" w:hAnsiTheme="minorHAnsi" w:cs="Calibri"/>
                <w:b/>
                <w:color w:val="000000"/>
              </w:rPr>
              <w:instrText xml:space="preserve"> =SUM(ABOVE) </w:instrText>
            </w:r>
            <w:r w:rsidRPr="00F97952">
              <w:rPr>
                <w:rFonts w:asciiTheme="minorHAnsi" w:hAnsiTheme="minorHAnsi" w:cs="Calibri"/>
                <w:b/>
                <w:color w:val="000000"/>
              </w:rPr>
              <w:fldChar w:fldCharType="separate"/>
            </w:r>
            <w:r w:rsidRPr="00F97952">
              <w:rPr>
                <w:rFonts w:asciiTheme="minorHAnsi" w:hAnsiTheme="minorHAnsi" w:cs="Calibri"/>
                <w:b/>
                <w:noProof/>
                <w:color w:val="000000"/>
              </w:rPr>
              <w:t>200,131,702</w:t>
            </w:r>
            <w:r w:rsidRPr="00F97952">
              <w:rPr>
                <w:rFonts w:asciiTheme="minorHAnsi" w:hAnsiTheme="minorHAnsi" w:cs="Calibri"/>
                <w:b/>
                <w:color w:val="000000"/>
              </w:rPr>
              <w:fldChar w:fldCharType="end"/>
            </w:r>
          </w:p>
        </w:tc>
      </w:tr>
    </w:tbl>
    <w:p w14:paraId="723C2F68" w14:textId="738D897E" w:rsidR="005F63FE" w:rsidRPr="00F97952" w:rsidRDefault="005F63FE" w:rsidP="00BF4281">
      <w:pPr>
        <w:jc w:val="both"/>
        <w:rPr>
          <w:rFonts w:asciiTheme="minorHAnsi" w:hAnsiTheme="minorHAnsi" w:cstheme="minorHAnsi"/>
        </w:rPr>
      </w:pPr>
    </w:p>
    <w:p w14:paraId="17E08BC8" w14:textId="3BBD5167" w:rsidR="004B72D4" w:rsidRPr="00F97952" w:rsidRDefault="00D87B16" w:rsidP="002231A2">
      <w:pPr>
        <w:pStyle w:val="Lgende"/>
        <w:jc w:val="center"/>
        <w:rPr>
          <w:color w:val="000000" w:themeColor="text1"/>
          <w:sz w:val="24"/>
          <w:szCs w:val="24"/>
        </w:rPr>
      </w:pPr>
      <w:bookmarkStart w:id="78" w:name="_Toc528774337"/>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11</w:t>
      </w:r>
      <w:r w:rsidRPr="00F97952">
        <w:rPr>
          <w:color w:val="000000" w:themeColor="text1"/>
          <w:sz w:val="24"/>
          <w:szCs w:val="24"/>
        </w:rPr>
        <w:fldChar w:fldCharType="end"/>
      </w:r>
      <w:r w:rsidRPr="00F97952">
        <w:rPr>
          <w:color w:val="000000" w:themeColor="text1"/>
          <w:sz w:val="24"/>
          <w:szCs w:val="24"/>
        </w:rPr>
        <w:t xml:space="preserve">: </w:t>
      </w:r>
      <w:r w:rsidR="004B72D4" w:rsidRPr="00F97952">
        <w:rPr>
          <w:color w:val="000000" w:themeColor="text1"/>
          <w:sz w:val="24"/>
          <w:szCs w:val="24"/>
        </w:rPr>
        <w:t xml:space="preserve">Multi </w:t>
      </w:r>
      <w:r w:rsidR="00AF0D88" w:rsidRPr="00F97952">
        <w:rPr>
          <w:color w:val="000000" w:themeColor="text1"/>
          <w:sz w:val="24"/>
          <w:szCs w:val="24"/>
        </w:rPr>
        <w:t xml:space="preserve">Focal Area </w:t>
      </w:r>
      <w:r w:rsidR="00732426" w:rsidRPr="00F97952">
        <w:rPr>
          <w:color w:val="000000" w:themeColor="text1"/>
          <w:sz w:val="24"/>
          <w:szCs w:val="24"/>
        </w:rPr>
        <w:t>Full-Sized Projects</w:t>
      </w:r>
      <w:bookmarkEnd w:id="78"/>
    </w:p>
    <w:tbl>
      <w:tblPr>
        <w:tblStyle w:val="Grilledutableau"/>
        <w:tblW w:w="0" w:type="auto"/>
        <w:tblLook w:val="04A0" w:firstRow="1" w:lastRow="0" w:firstColumn="1" w:lastColumn="0" w:noHBand="0" w:noVBand="1"/>
      </w:tblPr>
      <w:tblGrid>
        <w:gridCol w:w="1435"/>
        <w:gridCol w:w="3870"/>
        <w:gridCol w:w="4410"/>
        <w:gridCol w:w="1620"/>
        <w:gridCol w:w="1835"/>
      </w:tblGrid>
      <w:tr w:rsidR="001C20EA" w:rsidRPr="00F97952" w14:paraId="2D5AB743" w14:textId="77777777" w:rsidTr="00033F0E">
        <w:trPr>
          <w:trHeight w:val="416"/>
          <w:tblHeader/>
        </w:trPr>
        <w:tc>
          <w:tcPr>
            <w:tcW w:w="1435" w:type="dxa"/>
            <w:hideMark/>
          </w:tcPr>
          <w:p w14:paraId="508BB249"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Agency</w:t>
            </w:r>
          </w:p>
        </w:tc>
        <w:tc>
          <w:tcPr>
            <w:tcW w:w="3870" w:type="dxa"/>
            <w:hideMark/>
          </w:tcPr>
          <w:p w14:paraId="1A4371D0"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Country</w:t>
            </w:r>
          </w:p>
        </w:tc>
        <w:tc>
          <w:tcPr>
            <w:tcW w:w="4410" w:type="dxa"/>
            <w:hideMark/>
          </w:tcPr>
          <w:p w14:paraId="2872037E"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Title</w:t>
            </w:r>
          </w:p>
        </w:tc>
        <w:tc>
          <w:tcPr>
            <w:tcW w:w="1620" w:type="dxa"/>
            <w:hideMark/>
          </w:tcPr>
          <w:p w14:paraId="38FCC4D4"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GEF Grant ($)</w:t>
            </w:r>
          </w:p>
        </w:tc>
        <w:tc>
          <w:tcPr>
            <w:tcW w:w="1835" w:type="dxa"/>
            <w:hideMark/>
          </w:tcPr>
          <w:p w14:paraId="5417BA81" w14:textId="77777777" w:rsidR="001C20EA" w:rsidRPr="00F97952" w:rsidRDefault="001C20EA" w:rsidP="00C224F3">
            <w:pPr>
              <w:jc w:val="center"/>
              <w:rPr>
                <w:rFonts w:asciiTheme="minorHAnsi" w:hAnsiTheme="minorHAnsi" w:cstheme="minorHAnsi"/>
                <w:b/>
              </w:rPr>
            </w:pPr>
            <w:r w:rsidRPr="00F97952">
              <w:rPr>
                <w:rFonts w:asciiTheme="minorHAnsi" w:hAnsiTheme="minorHAnsi" w:cstheme="minorHAnsi"/>
                <w:b/>
              </w:rPr>
              <w:t>Co-financing ($)</w:t>
            </w:r>
          </w:p>
        </w:tc>
      </w:tr>
      <w:tr w:rsidR="001C20EA" w:rsidRPr="00F97952" w14:paraId="65935B64" w14:textId="77777777" w:rsidTr="00033F0E">
        <w:trPr>
          <w:trHeight w:val="704"/>
        </w:trPr>
        <w:tc>
          <w:tcPr>
            <w:tcW w:w="1435" w:type="dxa"/>
          </w:tcPr>
          <w:p w14:paraId="49F9BF77" w14:textId="77777777" w:rsidR="001C20EA" w:rsidRPr="00F97952" w:rsidRDefault="001C20EA" w:rsidP="001C20EA">
            <w:pPr>
              <w:jc w:val="both"/>
              <w:rPr>
                <w:rFonts w:asciiTheme="minorHAnsi" w:hAnsiTheme="minorHAnsi" w:cstheme="minorHAnsi"/>
              </w:rPr>
            </w:pPr>
            <w:r w:rsidRPr="00F97952">
              <w:rPr>
                <w:rFonts w:asciiTheme="minorHAnsi" w:hAnsiTheme="minorHAnsi" w:cs="Calibri"/>
                <w:color w:val="000000"/>
              </w:rPr>
              <w:t>UNDP</w:t>
            </w:r>
          </w:p>
        </w:tc>
        <w:tc>
          <w:tcPr>
            <w:tcW w:w="3870" w:type="dxa"/>
          </w:tcPr>
          <w:p w14:paraId="0D33263B" w14:textId="77777777" w:rsidR="001C20EA" w:rsidRPr="00F97952" w:rsidRDefault="001C20EA" w:rsidP="001C20EA">
            <w:pPr>
              <w:rPr>
                <w:rFonts w:asciiTheme="minorHAnsi" w:hAnsiTheme="minorHAnsi" w:cstheme="minorHAnsi"/>
              </w:rPr>
            </w:pPr>
            <w:r w:rsidRPr="00F97952">
              <w:rPr>
                <w:rFonts w:asciiTheme="minorHAnsi" w:hAnsiTheme="minorHAnsi" w:cs="Calibri"/>
                <w:color w:val="000000"/>
              </w:rPr>
              <w:t>Guyana</w:t>
            </w:r>
          </w:p>
        </w:tc>
        <w:tc>
          <w:tcPr>
            <w:tcW w:w="4410" w:type="dxa"/>
          </w:tcPr>
          <w:p w14:paraId="7E4E4B6B" w14:textId="77777777" w:rsidR="001C20EA" w:rsidRPr="00F97952" w:rsidRDefault="001C20EA" w:rsidP="001C20EA">
            <w:pPr>
              <w:jc w:val="both"/>
              <w:rPr>
                <w:rFonts w:asciiTheme="minorHAnsi" w:hAnsiTheme="minorHAnsi" w:cstheme="minorHAnsi"/>
              </w:rPr>
            </w:pPr>
            <w:r w:rsidRPr="00F97952">
              <w:rPr>
                <w:rFonts w:asciiTheme="minorHAnsi" w:hAnsiTheme="minorHAnsi" w:cs="Calibri"/>
                <w:color w:val="000000"/>
              </w:rPr>
              <w:t>Strengthening the Enabling Framework for Biodiversity Mainstreaming and Mercury Reduction in Small and Medium-scale Gold Mining Operations</w:t>
            </w:r>
          </w:p>
        </w:tc>
        <w:tc>
          <w:tcPr>
            <w:tcW w:w="1620" w:type="dxa"/>
          </w:tcPr>
          <w:p w14:paraId="1CB04B99" w14:textId="77777777" w:rsidR="001C20EA" w:rsidRPr="00F97952" w:rsidRDefault="001C20EA" w:rsidP="00C224F3">
            <w:pPr>
              <w:jc w:val="right"/>
              <w:rPr>
                <w:rFonts w:asciiTheme="minorHAnsi" w:hAnsiTheme="minorHAnsi" w:cstheme="minorHAnsi"/>
              </w:rPr>
            </w:pPr>
            <w:r w:rsidRPr="00F97952">
              <w:rPr>
                <w:rFonts w:asciiTheme="minorHAnsi" w:hAnsiTheme="minorHAnsi" w:cs="Calibri"/>
                <w:color w:val="000000"/>
              </w:rPr>
              <w:t>892,759</w:t>
            </w:r>
          </w:p>
        </w:tc>
        <w:tc>
          <w:tcPr>
            <w:tcW w:w="1835" w:type="dxa"/>
          </w:tcPr>
          <w:p w14:paraId="3250ECA6" w14:textId="77777777" w:rsidR="001C20EA" w:rsidRPr="00F97952" w:rsidRDefault="001C20EA" w:rsidP="00C224F3">
            <w:pPr>
              <w:jc w:val="right"/>
              <w:rPr>
                <w:rFonts w:asciiTheme="minorHAnsi" w:hAnsiTheme="minorHAnsi" w:cstheme="minorHAnsi"/>
              </w:rPr>
            </w:pPr>
            <w:r w:rsidRPr="00F97952">
              <w:rPr>
                <w:rFonts w:asciiTheme="minorHAnsi" w:hAnsiTheme="minorHAnsi" w:cs="Calibri"/>
                <w:color w:val="000000"/>
              </w:rPr>
              <w:t>29,662,745</w:t>
            </w:r>
          </w:p>
        </w:tc>
      </w:tr>
    </w:tbl>
    <w:p w14:paraId="09D4BD4B" w14:textId="77777777" w:rsidR="005F63FE" w:rsidRPr="00F97952" w:rsidRDefault="005F63FE" w:rsidP="00BF4281">
      <w:pPr>
        <w:jc w:val="both"/>
        <w:rPr>
          <w:rFonts w:asciiTheme="minorHAnsi" w:hAnsiTheme="minorHAnsi" w:cstheme="minorHAnsi"/>
        </w:rPr>
      </w:pPr>
    </w:p>
    <w:p w14:paraId="1D83FA33" w14:textId="1EB1E6E3" w:rsidR="002231A2" w:rsidRPr="00F97952" w:rsidRDefault="002231A2">
      <w:pPr>
        <w:widowControl w:val="0"/>
        <w:autoSpaceDE w:val="0"/>
        <w:autoSpaceDN w:val="0"/>
        <w:rPr>
          <w:rFonts w:asciiTheme="minorHAnsi" w:eastAsiaTheme="majorEastAsia" w:hAnsiTheme="minorHAnsi"/>
          <w:b/>
          <w:bCs/>
          <w:smallCaps/>
        </w:rPr>
      </w:pPr>
    </w:p>
    <w:p w14:paraId="2E6E0859" w14:textId="6886FC25" w:rsidR="00614034" w:rsidRPr="00F97952" w:rsidRDefault="00614034" w:rsidP="002231A2">
      <w:pPr>
        <w:pStyle w:val="Titre2"/>
        <w:ind w:left="0"/>
        <w:rPr>
          <w:rFonts w:asciiTheme="minorHAnsi" w:hAnsiTheme="minorHAnsi"/>
        </w:rPr>
      </w:pPr>
      <w:bookmarkStart w:id="79" w:name="_Toc528774367"/>
      <w:r w:rsidRPr="00F97952">
        <w:rPr>
          <w:rFonts w:asciiTheme="minorHAnsi" w:hAnsiTheme="minorHAnsi"/>
        </w:rPr>
        <w:t>Medium</w:t>
      </w:r>
      <w:r w:rsidR="00CB5306" w:rsidRPr="00F97952">
        <w:rPr>
          <w:rFonts w:asciiTheme="minorHAnsi" w:hAnsiTheme="minorHAnsi"/>
        </w:rPr>
        <w:t>-</w:t>
      </w:r>
      <w:r w:rsidRPr="00F97952">
        <w:rPr>
          <w:rFonts w:asciiTheme="minorHAnsi" w:hAnsiTheme="minorHAnsi"/>
        </w:rPr>
        <w:t>Sized Projects</w:t>
      </w:r>
      <w:bookmarkEnd w:id="79"/>
    </w:p>
    <w:p w14:paraId="4E4311CD" w14:textId="3EBE847A" w:rsidR="00614034" w:rsidRPr="00F97952" w:rsidRDefault="00D87B16" w:rsidP="002231A2">
      <w:pPr>
        <w:pStyle w:val="Lgende"/>
        <w:jc w:val="center"/>
        <w:rPr>
          <w:rFonts w:cstheme="minorHAnsi"/>
          <w:color w:val="000000" w:themeColor="text1"/>
          <w:sz w:val="24"/>
          <w:szCs w:val="24"/>
        </w:rPr>
      </w:pPr>
      <w:bookmarkStart w:id="80" w:name="_Toc528774338"/>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12</w:t>
      </w:r>
      <w:r w:rsidRPr="00F97952">
        <w:rPr>
          <w:color w:val="000000" w:themeColor="text1"/>
          <w:sz w:val="24"/>
          <w:szCs w:val="24"/>
        </w:rPr>
        <w:fldChar w:fldCharType="end"/>
      </w:r>
      <w:r w:rsidRPr="00F97952">
        <w:rPr>
          <w:color w:val="000000" w:themeColor="text1"/>
          <w:sz w:val="24"/>
          <w:szCs w:val="24"/>
        </w:rPr>
        <w:t>: Medium</w:t>
      </w:r>
      <w:r w:rsidR="009E35CC" w:rsidRPr="00F97952">
        <w:rPr>
          <w:color w:val="000000" w:themeColor="text1"/>
          <w:sz w:val="24"/>
          <w:szCs w:val="24"/>
        </w:rPr>
        <w:t>-</w:t>
      </w:r>
      <w:r w:rsidR="00AF0D88" w:rsidRPr="00F97952">
        <w:rPr>
          <w:color w:val="000000" w:themeColor="text1"/>
          <w:sz w:val="24"/>
          <w:szCs w:val="24"/>
        </w:rPr>
        <w:t>Sized Projects</w:t>
      </w:r>
      <w:bookmarkEnd w:id="80"/>
    </w:p>
    <w:tbl>
      <w:tblPr>
        <w:tblStyle w:val="Grilledutableau"/>
        <w:tblW w:w="0" w:type="auto"/>
        <w:tblLook w:val="04A0" w:firstRow="1" w:lastRow="0" w:firstColumn="1" w:lastColumn="0" w:noHBand="0" w:noVBand="1"/>
      </w:tblPr>
      <w:tblGrid>
        <w:gridCol w:w="1435"/>
        <w:gridCol w:w="3870"/>
        <w:gridCol w:w="4410"/>
        <w:gridCol w:w="1620"/>
        <w:gridCol w:w="1835"/>
      </w:tblGrid>
      <w:tr w:rsidR="00614034" w:rsidRPr="00F97952" w14:paraId="14FC576B" w14:textId="77777777" w:rsidTr="00033F0E">
        <w:trPr>
          <w:trHeight w:val="533"/>
        </w:trPr>
        <w:tc>
          <w:tcPr>
            <w:tcW w:w="1435" w:type="dxa"/>
            <w:hideMark/>
          </w:tcPr>
          <w:p w14:paraId="7E0ECCA5" w14:textId="42E51E06"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Agency</w:t>
            </w:r>
          </w:p>
        </w:tc>
        <w:tc>
          <w:tcPr>
            <w:tcW w:w="3870" w:type="dxa"/>
            <w:hideMark/>
          </w:tcPr>
          <w:p w14:paraId="18CDDAB8"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Country</w:t>
            </w:r>
          </w:p>
        </w:tc>
        <w:tc>
          <w:tcPr>
            <w:tcW w:w="4410" w:type="dxa"/>
            <w:hideMark/>
          </w:tcPr>
          <w:p w14:paraId="2C4C733A"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Title</w:t>
            </w:r>
          </w:p>
        </w:tc>
        <w:tc>
          <w:tcPr>
            <w:tcW w:w="1620" w:type="dxa"/>
            <w:hideMark/>
          </w:tcPr>
          <w:p w14:paraId="0BED3C42"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GEF Grant ($)</w:t>
            </w:r>
          </w:p>
        </w:tc>
        <w:tc>
          <w:tcPr>
            <w:tcW w:w="1835" w:type="dxa"/>
            <w:hideMark/>
          </w:tcPr>
          <w:p w14:paraId="272D6EB2" w14:textId="77777777" w:rsidR="00614034" w:rsidRPr="00F97952" w:rsidRDefault="00614034" w:rsidP="00C224F3">
            <w:pPr>
              <w:jc w:val="center"/>
              <w:rPr>
                <w:rFonts w:asciiTheme="minorHAnsi" w:hAnsiTheme="minorHAnsi" w:cstheme="minorHAnsi"/>
                <w:b/>
              </w:rPr>
            </w:pPr>
            <w:r w:rsidRPr="00F97952">
              <w:rPr>
                <w:rFonts w:asciiTheme="minorHAnsi" w:hAnsiTheme="minorHAnsi" w:cstheme="minorHAnsi"/>
                <w:b/>
              </w:rPr>
              <w:t>Co-financing ($)</w:t>
            </w:r>
          </w:p>
        </w:tc>
      </w:tr>
      <w:tr w:rsidR="00614034" w:rsidRPr="00F97952" w14:paraId="5B897476" w14:textId="77777777" w:rsidTr="00033F0E">
        <w:trPr>
          <w:trHeight w:val="300"/>
        </w:trPr>
        <w:tc>
          <w:tcPr>
            <w:tcW w:w="1435" w:type="dxa"/>
            <w:hideMark/>
          </w:tcPr>
          <w:p w14:paraId="2FB2528E"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UNIDO</w:t>
            </w:r>
          </w:p>
        </w:tc>
        <w:tc>
          <w:tcPr>
            <w:tcW w:w="3870" w:type="dxa"/>
            <w:hideMark/>
          </w:tcPr>
          <w:p w14:paraId="6715CB47"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Tunisia</w:t>
            </w:r>
          </w:p>
        </w:tc>
        <w:tc>
          <w:tcPr>
            <w:tcW w:w="4410" w:type="dxa"/>
            <w:hideMark/>
          </w:tcPr>
          <w:p w14:paraId="4A245DC0"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Improve Mercury Management in Tunisia</w:t>
            </w:r>
          </w:p>
        </w:tc>
        <w:tc>
          <w:tcPr>
            <w:tcW w:w="1620" w:type="dxa"/>
            <w:hideMark/>
          </w:tcPr>
          <w:p w14:paraId="702D6B5C" w14:textId="77777777" w:rsidR="00614034" w:rsidRPr="00F97952" w:rsidRDefault="00614034" w:rsidP="00C224F3">
            <w:pPr>
              <w:jc w:val="right"/>
              <w:rPr>
                <w:rFonts w:asciiTheme="minorHAnsi" w:hAnsiTheme="minorHAnsi" w:cstheme="minorHAnsi"/>
              </w:rPr>
            </w:pPr>
            <w:r w:rsidRPr="00F97952">
              <w:rPr>
                <w:rFonts w:asciiTheme="minorHAnsi" w:hAnsiTheme="minorHAnsi" w:cstheme="minorHAnsi"/>
              </w:rPr>
              <w:t>600,000</w:t>
            </w:r>
          </w:p>
        </w:tc>
        <w:tc>
          <w:tcPr>
            <w:tcW w:w="1835" w:type="dxa"/>
            <w:hideMark/>
          </w:tcPr>
          <w:p w14:paraId="197C95BF" w14:textId="77777777" w:rsidR="00614034" w:rsidRPr="00F97952" w:rsidRDefault="00614034" w:rsidP="00C224F3">
            <w:pPr>
              <w:jc w:val="right"/>
              <w:rPr>
                <w:rFonts w:asciiTheme="minorHAnsi" w:hAnsiTheme="minorHAnsi" w:cstheme="minorHAnsi"/>
              </w:rPr>
            </w:pPr>
            <w:r w:rsidRPr="00F97952">
              <w:rPr>
                <w:rFonts w:asciiTheme="minorHAnsi" w:hAnsiTheme="minorHAnsi" w:cstheme="minorHAnsi"/>
              </w:rPr>
              <w:t>2,350,000</w:t>
            </w:r>
          </w:p>
        </w:tc>
      </w:tr>
      <w:tr w:rsidR="00614034" w:rsidRPr="00F97952" w14:paraId="70DCC9EF" w14:textId="77777777" w:rsidTr="00033F0E">
        <w:trPr>
          <w:trHeight w:val="668"/>
        </w:trPr>
        <w:tc>
          <w:tcPr>
            <w:tcW w:w="1435" w:type="dxa"/>
            <w:hideMark/>
          </w:tcPr>
          <w:p w14:paraId="4345B5EC"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UNDP</w:t>
            </w:r>
          </w:p>
        </w:tc>
        <w:tc>
          <w:tcPr>
            <w:tcW w:w="3870" w:type="dxa"/>
            <w:hideMark/>
          </w:tcPr>
          <w:p w14:paraId="6460FD84"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Vietnam</w:t>
            </w:r>
          </w:p>
        </w:tc>
        <w:tc>
          <w:tcPr>
            <w:tcW w:w="4410" w:type="dxa"/>
            <w:hideMark/>
          </w:tcPr>
          <w:p w14:paraId="77EAA889" w14:textId="77777777" w:rsidR="00614034" w:rsidRPr="00F97952" w:rsidRDefault="00614034" w:rsidP="00BF4281">
            <w:pPr>
              <w:jc w:val="both"/>
              <w:rPr>
                <w:rFonts w:asciiTheme="minorHAnsi" w:hAnsiTheme="minorHAnsi" w:cstheme="minorHAnsi"/>
              </w:rPr>
            </w:pPr>
            <w:r w:rsidRPr="00F97952">
              <w:rPr>
                <w:rFonts w:asciiTheme="minorHAnsi" w:hAnsiTheme="minorHAnsi" w:cstheme="minorHAnsi"/>
              </w:rPr>
              <w:t>Application of Green Chemistry in Vietnam to Support Green Growth and Reduction in the use and Release of POPs/harmful Chemicals</w:t>
            </w:r>
          </w:p>
        </w:tc>
        <w:tc>
          <w:tcPr>
            <w:tcW w:w="1620" w:type="dxa"/>
            <w:hideMark/>
          </w:tcPr>
          <w:p w14:paraId="00508C14" w14:textId="77777777" w:rsidR="00614034" w:rsidRPr="00F97952" w:rsidRDefault="00614034" w:rsidP="00874B6D">
            <w:pPr>
              <w:jc w:val="right"/>
              <w:rPr>
                <w:rFonts w:asciiTheme="minorHAnsi" w:hAnsiTheme="minorHAnsi" w:cstheme="minorHAnsi"/>
              </w:rPr>
            </w:pPr>
            <w:r w:rsidRPr="00F97952">
              <w:rPr>
                <w:rFonts w:asciiTheme="minorHAnsi" w:hAnsiTheme="minorHAnsi" w:cstheme="minorHAnsi"/>
              </w:rPr>
              <w:t>469,800</w:t>
            </w:r>
          </w:p>
        </w:tc>
        <w:tc>
          <w:tcPr>
            <w:tcW w:w="1835" w:type="dxa"/>
            <w:hideMark/>
          </w:tcPr>
          <w:p w14:paraId="2D1A9BEE" w14:textId="77777777" w:rsidR="00614034" w:rsidRPr="00F97952" w:rsidRDefault="00614034" w:rsidP="00874B6D">
            <w:pPr>
              <w:jc w:val="right"/>
              <w:rPr>
                <w:rFonts w:asciiTheme="minorHAnsi" w:hAnsiTheme="minorHAnsi" w:cstheme="minorHAnsi"/>
              </w:rPr>
            </w:pPr>
            <w:r w:rsidRPr="00F97952">
              <w:rPr>
                <w:rFonts w:asciiTheme="minorHAnsi" w:hAnsiTheme="minorHAnsi" w:cstheme="minorHAnsi"/>
              </w:rPr>
              <w:t>1,000,000</w:t>
            </w:r>
          </w:p>
        </w:tc>
      </w:tr>
      <w:tr w:rsidR="004E15F5" w:rsidRPr="00F97952" w14:paraId="6F192985" w14:textId="77777777" w:rsidTr="00033F0E">
        <w:trPr>
          <w:trHeight w:val="263"/>
        </w:trPr>
        <w:tc>
          <w:tcPr>
            <w:tcW w:w="1435" w:type="dxa"/>
          </w:tcPr>
          <w:p w14:paraId="58C73AB0" w14:textId="1840426B" w:rsidR="004E15F5" w:rsidRPr="00F97952" w:rsidRDefault="004E15F5" w:rsidP="00BF4281">
            <w:pPr>
              <w:jc w:val="both"/>
              <w:rPr>
                <w:rFonts w:asciiTheme="minorHAnsi" w:hAnsiTheme="minorHAnsi" w:cstheme="minorHAnsi"/>
                <w:b/>
              </w:rPr>
            </w:pPr>
            <w:r w:rsidRPr="00F97952">
              <w:rPr>
                <w:rFonts w:asciiTheme="minorHAnsi" w:hAnsiTheme="minorHAnsi" w:cstheme="minorHAnsi"/>
                <w:b/>
              </w:rPr>
              <w:t>TOTAL</w:t>
            </w:r>
          </w:p>
        </w:tc>
        <w:tc>
          <w:tcPr>
            <w:tcW w:w="3870" w:type="dxa"/>
          </w:tcPr>
          <w:p w14:paraId="6E234CAC" w14:textId="77777777" w:rsidR="004E15F5" w:rsidRPr="00F97952" w:rsidRDefault="004E15F5" w:rsidP="00BF4281">
            <w:pPr>
              <w:jc w:val="both"/>
              <w:rPr>
                <w:rFonts w:asciiTheme="minorHAnsi" w:hAnsiTheme="minorHAnsi" w:cstheme="minorHAnsi"/>
              </w:rPr>
            </w:pPr>
          </w:p>
        </w:tc>
        <w:tc>
          <w:tcPr>
            <w:tcW w:w="4410" w:type="dxa"/>
          </w:tcPr>
          <w:p w14:paraId="5B416169" w14:textId="77777777" w:rsidR="004E15F5" w:rsidRPr="00F97952" w:rsidRDefault="004E15F5" w:rsidP="00BF4281">
            <w:pPr>
              <w:jc w:val="both"/>
              <w:rPr>
                <w:rFonts w:asciiTheme="minorHAnsi" w:hAnsiTheme="minorHAnsi" w:cstheme="minorHAnsi"/>
              </w:rPr>
            </w:pPr>
          </w:p>
        </w:tc>
        <w:tc>
          <w:tcPr>
            <w:tcW w:w="1620" w:type="dxa"/>
          </w:tcPr>
          <w:p w14:paraId="7642EDF4" w14:textId="5C1BC234" w:rsidR="004E15F5" w:rsidRPr="00F97952" w:rsidRDefault="004E15F5" w:rsidP="00B83AD7">
            <w:pPr>
              <w:jc w:val="right"/>
              <w:rPr>
                <w:rFonts w:asciiTheme="minorHAnsi" w:hAnsiTheme="minorHAnsi" w:cstheme="minorHAnsi"/>
                <w:b/>
              </w:rPr>
            </w:pPr>
            <w:r w:rsidRPr="00F97952">
              <w:rPr>
                <w:rFonts w:asciiTheme="minorHAnsi" w:hAnsiTheme="minorHAnsi" w:cstheme="minorHAnsi"/>
                <w:b/>
              </w:rPr>
              <w:fldChar w:fldCharType="begin"/>
            </w:r>
            <w:r w:rsidRPr="00F97952">
              <w:rPr>
                <w:rFonts w:asciiTheme="minorHAnsi" w:hAnsiTheme="minorHAnsi" w:cstheme="minorHAnsi"/>
                <w:b/>
              </w:rPr>
              <w:instrText xml:space="preserve"> =SUM(ABOVE) </w:instrText>
            </w:r>
            <w:r w:rsidRPr="00F97952">
              <w:rPr>
                <w:rFonts w:asciiTheme="minorHAnsi" w:hAnsiTheme="minorHAnsi" w:cstheme="minorHAnsi"/>
                <w:b/>
              </w:rPr>
              <w:fldChar w:fldCharType="separate"/>
            </w:r>
            <w:r w:rsidRPr="00F97952">
              <w:rPr>
                <w:rFonts w:asciiTheme="minorHAnsi" w:hAnsiTheme="minorHAnsi" w:cstheme="minorHAnsi"/>
                <w:b/>
                <w:noProof/>
              </w:rPr>
              <w:t>1,069,800</w:t>
            </w:r>
            <w:r w:rsidRPr="00F97952">
              <w:rPr>
                <w:rFonts w:asciiTheme="minorHAnsi" w:hAnsiTheme="minorHAnsi" w:cstheme="minorHAnsi"/>
                <w:b/>
              </w:rPr>
              <w:fldChar w:fldCharType="end"/>
            </w:r>
          </w:p>
        </w:tc>
        <w:tc>
          <w:tcPr>
            <w:tcW w:w="1835" w:type="dxa"/>
          </w:tcPr>
          <w:p w14:paraId="00AFB0AA" w14:textId="403C6965" w:rsidR="004E15F5" w:rsidRPr="00F97952" w:rsidRDefault="004E15F5" w:rsidP="00B83AD7">
            <w:pPr>
              <w:jc w:val="right"/>
              <w:rPr>
                <w:rFonts w:asciiTheme="minorHAnsi" w:hAnsiTheme="minorHAnsi" w:cstheme="minorHAnsi"/>
                <w:b/>
              </w:rPr>
            </w:pPr>
            <w:r w:rsidRPr="00F97952">
              <w:rPr>
                <w:rFonts w:asciiTheme="minorHAnsi" w:hAnsiTheme="minorHAnsi" w:cstheme="minorHAnsi"/>
                <w:b/>
              </w:rPr>
              <w:fldChar w:fldCharType="begin"/>
            </w:r>
            <w:r w:rsidRPr="00F97952">
              <w:rPr>
                <w:rFonts w:asciiTheme="minorHAnsi" w:hAnsiTheme="minorHAnsi" w:cstheme="minorHAnsi"/>
                <w:b/>
              </w:rPr>
              <w:instrText xml:space="preserve"> =SUM(ABOVE) </w:instrText>
            </w:r>
            <w:r w:rsidRPr="00F97952">
              <w:rPr>
                <w:rFonts w:asciiTheme="minorHAnsi" w:hAnsiTheme="minorHAnsi" w:cstheme="minorHAnsi"/>
                <w:b/>
              </w:rPr>
              <w:fldChar w:fldCharType="separate"/>
            </w:r>
            <w:r w:rsidRPr="00F97952">
              <w:rPr>
                <w:rFonts w:asciiTheme="minorHAnsi" w:hAnsiTheme="minorHAnsi" w:cstheme="minorHAnsi"/>
                <w:b/>
                <w:noProof/>
              </w:rPr>
              <w:t>3,350,000</w:t>
            </w:r>
            <w:r w:rsidRPr="00F97952">
              <w:rPr>
                <w:rFonts w:asciiTheme="minorHAnsi" w:hAnsiTheme="minorHAnsi" w:cstheme="minorHAnsi"/>
                <w:b/>
              </w:rPr>
              <w:fldChar w:fldCharType="end"/>
            </w:r>
          </w:p>
        </w:tc>
      </w:tr>
    </w:tbl>
    <w:p w14:paraId="1C57A0CA" w14:textId="77777777" w:rsidR="00614034" w:rsidRPr="00F97952" w:rsidRDefault="00614034" w:rsidP="00BF4281">
      <w:pPr>
        <w:jc w:val="both"/>
        <w:rPr>
          <w:rFonts w:asciiTheme="minorHAnsi" w:hAnsiTheme="minorHAnsi" w:cstheme="minorHAnsi"/>
        </w:rPr>
      </w:pPr>
    </w:p>
    <w:p w14:paraId="54508486" w14:textId="00AFD94E" w:rsidR="0000292F" w:rsidRPr="00F97952" w:rsidRDefault="001E19D2" w:rsidP="009A6C18">
      <w:pPr>
        <w:pStyle w:val="Titre1"/>
        <w:spacing w:before="60"/>
        <w:ind w:left="102"/>
        <w:rPr>
          <w:rFonts w:asciiTheme="minorHAnsi" w:hAnsiTheme="minorHAnsi" w:cstheme="minorHAnsi"/>
          <w:b w:val="0"/>
          <w:sz w:val="21"/>
        </w:rPr>
      </w:pPr>
      <w:bookmarkStart w:id="81" w:name="_bookmark52"/>
      <w:bookmarkStart w:id="82" w:name="_Toc528774368"/>
      <w:bookmarkEnd w:id="81"/>
      <w:r w:rsidRPr="00F97952">
        <w:rPr>
          <w:rFonts w:asciiTheme="minorHAnsi" w:hAnsiTheme="minorHAnsi"/>
        </w:rPr>
        <w:lastRenderedPageBreak/>
        <w:t xml:space="preserve">Annex </w:t>
      </w:r>
      <w:r w:rsidR="00BE0816" w:rsidRPr="00F97952">
        <w:rPr>
          <w:rFonts w:asciiTheme="minorHAnsi" w:hAnsiTheme="minorHAnsi"/>
        </w:rPr>
        <w:t>3</w:t>
      </w:r>
      <w:r w:rsidRPr="00F97952">
        <w:rPr>
          <w:rFonts w:asciiTheme="minorHAnsi" w:hAnsiTheme="minorHAnsi"/>
        </w:rPr>
        <w:t>:</w:t>
      </w:r>
      <w:r w:rsidR="00732426" w:rsidRPr="00F97952">
        <w:rPr>
          <w:rFonts w:asciiTheme="minorHAnsi" w:hAnsiTheme="minorHAnsi"/>
        </w:rPr>
        <w:t xml:space="preserve"> </w:t>
      </w:r>
      <w:r w:rsidRPr="00F97952">
        <w:rPr>
          <w:rFonts w:asciiTheme="minorHAnsi" w:hAnsiTheme="minorHAnsi"/>
        </w:rPr>
        <w:t xml:space="preserve">List of Mercury Projects Supported by </w:t>
      </w:r>
      <w:r w:rsidR="00B4136E" w:rsidRPr="00F97952">
        <w:rPr>
          <w:rFonts w:asciiTheme="minorHAnsi" w:hAnsiTheme="minorHAnsi"/>
        </w:rPr>
        <w:t xml:space="preserve">Small Grants </w:t>
      </w:r>
      <w:proofErr w:type="spellStart"/>
      <w:r w:rsidR="00B4136E" w:rsidRPr="00F97952">
        <w:rPr>
          <w:rFonts w:asciiTheme="minorHAnsi" w:hAnsiTheme="minorHAnsi"/>
        </w:rPr>
        <w:t>Programme</w:t>
      </w:r>
      <w:proofErr w:type="spellEnd"/>
      <w:r w:rsidR="00B4136E" w:rsidRPr="00F97952">
        <w:rPr>
          <w:rFonts w:asciiTheme="minorHAnsi" w:hAnsiTheme="minorHAnsi"/>
        </w:rPr>
        <w:t xml:space="preserve"> </w:t>
      </w:r>
      <w:r w:rsidRPr="00F97952">
        <w:rPr>
          <w:rFonts w:asciiTheme="minorHAnsi" w:hAnsiTheme="minorHAnsi"/>
        </w:rPr>
        <w:t>in GEF-</w:t>
      </w:r>
      <w:r w:rsidR="00B4136E" w:rsidRPr="00F97952">
        <w:rPr>
          <w:rFonts w:asciiTheme="minorHAnsi" w:hAnsiTheme="minorHAnsi"/>
        </w:rPr>
        <w:t>6</w:t>
      </w:r>
      <w:bookmarkEnd w:id="82"/>
    </w:p>
    <w:p w14:paraId="40255225" w14:textId="004D5CA4" w:rsidR="00D87B16" w:rsidRPr="00F97952" w:rsidRDefault="00D87B16" w:rsidP="002231A2">
      <w:pPr>
        <w:pStyle w:val="Lgende"/>
        <w:jc w:val="center"/>
        <w:rPr>
          <w:rFonts w:cstheme="minorHAnsi"/>
          <w:b w:val="0"/>
          <w:color w:val="000000" w:themeColor="text1"/>
          <w:sz w:val="24"/>
          <w:szCs w:val="24"/>
        </w:rPr>
      </w:pPr>
      <w:bookmarkStart w:id="83" w:name="_Toc528774339"/>
      <w:r w:rsidRPr="00F97952">
        <w:rPr>
          <w:color w:val="000000" w:themeColor="text1"/>
          <w:sz w:val="24"/>
          <w:szCs w:val="24"/>
        </w:rPr>
        <w:t xml:space="preserve">Table </w:t>
      </w:r>
      <w:r w:rsidRPr="00F97952">
        <w:rPr>
          <w:color w:val="000000" w:themeColor="text1"/>
          <w:sz w:val="24"/>
          <w:szCs w:val="24"/>
        </w:rPr>
        <w:fldChar w:fldCharType="begin"/>
      </w:r>
      <w:r w:rsidRPr="00F97952">
        <w:rPr>
          <w:color w:val="000000" w:themeColor="text1"/>
          <w:sz w:val="24"/>
          <w:szCs w:val="24"/>
        </w:rPr>
        <w:instrText xml:space="preserve"> SEQ Table \* ARABIC </w:instrText>
      </w:r>
      <w:r w:rsidRPr="00F97952">
        <w:rPr>
          <w:color w:val="000000" w:themeColor="text1"/>
          <w:sz w:val="24"/>
          <w:szCs w:val="24"/>
        </w:rPr>
        <w:fldChar w:fldCharType="separate"/>
      </w:r>
      <w:r w:rsidR="00106981" w:rsidRPr="00F97952">
        <w:rPr>
          <w:noProof/>
          <w:color w:val="000000" w:themeColor="text1"/>
          <w:sz w:val="24"/>
          <w:szCs w:val="24"/>
        </w:rPr>
        <w:t>13</w:t>
      </w:r>
      <w:r w:rsidRPr="00F97952">
        <w:rPr>
          <w:color w:val="000000" w:themeColor="text1"/>
          <w:sz w:val="24"/>
          <w:szCs w:val="24"/>
        </w:rPr>
        <w:fldChar w:fldCharType="end"/>
      </w:r>
      <w:r w:rsidRPr="00F97952">
        <w:rPr>
          <w:color w:val="000000" w:themeColor="text1"/>
          <w:sz w:val="24"/>
          <w:szCs w:val="24"/>
        </w:rPr>
        <w:t xml:space="preserve">: Small </w:t>
      </w:r>
      <w:r w:rsidR="00AF0D88" w:rsidRPr="00F97952">
        <w:rPr>
          <w:color w:val="000000" w:themeColor="text1"/>
          <w:sz w:val="24"/>
          <w:szCs w:val="24"/>
        </w:rPr>
        <w:t>Grants Projects</w:t>
      </w:r>
      <w:bookmarkEnd w:id="83"/>
    </w:p>
    <w:tbl>
      <w:tblPr>
        <w:tblStyle w:val="Grilledutableau"/>
        <w:tblW w:w="0" w:type="auto"/>
        <w:tblLook w:val="04A0" w:firstRow="1" w:lastRow="0" w:firstColumn="1" w:lastColumn="0" w:noHBand="0" w:noVBand="1"/>
      </w:tblPr>
      <w:tblGrid>
        <w:gridCol w:w="505"/>
        <w:gridCol w:w="2029"/>
        <w:gridCol w:w="2334"/>
        <w:gridCol w:w="435"/>
        <w:gridCol w:w="2702"/>
        <w:gridCol w:w="1389"/>
        <w:gridCol w:w="1244"/>
        <w:gridCol w:w="101"/>
        <w:gridCol w:w="1051"/>
        <w:gridCol w:w="1517"/>
        <w:gridCol w:w="1113"/>
      </w:tblGrid>
      <w:tr w:rsidR="00B4136E" w:rsidRPr="00F97952" w14:paraId="6D00CCB4" w14:textId="77777777" w:rsidTr="009A6C18">
        <w:trPr>
          <w:gridAfter w:val="1"/>
          <w:wAfter w:w="1250" w:type="dxa"/>
          <w:trHeight w:val="552"/>
        </w:trPr>
        <w:tc>
          <w:tcPr>
            <w:tcW w:w="0" w:type="auto"/>
            <w:hideMark/>
          </w:tcPr>
          <w:p w14:paraId="2FF8EDD6" w14:textId="77777777" w:rsidR="00B4136E" w:rsidRPr="00F97952" w:rsidRDefault="00B4136E" w:rsidP="00705B34">
            <w:pPr>
              <w:jc w:val="center"/>
              <w:rPr>
                <w:rFonts w:asciiTheme="minorHAnsi" w:hAnsiTheme="minorHAnsi" w:cstheme="minorHAnsi"/>
                <w:b/>
                <w:bCs/>
                <w:color w:val="000000"/>
              </w:rPr>
            </w:pPr>
            <w:r w:rsidRPr="00F97952">
              <w:rPr>
                <w:rFonts w:asciiTheme="minorHAnsi" w:hAnsiTheme="minorHAnsi" w:cstheme="minorHAnsi"/>
                <w:b/>
                <w:bCs/>
                <w:color w:val="000000"/>
              </w:rPr>
              <w:t>No</w:t>
            </w:r>
          </w:p>
        </w:tc>
        <w:tc>
          <w:tcPr>
            <w:tcW w:w="1385" w:type="dxa"/>
            <w:hideMark/>
          </w:tcPr>
          <w:p w14:paraId="7BC8E675" w14:textId="77777777" w:rsidR="00B4136E" w:rsidRPr="00F97952" w:rsidRDefault="00B4136E" w:rsidP="00705B34">
            <w:pPr>
              <w:jc w:val="center"/>
              <w:rPr>
                <w:rFonts w:asciiTheme="minorHAnsi" w:hAnsiTheme="minorHAnsi" w:cstheme="minorHAnsi"/>
                <w:b/>
                <w:bCs/>
                <w:color w:val="000000"/>
              </w:rPr>
            </w:pPr>
            <w:r w:rsidRPr="00F97952">
              <w:rPr>
                <w:rFonts w:asciiTheme="minorHAnsi" w:hAnsiTheme="minorHAnsi" w:cstheme="minorHAnsi"/>
                <w:b/>
                <w:bCs/>
                <w:color w:val="000000"/>
              </w:rPr>
              <w:t>Country</w:t>
            </w:r>
          </w:p>
        </w:tc>
        <w:tc>
          <w:tcPr>
            <w:tcW w:w="2431" w:type="dxa"/>
            <w:hideMark/>
          </w:tcPr>
          <w:p w14:paraId="653E0DCA" w14:textId="77777777" w:rsidR="00B4136E" w:rsidRPr="00F97952" w:rsidRDefault="00B4136E" w:rsidP="00705B34">
            <w:pPr>
              <w:jc w:val="center"/>
              <w:rPr>
                <w:rFonts w:asciiTheme="minorHAnsi" w:hAnsiTheme="minorHAnsi" w:cstheme="minorHAnsi"/>
                <w:b/>
                <w:bCs/>
                <w:color w:val="000000"/>
              </w:rPr>
            </w:pPr>
            <w:r w:rsidRPr="00F97952">
              <w:rPr>
                <w:rFonts w:asciiTheme="minorHAnsi" w:hAnsiTheme="minorHAnsi" w:cstheme="minorHAnsi"/>
                <w:b/>
                <w:bCs/>
                <w:color w:val="000000"/>
              </w:rPr>
              <w:t>Grantee Name</w:t>
            </w:r>
          </w:p>
        </w:tc>
        <w:tc>
          <w:tcPr>
            <w:tcW w:w="4860" w:type="dxa"/>
            <w:gridSpan w:val="3"/>
            <w:hideMark/>
          </w:tcPr>
          <w:p w14:paraId="18A3DED1" w14:textId="77777777" w:rsidR="00B4136E" w:rsidRPr="00F97952" w:rsidRDefault="00B4136E" w:rsidP="00705B34">
            <w:pPr>
              <w:jc w:val="center"/>
              <w:rPr>
                <w:rFonts w:asciiTheme="minorHAnsi" w:hAnsiTheme="minorHAnsi" w:cstheme="minorHAnsi"/>
                <w:b/>
                <w:bCs/>
                <w:color w:val="000000"/>
              </w:rPr>
            </w:pPr>
            <w:r w:rsidRPr="00F97952">
              <w:rPr>
                <w:rFonts w:asciiTheme="minorHAnsi" w:hAnsiTheme="minorHAnsi" w:cstheme="minorHAnsi"/>
                <w:b/>
                <w:bCs/>
                <w:color w:val="000000"/>
              </w:rPr>
              <w:t>Project Title</w:t>
            </w:r>
          </w:p>
        </w:tc>
        <w:tc>
          <w:tcPr>
            <w:tcW w:w="1260" w:type="dxa"/>
            <w:hideMark/>
          </w:tcPr>
          <w:p w14:paraId="61A7C8FF" w14:textId="77777777" w:rsidR="00B4136E" w:rsidRPr="00F97952" w:rsidRDefault="00B4136E" w:rsidP="00705B34">
            <w:pPr>
              <w:jc w:val="center"/>
              <w:rPr>
                <w:rFonts w:asciiTheme="minorHAnsi" w:hAnsiTheme="minorHAnsi" w:cstheme="minorHAnsi"/>
                <w:b/>
                <w:bCs/>
                <w:color w:val="000000"/>
              </w:rPr>
            </w:pPr>
            <w:r w:rsidRPr="00F97952">
              <w:rPr>
                <w:rFonts w:asciiTheme="minorHAnsi" w:hAnsiTheme="minorHAnsi" w:cstheme="minorHAnsi"/>
                <w:b/>
                <w:bCs/>
                <w:color w:val="000000"/>
              </w:rPr>
              <w:t>Duration</w:t>
            </w:r>
          </w:p>
        </w:tc>
        <w:tc>
          <w:tcPr>
            <w:tcW w:w="1170" w:type="dxa"/>
            <w:gridSpan w:val="2"/>
            <w:hideMark/>
          </w:tcPr>
          <w:p w14:paraId="7CD6CD01" w14:textId="66FC5340" w:rsidR="00B4136E" w:rsidRPr="00F97952" w:rsidRDefault="00E54C6F" w:rsidP="00705B34">
            <w:pPr>
              <w:jc w:val="center"/>
              <w:rPr>
                <w:rFonts w:asciiTheme="minorHAnsi" w:hAnsiTheme="minorHAnsi" w:cstheme="minorHAnsi"/>
                <w:b/>
                <w:bCs/>
                <w:color w:val="000000"/>
              </w:rPr>
            </w:pPr>
            <w:r w:rsidRPr="00F97952">
              <w:rPr>
                <w:rFonts w:asciiTheme="minorHAnsi" w:hAnsiTheme="minorHAnsi" w:cstheme="minorHAnsi"/>
                <w:b/>
                <w:bCs/>
                <w:color w:val="000000"/>
              </w:rPr>
              <w:t>SGP Grant</w:t>
            </w:r>
            <w:r w:rsidR="00C224F3" w:rsidRPr="00F97952">
              <w:rPr>
                <w:rFonts w:asciiTheme="minorHAnsi" w:hAnsiTheme="minorHAnsi" w:cstheme="minorHAnsi"/>
                <w:b/>
                <w:bCs/>
                <w:color w:val="000000"/>
              </w:rPr>
              <w:t xml:space="preserve"> ($)</w:t>
            </w:r>
          </w:p>
        </w:tc>
        <w:tc>
          <w:tcPr>
            <w:tcW w:w="1565" w:type="dxa"/>
            <w:hideMark/>
          </w:tcPr>
          <w:p w14:paraId="57838E8E" w14:textId="1CE2AAD1" w:rsidR="00B4136E" w:rsidRPr="00F97952" w:rsidRDefault="00B4136E" w:rsidP="00705B34">
            <w:pPr>
              <w:jc w:val="center"/>
              <w:rPr>
                <w:rFonts w:asciiTheme="minorHAnsi" w:hAnsiTheme="minorHAnsi" w:cstheme="minorHAnsi"/>
                <w:b/>
                <w:bCs/>
                <w:color w:val="000000"/>
              </w:rPr>
            </w:pPr>
            <w:r w:rsidRPr="00F97952">
              <w:rPr>
                <w:rFonts w:asciiTheme="minorHAnsi" w:hAnsiTheme="minorHAnsi" w:cstheme="minorHAnsi"/>
                <w:b/>
                <w:bCs/>
                <w:color w:val="000000"/>
              </w:rPr>
              <w:t>Co-financing</w:t>
            </w:r>
            <w:r w:rsidR="00C224F3" w:rsidRPr="00F97952">
              <w:rPr>
                <w:rFonts w:asciiTheme="minorHAnsi" w:hAnsiTheme="minorHAnsi" w:cstheme="minorHAnsi"/>
                <w:b/>
                <w:bCs/>
                <w:color w:val="000000"/>
              </w:rPr>
              <w:t xml:space="preserve"> ($)</w:t>
            </w:r>
          </w:p>
        </w:tc>
      </w:tr>
      <w:tr w:rsidR="00B4136E" w:rsidRPr="00F97952" w14:paraId="7CF520D4" w14:textId="77777777" w:rsidTr="009A6C18">
        <w:trPr>
          <w:gridAfter w:val="1"/>
          <w:wAfter w:w="1250" w:type="dxa"/>
          <w:trHeight w:val="956"/>
        </w:trPr>
        <w:tc>
          <w:tcPr>
            <w:tcW w:w="0" w:type="auto"/>
            <w:hideMark/>
          </w:tcPr>
          <w:p w14:paraId="52B9FD8A"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1</w:t>
            </w:r>
          </w:p>
        </w:tc>
        <w:tc>
          <w:tcPr>
            <w:tcW w:w="1385" w:type="dxa"/>
            <w:hideMark/>
          </w:tcPr>
          <w:p w14:paraId="4440838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Belarus</w:t>
            </w:r>
          </w:p>
        </w:tc>
        <w:tc>
          <w:tcPr>
            <w:tcW w:w="2431" w:type="dxa"/>
            <w:hideMark/>
          </w:tcPr>
          <w:p w14:paraId="7A03B20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International Public Organization “</w:t>
            </w:r>
            <w:proofErr w:type="spellStart"/>
            <w:r w:rsidRPr="00F97952">
              <w:rPr>
                <w:rFonts w:asciiTheme="minorHAnsi" w:hAnsiTheme="minorHAnsi" w:cstheme="minorHAnsi"/>
                <w:color w:val="000000"/>
              </w:rPr>
              <w:t>Ecoproject</w:t>
            </w:r>
            <w:proofErr w:type="spellEnd"/>
            <w:r w:rsidRPr="00F97952">
              <w:rPr>
                <w:rFonts w:asciiTheme="minorHAnsi" w:hAnsiTheme="minorHAnsi" w:cstheme="minorHAnsi"/>
                <w:color w:val="000000"/>
              </w:rPr>
              <w:t xml:space="preserve"> “Partnership”</w:t>
            </w:r>
          </w:p>
        </w:tc>
        <w:tc>
          <w:tcPr>
            <w:tcW w:w="4860" w:type="dxa"/>
            <w:gridSpan w:val="3"/>
            <w:hideMark/>
          </w:tcPr>
          <w:p w14:paraId="7AD2AA42"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Towards increased capacities of environmental NGOs in Belarus to participate in waste management policy formulation and enforcement</w:t>
            </w:r>
          </w:p>
        </w:tc>
        <w:tc>
          <w:tcPr>
            <w:tcW w:w="1260" w:type="dxa"/>
            <w:hideMark/>
          </w:tcPr>
          <w:p w14:paraId="7EDAAAD2"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3/2014-4/2016</w:t>
            </w:r>
          </w:p>
        </w:tc>
        <w:tc>
          <w:tcPr>
            <w:tcW w:w="1170" w:type="dxa"/>
            <w:gridSpan w:val="2"/>
            <w:hideMark/>
          </w:tcPr>
          <w:p w14:paraId="25D83C71" w14:textId="66B54AC6"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48,950</w:t>
            </w:r>
          </w:p>
        </w:tc>
        <w:tc>
          <w:tcPr>
            <w:tcW w:w="1565" w:type="dxa"/>
            <w:hideMark/>
          </w:tcPr>
          <w:p w14:paraId="73938228" w14:textId="5402740E"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4,895</w:t>
            </w:r>
          </w:p>
        </w:tc>
      </w:tr>
      <w:tr w:rsidR="00B4136E" w:rsidRPr="00F97952" w14:paraId="08D0794F" w14:textId="77777777" w:rsidTr="009A6C18">
        <w:trPr>
          <w:gridAfter w:val="1"/>
          <w:wAfter w:w="1250" w:type="dxa"/>
          <w:trHeight w:val="864"/>
        </w:trPr>
        <w:tc>
          <w:tcPr>
            <w:tcW w:w="0" w:type="auto"/>
            <w:hideMark/>
          </w:tcPr>
          <w:p w14:paraId="62F95F39"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2</w:t>
            </w:r>
          </w:p>
        </w:tc>
        <w:tc>
          <w:tcPr>
            <w:tcW w:w="1385" w:type="dxa"/>
            <w:hideMark/>
          </w:tcPr>
          <w:p w14:paraId="13C6F171"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China</w:t>
            </w:r>
          </w:p>
        </w:tc>
        <w:tc>
          <w:tcPr>
            <w:tcW w:w="2431" w:type="dxa"/>
            <w:hideMark/>
          </w:tcPr>
          <w:p w14:paraId="52292676"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 xml:space="preserve">Shanghai </w:t>
            </w:r>
            <w:proofErr w:type="spellStart"/>
            <w:r w:rsidRPr="00F97952">
              <w:rPr>
                <w:rFonts w:asciiTheme="minorHAnsi" w:hAnsiTheme="minorHAnsi" w:cstheme="minorHAnsi"/>
                <w:color w:val="000000"/>
              </w:rPr>
              <w:t>Zhonggu</w:t>
            </w:r>
            <w:proofErr w:type="spellEnd"/>
            <w:r w:rsidRPr="00F97952">
              <w:rPr>
                <w:rFonts w:asciiTheme="minorHAnsi" w:hAnsiTheme="minorHAnsi" w:cstheme="minorHAnsi"/>
                <w:color w:val="000000"/>
              </w:rPr>
              <w:t xml:space="preserve"> Charity Youth Development Center</w:t>
            </w:r>
          </w:p>
        </w:tc>
        <w:tc>
          <w:tcPr>
            <w:tcW w:w="4860" w:type="dxa"/>
            <w:gridSpan w:val="3"/>
            <w:hideMark/>
          </w:tcPr>
          <w:p w14:paraId="0FB54F5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Recycling and Environmentally Sound Disposal of Used Computers</w:t>
            </w:r>
          </w:p>
        </w:tc>
        <w:tc>
          <w:tcPr>
            <w:tcW w:w="1260" w:type="dxa"/>
            <w:hideMark/>
          </w:tcPr>
          <w:p w14:paraId="39B27C1A"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10/2014-10/2016</w:t>
            </w:r>
          </w:p>
        </w:tc>
        <w:tc>
          <w:tcPr>
            <w:tcW w:w="1170" w:type="dxa"/>
            <w:gridSpan w:val="2"/>
            <w:hideMark/>
          </w:tcPr>
          <w:p w14:paraId="0F4FB8B5" w14:textId="7D2B2D07"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50,000</w:t>
            </w:r>
          </w:p>
        </w:tc>
        <w:tc>
          <w:tcPr>
            <w:tcW w:w="1565" w:type="dxa"/>
            <w:hideMark/>
          </w:tcPr>
          <w:p w14:paraId="006DA145" w14:textId="7C6B4D9D"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151,448</w:t>
            </w:r>
          </w:p>
        </w:tc>
      </w:tr>
      <w:tr w:rsidR="00B4136E" w:rsidRPr="00F97952" w14:paraId="3C12166B" w14:textId="77777777" w:rsidTr="009A6C18">
        <w:trPr>
          <w:gridAfter w:val="1"/>
          <w:wAfter w:w="1250" w:type="dxa"/>
          <w:trHeight w:val="864"/>
        </w:trPr>
        <w:tc>
          <w:tcPr>
            <w:tcW w:w="0" w:type="auto"/>
            <w:hideMark/>
          </w:tcPr>
          <w:p w14:paraId="40CA89B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3</w:t>
            </w:r>
          </w:p>
        </w:tc>
        <w:tc>
          <w:tcPr>
            <w:tcW w:w="1385" w:type="dxa"/>
            <w:hideMark/>
          </w:tcPr>
          <w:p w14:paraId="35130C49"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Ghana</w:t>
            </w:r>
          </w:p>
        </w:tc>
        <w:tc>
          <w:tcPr>
            <w:tcW w:w="2431" w:type="dxa"/>
            <w:hideMark/>
          </w:tcPr>
          <w:p w14:paraId="36CB2EFA"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HATOF Foundation</w:t>
            </w:r>
          </w:p>
        </w:tc>
        <w:tc>
          <w:tcPr>
            <w:tcW w:w="4860" w:type="dxa"/>
            <w:gridSpan w:val="3"/>
            <w:hideMark/>
          </w:tcPr>
          <w:p w14:paraId="2BD5FA39"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Capacities of civil society to contribute to the implementation of multilateral environmental agreements (MEAs)</w:t>
            </w:r>
          </w:p>
        </w:tc>
        <w:tc>
          <w:tcPr>
            <w:tcW w:w="1260" w:type="dxa"/>
            <w:hideMark/>
          </w:tcPr>
          <w:p w14:paraId="4AED2889"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11/2016-3/2018</w:t>
            </w:r>
          </w:p>
        </w:tc>
        <w:tc>
          <w:tcPr>
            <w:tcW w:w="1170" w:type="dxa"/>
            <w:gridSpan w:val="2"/>
            <w:hideMark/>
          </w:tcPr>
          <w:p w14:paraId="0738E2B8" w14:textId="3B8D8BC7"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21,800</w:t>
            </w:r>
          </w:p>
        </w:tc>
        <w:tc>
          <w:tcPr>
            <w:tcW w:w="1565" w:type="dxa"/>
            <w:hideMark/>
          </w:tcPr>
          <w:p w14:paraId="2C5E633E" w14:textId="403821FE"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24,600</w:t>
            </w:r>
          </w:p>
        </w:tc>
      </w:tr>
      <w:tr w:rsidR="00B4136E" w:rsidRPr="00F97952" w14:paraId="7AE63341" w14:textId="77777777" w:rsidTr="009A6C18">
        <w:trPr>
          <w:gridAfter w:val="1"/>
          <w:wAfter w:w="1250" w:type="dxa"/>
          <w:trHeight w:val="902"/>
        </w:trPr>
        <w:tc>
          <w:tcPr>
            <w:tcW w:w="0" w:type="auto"/>
            <w:hideMark/>
          </w:tcPr>
          <w:p w14:paraId="1CF2D8FF"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4</w:t>
            </w:r>
          </w:p>
        </w:tc>
        <w:tc>
          <w:tcPr>
            <w:tcW w:w="1385" w:type="dxa"/>
            <w:hideMark/>
          </w:tcPr>
          <w:p w14:paraId="2B7B651C"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Ghana</w:t>
            </w:r>
          </w:p>
        </w:tc>
        <w:tc>
          <w:tcPr>
            <w:tcW w:w="2431" w:type="dxa"/>
            <w:hideMark/>
          </w:tcPr>
          <w:p w14:paraId="37E2BF09"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 xml:space="preserve">Green </w:t>
            </w:r>
            <w:proofErr w:type="spellStart"/>
            <w:r w:rsidRPr="00F97952">
              <w:rPr>
                <w:rFonts w:asciiTheme="minorHAnsi" w:hAnsiTheme="minorHAnsi" w:cstheme="minorHAnsi"/>
                <w:color w:val="000000"/>
              </w:rPr>
              <w:t>Waterhut</w:t>
            </w:r>
            <w:proofErr w:type="spellEnd"/>
          </w:p>
        </w:tc>
        <w:tc>
          <w:tcPr>
            <w:tcW w:w="4860" w:type="dxa"/>
            <w:gridSpan w:val="3"/>
            <w:hideMark/>
          </w:tcPr>
          <w:p w14:paraId="10C78A46"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 xml:space="preserve">Promoting mercury management among artisanal miners and processing of plastic waste into fuel in </w:t>
            </w:r>
            <w:proofErr w:type="spellStart"/>
            <w:r w:rsidRPr="00F97952">
              <w:rPr>
                <w:rFonts w:asciiTheme="minorHAnsi" w:hAnsiTheme="minorHAnsi" w:cstheme="minorHAnsi"/>
                <w:color w:val="000000"/>
              </w:rPr>
              <w:t>Wakawaka</w:t>
            </w:r>
            <w:proofErr w:type="spellEnd"/>
            <w:r w:rsidRPr="00F97952">
              <w:rPr>
                <w:rFonts w:asciiTheme="minorHAnsi" w:hAnsiTheme="minorHAnsi" w:cstheme="minorHAnsi"/>
                <w:color w:val="000000"/>
              </w:rPr>
              <w:t>, Jama, and Banda Nkwanta, within the Black Volta Basin</w:t>
            </w:r>
          </w:p>
        </w:tc>
        <w:tc>
          <w:tcPr>
            <w:tcW w:w="1260" w:type="dxa"/>
            <w:hideMark/>
          </w:tcPr>
          <w:p w14:paraId="52105647"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11/2016-7/2018</w:t>
            </w:r>
          </w:p>
        </w:tc>
        <w:tc>
          <w:tcPr>
            <w:tcW w:w="1170" w:type="dxa"/>
            <w:gridSpan w:val="2"/>
            <w:hideMark/>
          </w:tcPr>
          <w:p w14:paraId="57CABA22" w14:textId="447CD8CD"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23,500</w:t>
            </w:r>
          </w:p>
        </w:tc>
        <w:tc>
          <w:tcPr>
            <w:tcW w:w="1565" w:type="dxa"/>
            <w:hideMark/>
          </w:tcPr>
          <w:p w14:paraId="17538A1D" w14:textId="04960DEA"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24,000</w:t>
            </w:r>
          </w:p>
        </w:tc>
      </w:tr>
      <w:tr w:rsidR="00B4136E" w:rsidRPr="00F97952" w14:paraId="2BC19ED4" w14:textId="77777777" w:rsidTr="009A6C18">
        <w:trPr>
          <w:gridAfter w:val="1"/>
          <w:wAfter w:w="1250" w:type="dxa"/>
          <w:trHeight w:val="864"/>
        </w:trPr>
        <w:tc>
          <w:tcPr>
            <w:tcW w:w="0" w:type="auto"/>
            <w:hideMark/>
          </w:tcPr>
          <w:p w14:paraId="6C4931B5"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5</w:t>
            </w:r>
          </w:p>
        </w:tc>
        <w:tc>
          <w:tcPr>
            <w:tcW w:w="1385" w:type="dxa"/>
            <w:hideMark/>
          </w:tcPr>
          <w:p w14:paraId="4F04D893"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Ghana</w:t>
            </w:r>
          </w:p>
        </w:tc>
        <w:tc>
          <w:tcPr>
            <w:tcW w:w="2431" w:type="dxa"/>
            <w:hideMark/>
          </w:tcPr>
          <w:p w14:paraId="07F567E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 xml:space="preserve">Green </w:t>
            </w:r>
            <w:proofErr w:type="spellStart"/>
            <w:r w:rsidRPr="00F97952">
              <w:rPr>
                <w:rFonts w:asciiTheme="minorHAnsi" w:hAnsiTheme="minorHAnsi" w:cstheme="minorHAnsi"/>
                <w:color w:val="000000"/>
              </w:rPr>
              <w:t>Waterhut</w:t>
            </w:r>
            <w:proofErr w:type="spellEnd"/>
          </w:p>
        </w:tc>
        <w:tc>
          <w:tcPr>
            <w:tcW w:w="4860" w:type="dxa"/>
            <w:gridSpan w:val="3"/>
            <w:hideMark/>
          </w:tcPr>
          <w:p w14:paraId="6CA0D7D8"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Development of baseline data and strategic document for the economic, ecological and social transformation of the Black Volta Basin</w:t>
            </w:r>
          </w:p>
        </w:tc>
        <w:tc>
          <w:tcPr>
            <w:tcW w:w="1260" w:type="dxa"/>
            <w:hideMark/>
          </w:tcPr>
          <w:p w14:paraId="7185771F"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9/2015-12/2015</w:t>
            </w:r>
          </w:p>
        </w:tc>
        <w:tc>
          <w:tcPr>
            <w:tcW w:w="1170" w:type="dxa"/>
            <w:gridSpan w:val="2"/>
            <w:hideMark/>
          </w:tcPr>
          <w:p w14:paraId="2837D1A1" w14:textId="3EBFD4F7"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25,000</w:t>
            </w:r>
          </w:p>
        </w:tc>
        <w:tc>
          <w:tcPr>
            <w:tcW w:w="1565" w:type="dxa"/>
            <w:hideMark/>
          </w:tcPr>
          <w:p w14:paraId="0071E097" w14:textId="6059D4AE"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27,000</w:t>
            </w:r>
          </w:p>
        </w:tc>
      </w:tr>
      <w:tr w:rsidR="00B4136E" w:rsidRPr="00F97952" w14:paraId="3B76AC70" w14:textId="77777777" w:rsidTr="009A6C18">
        <w:trPr>
          <w:gridAfter w:val="1"/>
          <w:wAfter w:w="1250" w:type="dxa"/>
          <w:trHeight w:val="864"/>
        </w:trPr>
        <w:tc>
          <w:tcPr>
            <w:tcW w:w="0" w:type="auto"/>
            <w:hideMark/>
          </w:tcPr>
          <w:p w14:paraId="3DF6F7AB"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6</w:t>
            </w:r>
          </w:p>
        </w:tc>
        <w:tc>
          <w:tcPr>
            <w:tcW w:w="1385" w:type="dxa"/>
            <w:hideMark/>
          </w:tcPr>
          <w:p w14:paraId="4688397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Global</w:t>
            </w:r>
          </w:p>
        </w:tc>
        <w:tc>
          <w:tcPr>
            <w:tcW w:w="2431" w:type="dxa"/>
            <w:hideMark/>
          </w:tcPr>
          <w:p w14:paraId="73127B2D"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European Environment Bureau Zero Mercury Working Group</w:t>
            </w:r>
          </w:p>
        </w:tc>
        <w:tc>
          <w:tcPr>
            <w:tcW w:w="4860" w:type="dxa"/>
            <w:gridSpan w:val="3"/>
            <w:hideMark/>
          </w:tcPr>
          <w:p w14:paraId="270C5679"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 xml:space="preserve">Implementing the Minamata Convention: building NGO coalitions to reduce mercury use, release and exposure </w:t>
            </w:r>
          </w:p>
        </w:tc>
        <w:tc>
          <w:tcPr>
            <w:tcW w:w="1260" w:type="dxa"/>
            <w:hideMark/>
          </w:tcPr>
          <w:p w14:paraId="1F5E33CE"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1/2018-12/2019</w:t>
            </w:r>
          </w:p>
        </w:tc>
        <w:tc>
          <w:tcPr>
            <w:tcW w:w="1170" w:type="dxa"/>
            <w:gridSpan w:val="2"/>
            <w:hideMark/>
          </w:tcPr>
          <w:p w14:paraId="7BF62320" w14:textId="714105F4"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150,000</w:t>
            </w:r>
          </w:p>
        </w:tc>
        <w:tc>
          <w:tcPr>
            <w:tcW w:w="1565" w:type="dxa"/>
            <w:hideMark/>
          </w:tcPr>
          <w:p w14:paraId="2CAE72CB" w14:textId="7C38D0A6"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150,023</w:t>
            </w:r>
          </w:p>
        </w:tc>
      </w:tr>
      <w:tr w:rsidR="00B4136E" w:rsidRPr="00F97952" w14:paraId="3E4C0D31" w14:textId="77777777" w:rsidTr="009A6C18">
        <w:trPr>
          <w:gridAfter w:val="1"/>
          <w:wAfter w:w="1250" w:type="dxa"/>
          <w:trHeight w:val="605"/>
        </w:trPr>
        <w:tc>
          <w:tcPr>
            <w:tcW w:w="0" w:type="auto"/>
            <w:hideMark/>
          </w:tcPr>
          <w:p w14:paraId="52C22498"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7</w:t>
            </w:r>
          </w:p>
        </w:tc>
        <w:tc>
          <w:tcPr>
            <w:tcW w:w="1385" w:type="dxa"/>
            <w:hideMark/>
          </w:tcPr>
          <w:p w14:paraId="7D02C83C"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Guyana</w:t>
            </w:r>
          </w:p>
        </w:tc>
        <w:tc>
          <w:tcPr>
            <w:tcW w:w="2431" w:type="dxa"/>
            <w:hideMark/>
          </w:tcPr>
          <w:p w14:paraId="6EC8B103"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Global Youth Movement - Guyana</w:t>
            </w:r>
          </w:p>
        </w:tc>
        <w:tc>
          <w:tcPr>
            <w:tcW w:w="4860" w:type="dxa"/>
            <w:gridSpan w:val="3"/>
            <w:hideMark/>
          </w:tcPr>
          <w:p w14:paraId="243BACD0"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Community Environment, Health and Recycling Project</w:t>
            </w:r>
          </w:p>
        </w:tc>
        <w:tc>
          <w:tcPr>
            <w:tcW w:w="1260" w:type="dxa"/>
            <w:hideMark/>
          </w:tcPr>
          <w:p w14:paraId="2061709F" w14:textId="77777777" w:rsidR="00B4136E" w:rsidRPr="00F97952" w:rsidRDefault="00B4136E" w:rsidP="00C224F3">
            <w:pPr>
              <w:rPr>
                <w:rFonts w:asciiTheme="minorHAnsi" w:hAnsiTheme="minorHAnsi" w:cstheme="minorHAnsi"/>
                <w:color w:val="000000"/>
              </w:rPr>
            </w:pPr>
            <w:r w:rsidRPr="00F97952">
              <w:rPr>
                <w:rFonts w:asciiTheme="minorHAnsi" w:hAnsiTheme="minorHAnsi" w:cstheme="minorHAnsi"/>
                <w:color w:val="000000"/>
              </w:rPr>
              <w:t>2/2014-6/2015</w:t>
            </w:r>
          </w:p>
        </w:tc>
        <w:tc>
          <w:tcPr>
            <w:tcW w:w="1170" w:type="dxa"/>
            <w:gridSpan w:val="2"/>
            <w:hideMark/>
          </w:tcPr>
          <w:p w14:paraId="552A3B0F" w14:textId="668E4D50"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50,000</w:t>
            </w:r>
          </w:p>
        </w:tc>
        <w:tc>
          <w:tcPr>
            <w:tcW w:w="1565" w:type="dxa"/>
            <w:hideMark/>
          </w:tcPr>
          <w:p w14:paraId="50288A3C" w14:textId="2AA9614C" w:rsidR="00B4136E" w:rsidRPr="00F97952" w:rsidRDefault="00B4136E" w:rsidP="00705B34">
            <w:pPr>
              <w:jc w:val="right"/>
              <w:rPr>
                <w:rFonts w:asciiTheme="minorHAnsi" w:hAnsiTheme="minorHAnsi" w:cstheme="minorHAnsi"/>
                <w:color w:val="000000"/>
              </w:rPr>
            </w:pPr>
            <w:r w:rsidRPr="00F97952">
              <w:rPr>
                <w:rFonts w:asciiTheme="minorHAnsi" w:hAnsiTheme="minorHAnsi" w:cstheme="minorHAnsi"/>
                <w:color w:val="000000"/>
              </w:rPr>
              <w:t>65,908</w:t>
            </w:r>
          </w:p>
        </w:tc>
      </w:tr>
      <w:tr w:rsidR="00B4136E" w:rsidRPr="00316569" w14:paraId="13D5952C" w14:textId="77777777" w:rsidTr="009A6C18">
        <w:trPr>
          <w:gridAfter w:val="1"/>
          <w:wAfter w:w="1250" w:type="dxa"/>
          <w:trHeight w:val="857"/>
        </w:trPr>
        <w:tc>
          <w:tcPr>
            <w:tcW w:w="0" w:type="auto"/>
            <w:hideMark/>
          </w:tcPr>
          <w:p w14:paraId="06A2F223"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lastRenderedPageBreak/>
              <w:t>8</w:t>
            </w:r>
          </w:p>
        </w:tc>
        <w:tc>
          <w:tcPr>
            <w:tcW w:w="1385" w:type="dxa"/>
            <w:hideMark/>
          </w:tcPr>
          <w:p w14:paraId="342FDA52"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Malaysia</w:t>
            </w:r>
          </w:p>
        </w:tc>
        <w:tc>
          <w:tcPr>
            <w:tcW w:w="2431" w:type="dxa"/>
            <w:hideMark/>
          </w:tcPr>
          <w:p w14:paraId="2AD738B5" w14:textId="77777777" w:rsidR="00B4136E" w:rsidRPr="00316569" w:rsidRDefault="00AB4CDC" w:rsidP="00C224F3">
            <w:pPr>
              <w:rPr>
                <w:rFonts w:asciiTheme="minorHAnsi" w:hAnsiTheme="minorHAnsi"/>
              </w:rPr>
            </w:pPr>
            <w:proofErr w:type="spellStart"/>
            <w:r w:rsidRPr="00316569">
              <w:rPr>
                <w:rFonts w:asciiTheme="minorHAnsi" w:hAnsiTheme="minorHAnsi"/>
              </w:rPr>
              <w:t>Persatuan</w:t>
            </w:r>
            <w:proofErr w:type="spellEnd"/>
            <w:r w:rsidRPr="00316569">
              <w:rPr>
                <w:rFonts w:asciiTheme="minorHAnsi" w:hAnsiTheme="minorHAnsi"/>
              </w:rPr>
              <w:t xml:space="preserve"> </w:t>
            </w:r>
            <w:proofErr w:type="spellStart"/>
            <w:r w:rsidRPr="00316569">
              <w:rPr>
                <w:rFonts w:asciiTheme="minorHAnsi" w:hAnsiTheme="minorHAnsi"/>
              </w:rPr>
              <w:t>Kesedaran</w:t>
            </w:r>
            <w:proofErr w:type="spellEnd"/>
            <w:r w:rsidRPr="00316569">
              <w:rPr>
                <w:rFonts w:asciiTheme="minorHAnsi" w:hAnsiTheme="minorHAnsi"/>
              </w:rPr>
              <w:t xml:space="preserve"> Dan </w:t>
            </w:r>
            <w:proofErr w:type="spellStart"/>
            <w:r w:rsidRPr="00316569">
              <w:rPr>
                <w:rFonts w:asciiTheme="minorHAnsi" w:hAnsiTheme="minorHAnsi"/>
              </w:rPr>
              <w:t>Pendidikan</w:t>
            </w:r>
            <w:proofErr w:type="spellEnd"/>
            <w:r w:rsidRPr="00316569">
              <w:rPr>
                <w:rFonts w:asciiTheme="minorHAnsi" w:hAnsiTheme="minorHAnsi"/>
              </w:rPr>
              <w:t xml:space="preserve"> 3r Kuala Lumpur</w:t>
            </w:r>
          </w:p>
        </w:tc>
        <w:tc>
          <w:tcPr>
            <w:tcW w:w="4860" w:type="dxa"/>
            <w:gridSpan w:val="3"/>
            <w:hideMark/>
          </w:tcPr>
          <w:p w14:paraId="1DA74515" w14:textId="77777777" w:rsidR="00B4136E" w:rsidRPr="00316569" w:rsidRDefault="00AB4CDC" w:rsidP="00C224F3">
            <w:pPr>
              <w:rPr>
                <w:rFonts w:asciiTheme="minorHAnsi" w:hAnsiTheme="minorHAnsi" w:cstheme="minorHAnsi"/>
                <w:color w:val="000000"/>
              </w:rPr>
            </w:pPr>
            <w:r w:rsidRPr="00316569">
              <w:rPr>
                <w:rFonts w:asciiTheme="minorHAnsi" w:hAnsiTheme="minorHAnsi" w:cstheme="minorHAnsi"/>
                <w:color w:val="000000"/>
              </w:rPr>
              <w:t>Awareness campaign on sustainable waste management as opposed to incinerator</w:t>
            </w:r>
          </w:p>
        </w:tc>
        <w:tc>
          <w:tcPr>
            <w:tcW w:w="1260" w:type="dxa"/>
            <w:hideMark/>
          </w:tcPr>
          <w:p w14:paraId="3511FB7D"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10/2014-5/2015</w:t>
            </w:r>
          </w:p>
        </w:tc>
        <w:tc>
          <w:tcPr>
            <w:tcW w:w="1170" w:type="dxa"/>
            <w:gridSpan w:val="2"/>
            <w:hideMark/>
          </w:tcPr>
          <w:p w14:paraId="0DE9C17B" w14:textId="7615E523"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2,000</w:t>
            </w:r>
          </w:p>
        </w:tc>
        <w:tc>
          <w:tcPr>
            <w:tcW w:w="1565" w:type="dxa"/>
            <w:hideMark/>
          </w:tcPr>
          <w:p w14:paraId="5BB041B5" w14:textId="77777777"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 </w:t>
            </w:r>
          </w:p>
        </w:tc>
      </w:tr>
      <w:tr w:rsidR="00B4136E" w:rsidRPr="00316569" w14:paraId="1261ABDD" w14:textId="77777777" w:rsidTr="009A6C18">
        <w:trPr>
          <w:gridAfter w:val="1"/>
          <w:wAfter w:w="1250" w:type="dxa"/>
          <w:trHeight w:val="1055"/>
        </w:trPr>
        <w:tc>
          <w:tcPr>
            <w:tcW w:w="0" w:type="auto"/>
            <w:hideMark/>
          </w:tcPr>
          <w:p w14:paraId="03C8795A"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9</w:t>
            </w:r>
          </w:p>
        </w:tc>
        <w:tc>
          <w:tcPr>
            <w:tcW w:w="1385" w:type="dxa"/>
            <w:hideMark/>
          </w:tcPr>
          <w:p w14:paraId="3CE4264C"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Malaysia</w:t>
            </w:r>
          </w:p>
        </w:tc>
        <w:tc>
          <w:tcPr>
            <w:tcW w:w="2431" w:type="dxa"/>
            <w:hideMark/>
          </w:tcPr>
          <w:p w14:paraId="179DF8B8" w14:textId="77777777" w:rsidR="00B4136E" w:rsidRPr="00316569" w:rsidRDefault="00AB4CDC" w:rsidP="00C224F3">
            <w:pPr>
              <w:rPr>
                <w:rFonts w:asciiTheme="minorHAnsi" w:hAnsiTheme="minorHAnsi" w:cstheme="minorHAnsi"/>
                <w:color w:val="000000"/>
              </w:rPr>
            </w:pPr>
            <w:proofErr w:type="spellStart"/>
            <w:r w:rsidRPr="00316569">
              <w:rPr>
                <w:rFonts w:asciiTheme="minorHAnsi" w:hAnsiTheme="minorHAnsi" w:cstheme="minorHAnsi"/>
                <w:color w:val="000000"/>
              </w:rPr>
              <w:t>Pertubuhan</w:t>
            </w:r>
            <w:proofErr w:type="spellEnd"/>
            <w:r w:rsidRPr="00316569">
              <w:rPr>
                <w:rFonts w:asciiTheme="minorHAnsi" w:hAnsiTheme="minorHAnsi" w:cstheme="minorHAnsi"/>
                <w:color w:val="000000"/>
              </w:rPr>
              <w:t xml:space="preserve"> </w:t>
            </w:r>
            <w:proofErr w:type="spellStart"/>
            <w:r w:rsidRPr="00316569">
              <w:rPr>
                <w:rFonts w:asciiTheme="minorHAnsi" w:hAnsiTheme="minorHAnsi" w:cstheme="minorHAnsi"/>
                <w:color w:val="000000"/>
              </w:rPr>
              <w:t>Gerakan</w:t>
            </w:r>
            <w:proofErr w:type="spellEnd"/>
            <w:r w:rsidRPr="00316569">
              <w:rPr>
                <w:rFonts w:asciiTheme="minorHAnsi" w:hAnsiTheme="minorHAnsi" w:cstheme="minorHAnsi"/>
                <w:color w:val="000000"/>
              </w:rPr>
              <w:t xml:space="preserve"> </w:t>
            </w:r>
            <w:proofErr w:type="spellStart"/>
            <w:r w:rsidRPr="00316569">
              <w:rPr>
                <w:rFonts w:asciiTheme="minorHAnsi" w:hAnsiTheme="minorHAnsi" w:cstheme="minorHAnsi"/>
                <w:color w:val="000000"/>
              </w:rPr>
              <w:t>Belia</w:t>
            </w:r>
            <w:proofErr w:type="spellEnd"/>
            <w:r w:rsidRPr="00316569">
              <w:rPr>
                <w:rFonts w:asciiTheme="minorHAnsi" w:hAnsiTheme="minorHAnsi" w:cstheme="minorHAnsi"/>
                <w:color w:val="000000"/>
              </w:rPr>
              <w:t xml:space="preserve"> </w:t>
            </w:r>
            <w:proofErr w:type="spellStart"/>
            <w:r w:rsidRPr="00316569">
              <w:rPr>
                <w:rFonts w:asciiTheme="minorHAnsi" w:hAnsiTheme="minorHAnsi" w:cstheme="minorHAnsi"/>
                <w:color w:val="000000"/>
              </w:rPr>
              <w:t>Bersatu</w:t>
            </w:r>
            <w:proofErr w:type="spellEnd"/>
            <w:r w:rsidRPr="00316569">
              <w:rPr>
                <w:rFonts w:asciiTheme="minorHAnsi" w:hAnsiTheme="minorHAnsi" w:cstheme="minorHAnsi"/>
                <w:color w:val="000000"/>
              </w:rPr>
              <w:t xml:space="preserve"> Malaysia Caw. </w:t>
            </w:r>
            <w:proofErr w:type="spellStart"/>
            <w:r w:rsidRPr="00316569">
              <w:rPr>
                <w:rFonts w:asciiTheme="minorHAnsi" w:hAnsiTheme="minorHAnsi" w:cstheme="minorHAnsi"/>
                <w:color w:val="000000"/>
              </w:rPr>
              <w:t>Pulau</w:t>
            </w:r>
            <w:proofErr w:type="spellEnd"/>
            <w:r w:rsidRPr="00316569">
              <w:rPr>
                <w:rFonts w:asciiTheme="minorHAnsi" w:hAnsiTheme="minorHAnsi" w:cstheme="minorHAnsi"/>
                <w:color w:val="000000"/>
              </w:rPr>
              <w:t xml:space="preserve"> </w:t>
            </w:r>
            <w:proofErr w:type="spellStart"/>
            <w:r w:rsidRPr="00316569">
              <w:rPr>
                <w:rFonts w:asciiTheme="minorHAnsi" w:hAnsiTheme="minorHAnsi" w:cstheme="minorHAnsi"/>
                <w:color w:val="000000"/>
              </w:rPr>
              <w:t>Pangkor</w:t>
            </w:r>
            <w:proofErr w:type="spellEnd"/>
          </w:p>
        </w:tc>
        <w:tc>
          <w:tcPr>
            <w:tcW w:w="4860" w:type="dxa"/>
            <w:gridSpan w:val="3"/>
            <w:hideMark/>
          </w:tcPr>
          <w:p w14:paraId="225B6CC8" w14:textId="77777777" w:rsidR="00B4136E" w:rsidRPr="00316569" w:rsidRDefault="00AB4CDC" w:rsidP="00C224F3">
            <w:pPr>
              <w:rPr>
                <w:rFonts w:asciiTheme="minorHAnsi" w:hAnsiTheme="minorHAnsi" w:cstheme="minorHAnsi"/>
                <w:color w:val="000000"/>
              </w:rPr>
            </w:pPr>
            <w:r w:rsidRPr="00316569">
              <w:rPr>
                <w:rFonts w:asciiTheme="minorHAnsi" w:hAnsiTheme="minorHAnsi" w:cstheme="minorHAnsi"/>
                <w:color w:val="000000"/>
              </w:rPr>
              <w:t>Chemical pollutants from solid waste landfill area and its minimization by engaging the local community in 3r (reduce, reuse and recycle) program</w:t>
            </w:r>
          </w:p>
        </w:tc>
        <w:tc>
          <w:tcPr>
            <w:tcW w:w="1260" w:type="dxa"/>
            <w:hideMark/>
          </w:tcPr>
          <w:p w14:paraId="2869088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10/2014-2/2015</w:t>
            </w:r>
          </w:p>
        </w:tc>
        <w:tc>
          <w:tcPr>
            <w:tcW w:w="1170" w:type="dxa"/>
            <w:gridSpan w:val="2"/>
            <w:hideMark/>
          </w:tcPr>
          <w:p w14:paraId="6077FA27" w14:textId="60A2AEFF"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2,000</w:t>
            </w:r>
          </w:p>
        </w:tc>
        <w:tc>
          <w:tcPr>
            <w:tcW w:w="1565" w:type="dxa"/>
            <w:hideMark/>
          </w:tcPr>
          <w:p w14:paraId="75C49A55" w14:textId="77777777"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 </w:t>
            </w:r>
          </w:p>
        </w:tc>
      </w:tr>
      <w:tr w:rsidR="00B4136E" w:rsidRPr="00316569" w14:paraId="3AE5FF53" w14:textId="77777777" w:rsidTr="009A6C18">
        <w:trPr>
          <w:gridAfter w:val="1"/>
          <w:wAfter w:w="1250" w:type="dxa"/>
          <w:trHeight w:val="1235"/>
        </w:trPr>
        <w:tc>
          <w:tcPr>
            <w:tcW w:w="0" w:type="auto"/>
            <w:hideMark/>
          </w:tcPr>
          <w:p w14:paraId="480AEFDD"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10</w:t>
            </w:r>
          </w:p>
        </w:tc>
        <w:tc>
          <w:tcPr>
            <w:tcW w:w="1385" w:type="dxa"/>
            <w:hideMark/>
          </w:tcPr>
          <w:p w14:paraId="66A0BC10"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Malaysia</w:t>
            </w:r>
          </w:p>
        </w:tc>
        <w:tc>
          <w:tcPr>
            <w:tcW w:w="2431" w:type="dxa"/>
            <w:hideMark/>
          </w:tcPr>
          <w:p w14:paraId="3F5B964B" w14:textId="77777777" w:rsidR="00B4136E" w:rsidRPr="00316569" w:rsidRDefault="00F838A9" w:rsidP="00C224F3">
            <w:pPr>
              <w:rPr>
                <w:rFonts w:asciiTheme="minorHAnsi" w:hAnsiTheme="minorHAnsi" w:cstheme="minorHAnsi"/>
                <w:color w:val="000000"/>
              </w:rPr>
            </w:pPr>
            <w:r w:rsidRPr="00316569">
              <w:rPr>
                <w:rFonts w:asciiTheme="minorHAnsi" w:hAnsiTheme="minorHAnsi" w:cstheme="minorHAnsi"/>
                <w:color w:val="000000"/>
              </w:rPr>
              <w:t>The Electrical a</w:t>
            </w:r>
            <w:r w:rsidR="00AB4CDC" w:rsidRPr="00316569">
              <w:rPr>
                <w:rFonts w:asciiTheme="minorHAnsi" w:hAnsiTheme="minorHAnsi" w:cstheme="minorHAnsi"/>
                <w:color w:val="000000"/>
              </w:rPr>
              <w:t>nd Electronics Associati</w:t>
            </w:r>
            <w:r w:rsidRPr="00316569">
              <w:rPr>
                <w:rFonts w:asciiTheme="minorHAnsi" w:hAnsiTheme="minorHAnsi" w:cstheme="minorHAnsi"/>
                <w:color w:val="000000"/>
              </w:rPr>
              <w:t>on o</w:t>
            </w:r>
            <w:r w:rsidR="00AB4CDC" w:rsidRPr="00316569">
              <w:rPr>
                <w:rFonts w:asciiTheme="minorHAnsi" w:hAnsiTheme="minorHAnsi" w:cstheme="minorHAnsi"/>
                <w:color w:val="000000"/>
              </w:rPr>
              <w:t>f Malaysia</w:t>
            </w:r>
          </w:p>
        </w:tc>
        <w:tc>
          <w:tcPr>
            <w:tcW w:w="4860" w:type="dxa"/>
            <w:gridSpan w:val="3"/>
            <w:hideMark/>
          </w:tcPr>
          <w:p w14:paraId="37A184FA" w14:textId="77777777" w:rsidR="00B4136E" w:rsidRPr="00316569" w:rsidRDefault="00AB4CDC" w:rsidP="00C224F3">
            <w:pPr>
              <w:rPr>
                <w:rFonts w:asciiTheme="minorHAnsi" w:hAnsiTheme="minorHAnsi" w:cstheme="minorHAnsi"/>
                <w:color w:val="000000"/>
              </w:rPr>
            </w:pPr>
            <w:r w:rsidRPr="00316569">
              <w:rPr>
                <w:rFonts w:asciiTheme="minorHAnsi" w:hAnsiTheme="minorHAnsi" w:cstheme="minorHAnsi"/>
                <w:color w:val="000000"/>
              </w:rPr>
              <w:t>Knowledge enhancement of the community trough capacity building for the protection of the environment and community health for mercury containing products in the lighting industry in Malaysia</w:t>
            </w:r>
          </w:p>
        </w:tc>
        <w:tc>
          <w:tcPr>
            <w:tcW w:w="1260" w:type="dxa"/>
            <w:hideMark/>
          </w:tcPr>
          <w:p w14:paraId="4A773A78"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5/2014-7/2015</w:t>
            </w:r>
          </w:p>
        </w:tc>
        <w:tc>
          <w:tcPr>
            <w:tcW w:w="1170" w:type="dxa"/>
            <w:gridSpan w:val="2"/>
            <w:hideMark/>
          </w:tcPr>
          <w:p w14:paraId="5B0AEAA7" w14:textId="6224AF7A"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30,000</w:t>
            </w:r>
          </w:p>
        </w:tc>
        <w:tc>
          <w:tcPr>
            <w:tcW w:w="1565" w:type="dxa"/>
            <w:hideMark/>
          </w:tcPr>
          <w:p w14:paraId="4CD8F96F" w14:textId="49B0D497"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12,500</w:t>
            </w:r>
          </w:p>
        </w:tc>
      </w:tr>
      <w:tr w:rsidR="00B4136E" w:rsidRPr="00316569" w14:paraId="5AD6B5E0" w14:textId="77777777" w:rsidTr="009A6C18">
        <w:trPr>
          <w:gridAfter w:val="1"/>
          <w:wAfter w:w="1250" w:type="dxa"/>
          <w:trHeight w:val="864"/>
        </w:trPr>
        <w:tc>
          <w:tcPr>
            <w:tcW w:w="0" w:type="auto"/>
            <w:hideMark/>
          </w:tcPr>
          <w:p w14:paraId="2480F17D"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11</w:t>
            </w:r>
          </w:p>
        </w:tc>
        <w:tc>
          <w:tcPr>
            <w:tcW w:w="1385" w:type="dxa"/>
            <w:hideMark/>
          </w:tcPr>
          <w:p w14:paraId="01BD163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Nepal</w:t>
            </w:r>
          </w:p>
        </w:tc>
        <w:tc>
          <w:tcPr>
            <w:tcW w:w="2431" w:type="dxa"/>
            <w:hideMark/>
          </w:tcPr>
          <w:p w14:paraId="4E08F7BE"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Women Environment Preservation Committee</w:t>
            </w:r>
          </w:p>
        </w:tc>
        <w:tc>
          <w:tcPr>
            <w:tcW w:w="4860" w:type="dxa"/>
            <w:gridSpan w:val="3"/>
            <w:hideMark/>
          </w:tcPr>
          <w:p w14:paraId="491518BB"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E-waste Management, Mass Media Campaign and Electrification from Biogas</w:t>
            </w:r>
          </w:p>
        </w:tc>
        <w:tc>
          <w:tcPr>
            <w:tcW w:w="1260" w:type="dxa"/>
            <w:hideMark/>
          </w:tcPr>
          <w:p w14:paraId="49628D35"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4/2014-5/2015</w:t>
            </w:r>
          </w:p>
        </w:tc>
        <w:tc>
          <w:tcPr>
            <w:tcW w:w="1170" w:type="dxa"/>
            <w:gridSpan w:val="2"/>
            <w:hideMark/>
          </w:tcPr>
          <w:p w14:paraId="64D00AD6" w14:textId="527B0210"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45,000</w:t>
            </w:r>
          </w:p>
        </w:tc>
        <w:tc>
          <w:tcPr>
            <w:tcW w:w="1565" w:type="dxa"/>
            <w:hideMark/>
          </w:tcPr>
          <w:p w14:paraId="1C3C92C1" w14:textId="4717CACF"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23,430</w:t>
            </w:r>
          </w:p>
        </w:tc>
      </w:tr>
      <w:tr w:rsidR="00B4136E" w:rsidRPr="00316569" w14:paraId="508B4E24" w14:textId="77777777" w:rsidTr="009A6C18">
        <w:trPr>
          <w:gridAfter w:val="1"/>
          <w:wAfter w:w="1250" w:type="dxa"/>
          <w:trHeight w:val="893"/>
        </w:trPr>
        <w:tc>
          <w:tcPr>
            <w:tcW w:w="0" w:type="auto"/>
            <w:hideMark/>
          </w:tcPr>
          <w:p w14:paraId="7A0C425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12</w:t>
            </w:r>
          </w:p>
        </w:tc>
        <w:tc>
          <w:tcPr>
            <w:tcW w:w="1385" w:type="dxa"/>
            <w:hideMark/>
          </w:tcPr>
          <w:p w14:paraId="43590580"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St Vincent and Grenadines</w:t>
            </w:r>
          </w:p>
        </w:tc>
        <w:tc>
          <w:tcPr>
            <w:tcW w:w="2431" w:type="dxa"/>
            <w:hideMark/>
          </w:tcPr>
          <w:p w14:paraId="4934E4E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Constructive Solutions Inc.</w:t>
            </w:r>
          </w:p>
        </w:tc>
        <w:tc>
          <w:tcPr>
            <w:tcW w:w="4860" w:type="dxa"/>
            <w:gridSpan w:val="3"/>
            <w:hideMark/>
          </w:tcPr>
          <w:p w14:paraId="0D3D5C5D"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Developing Good Environmental Practices for Managing and Disposal of Hazardous Materials found in E-Waste across St. Vincent &amp; the Grenadines</w:t>
            </w:r>
          </w:p>
        </w:tc>
        <w:tc>
          <w:tcPr>
            <w:tcW w:w="1260" w:type="dxa"/>
            <w:hideMark/>
          </w:tcPr>
          <w:p w14:paraId="060D2059"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7/2015-6/2016</w:t>
            </w:r>
          </w:p>
        </w:tc>
        <w:tc>
          <w:tcPr>
            <w:tcW w:w="1170" w:type="dxa"/>
            <w:gridSpan w:val="2"/>
            <w:hideMark/>
          </w:tcPr>
          <w:p w14:paraId="409EB187" w14:textId="16AB3A01"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40,239</w:t>
            </w:r>
          </w:p>
        </w:tc>
        <w:tc>
          <w:tcPr>
            <w:tcW w:w="1565" w:type="dxa"/>
            <w:hideMark/>
          </w:tcPr>
          <w:p w14:paraId="230D4E8D" w14:textId="54086080"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73,039</w:t>
            </w:r>
          </w:p>
        </w:tc>
      </w:tr>
      <w:tr w:rsidR="00B4136E" w:rsidRPr="00316569" w14:paraId="111814BE" w14:textId="77777777" w:rsidTr="009A6C18">
        <w:trPr>
          <w:gridAfter w:val="1"/>
          <w:wAfter w:w="1250" w:type="dxa"/>
          <w:trHeight w:val="576"/>
        </w:trPr>
        <w:tc>
          <w:tcPr>
            <w:tcW w:w="0" w:type="auto"/>
            <w:hideMark/>
          </w:tcPr>
          <w:p w14:paraId="0B418988"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13</w:t>
            </w:r>
          </w:p>
        </w:tc>
        <w:tc>
          <w:tcPr>
            <w:tcW w:w="1385" w:type="dxa"/>
            <w:hideMark/>
          </w:tcPr>
          <w:p w14:paraId="6C45E0B3"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Suriname</w:t>
            </w:r>
          </w:p>
        </w:tc>
        <w:tc>
          <w:tcPr>
            <w:tcW w:w="2431" w:type="dxa"/>
            <w:hideMark/>
          </w:tcPr>
          <w:p w14:paraId="4FCA190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The Back Lot</w:t>
            </w:r>
          </w:p>
        </w:tc>
        <w:tc>
          <w:tcPr>
            <w:tcW w:w="4860" w:type="dxa"/>
            <w:gridSpan w:val="3"/>
            <w:hideMark/>
          </w:tcPr>
          <w:p w14:paraId="172E1D72"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 xml:space="preserve">Mercury Public Awareness </w:t>
            </w:r>
            <w:proofErr w:type="spellStart"/>
            <w:r w:rsidRPr="00316569">
              <w:rPr>
                <w:rFonts w:asciiTheme="minorHAnsi" w:hAnsiTheme="minorHAnsi" w:cstheme="minorHAnsi"/>
                <w:color w:val="000000"/>
              </w:rPr>
              <w:t>Programme</w:t>
            </w:r>
            <w:proofErr w:type="spellEnd"/>
          </w:p>
        </w:tc>
        <w:tc>
          <w:tcPr>
            <w:tcW w:w="1260" w:type="dxa"/>
            <w:hideMark/>
          </w:tcPr>
          <w:p w14:paraId="5F2C6F56"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8/2014-8/2015</w:t>
            </w:r>
          </w:p>
        </w:tc>
        <w:tc>
          <w:tcPr>
            <w:tcW w:w="1170" w:type="dxa"/>
            <w:gridSpan w:val="2"/>
            <w:hideMark/>
          </w:tcPr>
          <w:p w14:paraId="46B816AD" w14:textId="0106DBC8"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50,000</w:t>
            </w:r>
          </w:p>
        </w:tc>
        <w:tc>
          <w:tcPr>
            <w:tcW w:w="1565" w:type="dxa"/>
            <w:hideMark/>
          </w:tcPr>
          <w:p w14:paraId="1F4ABBEC" w14:textId="10C6E910"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49,496</w:t>
            </w:r>
          </w:p>
        </w:tc>
      </w:tr>
      <w:tr w:rsidR="00B4136E" w:rsidRPr="00316569" w14:paraId="1E846AFE" w14:textId="77777777" w:rsidTr="009A6C18">
        <w:trPr>
          <w:gridAfter w:val="1"/>
          <w:wAfter w:w="1250" w:type="dxa"/>
          <w:trHeight w:val="677"/>
        </w:trPr>
        <w:tc>
          <w:tcPr>
            <w:tcW w:w="0" w:type="auto"/>
            <w:hideMark/>
          </w:tcPr>
          <w:p w14:paraId="63E085DA"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14</w:t>
            </w:r>
          </w:p>
        </w:tc>
        <w:tc>
          <w:tcPr>
            <w:tcW w:w="1385" w:type="dxa"/>
            <w:hideMark/>
          </w:tcPr>
          <w:p w14:paraId="377BEB5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Ukraine</w:t>
            </w:r>
          </w:p>
        </w:tc>
        <w:tc>
          <w:tcPr>
            <w:tcW w:w="2431" w:type="dxa"/>
            <w:hideMark/>
          </w:tcPr>
          <w:p w14:paraId="27FF4437"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 xml:space="preserve">NGO </w:t>
            </w:r>
            <w:proofErr w:type="spellStart"/>
            <w:r w:rsidRPr="00316569">
              <w:rPr>
                <w:rFonts w:asciiTheme="minorHAnsi" w:hAnsiTheme="minorHAnsi" w:cstheme="minorHAnsi"/>
                <w:color w:val="000000"/>
              </w:rPr>
              <w:t>Vavilon</w:t>
            </w:r>
            <w:proofErr w:type="spellEnd"/>
          </w:p>
        </w:tc>
        <w:tc>
          <w:tcPr>
            <w:tcW w:w="4860" w:type="dxa"/>
            <w:gridSpan w:val="3"/>
            <w:hideMark/>
          </w:tcPr>
          <w:p w14:paraId="06E8B7E4"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Implementation of mechanism for collection and recycling of used mercury lamps in retail chains</w:t>
            </w:r>
          </w:p>
        </w:tc>
        <w:tc>
          <w:tcPr>
            <w:tcW w:w="1260" w:type="dxa"/>
            <w:hideMark/>
          </w:tcPr>
          <w:p w14:paraId="28E36B5D"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5/2016-11/2016</w:t>
            </w:r>
          </w:p>
        </w:tc>
        <w:tc>
          <w:tcPr>
            <w:tcW w:w="1170" w:type="dxa"/>
            <w:gridSpan w:val="2"/>
            <w:hideMark/>
          </w:tcPr>
          <w:p w14:paraId="379A97D7" w14:textId="0DFCC635"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45,255</w:t>
            </w:r>
          </w:p>
        </w:tc>
        <w:tc>
          <w:tcPr>
            <w:tcW w:w="1565" w:type="dxa"/>
            <w:hideMark/>
          </w:tcPr>
          <w:p w14:paraId="40BFF0C4" w14:textId="05930253"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30,840</w:t>
            </w:r>
          </w:p>
        </w:tc>
      </w:tr>
      <w:tr w:rsidR="00B4136E" w:rsidRPr="00316569" w14:paraId="2B347316" w14:textId="77777777" w:rsidTr="009A6C18">
        <w:trPr>
          <w:gridAfter w:val="1"/>
          <w:wAfter w:w="1250" w:type="dxa"/>
          <w:trHeight w:val="1152"/>
        </w:trPr>
        <w:tc>
          <w:tcPr>
            <w:tcW w:w="0" w:type="auto"/>
            <w:hideMark/>
          </w:tcPr>
          <w:p w14:paraId="5909594E"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15</w:t>
            </w:r>
          </w:p>
        </w:tc>
        <w:tc>
          <w:tcPr>
            <w:tcW w:w="1385" w:type="dxa"/>
            <w:hideMark/>
          </w:tcPr>
          <w:p w14:paraId="56B3E6AB"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Ukraine</w:t>
            </w:r>
          </w:p>
        </w:tc>
        <w:tc>
          <w:tcPr>
            <w:tcW w:w="2431" w:type="dxa"/>
            <w:hideMark/>
          </w:tcPr>
          <w:p w14:paraId="4EA50616"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NGO “Center for ecology-concerned parents “</w:t>
            </w:r>
            <w:proofErr w:type="spellStart"/>
            <w:r w:rsidRPr="00316569">
              <w:rPr>
                <w:rFonts w:asciiTheme="minorHAnsi" w:hAnsiTheme="minorHAnsi" w:cstheme="minorHAnsi"/>
                <w:color w:val="000000"/>
              </w:rPr>
              <w:t>Dhzerela</w:t>
            </w:r>
            <w:proofErr w:type="spellEnd"/>
            <w:r w:rsidRPr="00316569">
              <w:rPr>
                <w:rFonts w:asciiTheme="minorHAnsi" w:hAnsiTheme="minorHAnsi" w:cstheme="minorHAnsi"/>
                <w:color w:val="000000"/>
              </w:rPr>
              <w:t xml:space="preserve"> </w:t>
            </w:r>
            <w:proofErr w:type="spellStart"/>
            <w:r w:rsidRPr="00316569">
              <w:rPr>
                <w:rFonts w:asciiTheme="minorHAnsi" w:hAnsiTheme="minorHAnsi" w:cstheme="minorHAnsi"/>
                <w:color w:val="000000"/>
              </w:rPr>
              <w:t>radosti</w:t>
            </w:r>
            <w:proofErr w:type="spellEnd"/>
            <w:r w:rsidRPr="00316569">
              <w:rPr>
                <w:rFonts w:asciiTheme="minorHAnsi" w:hAnsiTheme="minorHAnsi" w:cstheme="minorHAnsi"/>
                <w:color w:val="000000"/>
              </w:rPr>
              <w:t>”</w:t>
            </w:r>
          </w:p>
        </w:tc>
        <w:tc>
          <w:tcPr>
            <w:tcW w:w="4860" w:type="dxa"/>
            <w:gridSpan w:val="3"/>
            <w:hideMark/>
          </w:tcPr>
          <w:p w14:paraId="2BE75D46"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Organization of collection and recycling points for mercury containing lighting products</w:t>
            </w:r>
          </w:p>
        </w:tc>
        <w:tc>
          <w:tcPr>
            <w:tcW w:w="1260" w:type="dxa"/>
            <w:hideMark/>
          </w:tcPr>
          <w:p w14:paraId="65F213C1"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5/2016-11/2016</w:t>
            </w:r>
          </w:p>
        </w:tc>
        <w:tc>
          <w:tcPr>
            <w:tcW w:w="1170" w:type="dxa"/>
            <w:gridSpan w:val="2"/>
            <w:hideMark/>
          </w:tcPr>
          <w:p w14:paraId="12ECBE57" w14:textId="585D824F"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45,530</w:t>
            </w:r>
          </w:p>
        </w:tc>
        <w:tc>
          <w:tcPr>
            <w:tcW w:w="1565" w:type="dxa"/>
            <w:hideMark/>
          </w:tcPr>
          <w:p w14:paraId="1F4EC050" w14:textId="17C65F7D"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31,540</w:t>
            </w:r>
          </w:p>
        </w:tc>
      </w:tr>
      <w:tr w:rsidR="00B4136E" w:rsidRPr="00316569" w14:paraId="6B4A8056" w14:textId="77777777" w:rsidTr="009A6C18">
        <w:trPr>
          <w:gridAfter w:val="1"/>
          <w:wAfter w:w="1250" w:type="dxa"/>
          <w:trHeight w:val="992"/>
        </w:trPr>
        <w:tc>
          <w:tcPr>
            <w:tcW w:w="0" w:type="auto"/>
            <w:hideMark/>
          </w:tcPr>
          <w:p w14:paraId="162FEB69"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16</w:t>
            </w:r>
          </w:p>
        </w:tc>
        <w:tc>
          <w:tcPr>
            <w:tcW w:w="1385" w:type="dxa"/>
            <w:hideMark/>
          </w:tcPr>
          <w:p w14:paraId="4766DB82"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Ukraine</w:t>
            </w:r>
          </w:p>
        </w:tc>
        <w:tc>
          <w:tcPr>
            <w:tcW w:w="2431" w:type="dxa"/>
            <w:hideMark/>
          </w:tcPr>
          <w:p w14:paraId="4FFFE530"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NGO "Green Sail"</w:t>
            </w:r>
          </w:p>
        </w:tc>
        <w:tc>
          <w:tcPr>
            <w:tcW w:w="4860" w:type="dxa"/>
            <w:gridSpan w:val="3"/>
            <w:hideMark/>
          </w:tcPr>
          <w:p w14:paraId="27084FE9"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Organization of collection points for energy efficient lighting products containing mercury and development of the mechanism for its utilization</w:t>
            </w:r>
          </w:p>
        </w:tc>
        <w:tc>
          <w:tcPr>
            <w:tcW w:w="1260" w:type="dxa"/>
            <w:hideMark/>
          </w:tcPr>
          <w:p w14:paraId="04EE5F96" w14:textId="77777777" w:rsidR="00B4136E" w:rsidRPr="00316569" w:rsidRDefault="00B4136E" w:rsidP="00C224F3">
            <w:pPr>
              <w:rPr>
                <w:rFonts w:asciiTheme="minorHAnsi" w:hAnsiTheme="minorHAnsi" w:cstheme="minorHAnsi"/>
                <w:color w:val="000000"/>
              </w:rPr>
            </w:pPr>
            <w:r w:rsidRPr="00316569">
              <w:rPr>
                <w:rFonts w:asciiTheme="minorHAnsi" w:hAnsiTheme="minorHAnsi" w:cstheme="minorHAnsi"/>
                <w:color w:val="000000"/>
              </w:rPr>
              <w:t>6/2016-11/2016</w:t>
            </w:r>
          </w:p>
        </w:tc>
        <w:tc>
          <w:tcPr>
            <w:tcW w:w="1170" w:type="dxa"/>
            <w:gridSpan w:val="2"/>
            <w:hideMark/>
          </w:tcPr>
          <w:p w14:paraId="47D5AAF9" w14:textId="1FD16324"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45,585</w:t>
            </w:r>
          </w:p>
        </w:tc>
        <w:tc>
          <w:tcPr>
            <w:tcW w:w="1565" w:type="dxa"/>
            <w:hideMark/>
          </w:tcPr>
          <w:p w14:paraId="6B0CF61C" w14:textId="0EB14D09" w:rsidR="00B4136E" w:rsidRPr="00316569" w:rsidRDefault="00B4136E" w:rsidP="00705B34">
            <w:pPr>
              <w:jc w:val="right"/>
              <w:rPr>
                <w:rFonts w:asciiTheme="minorHAnsi" w:hAnsiTheme="minorHAnsi" w:cstheme="minorHAnsi"/>
                <w:color w:val="000000"/>
              </w:rPr>
            </w:pPr>
            <w:r w:rsidRPr="00316569">
              <w:rPr>
                <w:rFonts w:asciiTheme="minorHAnsi" w:hAnsiTheme="minorHAnsi" w:cstheme="minorHAnsi"/>
                <w:color w:val="000000"/>
              </w:rPr>
              <w:t>21,075</w:t>
            </w:r>
          </w:p>
        </w:tc>
      </w:tr>
      <w:tr w:rsidR="009A6C18" w:rsidRPr="00316569" w14:paraId="47AA2C56" w14:textId="77777777" w:rsidTr="009A6C18">
        <w:tc>
          <w:tcPr>
            <w:tcW w:w="2884" w:type="dxa"/>
            <w:gridSpan w:val="2"/>
            <w:tcBorders>
              <w:top w:val="nil"/>
              <w:left w:val="nil"/>
              <w:bottom w:val="nil"/>
              <w:right w:val="nil"/>
            </w:tcBorders>
          </w:tcPr>
          <w:p w14:paraId="6AFBD719" w14:textId="77777777" w:rsidR="009A6C18" w:rsidRPr="00316569" w:rsidRDefault="009A6C18" w:rsidP="00C224F3">
            <w:pPr>
              <w:pStyle w:val="Corpsdetexte"/>
              <w:spacing w:before="5"/>
              <w:rPr>
                <w:rFonts w:asciiTheme="minorHAnsi" w:hAnsiTheme="minorHAnsi" w:cstheme="minorHAnsi"/>
                <w:b/>
                <w:sz w:val="4"/>
                <w:szCs w:val="4"/>
              </w:rPr>
            </w:pPr>
          </w:p>
        </w:tc>
        <w:tc>
          <w:tcPr>
            <w:tcW w:w="2884" w:type="dxa"/>
            <w:gridSpan w:val="2"/>
            <w:tcBorders>
              <w:top w:val="nil"/>
              <w:left w:val="nil"/>
              <w:bottom w:val="nil"/>
              <w:right w:val="nil"/>
            </w:tcBorders>
          </w:tcPr>
          <w:p w14:paraId="5A77D843" w14:textId="77777777" w:rsidR="009A6C18" w:rsidRPr="00316569" w:rsidRDefault="009A6C18" w:rsidP="00C224F3">
            <w:pPr>
              <w:pStyle w:val="Corpsdetexte"/>
              <w:spacing w:before="5"/>
              <w:rPr>
                <w:rFonts w:asciiTheme="minorHAnsi" w:hAnsiTheme="minorHAnsi" w:cstheme="minorHAnsi"/>
                <w:b/>
                <w:sz w:val="4"/>
                <w:szCs w:val="4"/>
              </w:rPr>
            </w:pPr>
          </w:p>
        </w:tc>
        <w:tc>
          <w:tcPr>
            <w:tcW w:w="2884" w:type="dxa"/>
            <w:tcBorders>
              <w:top w:val="nil"/>
              <w:left w:val="nil"/>
              <w:bottom w:val="single" w:sz="4" w:space="0" w:color="auto"/>
              <w:right w:val="nil"/>
            </w:tcBorders>
          </w:tcPr>
          <w:p w14:paraId="42B057AF" w14:textId="77777777" w:rsidR="009A6C18" w:rsidRPr="00316569" w:rsidRDefault="009A6C18" w:rsidP="00C224F3">
            <w:pPr>
              <w:pStyle w:val="Corpsdetexte"/>
              <w:spacing w:before="5"/>
              <w:rPr>
                <w:rFonts w:asciiTheme="minorHAnsi" w:hAnsiTheme="minorHAnsi" w:cstheme="minorHAnsi"/>
                <w:b/>
                <w:sz w:val="4"/>
                <w:szCs w:val="4"/>
              </w:rPr>
            </w:pPr>
          </w:p>
        </w:tc>
        <w:tc>
          <w:tcPr>
            <w:tcW w:w="2884" w:type="dxa"/>
            <w:gridSpan w:val="3"/>
            <w:tcBorders>
              <w:top w:val="nil"/>
              <w:left w:val="nil"/>
              <w:bottom w:val="nil"/>
              <w:right w:val="nil"/>
            </w:tcBorders>
          </w:tcPr>
          <w:p w14:paraId="0220AA25" w14:textId="77777777" w:rsidR="009A6C18" w:rsidRPr="00316569" w:rsidRDefault="009A6C18" w:rsidP="00C224F3">
            <w:pPr>
              <w:pStyle w:val="Corpsdetexte"/>
              <w:spacing w:before="5"/>
              <w:rPr>
                <w:rFonts w:asciiTheme="minorHAnsi" w:hAnsiTheme="minorHAnsi" w:cstheme="minorHAnsi"/>
                <w:b/>
                <w:sz w:val="4"/>
                <w:szCs w:val="4"/>
              </w:rPr>
            </w:pPr>
          </w:p>
        </w:tc>
        <w:tc>
          <w:tcPr>
            <w:tcW w:w="2884" w:type="dxa"/>
            <w:gridSpan w:val="3"/>
            <w:tcBorders>
              <w:top w:val="nil"/>
              <w:left w:val="nil"/>
              <w:bottom w:val="nil"/>
              <w:right w:val="nil"/>
            </w:tcBorders>
          </w:tcPr>
          <w:p w14:paraId="3A2C118D" w14:textId="77777777" w:rsidR="009A6C18" w:rsidRPr="00316569" w:rsidRDefault="009A6C18" w:rsidP="00C224F3">
            <w:pPr>
              <w:pStyle w:val="Corpsdetexte"/>
              <w:spacing w:before="5"/>
              <w:rPr>
                <w:rFonts w:asciiTheme="minorHAnsi" w:hAnsiTheme="minorHAnsi" w:cstheme="minorHAnsi"/>
                <w:b/>
                <w:sz w:val="4"/>
                <w:szCs w:val="4"/>
              </w:rPr>
            </w:pPr>
          </w:p>
        </w:tc>
      </w:tr>
    </w:tbl>
    <w:p w14:paraId="0B55E26E" w14:textId="77777777" w:rsidR="00B4136E" w:rsidRPr="00316569" w:rsidRDefault="00B4136E" w:rsidP="00316569">
      <w:pPr>
        <w:pStyle w:val="Corpsdetexte"/>
        <w:spacing w:before="5"/>
        <w:rPr>
          <w:rFonts w:asciiTheme="minorHAnsi" w:hAnsiTheme="minorHAnsi" w:cstheme="minorHAnsi"/>
          <w:b/>
          <w:sz w:val="2"/>
          <w:szCs w:val="2"/>
        </w:rPr>
      </w:pPr>
    </w:p>
    <w:sectPr w:rsidR="00B4136E" w:rsidRPr="00316569" w:rsidSect="009A6C18">
      <w:pgSz w:w="16840" w:h="11907" w:orient="landscape" w:code="9"/>
      <w:pgMar w:top="907" w:right="992" w:bottom="1418" w:left="1418" w:header="539"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6A85" w14:textId="77777777" w:rsidR="009A6C18" w:rsidRDefault="009A6C18">
      <w:r>
        <w:separator/>
      </w:r>
    </w:p>
  </w:endnote>
  <w:endnote w:type="continuationSeparator" w:id="0">
    <w:p w14:paraId="2281BC9C" w14:textId="77777777" w:rsidR="009A6C18" w:rsidRDefault="009A6C18">
      <w:r>
        <w:continuationSeparator/>
      </w:r>
    </w:p>
  </w:endnote>
  <w:endnote w:type="continuationNotice" w:id="1">
    <w:p w14:paraId="7616403E" w14:textId="77777777" w:rsidR="009A6C18" w:rsidRDefault="009A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altName w:val="Times New Roman"/>
    <w:charset w:val="00"/>
    <w:family w:val="roman"/>
    <w:pitch w:val="variable"/>
  </w:font>
  <w:font w:name="Calibri-BoldItalic">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6F2F" w14:textId="09C4B4AD" w:rsidR="009A6C18" w:rsidRPr="0018028C" w:rsidRDefault="009A6C18" w:rsidP="00C5427B">
    <w:pPr>
      <w:pStyle w:val="Pieddepage"/>
      <w:rPr>
        <w:b/>
        <w:sz w:val="18"/>
        <w:szCs w:val="18"/>
      </w:rPr>
    </w:pPr>
    <w:r w:rsidRPr="0018028C">
      <w:rPr>
        <w:b/>
        <w:sz w:val="18"/>
        <w:szCs w:val="18"/>
      </w:rPr>
      <w:fldChar w:fldCharType="begin"/>
    </w:r>
    <w:r w:rsidRPr="0018028C">
      <w:rPr>
        <w:b/>
        <w:sz w:val="18"/>
        <w:szCs w:val="18"/>
      </w:rPr>
      <w:instrText xml:space="preserve"> PAGE   \* MERGEFORMAT </w:instrText>
    </w:r>
    <w:r w:rsidRPr="0018028C">
      <w:rPr>
        <w:b/>
        <w:sz w:val="18"/>
        <w:szCs w:val="18"/>
      </w:rPr>
      <w:fldChar w:fldCharType="separate"/>
    </w:r>
    <w:r w:rsidR="00595775">
      <w:rPr>
        <w:b/>
        <w:noProof/>
        <w:sz w:val="18"/>
        <w:szCs w:val="18"/>
      </w:rPr>
      <w:t>4</w:t>
    </w:r>
    <w:r w:rsidRPr="0018028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8371" w14:textId="3EB803E1" w:rsidR="009A6C18" w:rsidRDefault="009A6C18" w:rsidP="0018028C">
    <w:pPr>
      <w:pStyle w:val="Pieddepage"/>
      <w:jc w:val="right"/>
    </w:pPr>
    <w:r w:rsidRPr="0018028C">
      <w:rPr>
        <w:b/>
        <w:sz w:val="18"/>
        <w:szCs w:val="18"/>
      </w:rPr>
      <w:fldChar w:fldCharType="begin"/>
    </w:r>
    <w:r w:rsidRPr="0018028C">
      <w:rPr>
        <w:b/>
        <w:sz w:val="18"/>
        <w:szCs w:val="18"/>
      </w:rPr>
      <w:instrText xml:space="preserve"> PAGE   \* MERGEFORMAT </w:instrText>
    </w:r>
    <w:r w:rsidRPr="0018028C">
      <w:rPr>
        <w:b/>
        <w:sz w:val="18"/>
        <w:szCs w:val="18"/>
      </w:rPr>
      <w:fldChar w:fldCharType="separate"/>
    </w:r>
    <w:r>
      <w:rPr>
        <w:b/>
        <w:noProof/>
        <w:sz w:val="18"/>
        <w:szCs w:val="18"/>
      </w:rPr>
      <w:t>3</w:t>
    </w:r>
    <w:r w:rsidRPr="0018028C">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D47A" w14:textId="2E666CDA" w:rsidR="00C5427B" w:rsidRDefault="00C5427B" w:rsidP="00C5427B">
    <w:pPr>
      <w:pStyle w:val="Pieddepage"/>
      <w:tabs>
        <w:tab w:val="clear" w:pos="4680"/>
        <w:tab w:val="clear" w:pos="9360"/>
        <w:tab w:val="left" w:pos="624"/>
      </w:tabs>
      <w:spacing w:before="60" w:after="120"/>
    </w:pPr>
    <w:r w:rsidRPr="0018028C">
      <w:rPr>
        <w:sz w:val="20"/>
        <w:szCs w:val="20"/>
      </w:rPr>
      <w:t>K1803034</w:t>
    </w:r>
    <w:r w:rsidRPr="0018028C">
      <w:rPr>
        <w:sz w:val="20"/>
        <w:szCs w:val="20"/>
      </w:rPr>
      <w:tab/>
      <w:t>081118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22896388"/>
      <w:docPartObj>
        <w:docPartGallery w:val="Page Numbers (Bottom of Page)"/>
        <w:docPartUnique/>
      </w:docPartObj>
    </w:sdtPr>
    <w:sdtEndPr>
      <w:rPr>
        <w:rFonts w:asciiTheme="minorHAnsi" w:hAnsiTheme="minorHAnsi" w:cstheme="minorHAnsi"/>
        <w:noProof/>
      </w:rPr>
    </w:sdtEndPr>
    <w:sdtContent>
      <w:p w14:paraId="5A63A479" w14:textId="66B7B8FC" w:rsidR="009A6C18" w:rsidRPr="0018028C" w:rsidRDefault="009A6C18" w:rsidP="0018028C">
        <w:pPr>
          <w:pStyle w:val="Pieddepage"/>
          <w:jc w:val="right"/>
          <w:rPr>
            <w:rFonts w:asciiTheme="minorHAnsi" w:hAnsiTheme="minorHAnsi" w:cstheme="minorHAnsi"/>
            <w:b/>
            <w:sz w:val="18"/>
            <w:szCs w:val="18"/>
          </w:rPr>
        </w:pPr>
        <w:r w:rsidRPr="0018028C">
          <w:rPr>
            <w:b/>
            <w:sz w:val="18"/>
            <w:szCs w:val="18"/>
          </w:rPr>
          <w:fldChar w:fldCharType="begin"/>
        </w:r>
        <w:r w:rsidRPr="0018028C">
          <w:rPr>
            <w:b/>
            <w:sz w:val="18"/>
            <w:szCs w:val="18"/>
          </w:rPr>
          <w:instrText xml:space="preserve"> PAGE   \* MERGEFORMAT </w:instrText>
        </w:r>
        <w:r w:rsidRPr="0018028C">
          <w:rPr>
            <w:b/>
            <w:sz w:val="18"/>
            <w:szCs w:val="18"/>
          </w:rPr>
          <w:fldChar w:fldCharType="separate"/>
        </w:r>
        <w:r w:rsidR="00595775">
          <w:rPr>
            <w:b/>
            <w:noProof/>
            <w:sz w:val="18"/>
            <w:szCs w:val="18"/>
          </w:rPr>
          <w:t>5</w:t>
        </w:r>
        <w:r w:rsidRPr="0018028C">
          <w:rPr>
            <w:b/>
            <w:noProof/>
            <w:sz w:val="18"/>
            <w:szCs w:val="18"/>
          </w:rPr>
          <w:fldChar w:fldCharType="end"/>
        </w:r>
      </w:p>
    </w:sdtContent>
  </w:sdt>
  <w:p w14:paraId="3BA998DD" w14:textId="77777777" w:rsidR="009A6C18" w:rsidRDefault="009A6C18">
    <w:pPr>
      <w:pStyle w:val="Corpsdetexte"/>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6650" w14:textId="6FBFCF11" w:rsidR="00C5427B" w:rsidRPr="00C5427B" w:rsidRDefault="00C5427B" w:rsidP="00306292">
    <w:pPr>
      <w:pStyle w:val="Pieddepage"/>
      <w:jc w:val="right"/>
      <w:rPr>
        <w:b/>
        <w:sz w:val="18"/>
        <w:szCs w:val="18"/>
      </w:rPr>
    </w:pPr>
    <w:r w:rsidRPr="00C5427B">
      <w:rPr>
        <w:b/>
        <w:sz w:val="18"/>
        <w:szCs w:val="18"/>
      </w:rPr>
      <w:fldChar w:fldCharType="begin"/>
    </w:r>
    <w:r w:rsidRPr="00C5427B">
      <w:rPr>
        <w:b/>
        <w:sz w:val="18"/>
        <w:szCs w:val="18"/>
      </w:rPr>
      <w:instrText xml:space="preserve"> PAGE   \* MERGEFORMAT </w:instrText>
    </w:r>
    <w:r w:rsidRPr="00C5427B">
      <w:rPr>
        <w:b/>
        <w:sz w:val="18"/>
        <w:szCs w:val="18"/>
      </w:rPr>
      <w:fldChar w:fldCharType="separate"/>
    </w:r>
    <w:r w:rsidR="00595775">
      <w:rPr>
        <w:b/>
        <w:noProof/>
        <w:sz w:val="18"/>
        <w:szCs w:val="18"/>
      </w:rPr>
      <w:t>3</w:t>
    </w:r>
    <w:r w:rsidRPr="00C5427B">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E8A4" w14:textId="24D08689" w:rsidR="009A6C18" w:rsidRPr="0018028C" w:rsidRDefault="009A6C18" w:rsidP="0018028C">
    <w:pPr>
      <w:pStyle w:val="Pieddepage"/>
      <w:rPr>
        <w:b/>
        <w:sz w:val="18"/>
        <w:szCs w:val="18"/>
      </w:rPr>
    </w:pPr>
    <w:r w:rsidRPr="0018028C">
      <w:rPr>
        <w:b/>
        <w:sz w:val="18"/>
        <w:szCs w:val="18"/>
      </w:rPr>
      <w:fldChar w:fldCharType="begin"/>
    </w:r>
    <w:r w:rsidRPr="0018028C">
      <w:rPr>
        <w:b/>
        <w:sz w:val="18"/>
        <w:szCs w:val="18"/>
      </w:rPr>
      <w:instrText xml:space="preserve"> PAGE   \* MERGEFORMAT </w:instrText>
    </w:r>
    <w:r w:rsidRPr="0018028C">
      <w:rPr>
        <w:b/>
        <w:sz w:val="18"/>
        <w:szCs w:val="18"/>
      </w:rPr>
      <w:fldChar w:fldCharType="separate"/>
    </w:r>
    <w:r w:rsidR="00595775">
      <w:rPr>
        <w:b/>
        <w:noProof/>
        <w:sz w:val="18"/>
        <w:szCs w:val="18"/>
      </w:rPr>
      <w:t>38</w:t>
    </w:r>
    <w:r w:rsidRPr="0018028C">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11E" w14:textId="3AE5184C" w:rsidR="009A6C18" w:rsidRPr="00306292" w:rsidRDefault="009A6C18" w:rsidP="0018028C">
    <w:pPr>
      <w:pStyle w:val="Pieddepage"/>
      <w:tabs>
        <w:tab w:val="clear" w:pos="4680"/>
        <w:tab w:val="clear" w:pos="9360"/>
      </w:tabs>
      <w:jc w:val="right"/>
      <w:rPr>
        <w:b/>
        <w:sz w:val="18"/>
        <w:szCs w:val="18"/>
      </w:rPr>
    </w:pPr>
    <w:r w:rsidRPr="00306292">
      <w:rPr>
        <w:b/>
        <w:sz w:val="18"/>
        <w:szCs w:val="18"/>
      </w:rPr>
      <w:fldChar w:fldCharType="begin"/>
    </w:r>
    <w:r w:rsidRPr="00306292">
      <w:rPr>
        <w:b/>
        <w:sz w:val="18"/>
        <w:szCs w:val="18"/>
      </w:rPr>
      <w:instrText xml:space="preserve"> PAGE   \* MERGEFORMAT </w:instrText>
    </w:r>
    <w:r w:rsidRPr="00306292">
      <w:rPr>
        <w:b/>
        <w:sz w:val="18"/>
        <w:szCs w:val="18"/>
      </w:rPr>
      <w:fldChar w:fldCharType="separate"/>
    </w:r>
    <w:r w:rsidR="00595775">
      <w:rPr>
        <w:b/>
        <w:noProof/>
        <w:sz w:val="18"/>
        <w:szCs w:val="18"/>
      </w:rPr>
      <w:t>39</w:t>
    </w:r>
    <w:r w:rsidRPr="00306292">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CAA3" w14:textId="11150671" w:rsidR="00306292" w:rsidRPr="00C5427B" w:rsidRDefault="00306292" w:rsidP="00306292">
    <w:pPr>
      <w:pStyle w:val="Pieddepage"/>
      <w:rPr>
        <w:b/>
        <w:sz w:val="18"/>
        <w:szCs w:val="18"/>
      </w:rPr>
    </w:pPr>
    <w:r w:rsidRPr="00C5427B">
      <w:rPr>
        <w:b/>
        <w:sz w:val="18"/>
        <w:szCs w:val="18"/>
      </w:rPr>
      <w:fldChar w:fldCharType="begin"/>
    </w:r>
    <w:r w:rsidRPr="00C5427B">
      <w:rPr>
        <w:b/>
        <w:sz w:val="18"/>
        <w:szCs w:val="18"/>
      </w:rPr>
      <w:instrText xml:space="preserve"> PAGE   \* MERGEFORMAT </w:instrText>
    </w:r>
    <w:r w:rsidRPr="00C5427B">
      <w:rPr>
        <w:b/>
        <w:sz w:val="18"/>
        <w:szCs w:val="18"/>
      </w:rPr>
      <w:fldChar w:fldCharType="separate"/>
    </w:r>
    <w:r w:rsidR="00595775">
      <w:rPr>
        <w:b/>
        <w:noProof/>
        <w:sz w:val="18"/>
        <w:szCs w:val="18"/>
      </w:rPr>
      <w:t>6</w:t>
    </w:r>
    <w:r w:rsidRPr="00C5427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C25E" w14:textId="77777777" w:rsidR="009A6C18" w:rsidRPr="0018028C" w:rsidRDefault="009A6C18" w:rsidP="0025678C">
      <w:pPr>
        <w:spacing w:before="60"/>
        <w:ind w:left="624"/>
        <w:rPr>
          <w:sz w:val="20"/>
          <w:szCs w:val="20"/>
        </w:rPr>
      </w:pPr>
      <w:r w:rsidRPr="0018028C">
        <w:rPr>
          <w:sz w:val="20"/>
          <w:szCs w:val="20"/>
        </w:rPr>
        <w:separator/>
      </w:r>
    </w:p>
  </w:footnote>
  <w:footnote w:type="continuationSeparator" w:id="0">
    <w:p w14:paraId="5E700D03" w14:textId="77777777" w:rsidR="009A6C18" w:rsidRDefault="009A6C18">
      <w:r>
        <w:continuationSeparator/>
      </w:r>
    </w:p>
  </w:footnote>
  <w:footnote w:type="continuationNotice" w:id="1">
    <w:p w14:paraId="7D9ACDB4" w14:textId="77777777" w:rsidR="009A6C18" w:rsidRDefault="009A6C18"/>
  </w:footnote>
  <w:footnote w:id="2">
    <w:p w14:paraId="0F3D2F12" w14:textId="77777777" w:rsidR="009A6C18" w:rsidRPr="0018028C" w:rsidRDefault="009A6C18" w:rsidP="0018028C">
      <w:pPr>
        <w:tabs>
          <w:tab w:val="left" w:pos="624"/>
        </w:tabs>
        <w:spacing w:before="20" w:after="40"/>
        <w:ind w:left="1247"/>
        <w:rPr>
          <w:sz w:val="18"/>
          <w:szCs w:val="18"/>
        </w:rPr>
      </w:pPr>
      <w:r w:rsidRPr="0018028C">
        <w:rPr>
          <w:sz w:val="18"/>
          <w:szCs w:val="18"/>
        </w:rPr>
        <w:t>* UNEP/MC/COP.2/1.</w:t>
      </w:r>
    </w:p>
  </w:footnote>
  <w:footnote w:id="3">
    <w:p w14:paraId="505731EC" w14:textId="7459B6E5"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United Nations Environment Programme, 2017, </w:t>
      </w:r>
      <w:hyperlink r:id="rId1" w:history="1">
        <w:r w:rsidRPr="0018028C">
          <w:rPr>
            <w:rStyle w:val="Lienhypertexte"/>
            <w:rFonts w:cstheme="minorHAnsi"/>
          </w:rPr>
          <w:t>Report of the Conference of the Parties  to the Minamata Convention</w:t>
        </w:r>
      </w:hyperlink>
      <w:r w:rsidRPr="0018028C">
        <w:rPr>
          <w:rStyle w:val="Lienhypertexte"/>
          <w:rFonts w:cstheme="minorHAnsi"/>
        </w:rPr>
        <w:t xml:space="preserve"> on Mercury on the work of its first meeting,</w:t>
      </w:r>
      <w:r w:rsidRPr="0018028C">
        <w:rPr>
          <w:rFonts w:cstheme="minorHAnsi"/>
        </w:rPr>
        <w:t xml:space="preserve"> UNEP/MC/COP.1/29.</w:t>
      </w:r>
    </w:p>
  </w:footnote>
  <w:footnote w:id="4">
    <w:p w14:paraId="2722E08B" w14:textId="78705886"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Excluding agency fees and project preparation grants. </w:t>
      </w:r>
    </w:p>
  </w:footnote>
  <w:footnote w:id="5">
    <w:p w14:paraId="33DD4AF9" w14:textId="0E23D2CB"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The GEF has supported MIAs starting in GEF-5.</w:t>
      </w:r>
    </w:p>
  </w:footnote>
  <w:footnote w:id="6">
    <w:p w14:paraId="6AB41087"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Co-financing is not required for Enabling Activities.</w:t>
      </w:r>
    </w:p>
  </w:footnote>
  <w:footnote w:id="7">
    <w:p w14:paraId="1C75752F" w14:textId="7F661CCD"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The score card compiles Global Environmental Benefits at GEF Council approval and CEO Endorsement stages.</w:t>
      </w:r>
    </w:p>
  </w:footnote>
  <w:footnote w:id="8">
    <w:p w14:paraId="1F877A03"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2018, </w:t>
      </w:r>
      <w:hyperlink r:id="rId2" w:history="1">
        <w:r w:rsidRPr="0018028C">
          <w:rPr>
            <w:rStyle w:val="Lienhypertexte"/>
            <w:rFonts w:cstheme="minorHAnsi"/>
          </w:rPr>
          <w:t>GEF-6 Corporate Score Card</w:t>
        </w:r>
      </w:hyperlink>
      <w:r w:rsidRPr="0018028C">
        <w:rPr>
          <w:rFonts w:cstheme="minorHAnsi"/>
        </w:rPr>
        <w:t>, Council Document GEF/C.54/Info.03.</w:t>
      </w:r>
    </w:p>
  </w:footnote>
  <w:footnote w:id="9">
    <w:p w14:paraId="33C55515" w14:textId="1357B02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UNEP, 2015, Report of the intergovernmental negotiating committee to prepare a global legally binding instrument on mercury on the work of its sixth session, UNEP(DTIE)/Hg/INC.6/24 Annex III.</w:t>
      </w:r>
    </w:p>
  </w:footnote>
  <w:footnote w:id="10">
    <w:p w14:paraId="587D77A0" w14:textId="1F5B240B"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Excluding agency fees and project preparation grants.</w:t>
      </w:r>
    </w:p>
  </w:footnote>
  <w:footnote w:id="11">
    <w:p w14:paraId="2B607F63"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2014, </w:t>
      </w:r>
      <w:hyperlink r:id="rId3" w:history="1">
        <w:r w:rsidRPr="0018028C">
          <w:rPr>
            <w:rStyle w:val="Lienhypertexte"/>
            <w:rFonts w:cstheme="minorHAnsi"/>
          </w:rPr>
          <w:t>Initial Guidelines for Enabling Activities for the Minamata Convention on Mercury</w:t>
        </w:r>
      </w:hyperlink>
      <w:r w:rsidRPr="0018028C">
        <w:rPr>
          <w:rFonts w:cstheme="minorHAnsi"/>
        </w:rPr>
        <w:t>, Council Document,  GEF/C.45/Inf.05/Rev.01.</w:t>
      </w:r>
    </w:p>
  </w:footnote>
  <w:footnote w:id="12">
    <w:p w14:paraId="781160A5"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2018, </w:t>
      </w:r>
      <w:hyperlink r:id="rId4" w:history="1">
        <w:r w:rsidRPr="0018028C">
          <w:rPr>
            <w:rStyle w:val="Lienhypertexte"/>
            <w:rFonts w:cstheme="minorHAnsi"/>
          </w:rPr>
          <w:t>Report On The Seventh Replenishment Of The GEF Trust Fund</w:t>
        </w:r>
      </w:hyperlink>
      <w:r w:rsidRPr="0018028C">
        <w:rPr>
          <w:rFonts w:cstheme="minorHAnsi"/>
        </w:rPr>
        <w:t>, Council Document GEF/A.6/05/Rev.01.</w:t>
      </w:r>
    </w:p>
  </w:footnote>
  <w:footnote w:id="13">
    <w:p w14:paraId="2C42932C" w14:textId="6D3039F2"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Excluding agency fees and project preparation grants.</w:t>
      </w:r>
    </w:p>
  </w:footnote>
  <w:footnote w:id="14">
    <w:p w14:paraId="22D416D1" w14:textId="04BE5C32"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VCM: Vinyl chloride monomer, HCW: Health care waste. </w:t>
      </w:r>
    </w:p>
  </w:footnote>
  <w:footnote w:id="15">
    <w:p w14:paraId="2392CE39"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This figure is the total number of countries receiving GEF support, including countries funded in GEF-5.</w:t>
      </w:r>
    </w:p>
  </w:footnote>
  <w:footnote w:id="16">
    <w:p w14:paraId="5E1DD7BA"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IEO, 2017, </w:t>
      </w:r>
      <w:hyperlink r:id="rId5" w:history="1">
        <w:r w:rsidRPr="0018028C">
          <w:rPr>
            <w:rStyle w:val="Lienhypertexte"/>
            <w:rFonts w:cstheme="minorHAnsi"/>
          </w:rPr>
          <w:t>Chemicals and Waste (CW) Focal Area Study 2017</w:t>
        </w:r>
      </w:hyperlink>
      <w:r w:rsidRPr="0018028C">
        <w:rPr>
          <w:rFonts w:cstheme="minorHAnsi"/>
        </w:rPr>
        <w:t xml:space="preserve">. </w:t>
      </w:r>
    </w:p>
  </w:footnote>
  <w:footnote w:id="17">
    <w:p w14:paraId="39E9EC76"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2018</w:t>
      </w:r>
      <w:hyperlink r:id="rId6" w:history="1">
        <w:r w:rsidRPr="0018028C">
          <w:rPr>
            <w:rStyle w:val="Lienhypertexte"/>
            <w:rFonts w:cstheme="minorHAnsi"/>
          </w:rPr>
          <w:t>, GEF-6 Corporate Score Card</w:t>
        </w:r>
      </w:hyperlink>
      <w:r w:rsidRPr="0018028C">
        <w:rPr>
          <w:rFonts w:cstheme="minorHAnsi"/>
        </w:rPr>
        <w:t xml:space="preserve">, Council Document, GEF/C.54/Inf.03.  </w:t>
      </w:r>
    </w:p>
  </w:footnote>
  <w:footnote w:id="18">
    <w:p w14:paraId="3CF13FBA" w14:textId="270FBB84"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UNEP, 2015, Report of the intergovernmental negotiating committee to prepare a global legally binding instrument on mercury on the work of its sixth session, UNEP(DTIE)/Hg/INC.6/24 Annex III.</w:t>
      </w:r>
    </w:p>
  </w:footnote>
  <w:footnote w:id="19">
    <w:p w14:paraId="5E21484D"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2018, </w:t>
      </w:r>
      <w:hyperlink r:id="rId7" w:history="1">
        <w:r w:rsidRPr="0018028C">
          <w:rPr>
            <w:rStyle w:val="Lienhypertexte"/>
            <w:rFonts w:cstheme="minorHAnsi"/>
          </w:rPr>
          <w:t>Summary of the Negotiations of the Seventh Replenishment of the GEF Trust Fund</w:t>
        </w:r>
      </w:hyperlink>
      <w:r w:rsidRPr="0018028C">
        <w:rPr>
          <w:rFonts w:cstheme="minorHAnsi"/>
        </w:rPr>
        <w:t>, Council Document GEF/C.54/19/Rev.02.</w:t>
      </w:r>
    </w:p>
  </w:footnote>
  <w:footnote w:id="20">
    <w:p w14:paraId="3DDF9F38" w14:textId="77777777" w:rsidR="009A6C18" w:rsidRPr="0018028C" w:rsidRDefault="009A6C18" w:rsidP="0018028C">
      <w:pPr>
        <w:pStyle w:val="Notedebasdepage"/>
        <w:spacing w:before="20" w:after="40"/>
        <w:ind w:left="1247"/>
        <w:rPr>
          <w:rFonts w:cstheme="minorHAnsi"/>
        </w:rPr>
      </w:pPr>
      <w:r w:rsidRPr="0018028C">
        <w:rPr>
          <w:rStyle w:val="Appelnotedebasdep"/>
          <w:rFonts w:cstheme="minorHAnsi"/>
        </w:rPr>
        <w:footnoteRef/>
      </w:r>
      <w:r w:rsidRPr="0018028C">
        <w:rPr>
          <w:rFonts w:cstheme="minorHAnsi"/>
        </w:rPr>
        <w:t xml:space="preserve"> GEF, 2018, </w:t>
      </w:r>
      <w:hyperlink r:id="rId8" w:history="1">
        <w:r w:rsidRPr="0018028C">
          <w:rPr>
            <w:rStyle w:val="Lienhypertexte"/>
            <w:rFonts w:cstheme="minorHAnsi"/>
          </w:rPr>
          <w:t>Report On The Seventh Replenishment Of The GEF Trust Fund</w:t>
        </w:r>
      </w:hyperlink>
      <w:r w:rsidRPr="0018028C">
        <w:rPr>
          <w:rFonts w:cstheme="minorHAnsi"/>
        </w:rPr>
        <w:t>, Council Document, GEF/A.6/05/Rev.01.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4244" w14:textId="146F849B" w:rsidR="009A6C18" w:rsidRDefault="009A6C18" w:rsidP="0018028C">
    <w:pPr>
      <w:pStyle w:val="En-tte"/>
      <w:pBdr>
        <w:bottom w:val="single" w:sz="4" w:space="1" w:color="auto"/>
      </w:pBdr>
      <w:tabs>
        <w:tab w:val="clear" w:pos="4680"/>
        <w:tab w:val="clear" w:pos="9360"/>
        <w:tab w:val="left" w:pos="1247"/>
        <w:tab w:val="center" w:pos="4536"/>
        <w:tab w:val="right" w:pos="9072"/>
      </w:tabs>
      <w:spacing w:after="120"/>
    </w:pPr>
    <w:r w:rsidRPr="0018028C">
      <w:rPr>
        <w:b/>
        <w:bCs/>
        <w:sz w:val="18"/>
        <w:szCs w:val="18"/>
        <w:lang w:val="en-GB"/>
      </w:rPr>
      <w:t>UNEP/MC/COP.2/INF/3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1A68" w14:textId="77777777" w:rsidR="009A6C18" w:rsidRDefault="009A6C18" w:rsidP="0018028C">
    <w:pPr>
      <w:pStyle w:val="En-tte"/>
      <w:pBdr>
        <w:bottom w:val="single" w:sz="4" w:space="1" w:color="auto"/>
      </w:pBdr>
      <w:tabs>
        <w:tab w:val="clear" w:pos="4680"/>
        <w:tab w:val="clear" w:pos="9360"/>
        <w:tab w:val="left" w:pos="1247"/>
        <w:tab w:val="center" w:pos="4536"/>
        <w:tab w:val="right" w:pos="9072"/>
      </w:tabs>
      <w:spacing w:after="120"/>
    </w:pPr>
    <w:r w:rsidRPr="0018028C">
      <w:rPr>
        <w:b/>
        <w:bCs/>
        <w:sz w:val="18"/>
        <w:szCs w:val="18"/>
        <w:lang w:val="en-GB"/>
      </w:rPr>
      <w:t>UNEP/MC/COP.2/INF/3</w:t>
    </w:r>
  </w:p>
  <w:p w14:paraId="4C9B28B0" w14:textId="77777777" w:rsidR="009A6C18" w:rsidRDefault="009A6C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3C2B" w14:textId="77777777" w:rsidR="00C5427B" w:rsidRDefault="00C5427B" w:rsidP="0018028C">
    <w:pPr>
      <w:pStyle w:val="En-tte"/>
      <w:pBdr>
        <w:bottom w:val="single" w:sz="4" w:space="1" w:color="auto"/>
      </w:pBdr>
      <w:tabs>
        <w:tab w:val="clear" w:pos="4680"/>
        <w:tab w:val="clear" w:pos="9360"/>
        <w:tab w:val="left" w:pos="1247"/>
        <w:tab w:val="center" w:pos="4536"/>
        <w:tab w:val="right" w:pos="9072"/>
      </w:tabs>
      <w:spacing w:after="120"/>
    </w:pPr>
    <w:r w:rsidRPr="0018028C">
      <w:rPr>
        <w:b/>
        <w:bCs/>
        <w:sz w:val="18"/>
        <w:szCs w:val="18"/>
        <w:lang w:val="en-GB"/>
      </w:rPr>
      <w:t>UNEP/MC/COP.2/INF/3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7BE0" w14:textId="77777777" w:rsidR="009A6C18" w:rsidRDefault="009A6C18" w:rsidP="0018028C">
    <w:pPr>
      <w:pStyle w:val="En-tte"/>
      <w:pBdr>
        <w:bottom w:val="single" w:sz="4" w:space="1" w:color="auto"/>
      </w:pBdr>
      <w:tabs>
        <w:tab w:val="clear" w:pos="4680"/>
        <w:tab w:val="clear" w:pos="9360"/>
        <w:tab w:val="left" w:pos="1247"/>
        <w:tab w:val="center" w:pos="4536"/>
        <w:tab w:val="right" w:pos="9072"/>
      </w:tabs>
      <w:spacing w:after="120"/>
      <w:jc w:val="right"/>
    </w:pPr>
    <w:r w:rsidRPr="0018028C">
      <w:rPr>
        <w:b/>
        <w:bCs/>
        <w:sz w:val="18"/>
        <w:szCs w:val="18"/>
        <w:lang w:val="en-GB"/>
      </w:rPr>
      <w:t>UNEP/MC/COP.2/INF/3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CA53" w14:textId="77777777" w:rsidR="00C5427B" w:rsidRPr="00C5427B" w:rsidRDefault="00C5427B" w:rsidP="0064616A">
    <w:pPr>
      <w:pStyle w:val="En-tte"/>
      <w:pBdr>
        <w:bottom w:val="single" w:sz="4" w:space="1" w:color="auto"/>
      </w:pBdr>
      <w:tabs>
        <w:tab w:val="clear" w:pos="4680"/>
        <w:tab w:val="clear" w:pos="9360"/>
        <w:tab w:val="left" w:pos="1247"/>
        <w:tab w:val="center" w:pos="4536"/>
        <w:tab w:val="right" w:pos="9072"/>
      </w:tabs>
      <w:spacing w:after="120"/>
      <w:jc w:val="right"/>
    </w:pPr>
    <w:r w:rsidRPr="0018028C">
      <w:rPr>
        <w:b/>
        <w:bCs/>
        <w:sz w:val="18"/>
        <w:szCs w:val="18"/>
        <w:lang w:val="en-GB"/>
      </w:rPr>
      <w:t>UNEP/MC/COP.2/INF/3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288" w14:textId="77777777" w:rsidR="009A6C18" w:rsidRDefault="009A6C18" w:rsidP="0018028C">
    <w:pPr>
      <w:pStyle w:val="En-tte"/>
      <w:pBdr>
        <w:bottom w:val="single" w:sz="4" w:space="1" w:color="auto"/>
      </w:pBdr>
      <w:tabs>
        <w:tab w:val="clear" w:pos="4680"/>
        <w:tab w:val="clear" w:pos="9360"/>
        <w:tab w:val="left" w:pos="1247"/>
        <w:tab w:val="center" w:pos="4536"/>
        <w:tab w:val="right" w:pos="9072"/>
      </w:tabs>
      <w:spacing w:after="120"/>
    </w:pPr>
    <w:r w:rsidRPr="0018028C">
      <w:rPr>
        <w:b/>
        <w:bCs/>
        <w:sz w:val="18"/>
        <w:szCs w:val="18"/>
        <w:lang w:val="en-GB"/>
      </w:rPr>
      <w:t>UNEP/MC/COP.2/INF/3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BDC7" w14:textId="77777777" w:rsidR="0064616A" w:rsidRPr="00C5427B" w:rsidRDefault="0064616A" w:rsidP="0064616A">
    <w:pPr>
      <w:pStyle w:val="En-tte"/>
      <w:pBdr>
        <w:bottom w:val="single" w:sz="4" w:space="1" w:color="auto"/>
      </w:pBdr>
      <w:tabs>
        <w:tab w:val="clear" w:pos="4680"/>
        <w:tab w:val="clear" w:pos="9360"/>
        <w:tab w:val="left" w:pos="1247"/>
        <w:tab w:val="center" w:pos="4536"/>
        <w:tab w:val="right" w:pos="9072"/>
      </w:tabs>
      <w:spacing w:after="120"/>
    </w:pPr>
    <w:r w:rsidRPr="0018028C">
      <w:rPr>
        <w:b/>
        <w:bCs/>
        <w:sz w:val="18"/>
        <w:szCs w:val="18"/>
        <w:lang w:val="en-GB"/>
      </w:rPr>
      <w:t>UNEP/MC/COP.2/INF/3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DCD"/>
    <w:multiLevelType w:val="hybridMultilevel"/>
    <w:tmpl w:val="B0206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5A217B9"/>
    <w:multiLevelType w:val="hybridMultilevel"/>
    <w:tmpl w:val="9ED27720"/>
    <w:lvl w:ilvl="0" w:tplc="A8EE1C58">
      <w:start w:val="1"/>
      <w:numFmt w:val="decimal"/>
      <w:pStyle w:val="MainParagraphwith"/>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12925"/>
    <w:multiLevelType w:val="hybridMultilevel"/>
    <w:tmpl w:val="68784256"/>
    <w:lvl w:ilvl="0" w:tplc="678AB224">
      <w:numFmt w:val="bullet"/>
      <w:lvlText w:val="-"/>
      <w:lvlJc w:val="left"/>
      <w:pPr>
        <w:ind w:left="103" w:hanging="128"/>
      </w:pPr>
      <w:rPr>
        <w:rFonts w:ascii="Times New Roman" w:eastAsia="Times New Roman" w:hAnsi="Times New Roman" w:cs="Times New Roman" w:hint="default"/>
        <w:w w:val="100"/>
        <w:sz w:val="22"/>
        <w:szCs w:val="22"/>
      </w:rPr>
    </w:lvl>
    <w:lvl w:ilvl="1" w:tplc="ABB24184">
      <w:numFmt w:val="bullet"/>
      <w:lvlText w:val="•"/>
      <w:lvlJc w:val="left"/>
      <w:pPr>
        <w:ind w:left="561" w:hanging="128"/>
      </w:pPr>
      <w:rPr>
        <w:rFonts w:hint="default"/>
      </w:rPr>
    </w:lvl>
    <w:lvl w:ilvl="2" w:tplc="BB22953E">
      <w:numFmt w:val="bullet"/>
      <w:lvlText w:val="•"/>
      <w:lvlJc w:val="left"/>
      <w:pPr>
        <w:ind w:left="1022" w:hanging="128"/>
      </w:pPr>
      <w:rPr>
        <w:rFonts w:hint="default"/>
      </w:rPr>
    </w:lvl>
    <w:lvl w:ilvl="3" w:tplc="FDC4FD50">
      <w:numFmt w:val="bullet"/>
      <w:lvlText w:val="•"/>
      <w:lvlJc w:val="left"/>
      <w:pPr>
        <w:ind w:left="1483" w:hanging="128"/>
      </w:pPr>
      <w:rPr>
        <w:rFonts w:hint="default"/>
      </w:rPr>
    </w:lvl>
    <w:lvl w:ilvl="4" w:tplc="98349468">
      <w:numFmt w:val="bullet"/>
      <w:lvlText w:val="•"/>
      <w:lvlJc w:val="left"/>
      <w:pPr>
        <w:ind w:left="1944" w:hanging="128"/>
      </w:pPr>
      <w:rPr>
        <w:rFonts w:hint="default"/>
      </w:rPr>
    </w:lvl>
    <w:lvl w:ilvl="5" w:tplc="D7268098">
      <w:numFmt w:val="bullet"/>
      <w:lvlText w:val="•"/>
      <w:lvlJc w:val="left"/>
      <w:pPr>
        <w:ind w:left="2405" w:hanging="128"/>
      </w:pPr>
      <w:rPr>
        <w:rFonts w:hint="default"/>
      </w:rPr>
    </w:lvl>
    <w:lvl w:ilvl="6" w:tplc="E744D1B2">
      <w:numFmt w:val="bullet"/>
      <w:lvlText w:val="•"/>
      <w:lvlJc w:val="left"/>
      <w:pPr>
        <w:ind w:left="2867" w:hanging="128"/>
      </w:pPr>
      <w:rPr>
        <w:rFonts w:hint="default"/>
      </w:rPr>
    </w:lvl>
    <w:lvl w:ilvl="7" w:tplc="30B01A4E">
      <w:numFmt w:val="bullet"/>
      <w:lvlText w:val="•"/>
      <w:lvlJc w:val="left"/>
      <w:pPr>
        <w:ind w:left="3328" w:hanging="128"/>
      </w:pPr>
      <w:rPr>
        <w:rFonts w:hint="default"/>
      </w:rPr>
    </w:lvl>
    <w:lvl w:ilvl="8" w:tplc="A2029E1C">
      <w:numFmt w:val="bullet"/>
      <w:lvlText w:val="•"/>
      <w:lvlJc w:val="left"/>
      <w:pPr>
        <w:ind w:left="3789" w:hanging="128"/>
      </w:pPr>
      <w:rPr>
        <w:rFonts w:hint="default"/>
      </w:rPr>
    </w:lvl>
  </w:abstractNum>
  <w:abstractNum w:abstractNumId="5" w15:restartNumberingAfterBreak="0">
    <w:nsid w:val="481B7EFF"/>
    <w:multiLevelType w:val="hybridMultilevel"/>
    <w:tmpl w:val="4B405B9E"/>
    <w:lvl w:ilvl="0" w:tplc="47D07EA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7" w15:restartNumberingAfterBreak="0">
    <w:nsid w:val="67062D86"/>
    <w:multiLevelType w:val="hybridMultilevel"/>
    <w:tmpl w:val="438E290C"/>
    <w:lvl w:ilvl="0" w:tplc="87F2C99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1"/>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624"/>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2F"/>
    <w:rsid w:val="0000292F"/>
    <w:rsid w:val="000106FA"/>
    <w:rsid w:val="00015153"/>
    <w:rsid w:val="000224DE"/>
    <w:rsid w:val="000235C5"/>
    <w:rsid w:val="000237DA"/>
    <w:rsid w:val="000304EE"/>
    <w:rsid w:val="00033F0E"/>
    <w:rsid w:val="000357DB"/>
    <w:rsid w:val="0003662B"/>
    <w:rsid w:val="00040ED3"/>
    <w:rsid w:val="0004441B"/>
    <w:rsid w:val="00050753"/>
    <w:rsid w:val="000529A8"/>
    <w:rsid w:val="00053862"/>
    <w:rsid w:val="00075A5D"/>
    <w:rsid w:val="00076532"/>
    <w:rsid w:val="0008332A"/>
    <w:rsid w:val="00090C62"/>
    <w:rsid w:val="0009173B"/>
    <w:rsid w:val="0009328C"/>
    <w:rsid w:val="0009401B"/>
    <w:rsid w:val="000943EE"/>
    <w:rsid w:val="00096ED1"/>
    <w:rsid w:val="000A055D"/>
    <w:rsid w:val="000A545C"/>
    <w:rsid w:val="000B1416"/>
    <w:rsid w:val="000B2F26"/>
    <w:rsid w:val="000C0079"/>
    <w:rsid w:val="000D21AA"/>
    <w:rsid w:val="000E2069"/>
    <w:rsid w:val="000F1477"/>
    <w:rsid w:val="000F41F6"/>
    <w:rsid w:val="000F4570"/>
    <w:rsid w:val="00106981"/>
    <w:rsid w:val="00112A67"/>
    <w:rsid w:val="00117AC3"/>
    <w:rsid w:val="0012179B"/>
    <w:rsid w:val="00131F1F"/>
    <w:rsid w:val="0013231D"/>
    <w:rsid w:val="0014618B"/>
    <w:rsid w:val="00150ACE"/>
    <w:rsid w:val="001525AC"/>
    <w:rsid w:val="00155C87"/>
    <w:rsid w:val="00156240"/>
    <w:rsid w:val="00160B7D"/>
    <w:rsid w:val="00163BFE"/>
    <w:rsid w:val="00164FD4"/>
    <w:rsid w:val="001653DA"/>
    <w:rsid w:val="00170EF4"/>
    <w:rsid w:val="00172FE0"/>
    <w:rsid w:val="0017311E"/>
    <w:rsid w:val="00174824"/>
    <w:rsid w:val="00176A05"/>
    <w:rsid w:val="0018028C"/>
    <w:rsid w:val="00180D47"/>
    <w:rsid w:val="00181085"/>
    <w:rsid w:val="001831FA"/>
    <w:rsid w:val="00185D48"/>
    <w:rsid w:val="001940C3"/>
    <w:rsid w:val="00196030"/>
    <w:rsid w:val="0019719D"/>
    <w:rsid w:val="001A799A"/>
    <w:rsid w:val="001B583A"/>
    <w:rsid w:val="001C20EA"/>
    <w:rsid w:val="001C5E4F"/>
    <w:rsid w:val="001D622B"/>
    <w:rsid w:val="001E19D2"/>
    <w:rsid w:val="001E3918"/>
    <w:rsid w:val="001E53FD"/>
    <w:rsid w:val="001E5DF3"/>
    <w:rsid w:val="001F5117"/>
    <w:rsid w:val="001F65B3"/>
    <w:rsid w:val="001F7D9A"/>
    <w:rsid w:val="002013D8"/>
    <w:rsid w:val="0021056C"/>
    <w:rsid w:val="00217278"/>
    <w:rsid w:val="0022205A"/>
    <w:rsid w:val="002231A2"/>
    <w:rsid w:val="00226A64"/>
    <w:rsid w:val="0023301F"/>
    <w:rsid w:val="00233A2C"/>
    <w:rsid w:val="002345C4"/>
    <w:rsid w:val="002358F7"/>
    <w:rsid w:val="00235D1D"/>
    <w:rsid w:val="002373F2"/>
    <w:rsid w:val="002405AA"/>
    <w:rsid w:val="002408BF"/>
    <w:rsid w:val="00244DD1"/>
    <w:rsid w:val="00246A27"/>
    <w:rsid w:val="002525A1"/>
    <w:rsid w:val="00254BC9"/>
    <w:rsid w:val="0025678C"/>
    <w:rsid w:val="002571B2"/>
    <w:rsid w:val="00264137"/>
    <w:rsid w:val="002660B6"/>
    <w:rsid w:val="00274979"/>
    <w:rsid w:val="0027627B"/>
    <w:rsid w:val="00283396"/>
    <w:rsid w:val="00293C11"/>
    <w:rsid w:val="00295FE2"/>
    <w:rsid w:val="00297158"/>
    <w:rsid w:val="002A7F8B"/>
    <w:rsid w:val="002B1CFC"/>
    <w:rsid w:val="002B30EB"/>
    <w:rsid w:val="002B5F9C"/>
    <w:rsid w:val="002C1877"/>
    <w:rsid w:val="002C1CA8"/>
    <w:rsid w:val="002C32B7"/>
    <w:rsid w:val="002D20C1"/>
    <w:rsid w:val="002D240B"/>
    <w:rsid w:val="002D4CA0"/>
    <w:rsid w:val="002D5818"/>
    <w:rsid w:val="002E6D65"/>
    <w:rsid w:val="002F04B1"/>
    <w:rsid w:val="002F4CF7"/>
    <w:rsid w:val="002F547B"/>
    <w:rsid w:val="003000F5"/>
    <w:rsid w:val="00301441"/>
    <w:rsid w:val="00303B94"/>
    <w:rsid w:val="00303F5E"/>
    <w:rsid w:val="00306292"/>
    <w:rsid w:val="0030691F"/>
    <w:rsid w:val="0031115B"/>
    <w:rsid w:val="00315698"/>
    <w:rsid w:val="00315DBA"/>
    <w:rsid w:val="00316569"/>
    <w:rsid w:val="00331E4D"/>
    <w:rsid w:val="0033378C"/>
    <w:rsid w:val="00336D5D"/>
    <w:rsid w:val="00342F9A"/>
    <w:rsid w:val="00343640"/>
    <w:rsid w:val="0034665F"/>
    <w:rsid w:val="00354375"/>
    <w:rsid w:val="00356351"/>
    <w:rsid w:val="00356E72"/>
    <w:rsid w:val="0036457B"/>
    <w:rsid w:val="00370CF7"/>
    <w:rsid w:val="003728B8"/>
    <w:rsid w:val="00373E25"/>
    <w:rsid w:val="0038005B"/>
    <w:rsid w:val="0038252C"/>
    <w:rsid w:val="003860BD"/>
    <w:rsid w:val="003921F2"/>
    <w:rsid w:val="00395A86"/>
    <w:rsid w:val="00396E45"/>
    <w:rsid w:val="003A6EB2"/>
    <w:rsid w:val="003B4F85"/>
    <w:rsid w:val="003C219F"/>
    <w:rsid w:val="003C27A0"/>
    <w:rsid w:val="003D3552"/>
    <w:rsid w:val="003D7E44"/>
    <w:rsid w:val="003E1B48"/>
    <w:rsid w:val="003E570C"/>
    <w:rsid w:val="003F032C"/>
    <w:rsid w:val="003F18F0"/>
    <w:rsid w:val="003F4B67"/>
    <w:rsid w:val="003F4CA0"/>
    <w:rsid w:val="003F6632"/>
    <w:rsid w:val="003F6F12"/>
    <w:rsid w:val="004024B1"/>
    <w:rsid w:val="0040617C"/>
    <w:rsid w:val="00406DAF"/>
    <w:rsid w:val="0041144A"/>
    <w:rsid w:val="004127F5"/>
    <w:rsid w:val="00413B35"/>
    <w:rsid w:val="004145F6"/>
    <w:rsid w:val="00414C90"/>
    <w:rsid w:val="00416D96"/>
    <w:rsid w:val="004239D6"/>
    <w:rsid w:val="00423B4D"/>
    <w:rsid w:val="0043346A"/>
    <w:rsid w:val="00434447"/>
    <w:rsid w:val="00436DF4"/>
    <w:rsid w:val="0043758A"/>
    <w:rsid w:val="00440C10"/>
    <w:rsid w:val="00441A9B"/>
    <w:rsid w:val="00446BD1"/>
    <w:rsid w:val="004520D4"/>
    <w:rsid w:val="0045348C"/>
    <w:rsid w:val="004554AF"/>
    <w:rsid w:val="00461121"/>
    <w:rsid w:val="0046136D"/>
    <w:rsid w:val="00463B7E"/>
    <w:rsid w:val="00472D27"/>
    <w:rsid w:val="00473C86"/>
    <w:rsid w:val="00475F5A"/>
    <w:rsid w:val="0047700E"/>
    <w:rsid w:val="004800D0"/>
    <w:rsid w:val="004858D7"/>
    <w:rsid w:val="00486653"/>
    <w:rsid w:val="004872A6"/>
    <w:rsid w:val="00491C88"/>
    <w:rsid w:val="004A1DAA"/>
    <w:rsid w:val="004A1F5F"/>
    <w:rsid w:val="004B001A"/>
    <w:rsid w:val="004B13CB"/>
    <w:rsid w:val="004B72D4"/>
    <w:rsid w:val="004C228F"/>
    <w:rsid w:val="004C4665"/>
    <w:rsid w:val="004C5175"/>
    <w:rsid w:val="004C7D0B"/>
    <w:rsid w:val="004D2AA7"/>
    <w:rsid w:val="004D3226"/>
    <w:rsid w:val="004D5728"/>
    <w:rsid w:val="004D7D83"/>
    <w:rsid w:val="004E03BB"/>
    <w:rsid w:val="004E15F5"/>
    <w:rsid w:val="004F23F7"/>
    <w:rsid w:val="004F2C0D"/>
    <w:rsid w:val="004F3168"/>
    <w:rsid w:val="00503A00"/>
    <w:rsid w:val="00505E6D"/>
    <w:rsid w:val="00510231"/>
    <w:rsid w:val="00512A26"/>
    <w:rsid w:val="005138BC"/>
    <w:rsid w:val="00520D26"/>
    <w:rsid w:val="005217EC"/>
    <w:rsid w:val="0052328C"/>
    <w:rsid w:val="005238AE"/>
    <w:rsid w:val="00523C0E"/>
    <w:rsid w:val="00524BED"/>
    <w:rsid w:val="00536381"/>
    <w:rsid w:val="005414BA"/>
    <w:rsid w:val="00541809"/>
    <w:rsid w:val="005423DA"/>
    <w:rsid w:val="0054348E"/>
    <w:rsid w:val="00543D1C"/>
    <w:rsid w:val="005554BC"/>
    <w:rsid w:val="00555E7C"/>
    <w:rsid w:val="0056230E"/>
    <w:rsid w:val="005666D5"/>
    <w:rsid w:val="005858D4"/>
    <w:rsid w:val="00585CF3"/>
    <w:rsid w:val="00585E1F"/>
    <w:rsid w:val="00591571"/>
    <w:rsid w:val="00595775"/>
    <w:rsid w:val="005A22A2"/>
    <w:rsid w:val="005A337C"/>
    <w:rsid w:val="005B5914"/>
    <w:rsid w:val="005C05B5"/>
    <w:rsid w:val="005C4FA0"/>
    <w:rsid w:val="005D4850"/>
    <w:rsid w:val="005D62FD"/>
    <w:rsid w:val="005D6819"/>
    <w:rsid w:val="005D69A2"/>
    <w:rsid w:val="005E058A"/>
    <w:rsid w:val="005E12CD"/>
    <w:rsid w:val="005E1A35"/>
    <w:rsid w:val="005E371B"/>
    <w:rsid w:val="005F2F39"/>
    <w:rsid w:val="005F3B02"/>
    <w:rsid w:val="005F5585"/>
    <w:rsid w:val="005F63FE"/>
    <w:rsid w:val="005F6C9C"/>
    <w:rsid w:val="005F7388"/>
    <w:rsid w:val="00612805"/>
    <w:rsid w:val="00614034"/>
    <w:rsid w:val="00614C81"/>
    <w:rsid w:val="00615967"/>
    <w:rsid w:val="00616301"/>
    <w:rsid w:val="006206C9"/>
    <w:rsid w:val="00620C6D"/>
    <w:rsid w:val="00625E1B"/>
    <w:rsid w:val="00632C0B"/>
    <w:rsid w:val="006367D0"/>
    <w:rsid w:val="00637C9B"/>
    <w:rsid w:val="00640DE1"/>
    <w:rsid w:val="0064104D"/>
    <w:rsid w:val="00644B15"/>
    <w:rsid w:val="0064616A"/>
    <w:rsid w:val="00652C8D"/>
    <w:rsid w:val="006536B9"/>
    <w:rsid w:val="006550BE"/>
    <w:rsid w:val="00657650"/>
    <w:rsid w:val="00662194"/>
    <w:rsid w:val="00671FAB"/>
    <w:rsid w:val="00673538"/>
    <w:rsid w:val="006741DD"/>
    <w:rsid w:val="00676346"/>
    <w:rsid w:val="00681C8E"/>
    <w:rsid w:val="00686C35"/>
    <w:rsid w:val="00690BFA"/>
    <w:rsid w:val="00692223"/>
    <w:rsid w:val="006A1D6F"/>
    <w:rsid w:val="006A40B5"/>
    <w:rsid w:val="006A6C9C"/>
    <w:rsid w:val="006A7CFD"/>
    <w:rsid w:val="006B006C"/>
    <w:rsid w:val="006B0F26"/>
    <w:rsid w:val="006B200E"/>
    <w:rsid w:val="006C2B03"/>
    <w:rsid w:val="006C782D"/>
    <w:rsid w:val="006D1A34"/>
    <w:rsid w:val="006D1D9B"/>
    <w:rsid w:val="006D1FA1"/>
    <w:rsid w:val="006D52C2"/>
    <w:rsid w:val="006D601D"/>
    <w:rsid w:val="006D62F8"/>
    <w:rsid w:val="006E3360"/>
    <w:rsid w:val="006E58DA"/>
    <w:rsid w:val="006E7F1E"/>
    <w:rsid w:val="006F278B"/>
    <w:rsid w:val="007057BA"/>
    <w:rsid w:val="00705B34"/>
    <w:rsid w:val="00706607"/>
    <w:rsid w:val="007107CC"/>
    <w:rsid w:val="007207D5"/>
    <w:rsid w:val="00722088"/>
    <w:rsid w:val="00722C03"/>
    <w:rsid w:val="00723E34"/>
    <w:rsid w:val="00723FFC"/>
    <w:rsid w:val="00727FE2"/>
    <w:rsid w:val="00731177"/>
    <w:rsid w:val="00731624"/>
    <w:rsid w:val="00732426"/>
    <w:rsid w:val="007409C9"/>
    <w:rsid w:val="00743876"/>
    <w:rsid w:val="00746A37"/>
    <w:rsid w:val="00747AA0"/>
    <w:rsid w:val="00756792"/>
    <w:rsid w:val="00760EC0"/>
    <w:rsid w:val="0076229C"/>
    <w:rsid w:val="007650CD"/>
    <w:rsid w:val="00767C21"/>
    <w:rsid w:val="00767E79"/>
    <w:rsid w:val="007742AA"/>
    <w:rsid w:val="00775EFA"/>
    <w:rsid w:val="00782C2A"/>
    <w:rsid w:val="00784B2E"/>
    <w:rsid w:val="0078691D"/>
    <w:rsid w:val="007900EB"/>
    <w:rsid w:val="00792029"/>
    <w:rsid w:val="00792D9C"/>
    <w:rsid w:val="007A2B6D"/>
    <w:rsid w:val="007B0D5C"/>
    <w:rsid w:val="007B4F66"/>
    <w:rsid w:val="007C0102"/>
    <w:rsid w:val="007C0D19"/>
    <w:rsid w:val="007C6C68"/>
    <w:rsid w:val="007D4CAF"/>
    <w:rsid w:val="007D58F9"/>
    <w:rsid w:val="007E5629"/>
    <w:rsid w:val="007E705A"/>
    <w:rsid w:val="007E72CE"/>
    <w:rsid w:val="007E7692"/>
    <w:rsid w:val="007F2B11"/>
    <w:rsid w:val="007F384C"/>
    <w:rsid w:val="007F40AA"/>
    <w:rsid w:val="007F6D27"/>
    <w:rsid w:val="007F7623"/>
    <w:rsid w:val="007F78A0"/>
    <w:rsid w:val="008032C4"/>
    <w:rsid w:val="00804804"/>
    <w:rsid w:val="00805A40"/>
    <w:rsid w:val="00807E41"/>
    <w:rsid w:val="008160DF"/>
    <w:rsid w:val="0082514E"/>
    <w:rsid w:val="00825197"/>
    <w:rsid w:val="00826A9C"/>
    <w:rsid w:val="00827624"/>
    <w:rsid w:val="008279CB"/>
    <w:rsid w:val="00835CB7"/>
    <w:rsid w:val="00836C6A"/>
    <w:rsid w:val="00836E46"/>
    <w:rsid w:val="008472C9"/>
    <w:rsid w:val="00865568"/>
    <w:rsid w:val="008732A2"/>
    <w:rsid w:val="00874B6D"/>
    <w:rsid w:val="00874EC7"/>
    <w:rsid w:val="008764AD"/>
    <w:rsid w:val="008850BA"/>
    <w:rsid w:val="008857AD"/>
    <w:rsid w:val="00892EED"/>
    <w:rsid w:val="008945E6"/>
    <w:rsid w:val="00895751"/>
    <w:rsid w:val="008A05CE"/>
    <w:rsid w:val="008A1390"/>
    <w:rsid w:val="008B6ECA"/>
    <w:rsid w:val="008C06D2"/>
    <w:rsid w:val="008C6500"/>
    <w:rsid w:val="008D156C"/>
    <w:rsid w:val="008D337C"/>
    <w:rsid w:val="008E2100"/>
    <w:rsid w:val="008E5732"/>
    <w:rsid w:val="008E6E21"/>
    <w:rsid w:val="008E7DDC"/>
    <w:rsid w:val="008F016E"/>
    <w:rsid w:val="008F434E"/>
    <w:rsid w:val="008F5A30"/>
    <w:rsid w:val="00900F9E"/>
    <w:rsid w:val="00905314"/>
    <w:rsid w:val="009077B6"/>
    <w:rsid w:val="00907ADE"/>
    <w:rsid w:val="00911DBF"/>
    <w:rsid w:val="00913865"/>
    <w:rsid w:val="00925402"/>
    <w:rsid w:val="00925C05"/>
    <w:rsid w:val="00926141"/>
    <w:rsid w:val="0093074E"/>
    <w:rsid w:val="00935EAA"/>
    <w:rsid w:val="009366A8"/>
    <w:rsid w:val="00936FA2"/>
    <w:rsid w:val="00952CB5"/>
    <w:rsid w:val="00953239"/>
    <w:rsid w:val="00960A0D"/>
    <w:rsid w:val="00961ACD"/>
    <w:rsid w:val="009646D4"/>
    <w:rsid w:val="009664BC"/>
    <w:rsid w:val="009711E7"/>
    <w:rsid w:val="00972199"/>
    <w:rsid w:val="009730F6"/>
    <w:rsid w:val="009734B5"/>
    <w:rsid w:val="00973F23"/>
    <w:rsid w:val="009756BF"/>
    <w:rsid w:val="009911FA"/>
    <w:rsid w:val="00994ED5"/>
    <w:rsid w:val="009977F2"/>
    <w:rsid w:val="009A02B7"/>
    <w:rsid w:val="009A1B34"/>
    <w:rsid w:val="009A2D44"/>
    <w:rsid w:val="009A6C18"/>
    <w:rsid w:val="009A71E2"/>
    <w:rsid w:val="009B29F0"/>
    <w:rsid w:val="009B32F3"/>
    <w:rsid w:val="009B3451"/>
    <w:rsid w:val="009C0811"/>
    <w:rsid w:val="009C1E61"/>
    <w:rsid w:val="009C4FD6"/>
    <w:rsid w:val="009D4AB5"/>
    <w:rsid w:val="009E02C4"/>
    <w:rsid w:val="009E0CF1"/>
    <w:rsid w:val="009E35CC"/>
    <w:rsid w:val="00A01924"/>
    <w:rsid w:val="00A02314"/>
    <w:rsid w:val="00A05063"/>
    <w:rsid w:val="00A11826"/>
    <w:rsid w:val="00A20155"/>
    <w:rsid w:val="00A2509C"/>
    <w:rsid w:val="00A27943"/>
    <w:rsid w:val="00A30BA0"/>
    <w:rsid w:val="00A31B04"/>
    <w:rsid w:val="00A34CD6"/>
    <w:rsid w:val="00A35349"/>
    <w:rsid w:val="00A36BE1"/>
    <w:rsid w:val="00A4287D"/>
    <w:rsid w:val="00A4355E"/>
    <w:rsid w:val="00A4754B"/>
    <w:rsid w:val="00A51B35"/>
    <w:rsid w:val="00A53FDF"/>
    <w:rsid w:val="00A57352"/>
    <w:rsid w:val="00A61C6D"/>
    <w:rsid w:val="00A63E90"/>
    <w:rsid w:val="00A6658D"/>
    <w:rsid w:val="00A7289B"/>
    <w:rsid w:val="00A7402A"/>
    <w:rsid w:val="00A75C2D"/>
    <w:rsid w:val="00A834A9"/>
    <w:rsid w:val="00A83620"/>
    <w:rsid w:val="00A877FD"/>
    <w:rsid w:val="00A959C1"/>
    <w:rsid w:val="00A96FC1"/>
    <w:rsid w:val="00AA20D4"/>
    <w:rsid w:val="00AA47D7"/>
    <w:rsid w:val="00AB210F"/>
    <w:rsid w:val="00AB3A7D"/>
    <w:rsid w:val="00AB4CDC"/>
    <w:rsid w:val="00AB5998"/>
    <w:rsid w:val="00AB72AE"/>
    <w:rsid w:val="00AB74B1"/>
    <w:rsid w:val="00AC1D2D"/>
    <w:rsid w:val="00AC6CF5"/>
    <w:rsid w:val="00AC6E7B"/>
    <w:rsid w:val="00AE7EB2"/>
    <w:rsid w:val="00AF0D88"/>
    <w:rsid w:val="00AF206A"/>
    <w:rsid w:val="00AF319F"/>
    <w:rsid w:val="00AF6E87"/>
    <w:rsid w:val="00B00171"/>
    <w:rsid w:val="00B00732"/>
    <w:rsid w:val="00B0277F"/>
    <w:rsid w:val="00B03C2B"/>
    <w:rsid w:val="00B041F6"/>
    <w:rsid w:val="00B259D6"/>
    <w:rsid w:val="00B2625D"/>
    <w:rsid w:val="00B27443"/>
    <w:rsid w:val="00B31BC6"/>
    <w:rsid w:val="00B34569"/>
    <w:rsid w:val="00B37691"/>
    <w:rsid w:val="00B4136E"/>
    <w:rsid w:val="00B4223A"/>
    <w:rsid w:val="00B44224"/>
    <w:rsid w:val="00B4764A"/>
    <w:rsid w:val="00B47926"/>
    <w:rsid w:val="00B47D47"/>
    <w:rsid w:val="00B55D2E"/>
    <w:rsid w:val="00B60FCD"/>
    <w:rsid w:val="00B61CF9"/>
    <w:rsid w:val="00B6722D"/>
    <w:rsid w:val="00B70105"/>
    <w:rsid w:val="00B7026D"/>
    <w:rsid w:val="00B70EFD"/>
    <w:rsid w:val="00B83AD7"/>
    <w:rsid w:val="00B85514"/>
    <w:rsid w:val="00B85E27"/>
    <w:rsid w:val="00B90673"/>
    <w:rsid w:val="00B91BAE"/>
    <w:rsid w:val="00B9286E"/>
    <w:rsid w:val="00B929ED"/>
    <w:rsid w:val="00B96F76"/>
    <w:rsid w:val="00BA0F80"/>
    <w:rsid w:val="00BA325A"/>
    <w:rsid w:val="00BA464C"/>
    <w:rsid w:val="00BB0F61"/>
    <w:rsid w:val="00BD046C"/>
    <w:rsid w:val="00BD6039"/>
    <w:rsid w:val="00BE0816"/>
    <w:rsid w:val="00BE24C6"/>
    <w:rsid w:val="00BE2C8F"/>
    <w:rsid w:val="00BE4697"/>
    <w:rsid w:val="00BE5D05"/>
    <w:rsid w:val="00BF3BFC"/>
    <w:rsid w:val="00BF3E42"/>
    <w:rsid w:val="00BF4281"/>
    <w:rsid w:val="00BF48AC"/>
    <w:rsid w:val="00C0283B"/>
    <w:rsid w:val="00C06BF9"/>
    <w:rsid w:val="00C14241"/>
    <w:rsid w:val="00C1463D"/>
    <w:rsid w:val="00C1751F"/>
    <w:rsid w:val="00C224F3"/>
    <w:rsid w:val="00C33A2C"/>
    <w:rsid w:val="00C345A5"/>
    <w:rsid w:val="00C361F0"/>
    <w:rsid w:val="00C37DB2"/>
    <w:rsid w:val="00C43127"/>
    <w:rsid w:val="00C5427B"/>
    <w:rsid w:val="00C55C75"/>
    <w:rsid w:val="00C61547"/>
    <w:rsid w:val="00C63B2F"/>
    <w:rsid w:val="00C7283E"/>
    <w:rsid w:val="00C72B5E"/>
    <w:rsid w:val="00C735C3"/>
    <w:rsid w:val="00C73C0F"/>
    <w:rsid w:val="00C85C9F"/>
    <w:rsid w:val="00CA3CC9"/>
    <w:rsid w:val="00CA5291"/>
    <w:rsid w:val="00CA791C"/>
    <w:rsid w:val="00CB5306"/>
    <w:rsid w:val="00CB5D46"/>
    <w:rsid w:val="00CC3636"/>
    <w:rsid w:val="00CC57C6"/>
    <w:rsid w:val="00CD04D9"/>
    <w:rsid w:val="00CD23B4"/>
    <w:rsid w:val="00CD530D"/>
    <w:rsid w:val="00CD7657"/>
    <w:rsid w:val="00CE4405"/>
    <w:rsid w:val="00CF200F"/>
    <w:rsid w:val="00CF2554"/>
    <w:rsid w:val="00CF3B88"/>
    <w:rsid w:val="00D00C95"/>
    <w:rsid w:val="00D058A2"/>
    <w:rsid w:val="00D06902"/>
    <w:rsid w:val="00D1247E"/>
    <w:rsid w:val="00D14216"/>
    <w:rsid w:val="00D16421"/>
    <w:rsid w:val="00D17E52"/>
    <w:rsid w:val="00D220C2"/>
    <w:rsid w:val="00D23508"/>
    <w:rsid w:val="00D26356"/>
    <w:rsid w:val="00D3076D"/>
    <w:rsid w:val="00D32A2E"/>
    <w:rsid w:val="00D337DE"/>
    <w:rsid w:val="00D33EB0"/>
    <w:rsid w:val="00D371E3"/>
    <w:rsid w:val="00D41895"/>
    <w:rsid w:val="00D432AD"/>
    <w:rsid w:val="00D43B8C"/>
    <w:rsid w:val="00D441F6"/>
    <w:rsid w:val="00D467A2"/>
    <w:rsid w:val="00D513D2"/>
    <w:rsid w:val="00D54053"/>
    <w:rsid w:val="00D560C1"/>
    <w:rsid w:val="00D6385E"/>
    <w:rsid w:val="00D64B44"/>
    <w:rsid w:val="00D654C7"/>
    <w:rsid w:val="00D6694D"/>
    <w:rsid w:val="00D67D4D"/>
    <w:rsid w:val="00D7621A"/>
    <w:rsid w:val="00D86F6D"/>
    <w:rsid w:val="00D87B16"/>
    <w:rsid w:val="00D91BA4"/>
    <w:rsid w:val="00D938E6"/>
    <w:rsid w:val="00DA2C4F"/>
    <w:rsid w:val="00DA3FD2"/>
    <w:rsid w:val="00DA423D"/>
    <w:rsid w:val="00DA5D84"/>
    <w:rsid w:val="00DA5DC3"/>
    <w:rsid w:val="00DB272F"/>
    <w:rsid w:val="00DC7107"/>
    <w:rsid w:val="00DD2AE7"/>
    <w:rsid w:val="00DD7C14"/>
    <w:rsid w:val="00DE04A9"/>
    <w:rsid w:val="00DE1DD4"/>
    <w:rsid w:val="00DE291C"/>
    <w:rsid w:val="00DE3D06"/>
    <w:rsid w:val="00DE5F37"/>
    <w:rsid w:val="00DE75A1"/>
    <w:rsid w:val="00DF5C07"/>
    <w:rsid w:val="00DF7C3E"/>
    <w:rsid w:val="00E04B04"/>
    <w:rsid w:val="00E0532E"/>
    <w:rsid w:val="00E0617D"/>
    <w:rsid w:val="00E07763"/>
    <w:rsid w:val="00E07A25"/>
    <w:rsid w:val="00E07ABE"/>
    <w:rsid w:val="00E113B7"/>
    <w:rsid w:val="00E13F1A"/>
    <w:rsid w:val="00E25B0A"/>
    <w:rsid w:val="00E25FB0"/>
    <w:rsid w:val="00E27FF2"/>
    <w:rsid w:val="00E30919"/>
    <w:rsid w:val="00E31A8C"/>
    <w:rsid w:val="00E32E60"/>
    <w:rsid w:val="00E364E3"/>
    <w:rsid w:val="00E46434"/>
    <w:rsid w:val="00E47796"/>
    <w:rsid w:val="00E47890"/>
    <w:rsid w:val="00E54C6F"/>
    <w:rsid w:val="00E573C1"/>
    <w:rsid w:val="00E613B9"/>
    <w:rsid w:val="00E628C0"/>
    <w:rsid w:val="00E7759D"/>
    <w:rsid w:val="00E96214"/>
    <w:rsid w:val="00E96937"/>
    <w:rsid w:val="00EA050C"/>
    <w:rsid w:val="00EA1935"/>
    <w:rsid w:val="00EA5677"/>
    <w:rsid w:val="00EB3D80"/>
    <w:rsid w:val="00EB46EA"/>
    <w:rsid w:val="00EC09F7"/>
    <w:rsid w:val="00EC1DFC"/>
    <w:rsid w:val="00EC2F99"/>
    <w:rsid w:val="00ED1DAB"/>
    <w:rsid w:val="00ED5F2A"/>
    <w:rsid w:val="00ED7E64"/>
    <w:rsid w:val="00EE2322"/>
    <w:rsid w:val="00EF255C"/>
    <w:rsid w:val="00EF5C2D"/>
    <w:rsid w:val="00F05B1E"/>
    <w:rsid w:val="00F114A0"/>
    <w:rsid w:val="00F12895"/>
    <w:rsid w:val="00F14984"/>
    <w:rsid w:val="00F20445"/>
    <w:rsid w:val="00F23035"/>
    <w:rsid w:val="00F25A11"/>
    <w:rsid w:val="00F26F95"/>
    <w:rsid w:val="00F27998"/>
    <w:rsid w:val="00F31DD1"/>
    <w:rsid w:val="00F3339D"/>
    <w:rsid w:val="00F353E2"/>
    <w:rsid w:val="00F356D9"/>
    <w:rsid w:val="00F35BF9"/>
    <w:rsid w:val="00F36F6B"/>
    <w:rsid w:val="00F37349"/>
    <w:rsid w:val="00F42BB4"/>
    <w:rsid w:val="00F43A96"/>
    <w:rsid w:val="00F52DE9"/>
    <w:rsid w:val="00F54325"/>
    <w:rsid w:val="00F56139"/>
    <w:rsid w:val="00F6021C"/>
    <w:rsid w:val="00F633D7"/>
    <w:rsid w:val="00F66EA0"/>
    <w:rsid w:val="00F711D5"/>
    <w:rsid w:val="00F77159"/>
    <w:rsid w:val="00F81AB0"/>
    <w:rsid w:val="00F81D32"/>
    <w:rsid w:val="00F838A9"/>
    <w:rsid w:val="00F94E9D"/>
    <w:rsid w:val="00F97952"/>
    <w:rsid w:val="00FA394A"/>
    <w:rsid w:val="00FB18CE"/>
    <w:rsid w:val="00FB70EC"/>
    <w:rsid w:val="00FB7775"/>
    <w:rsid w:val="00FC3EF0"/>
    <w:rsid w:val="00FC762D"/>
    <w:rsid w:val="00FD02F1"/>
    <w:rsid w:val="00FD1457"/>
    <w:rsid w:val="00FD4BC4"/>
    <w:rsid w:val="00FE2662"/>
    <w:rsid w:val="00FE3D14"/>
    <w:rsid w:val="00FE6A20"/>
    <w:rsid w:val="00FF0EF7"/>
    <w:rsid w:val="00FF6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6538A9"/>
  <w15:docId w15:val="{01B8F897-9D58-4C39-9504-689C6E9C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3A6EB2"/>
    <w:pPr>
      <w:widowControl/>
      <w:autoSpaceDE/>
      <w:autoSpaceDN/>
    </w:pPr>
    <w:rPr>
      <w:rFonts w:ascii="Times New Roman" w:eastAsia="Times New Roman" w:hAnsi="Times New Roman" w:cs="Times New Roman"/>
      <w:sz w:val="24"/>
      <w:szCs w:val="24"/>
    </w:rPr>
  </w:style>
  <w:style w:type="paragraph" w:styleId="Titre1">
    <w:name w:val="heading 1"/>
    <w:basedOn w:val="Normal"/>
    <w:link w:val="Titre1Car"/>
    <w:uiPriority w:val="1"/>
    <w:qFormat/>
    <w:rsid w:val="00A6658D"/>
    <w:pPr>
      <w:spacing w:before="78"/>
      <w:ind w:left="100"/>
      <w:outlineLvl w:val="0"/>
    </w:pPr>
    <w:rPr>
      <w:rFonts w:ascii="Calibri" w:eastAsia="Cambria" w:hAnsi="Calibri" w:cs="Cambria"/>
      <w:b/>
      <w:bCs/>
      <w:sz w:val="28"/>
      <w:szCs w:val="28"/>
    </w:rPr>
  </w:style>
  <w:style w:type="paragraph" w:styleId="Titre2">
    <w:name w:val="heading 2"/>
    <w:basedOn w:val="Normal"/>
    <w:link w:val="Titre2Car"/>
    <w:autoRedefine/>
    <w:uiPriority w:val="1"/>
    <w:qFormat/>
    <w:rsid w:val="004B72D4"/>
    <w:pPr>
      <w:ind w:left="100"/>
      <w:outlineLvl w:val="1"/>
    </w:pPr>
    <w:rPr>
      <w:rFonts w:ascii="Calibri" w:eastAsiaTheme="majorEastAsia" w:hAnsi="Calibri"/>
      <w:b/>
      <w:bCs/>
      <w:smallCaps/>
    </w:rPr>
  </w:style>
  <w:style w:type="paragraph" w:styleId="Titre3">
    <w:name w:val="heading 3"/>
    <w:basedOn w:val="Normal"/>
    <w:uiPriority w:val="1"/>
    <w:qFormat/>
    <w:pPr>
      <w:ind w:left="100"/>
      <w:outlineLvl w:val="2"/>
    </w:pPr>
    <w:rPr>
      <w:rFonts w:ascii="TimesNewRomanPS-BoldItalicMT" w:eastAsia="TimesNewRomanPS-BoldItalicMT" w:hAnsi="TimesNewRomanPS-BoldItalicMT" w:cs="TimesNewRomanPS-BoldItalicMT"/>
      <w:b/>
      <w:bCs/>
      <w:i/>
    </w:rPr>
  </w:style>
  <w:style w:type="paragraph" w:styleId="Titre9">
    <w:name w:val="heading 9"/>
    <w:basedOn w:val="Normal"/>
    <w:next w:val="Normal"/>
    <w:link w:val="Titre9Car"/>
    <w:qFormat/>
    <w:rsid w:val="0018028C"/>
    <w:pPr>
      <w:keepNext/>
      <w:widowControl w:val="0"/>
      <w:numPr>
        <w:numId w:val="8"/>
      </w:numPr>
      <w:tabs>
        <w:tab w:val="left" w:pos="1247"/>
        <w:tab w:val="left" w:pos="1814"/>
        <w:tab w:val="left" w:pos="2381"/>
        <w:tab w:val="left" w:pos="2948"/>
        <w:tab w:val="left" w:pos="3515"/>
      </w:tabs>
      <w:suppressAutoHyphens/>
      <w:jc w:val="center"/>
      <w:outlineLvl w:val="8"/>
    </w:pPr>
    <w:rPr>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pPr>
      <w:spacing w:before="119"/>
      <w:ind w:right="2"/>
      <w:jc w:val="center"/>
    </w:pPr>
    <w:rPr>
      <w:rFonts w:ascii="Calibri-BoldItalic" w:eastAsia="Calibri-BoldItalic" w:hAnsi="Calibri-BoldItalic" w:cs="Calibri-BoldItalic"/>
      <w:b/>
      <w:bCs/>
      <w:i/>
    </w:rPr>
  </w:style>
  <w:style w:type="paragraph" w:styleId="TM2">
    <w:name w:val="toc 2"/>
    <w:basedOn w:val="Normal"/>
    <w:uiPriority w:val="39"/>
    <w:qFormat/>
    <w:pPr>
      <w:spacing w:before="119"/>
      <w:ind w:left="100"/>
    </w:pPr>
    <w:rPr>
      <w:rFonts w:ascii="Calibri-BoldItalic" w:eastAsia="Calibri-BoldItalic" w:hAnsi="Calibri-BoldItalic" w:cs="Calibri-BoldItalic"/>
      <w:b/>
      <w:bCs/>
      <w:i/>
    </w:rPr>
  </w:style>
  <w:style w:type="paragraph" w:styleId="TM3">
    <w:name w:val="toc 3"/>
    <w:basedOn w:val="Normal"/>
    <w:uiPriority w:val="39"/>
    <w:qFormat/>
    <w:pPr>
      <w:spacing w:before="120"/>
      <w:ind w:left="194"/>
      <w:jc w:val="center"/>
    </w:pPr>
    <w:rPr>
      <w:b/>
      <w:bCs/>
    </w:rPr>
  </w:style>
  <w:style w:type="paragraph" w:styleId="TM4">
    <w:name w:val="toc 4"/>
    <w:basedOn w:val="Normal"/>
    <w:uiPriority w:val="1"/>
    <w:qFormat/>
    <w:pPr>
      <w:ind w:left="501"/>
    </w:pPr>
  </w:style>
  <w:style w:type="paragraph" w:styleId="Corpsdetexte">
    <w:name w:val="Body Text"/>
    <w:basedOn w:val="Normal"/>
    <w:link w:val="CorpsdetexteCar"/>
    <w:uiPriority w:val="1"/>
    <w:qFormat/>
  </w:style>
  <w:style w:type="paragraph" w:styleId="Paragraphedeliste">
    <w:name w:val="List Paragraph"/>
    <w:aliases w:val="Bullets,List Paragraph1,Bullets1,List Paragraph11,Bullets2,List Paragraph12,Bullets3,List Paragraph13,Dot pt,F5 List Paragraph,No Spacing1,List Paragraph Char Char Char,Indicator Text,Colorful List - Accent 11,Numbered Para 1"/>
    <w:basedOn w:val="Normal"/>
    <w:link w:val="ParagraphedelisteCar"/>
    <w:uiPriority w:val="34"/>
    <w:qFormat/>
    <w:pPr>
      <w:ind w:left="640" w:hanging="540"/>
    </w:pPr>
  </w:style>
  <w:style w:type="paragraph" w:customStyle="1" w:styleId="TableParagraph">
    <w:name w:val="Table Paragraph"/>
    <w:basedOn w:val="Normal"/>
    <w:uiPriority w:val="1"/>
    <w:qFormat/>
    <w:pPr>
      <w:spacing w:before="53"/>
    </w:pPr>
  </w:style>
  <w:style w:type="paragraph" w:styleId="Notedebasdepage">
    <w:name w:val="footnote text"/>
    <w:aliases w:val="fn,Geneva 9,Font: Geneva 9,Boston 10,f,Testo nota a piè di pagina Carattere Carattere,Testo nota a piè di pagina Carattere,Testo nota a piè di pagina Carattere1 Carattere"/>
    <w:basedOn w:val="Normal"/>
    <w:link w:val="NotedebasdepageCar"/>
    <w:unhideWhenUsed/>
    <w:qFormat/>
    <w:rsid w:val="006D1D9B"/>
    <w:pPr>
      <w:spacing w:before="240"/>
    </w:pPr>
    <w:rPr>
      <w:rFonts w:asciiTheme="minorHAnsi" w:eastAsiaTheme="minorEastAsia" w:hAnsiTheme="minorHAnsi" w:cstheme="minorBidi"/>
      <w:sz w:val="20"/>
      <w:szCs w:val="20"/>
    </w:rPr>
  </w:style>
  <w:style w:type="character" w:customStyle="1" w:styleId="NotedebasdepageCar">
    <w:name w:val="Note de bas de page Car"/>
    <w:aliases w:val="fn Car,Geneva 9 Car,Font: Geneva 9 Car,Boston 10 Car,f Car,Testo nota a piè di pagina Carattere Carattere Car,Testo nota a piè di pagina Carattere Car,Testo nota a piè di pagina Carattere1 Carattere Car"/>
    <w:basedOn w:val="Policepardfaut"/>
    <w:link w:val="Notedebasdepage"/>
    <w:rsid w:val="006D1D9B"/>
    <w:rPr>
      <w:rFonts w:eastAsiaTheme="minorEastAsia"/>
      <w:sz w:val="20"/>
      <w:szCs w:val="20"/>
    </w:rPr>
  </w:style>
  <w:style w:type="character" w:styleId="Appelnotedebasdep">
    <w:name w:val="footnote reference"/>
    <w:aliases w:val="16 Point,Superscript 6 Point,Superscript 6 Point + 11 pt,ftref,Appel note de bas de page,number,Footnote Reference Superscript,-E Fußnotenzeichen,(Diplomarbeit FZ),(Diplomarbeit FZ)1,(Diplomarbeit FZ)2,(Diplomarbeit FZ)3,16 Poin"/>
    <w:basedOn w:val="Policepardfaut"/>
    <w:unhideWhenUsed/>
    <w:qFormat/>
    <w:rsid w:val="006D1D9B"/>
    <w:rPr>
      <w:vertAlign w:val="superscript"/>
    </w:rPr>
  </w:style>
  <w:style w:type="character" w:styleId="Lienhypertexte">
    <w:name w:val="Hyperlink"/>
    <w:basedOn w:val="Policepardfaut"/>
    <w:uiPriority w:val="99"/>
    <w:unhideWhenUsed/>
    <w:rsid w:val="006D1D9B"/>
    <w:rPr>
      <w:color w:val="0000FF" w:themeColor="hyperlink"/>
      <w:u w:val="single"/>
    </w:rPr>
  </w:style>
  <w:style w:type="paragraph" w:styleId="Lgende">
    <w:name w:val="caption"/>
    <w:basedOn w:val="Normal"/>
    <w:next w:val="Normal"/>
    <w:uiPriority w:val="35"/>
    <w:unhideWhenUsed/>
    <w:qFormat/>
    <w:rsid w:val="006D1D9B"/>
    <w:pPr>
      <w:spacing w:before="120"/>
      <w:jc w:val="both"/>
    </w:pPr>
    <w:rPr>
      <w:rFonts w:asciiTheme="minorHAnsi" w:eastAsiaTheme="minorEastAsia" w:hAnsiTheme="minorHAnsi" w:cstheme="minorBidi"/>
      <w:b/>
      <w:bCs/>
      <w:color w:val="4F81BD" w:themeColor="accent1"/>
      <w:sz w:val="18"/>
      <w:szCs w:val="18"/>
      <w:lang w:val="en-GB"/>
    </w:rPr>
  </w:style>
  <w:style w:type="character" w:customStyle="1" w:styleId="ParagraphedelisteCar">
    <w:name w:val="Paragraphe de liste Car"/>
    <w:aliases w:val="Bullets Car,List Paragraph1 Car,Bullets1 Car,List Paragraph11 Car,Bullets2 Car,List Paragraph12 Car,Bullets3 Car,List Paragraph13 Car,Dot pt Car,F5 List Paragraph Car,No Spacing1 Car,List Paragraph Char Char Char Car"/>
    <w:link w:val="Paragraphedeliste"/>
    <w:uiPriority w:val="34"/>
    <w:locked/>
    <w:rsid w:val="006D1D9B"/>
    <w:rPr>
      <w:rFonts w:ascii="Times New Roman" w:eastAsia="Times New Roman" w:hAnsi="Times New Roman" w:cs="Times New Roman"/>
    </w:rPr>
  </w:style>
  <w:style w:type="character" w:customStyle="1" w:styleId="containertitle">
    <w:name w:val="containertitle"/>
    <w:basedOn w:val="Policepardfaut"/>
    <w:rsid w:val="006D1D9B"/>
  </w:style>
  <w:style w:type="table" w:styleId="TableauGrille5Fonc-Accentuation1">
    <w:name w:val="Grid Table 5 Dark Accent 1"/>
    <w:basedOn w:val="TableauNormal"/>
    <w:uiPriority w:val="50"/>
    <w:rsid w:val="006D1D9B"/>
    <w:pPr>
      <w:widowControl/>
      <w:autoSpaceDE/>
      <w:autoSpaceDN/>
    </w:pPr>
    <w:rPr>
      <w:rFonts w:ascii="Times New Roman" w:eastAsia="MS Mincho" w:hAnsi="Times New Roman" w:cs="Times New Roman"/>
      <w:sz w:val="20"/>
      <w:szCs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arquedecommentaire">
    <w:name w:val="annotation reference"/>
    <w:basedOn w:val="Policepardfaut"/>
    <w:uiPriority w:val="99"/>
    <w:semiHidden/>
    <w:unhideWhenUsed/>
    <w:rsid w:val="00C1751F"/>
    <w:rPr>
      <w:sz w:val="16"/>
      <w:szCs w:val="16"/>
    </w:rPr>
  </w:style>
  <w:style w:type="paragraph" w:styleId="Commentaire">
    <w:name w:val="annotation text"/>
    <w:basedOn w:val="Normal"/>
    <w:link w:val="CommentaireCar"/>
    <w:uiPriority w:val="99"/>
    <w:unhideWhenUsed/>
    <w:rsid w:val="00C1751F"/>
    <w:rPr>
      <w:sz w:val="20"/>
      <w:szCs w:val="20"/>
    </w:rPr>
  </w:style>
  <w:style w:type="character" w:customStyle="1" w:styleId="CommentaireCar">
    <w:name w:val="Commentaire Car"/>
    <w:basedOn w:val="Policepardfaut"/>
    <w:link w:val="Commentaire"/>
    <w:uiPriority w:val="99"/>
    <w:rsid w:val="00C1751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1751F"/>
    <w:rPr>
      <w:b/>
      <w:bCs/>
    </w:rPr>
  </w:style>
  <w:style w:type="character" w:customStyle="1" w:styleId="ObjetducommentaireCar">
    <w:name w:val="Objet du commentaire Car"/>
    <w:basedOn w:val="CommentaireCar"/>
    <w:link w:val="Objetducommentaire"/>
    <w:uiPriority w:val="99"/>
    <w:semiHidden/>
    <w:rsid w:val="00C1751F"/>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C17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51F"/>
    <w:rPr>
      <w:rFonts w:ascii="Segoe UI" w:eastAsia="Times New Roman" w:hAnsi="Segoe UI" w:cs="Segoe UI"/>
      <w:sz w:val="18"/>
      <w:szCs w:val="18"/>
    </w:rPr>
  </w:style>
  <w:style w:type="table" w:styleId="Grilledutableau">
    <w:name w:val="Table Grid"/>
    <w:basedOn w:val="TableauNormal"/>
    <w:uiPriority w:val="39"/>
    <w:rsid w:val="002C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4B72D4"/>
    <w:rPr>
      <w:rFonts w:ascii="Calibri" w:eastAsiaTheme="majorEastAsia" w:hAnsi="Calibri" w:cs="Times New Roman"/>
      <w:b/>
      <w:bCs/>
      <w:smallCaps/>
      <w:sz w:val="24"/>
      <w:szCs w:val="24"/>
    </w:rPr>
  </w:style>
  <w:style w:type="character" w:customStyle="1" w:styleId="CorpsdetexteCar">
    <w:name w:val="Corps de texte Car"/>
    <w:basedOn w:val="Policepardfaut"/>
    <w:link w:val="Corpsdetexte"/>
    <w:uiPriority w:val="1"/>
    <w:rsid w:val="003C27A0"/>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E07ABE"/>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En-tte">
    <w:name w:val="header"/>
    <w:basedOn w:val="Normal"/>
    <w:link w:val="En-tteCar"/>
    <w:uiPriority w:val="99"/>
    <w:unhideWhenUsed/>
    <w:rsid w:val="00EA050C"/>
    <w:pPr>
      <w:tabs>
        <w:tab w:val="center" w:pos="4680"/>
        <w:tab w:val="right" w:pos="9360"/>
      </w:tabs>
    </w:pPr>
  </w:style>
  <w:style w:type="character" w:customStyle="1" w:styleId="En-tteCar">
    <w:name w:val="En-tête Car"/>
    <w:basedOn w:val="Policepardfaut"/>
    <w:link w:val="En-tte"/>
    <w:uiPriority w:val="99"/>
    <w:rsid w:val="00EA050C"/>
    <w:rPr>
      <w:rFonts w:ascii="Times New Roman" w:eastAsia="Times New Roman" w:hAnsi="Times New Roman" w:cs="Times New Roman"/>
    </w:rPr>
  </w:style>
  <w:style w:type="paragraph" w:styleId="Pieddepage">
    <w:name w:val="footer"/>
    <w:basedOn w:val="Normal"/>
    <w:link w:val="PieddepageCar"/>
    <w:uiPriority w:val="99"/>
    <w:unhideWhenUsed/>
    <w:rsid w:val="00EA050C"/>
    <w:pPr>
      <w:tabs>
        <w:tab w:val="center" w:pos="4680"/>
        <w:tab w:val="right" w:pos="9360"/>
      </w:tabs>
    </w:pPr>
  </w:style>
  <w:style w:type="character" w:customStyle="1" w:styleId="PieddepageCar">
    <w:name w:val="Pied de page Car"/>
    <w:basedOn w:val="Policepardfaut"/>
    <w:link w:val="Pieddepage"/>
    <w:uiPriority w:val="99"/>
    <w:rsid w:val="00EA050C"/>
    <w:rPr>
      <w:rFonts w:ascii="Times New Roman" w:eastAsia="Times New Roman" w:hAnsi="Times New Roman" w:cs="Times New Roman"/>
    </w:rPr>
  </w:style>
  <w:style w:type="paragraph" w:styleId="Rvision">
    <w:name w:val="Revision"/>
    <w:hidden/>
    <w:uiPriority w:val="99"/>
    <w:semiHidden/>
    <w:rsid w:val="0034665F"/>
    <w:pPr>
      <w:widowControl/>
      <w:autoSpaceDE/>
      <w:autoSpaceDN/>
    </w:pPr>
    <w:rPr>
      <w:rFonts w:ascii="Times New Roman" w:eastAsia="Times New Roman" w:hAnsi="Times New Roman" w:cs="Times New Roman"/>
    </w:rPr>
  </w:style>
  <w:style w:type="table" w:styleId="TableauListe1Clair-Accentuation3">
    <w:name w:val="List Table 1 Light Accent 3"/>
    <w:basedOn w:val="TableauNormal"/>
    <w:uiPriority w:val="46"/>
    <w:rsid w:val="0030691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3">
    <w:name w:val="Grid Table 6 Colorful Accent 3"/>
    <w:basedOn w:val="TableauNormal"/>
    <w:uiPriority w:val="51"/>
    <w:rsid w:val="0030691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itre1Car">
    <w:name w:val="Titre 1 Car"/>
    <w:basedOn w:val="Policepardfaut"/>
    <w:link w:val="Titre1"/>
    <w:uiPriority w:val="1"/>
    <w:rsid w:val="00A6658D"/>
    <w:rPr>
      <w:rFonts w:ascii="Calibri" w:eastAsia="Cambria" w:hAnsi="Calibri" w:cs="Cambria"/>
      <w:b/>
      <w:bCs/>
      <w:sz w:val="28"/>
      <w:szCs w:val="28"/>
    </w:rPr>
  </w:style>
  <w:style w:type="character" w:customStyle="1" w:styleId="UnresolvedMention1">
    <w:name w:val="Unresolved Mention1"/>
    <w:basedOn w:val="Policepardfaut"/>
    <w:uiPriority w:val="99"/>
    <w:semiHidden/>
    <w:unhideWhenUsed/>
    <w:rsid w:val="00486653"/>
    <w:rPr>
      <w:color w:val="808080"/>
      <w:shd w:val="clear" w:color="auto" w:fill="E6E6E6"/>
    </w:rPr>
  </w:style>
  <w:style w:type="character" w:styleId="Lienhypertextesuivivisit">
    <w:name w:val="FollowedHyperlink"/>
    <w:basedOn w:val="Policepardfaut"/>
    <w:uiPriority w:val="99"/>
    <w:semiHidden/>
    <w:unhideWhenUsed/>
    <w:rsid w:val="00486653"/>
    <w:rPr>
      <w:color w:val="800080" w:themeColor="followedHyperlink"/>
      <w:u w:val="single"/>
    </w:rPr>
  </w:style>
  <w:style w:type="paragraph" w:customStyle="1" w:styleId="MainParagraphwith">
    <w:name w:val="Main Paragraph with #"/>
    <w:basedOn w:val="Paragraphedeliste"/>
    <w:next w:val="Normal"/>
    <w:link w:val="MainParagraphwithChar"/>
    <w:autoRedefine/>
    <w:qFormat/>
    <w:rsid w:val="002D5818"/>
    <w:pPr>
      <w:numPr>
        <w:numId w:val="3"/>
      </w:numPr>
      <w:adjustRightInd w:val="0"/>
      <w:spacing w:before="240" w:after="240"/>
      <w:ind w:left="0" w:firstLine="0"/>
    </w:pPr>
    <w:rPr>
      <w:rFonts w:asciiTheme="minorHAnsi" w:eastAsiaTheme="minorEastAsia" w:hAnsiTheme="minorHAnsi" w:cs="Verdana"/>
      <w:bCs/>
      <w:color w:val="000000"/>
      <w:lang w:eastAsia="zh-CN"/>
    </w:rPr>
  </w:style>
  <w:style w:type="character" w:customStyle="1" w:styleId="MainParagraphwithChar">
    <w:name w:val="Main Paragraph with # Char"/>
    <w:basedOn w:val="Policepardfaut"/>
    <w:link w:val="MainParagraphwith"/>
    <w:rsid w:val="002D5818"/>
    <w:rPr>
      <w:rFonts w:eastAsiaTheme="minorEastAsia" w:cs="Verdana"/>
      <w:bCs/>
      <w:color w:val="000000"/>
      <w:sz w:val="24"/>
      <w:szCs w:val="24"/>
      <w:lang w:eastAsia="zh-CN"/>
    </w:rPr>
  </w:style>
  <w:style w:type="paragraph" w:styleId="Tabledesillustrations">
    <w:name w:val="table of figures"/>
    <w:basedOn w:val="Normal"/>
    <w:next w:val="Normal"/>
    <w:uiPriority w:val="99"/>
    <w:unhideWhenUsed/>
    <w:rsid w:val="00B44224"/>
  </w:style>
  <w:style w:type="paragraph" w:customStyle="1" w:styleId="SubParagraphLevel1">
    <w:name w:val="Sub Paragraph Level 1"/>
    <w:basedOn w:val="Paragraphedeliste"/>
    <w:link w:val="SubParagraphLevel1Char"/>
    <w:qFormat/>
    <w:rsid w:val="00B90673"/>
    <w:pPr>
      <w:spacing w:before="120" w:after="120"/>
      <w:ind w:left="0" w:firstLine="0"/>
    </w:pPr>
    <w:rPr>
      <w:rFonts w:asciiTheme="minorHAnsi" w:eastAsiaTheme="minorEastAsia" w:hAnsiTheme="minorHAnsi"/>
      <w:color w:val="000000"/>
      <w:lang w:eastAsia="zh-CN"/>
    </w:rPr>
  </w:style>
  <w:style w:type="character" w:customStyle="1" w:styleId="SubParagraphLevel1Char">
    <w:name w:val="Sub Paragraph Level 1 Char"/>
    <w:basedOn w:val="Policepardfaut"/>
    <w:link w:val="SubParagraphLevel1"/>
    <w:rsid w:val="00B90673"/>
    <w:rPr>
      <w:rFonts w:eastAsiaTheme="minorEastAsia" w:cs="Times New Roman"/>
      <w:color w:val="000000"/>
      <w:sz w:val="24"/>
      <w:szCs w:val="24"/>
      <w:lang w:eastAsia="zh-CN"/>
    </w:rPr>
  </w:style>
  <w:style w:type="table" w:styleId="TableauGrille6Couleur-Accentuation5">
    <w:name w:val="Grid Table 6 Colorful Accent 5"/>
    <w:basedOn w:val="TableauNormal"/>
    <w:uiPriority w:val="51"/>
    <w:rsid w:val="00935E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1Clair-Accentuation1">
    <w:name w:val="Grid Table 1 Light Accent 1"/>
    <w:basedOn w:val="TableauNormal"/>
    <w:uiPriority w:val="46"/>
    <w:rsid w:val="006922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69222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1">
    <w:name w:val="Grid Table 6 Colorful Accent 1"/>
    <w:basedOn w:val="TableauNormal"/>
    <w:uiPriority w:val="51"/>
    <w:rsid w:val="0069222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9911FA"/>
  </w:style>
  <w:style w:type="paragraph" w:customStyle="1" w:styleId="Default">
    <w:name w:val="Default"/>
    <w:rsid w:val="004858D7"/>
    <w:pPr>
      <w:widowControl/>
      <w:adjustRightInd w:val="0"/>
    </w:pPr>
    <w:rPr>
      <w:rFonts w:ascii="Times New Roman" w:hAnsi="Times New Roman" w:cs="Times New Roman"/>
      <w:color w:val="000000"/>
      <w:sz w:val="24"/>
      <w:szCs w:val="24"/>
    </w:rPr>
  </w:style>
  <w:style w:type="paragraph" w:customStyle="1" w:styleId="Normal-pool">
    <w:name w:val="Normal-pool"/>
    <w:link w:val="Normal-poolChar"/>
    <w:uiPriority w:val="99"/>
    <w:rsid w:val="0018028C"/>
    <w:pPr>
      <w:widowControl/>
      <w:tabs>
        <w:tab w:val="left" w:pos="1247"/>
        <w:tab w:val="left" w:pos="1814"/>
        <w:tab w:val="left" w:pos="2381"/>
        <w:tab w:val="left" w:pos="2948"/>
        <w:tab w:val="left" w:pos="3515"/>
        <w:tab w:val="left" w:pos="4082"/>
      </w:tabs>
      <w:autoSpaceDE/>
      <w:autoSpaceDN/>
    </w:pPr>
    <w:rPr>
      <w:rFonts w:ascii="Times New Roman" w:eastAsia="Times New Roman" w:hAnsi="Times New Roman" w:cs="Times New Roman"/>
      <w:sz w:val="20"/>
      <w:szCs w:val="20"/>
      <w:lang w:val="en-GB"/>
    </w:rPr>
  </w:style>
  <w:style w:type="character" w:customStyle="1" w:styleId="Normal-poolChar">
    <w:name w:val="Normal-pool Char"/>
    <w:link w:val="Normal-pool"/>
    <w:uiPriority w:val="99"/>
    <w:rsid w:val="0018028C"/>
    <w:rPr>
      <w:rFonts w:ascii="Times New Roman" w:eastAsia="Times New Roman" w:hAnsi="Times New Roman" w:cs="Times New Roman"/>
      <w:sz w:val="20"/>
      <w:szCs w:val="20"/>
      <w:lang w:val="en-GB"/>
    </w:rPr>
  </w:style>
  <w:style w:type="paragraph" w:customStyle="1" w:styleId="CH2">
    <w:name w:val="CH2"/>
    <w:basedOn w:val="Normal"/>
    <w:next w:val="Normalnumber"/>
    <w:link w:val="CH2Char"/>
    <w:rsid w:val="0018028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lang w:val="en-GB"/>
    </w:rPr>
  </w:style>
  <w:style w:type="paragraph" w:customStyle="1" w:styleId="AATitle">
    <w:name w:val="AA_Title"/>
    <w:basedOn w:val="Normal"/>
    <w:rsid w:val="0018028C"/>
    <w:pPr>
      <w:keepNext/>
      <w:keepLines/>
      <w:tabs>
        <w:tab w:val="left" w:pos="1247"/>
        <w:tab w:val="left" w:pos="1814"/>
        <w:tab w:val="left" w:pos="2381"/>
        <w:tab w:val="left" w:pos="2948"/>
        <w:tab w:val="left" w:pos="3515"/>
        <w:tab w:val="left" w:pos="4082"/>
      </w:tabs>
      <w:suppressAutoHyphens/>
      <w:ind w:right="5103"/>
    </w:pPr>
    <w:rPr>
      <w:b/>
      <w:sz w:val="20"/>
      <w:szCs w:val="20"/>
      <w:lang w:val="en-GB"/>
    </w:rPr>
  </w:style>
  <w:style w:type="paragraph" w:customStyle="1" w:styleId="AATitle2">
    <w:name w:val="AA_Title2"/>
    <w:basedOn w:val="AATitle"/>
    <w:rsid w:val="0018028C"/>
    <w:pPr>
      <w:tabs>
        <w:tab w:val="clear" w:pos="4082"/>
      </w:tabs>
      <w:spacing w:before="120" w:after="120"/>
      <w:ind w:right="4536"/>
    </w:pPr>
  </w:style>
  <w:style w:type="paragraph" w:customStyle="1" w:styleId="BBTitle">
    <w:name w:val="BB_Title"/>
    <w:basedOn w:val="Normal"/>
    <w:link w:val="BBTitleChar"/>
    <w:rsid w:val="0018028C"/>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val="en-GB"/>
    </w:rPr>
  </w:style>
  <w:style w:type="numbering" w:customStyle="1" w:styleId="Normallist">
    <w:name w:val="Normal_list"/>
    <w:basedOn w:val="Aucuneliste"/>
    <w:rsid w:val="0018028C"/>
    <w:pPr>
      <w:numPr>
        <w:numId w:val="6"/>
      </w:numPr>
    </w:pPr>
  </w:style>
  <w:style w:type="paragraph" w:customStyle="1" w:styleId="Normalnumber">
    <w:name w:val="Normal_number"/>
    <w:basedOn w:val="Normal"/>
    <w:link w:val="NormalnumberChar"/>
    <w:rsid w:val="0018028C"/>
    <w:pPr>
      <w:numPr>
        <w:numId w:val="6"/>
      </w:numPr>
      <w:tabs>
        <w:tab w:val="left" w:pos="1247"/>
        <w:tab w:val="left" w:pos="1814"/>
        <w:tab w:val="left" w:pos="2381"/>
        <w:tab w:val="left" w:pos="2948"/>
        <w:tab w:val="left" w:pos="3515"/>
        <w:tab w:val="left" w:pos="4082"/>
      </w:tabs>
      <w:spacing w:after="120"/>
    </w:pPr>
    <w:rPr>
      <w:sz w:val="20"/>
      <w:szCs w:val="20"/>
      <w:lang w:val="en-GB"/>
    </w:rPr>
  </w:style>
  <w:style w:type="character" w:customStyle="1" w:styleId="BBTitleChar">
    <w:name w:val="BB_Title Char"/>
    <w:link w:val="BBTitle"/>
    <w:rsid w:val="0018028C"/>
    <w:rPr>
      <w:rFonts w:ascii="Times New Roman" w:eastAsia="Times New Roman" w:hAnsi="Times New Roman" w:cs="Times New Roman"/>
      <w:b/>
      <w:sz w:val="28"/>
      <w:szCs w:val="28"/>
      <w:lang w:val="en-GB"/>
    </w:rPr>
  </w:style>
  <w:style w:type="character" w:customStyle="1" w:styleId="CH2Char">
    <w:name w:val="CH2 Char"/>
    <w:link w:val="CH2"/>
    <w:locked/>
    <w:rsid w:val="0018028C"/>
    <w:rPr>
      <w:rFonts w:ascii="Times New Roman" w:eastAsia="Times New Roman" w:hAnsi="Times New Roman" w:cs="Times New Roman"/>
      <w:b/>
      <w:sz w:val="24"/>
      <w:szCs w:val="24"/>
      <w:lang w:val="en-GB"/>
    </w:rPr>
  </w:style>
  <w:style w:type="character" w:customStyle="1" w:styleId="NormalnumberChar">
    <w:name w:val="Normal_number Char"/>
    <w:link w:val="Normalnumber"/>
    <w:locked/>
    <w:rsid w:val="0018028C"/>
    <w:rPr>
      <w:rFonts w:ascii="Times New Roman" w:eastAsia="Times New Roman" w:hAnsi="Times New Roman" w:cs="Times New Roman"/>
      <w:sz w:val="20"/>
      <w:szCs w:val="20"/>
      <w:lang w:val="en-GB"/>
    </w:rPr>
  </w:style>
  <w:style w:type="numbering" w:customStyle="1" w:styleId="WWNum25">
    <w:name w:val="WWNum25"/>
    <w:basedOn w:val="Aucuneliste"/>
    <w:rsid w:val="0018028C"/>
    <w:pPr>
      <w:numPr>
        <w:numId w:val="7"/>
      </w:numPr>
    </w:pPr>
  </w:style>
  <w:style w:type="paragraph" w:customStyle="1" w:styleId="ZZAnxheader">
    <w:name w:val="ZZ_Anx_header"/>
    <w:basedOn w:val="Normal"/>
    <w:link w:val="ZZAnxheaderChar"/>
    <w:rsid w:val="0018028C"/>
    <w:pPr>
      <w:tabs>
        <w:tab w:val="left" w:pos="1247"/>
        <w:tab w:val="left" w:pos="1814"/>
        <w:tab w:val="left" w:pos="2381"/>
        <w:tab w:val="left" w:pos="2948"/>
        <w:tab w:val="left" w:pos="3515"/>
        <w:tab w:val="left" w:pos="4082"/>
      </w:tabs>
    </w:pPr>
    <w:rPr>
      <w:b/>
      <w:bCs/>
      <w:sz w:val="28"/>
      <w:szCs w:val="22"/>
      <w:lang w:val="en-GB"/>
    </w:rPr>
  </w:style>
  <w:style w:type="character" w:customStyle="1" w:styleId="ZZAnxheaderChar">
    <w:name w:val="ZZ_Anx_header Char"/>
    <w:link w:val="ZZAnxheader"/>
    <w:rsid w:val="0018028C"/>
    <w:rPr>
      <w:rFonts w:ascii="Times New Roman" w:eastAsia="Times New Roman" w:hAnsi="Times New Roman" w:cs="Times New Roman"/>
      <w:b/>
      <w:bCs/>
      <w:sz w:val="28"/>
      <w:lang w:val="en-GB"/>
    </w:rPr>
  </w:style>
  <w:style w:type="paragraph" w:customStyle="1" w:styleId="ZZAnxtitle">
    <w:name w:val="ZZ_Anx_title"/>
    <w:basedOn w:val="Normal"/>
    <w:link w:val="ZZAnxtitleChar"/>
    <w:rsid w:val="0018028C"/>
    <w:pPr>
      <w:tabs>
        <w:tab w:val="left" w:pos="1247"/>
        <w:tab w:val="left" w:pos="1814"/>
        <w:tab w:val="left" w:pos="2381"/>
        <w:tab w:val="left" w:pos="2948"/>
        <w:tab w:val="left" w:pos="3515"/>
        <w:tab w:val="left" w:pos="4082"/>
      </w:tabs>
      <w:spacing w:before="360" w:after="120"/>
      <w:ind w:left="1247"/>
    </w:pPr>
    <w:rPr>
      <w:b/>
      <w:bCs/>
      <w:sz w:val="28"/>
      <w:szCs w:val="26"/>
      <w:lang w:val="en-GB"/>
    </w:rPr>
  </w:style>
  <w:style w:type="character" w:customStyle="1" w:styleId="ZZAnxtitleChar">
    <w:name w:val="ZZ_Anx_title Char"/>
    <w:link w:val="ZZAnxtitle"/>
    <w:rsid w:val="0018028C"/>
    <w:rPr>
      <w:rFonts w:ascii="Times New Roman" w:eastAsia="Times New Roman" w:hAnsi="Times New Roman" w:cs="Times New Roman"/>
      <w:b/>
      <w:bCs/>
      <w:sz w:val="28"/>
      <w:szCs w:val="26"/>
      <w:lang w:val="en-GB"/>
    </w:rPr>
  </w:style>
  <w:style w:type="character" w:customStyle="1" w:styleId="Titre9Car">
    <w:name w:val="Titre 9 Car"/>
    <w:basedOn w:val="Policepardfaut"/>
    <w:link w:val="Titre9"/>
    <w:rsid w:val="0018028C"/>
    <w:rPr>
      <w:rFonts w:ascii="Times New Roman" w:eastAsia="Times New Roman" w:hAnsi="Times New Roman" w:cs="Times New Roman"/>
      <w:snapToGrid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503">
      <w:bodyDiv w:val="1"/>
      <w:marLeft w:val="0"/>
      <w:marRight w:val="0"/>
      <w:marTop w:val="0"/>
      <w:marBottom w:val="0"/>
      <w:divBdr>
        <w:top w:val="none" w:sz="0" w:space="0" w:color="auto"/>
        <w:left w:val="none" w:sz="0" w:space="0" w:color="auto"/>
        <w:bottom w:val="none" w:sz="0" w:space="0" w:color="auto"/>
        <w:right w:val="none" w:sz="0" w:space="0" w:color="auto"/>
      </w:divBdr>
    </w:div>
    <w:div w:id="69432259">
      <w:bodyDiv w:val="1"/>
      <w:marLeft w:val="0"/>
      <w:marRight w:val="0"/>
      <w:marTop w:val="0"/>
      <w:marBottom w:val="0"/>
      <w:divBdr>
        <w:top w:val="none" w:sz="0" w:space="0" w:color="auto"/>
        <w:left w:val="none" w:sz="0" w:space="0" w:color="auto"/>
        <w:bottom w:val="none" w:sz="0" w:space="0" w:color="auto"/>
        <w:right w:val="none" w:sz="0" w:space="0" w:color="auto"/>
      </w:divBdr>
    </w:div>
    <w:div w:id="84351060">
      <w:bodyDiv w:val="1"/>
      <w:marLeft w:val="0"/>
      <w:marRight w:val="0"/>
      <w:marTop w:val="0"/>
      <w:marBottom w:val="0"/>
      <w:divBdr>
        <w:top w:val="none" w:sz="0" w:space="0" w:color="auto"/>
        <w:left w:val="none" w:sz="0" w:space="0" w:color="auto"/>
        <w:bottom w:val="none" w:sz="0" w:space="0" w:color="auto"/>
        <w:right w:val="none" w:sz="0" w:space="0" w:color="auto"/>
      </w:divBdr>
    </w:div>
    <w:div w:id="286282244">
      <w:bodyDiv w:val="1"/>
      <w:marLeft w:val="0"/>
      <w:marRight w:val="0"/>
      <w:marTop w:val="0"/>
      <w:marBottom w:val="0"/>
      <w:divBdr>
        <w:top w:val="none" w:sz="0" w:space="0" w:color="auto"/>
        <w:left w:val="none" w:sz="0" w:space="0" w:color="auto"/>
        <w:bottom w:val="none" w:sz="0" w:space="0" w:color="auto"/>
        <w:right w:val="none" w:sz="0" w:space="0" w:color="auto"/>
      </w:divBdr>
      <w:divsChild>
        <w:div w:id="1657761396">
          <w:marLeft w:val="0"/>
          <w:marRight w:val="0"/>
          <w:marTop w:val="0"/>
          <w:marBottom w:val="0"/>
          <w:divBdr>
            <w:top w:val="none" w:sz="0" w:space="0" w:color="auto"/>
            <w:left w:val="none" w:sz="0" w:space="0" w:color="auto"/>
            <w:bottom w:val="none" w:sz="0" w:space="0" w:color="auto"/>
            <w:right w:val="none" w:sz="0" w:space="0" w:color="auto"/>
          </w:divBdr>
          <w:divsChild>
            <w:div w:id="346178067">
              <w:marLeft w:val="0"/>
              <w:marRight w:val="0"/>
              <w:marTop w:val="0"/>
              <w:marBottom w:val="0"/>
              <w:divBdr>
                <w:top w:val="none" w:sz="0" w:space="0" w:color="auto"/>
                <w:left w:val="none" w:sz="0" w:space="0" w:color="auto"/>
                <w:bottom w:val="none" w:sz="0" w:space="0" w:color="auto"/>
                <w:right w:val="none" w:sz="0" w:space="0" w:color="auto"/>
              </w:divBdr>
              <w:divsChild>
                <w:div w:id="306588242">
                  <w:marLeft w:val="0"/>
                  <w:marRight w:val="0"/>
                  <w:marTop w:val="0"/>
                  <w:marBottom w:val="0"/>
                  <w:divBdr>
                    <w:top w:val="none" w:sz="0" w:space="0" w:color="auto"/>
                    <w:left w:val="none" w:sz="0" w:space="0" w:color="auto"/>
                    <w:bottom w:val="none" w:sz="0" w:space="0" w:color="auto"/>
                    <w:right w:val="none" w:sz="0" w:space="0" w:color="auto"/>
                  </w:divBdr>
                  <w:divsChild>
                    <w:div w:id="19248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73836">
      <w:bodyDiv w:val="1"/>
      <w:marLeft w:val="0"/>
      <w:marRight w:val="0"/>
      <w:marTop w:val="0"/>
      <w:marBottom w:val="0"/>
      <w:divBdr>
        <w:top w:val="none" w:sz="0" w:space="0" w:color="auto"/>
        <w:left w:val="none" w:sz="0" w:space="0" w:color="auto"/>
        <w:bottom w:val="none" w:sz="0" w:space="0" w:color="auto"/>
        <w:right w:val="none" w:sz="0" w:space="0" w:color="auto"/>
      </w:divBdr>
    </w:div>
    <w:div w:id="586618546">
      <w:bodyDiv w:val="1"/>
      <w:marLeft w:val="0"/>
      <w:marRight w:val="0"/>
      <w:marTop w:val="0"/>
      <w:marBottom w:val="0"/>
      <w:divBdr>
        <w:top w:val="none" w:sz="0" w:space="0" w:color="auto"/>
        <w:left w:val="none" w:sz="0" w:space="0" w:color="auto"/>
        <w:bottom w:val="none" w:sz="0" w:space="0" w:color="auto"/>
        <w:right w:val="none" w:sz="0" w:space="0" w:color="auto"/>
      </w:divBdr>
    </w:div>
    <w:div w:id="693574226">
      <w:bodyDiv w:val="1"/>
      <w:marLeft w:val="0"/>
      <w:marRight w:val="0"/>
      <w:marTop w:val="0"/>
      <w:marBottom w:val="0"/>
      <w:divBdr>
        <w:top w:val="none" w:sz="0" w:space="0" w:color="auto"/>
        <w:left w:val="none" w:sz="0" w:space="0" w:color="auto"/>
        <w:bottom w:val="none" w:sz="0" w:space="0" w:color="auto"/>
        <w:right w:val="none" w:sz="0" w:space="0" w:color="auto"/>
      </w:divBdr>
    </w:div>
    <w:div w:id="727655139">
      <w:bodyDiv w:val="1"/>
      <w:marLeft w:val="0"/>
      <w:marRight w:val="0"/>
      <w:marTop w:val="0"/>
      <w:marBottom w:val="0"/>
      <w:divBdr>
        <w:top w:val="none" w:sz="0" w:space="0" w:color="auto"/>
        <w:left w:val="none" w:sz="0" w:space="0" w:color="auto"/>
        <w:bottom w:val="none" w:sz="0" w:space="0" w:color="auto"/>
        <w:right w:val="none" w:sz="0" w:space="0" w:color="auto"/>
      </w:divBdr>
    </w:div>
    <w:div w:id="827550233">
      <w:bodyDiv w:val="1"/>
      <w:marLeft w:val="0"/>
      <w:marRight w:val="0"/>
      <w:marTop w:val="0"/>
      <w:marBottom w:val="0"/>
      <w:divBdr>
        <w:top w:val="none" w:sz="0" w:space="0" w:color="auto"/>
        <w:left w:val="none" w:sz="0" w:space="0" w:color="auto"/>
        <w:bottom w:val="none" w:sz="0" w:space="0" w:color="auto"/>
        <w:right w:val="none" w:sz="0" w:space="0" w:color="auto"/>
      </w:divBdr>
    </w:div>
    <w:div w:id="836774616">
      <w:bodyDiv w:val="1"/>
      <w:marLeft w:val="0"/>
      <w:marRight w:val="0"/>
      <w:marTop w:val="0"/>
      <w:marBottom w:val="0"/>
      <w:divBdr>
        <w:top w:val="none" w:sz="0" w:space="0" w:color="auto"/>
        <w:left w:val="none" w:sz="0" w:space="0" w:color="auto"/>
        <w:bottom w:val="none" w:sz="0" w:space="0" w:color="auto"/>
        <w:right w:val="none" w:sz="0" w:space="0" w:color="auto"/>
      </w:divBdr>
    </w:div>
    <w:div w:id="917985536">
      <w:bodyDiv w:val="1"/>
      <w:marLeft w:val="0"/>
      <w:marRight w:val="0"/>
      <w:marTop w:val="0"/>
      <w:marBottom w:val="0"/>
      <w:divBdr>
        <w:top w:val="none" w:sz="0" w:space="0" w:color="auto"/>
        <w:left w:val="none" w:sz="0" w:space="0" w:color="auto"/>
        <w:bottom w:val="none" w:sz="0" w:space="0" w:color="auto"/>
        <w:right w:val="none" w:sz="0" w:space="0" w:color="auto"/>
      </w:divBdr>
    </w:div>
    <w:div w:id="936642636">
      <w:bodyDiv w:val="1"/>
      <w:marLeft w:val="0"/>
      <w:marRight w:val="0"/>
      <w:marTop w:val="0"/>
      <w:marBottom w:val="0"/>
      <w:divBdr>
        <w:top w:val="none" w:sz="0" w:space="0" w:color="auto"/>
        <w:left w:val="none" w:sz="0" w:space="0" w:color="auto"/>
        <w:bottom w:val="none" w:sz="0" w:space="0" w:color="auto"/>
        <w:right w:val="none" w:sz="0" w:space="0" w:color="auto"/>
      </w:divBdr>
    </w:div>
    <w:div w:id="970751589">
      <w:bodyDiv w:val="1"/>
      <w:marLeft w:val="0"/>
      <w:marRight w:val="0"/>
      <w:marTop w:val="0"/>
      <w:marBottom w:val="0"/>
      <w:divBdr>
        <w:top w:val="none" w:sz="0" w:space="0" w:color="auto"/>
        <w:left w:val="none" w:sz="0" w:space="0" w:color="auto"/>
        <w:bottom w:val="none" w:sz="0" w:space="0" w:color="auto"/>
        <w:right w:val="none" w:sz="0" w:space="0" w:color="auto"/>
      </w:divBdr>
    </w:div>
    <w:div w:id="1014503921">
      <w:bodyDiv w:val="1"/>
      <w:marLeft w:val="0"/>
      <w:marRight w:val="0"/>
      <w:marTop w:val="0"/>
      <w:marBottom w:val="0"/>
      <w:divBdr>
        <w:top w:val="none" w:sz="0" w:space="0" w:color="auto"/>
        <w:left w:val="none" w:sz="0" w:space="0" w:color="auto"/>
        <w:bottom w:val="none" w:sz="0" w:space="0" w:color="auto"/>
        <w:right w:val="none" w:sz="0" w:space="0" w:color="auto"/>
      </w:divBdr>
    </w:div>
    <w:div w:id="1031153137">
      <w:bodyDiv w:val="1"/>
      <w:marLeft w:val="0"/>
      <w:marRight w:val="0"/>
      <w:marTop w:val="0"/>
      <w:marBottom w:val="0"/>
      <w:divBdr>
        <w:top w:val="none" w:sz="0" w:space="0" w:color="auto"/>
        <w:left w:val="none" w:sz="0" w:space="0" w:color="auto"/>
        <w:bottom w:val="none" w:sz="0" w:space="0" w:color="auto"/>
        <w:right w:val="none" w:sz="0" w:space="0" w:color="auto"/>
      </w:divBdr>
    </w:div>
    <w:div w:id="1153258861">
      <w:bodyDiv w:val="1"/>
      <w:marLeft w:val="0"/>
      <w:marRight w:val="0"/>
      <w:marTop w:val="0"/>
      <w:marBottom w:val="0"/>
      <w:divBdr>
        <w:top w:val="none" w:sz="0" w:space="0" w:color="auto"/>
        <w:left w:val="none" w:sz="0" w:space="0" w:color="auto"/>
        <w:bottom w:val="none" w:sz="0" w:space="0" w:color="auto"/>
        <w:right w:val="none" w:sz="0" w:space="0" w:color="auto"/>
      </w:divBdr>
      <w:divsChild>
        <w:div w:id="393506242">
          <w:marLeft w:val="0"/>
          <w:marRight w:val="0"/>
          <w:marTop w:val="0"/>
          <w:marBottom w:val="0"/>
          <w:divBdr>
            <w:top w:val="none" w:sz="0" w:space="0" w:color="auto"/>
            <w:left w:val="none" w:sz="0" w:space="0" w:color="auto"/>
            <w:bottom w:val="none" w:sz="0" w:space="0" w:color="auto"/>
            <w:right w:val="none" w:sz="0" w:space="0" w:color="auto"/>
          </w:divBdr>
          <w:divsChild>
            <w:div w:id="741870503">
              <w:marLeft w:val="0"/>
              <w:marRight w:val="0"/>
              <w:marTop w:val="0"/>
              <w:marBottom w:val="0"/>
              <w:divBdr>
                <w:top w:val="none" w:sz="0" w:space="0" w:color="auto"/>
                <w:left w:val="none" w:sz="0" w:space="0" w:color="auto"/>
                <w:bottom w:val="none" w:sz="0" w:space="0" w:color="auto"/>
                <w:right w:val="none" w:sz="0" w:space="0" w:color="auto"/>
              </w:divBdr>
              <w:divsChild>
                <w:div w:id="1181163296">
                  <w:marLeft w:val="0"/>
                  <w:marRight w:val="0"/>
                  <w:marTop w:val="0"/>
                  <w:marBottom w:val="0"/>
                  <w:divBdr>
                    <w:top w:val="none" w:sz="0" w:space="0" w:color="auto"/>
                    <w:left w:val="none" w:sz="0" w:space="0" w:color="auto"/>
                    <w:bottom w:val="none" w:sz="0" w:space="0" w:color="auto"/>
                    <w:right w:val="none" w:sz="0" w:space="0" w:color="auto"/>
                  </w:divBdr>
                  <w:divsChild>
                    <w:div w:id="1332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6323">
      <w:bodyDiv w:val="1"/>
      <w:marLeft w:val="0"/>
      <w:marRight w:val="0"/>
      <w:marTop w:val="0"/>
      <w:marBottom w:val="0"/>
      <w:divBdr>
        <w:top w:val="none" w:sz="0" w:space="0" w:color="auto"/>
        <w:left w:val="none" w:sz="0" w:space="0" w:color="auto"/>
        <w:bottom w:val="none" w:sz="0" w:space="0" w:color="auto"/>
        <w:right w:val="none" w:sz="0" w:space="0" w:color="auto"/>
      </w:divBdr>
    </w:div>
    <w:div w:id="1256398574">
      <w:bodyDiv w:val="1"/>
      <w:marLeft w:val="0"/>
      <w:marRight w:val="0"/>
      <w:marTop w:val="0"/>
      <w:marBottom w:val="0"/>
      <w:divBdr>
        <w:top w:val="none" w:sz="0" w:space="0" w:color="auto"/>
        <w:left w:val="none" w:sz="0" w:space="0" w:color="auto"/>
        <w:bottom w:val="none" w:sz="0" w:space="0" w:color="auto"/>
        <w:right w:val="none" w:sz="0" w:space="0" w:color="auto"/>
      </w:divBdr>
    </w:div>
    <w:div w:id="1335038871">
      <w:bodyDiv w:val="1"/>
      <w:marLeft w:val="0"/>
      <w:marRight w:val="0"/>
      <w:marTop w:val="0"/>
      <w:marBottom w:val="0"/>
      <w:divBdr>
        <w:top w:val="none" w:sz="0" w:space="0" w:color="auto"/>
        <w:left w:val="none" w:sz="0" w:space="0" w:color="auto"/>
        <w:bottom w:val="none" w:sz="0" w:space="0" w:color="auto"/>
        <w:right w:val="none" w:sz="0" w:space="0" w:color="auto"/>
      </w:divBdr>
    </w:div>
    <w:div w:id="1524976843">
      <w:bodyDiv w:val="1"/>
      <w:marLeft w:val="0"/>
      <w:marRight w:val="0"/>
      <w:marTop w:val="0"/>
      <w:marBottom w:val="0"/>
      <w:divBdr>
        <w:top w:val="none" w:sz="0" w:space="0" w:color="auto"/>
        <w:left w:val="none" w:sz="0" w:space="0" w:color="auto"/>
        <w:bottom w:val="none" w:sz="0" w:space="0" w:color="auto"/>
        <w:right w:val="none" w:sz="0" w:space="0" w:color="auto"/>
      </w:divBdr>
    </w:div>
    <w:div w:id="1550414376">
      <w:bodyDiv w:val="1"/>
      <w:marLeft w:val="0"/>
      <w:marRight w:val="0"/>
      <w:marTop w:val="0"/>
      <w:marBottom w:val="0"/>
      <w:divBdr>
        <w:top w:val="none" w:sz="0" w:space="0" w:color="auto"/>
        <w:left w:val="none" w:sz="0" w:space="0" w:color="auto"/>
        <w:bottom w:val="none" w:sz="0" w:space="0" w:color="auto"/>
        <w:right w:val="none" w:sz="0" w:space="0" w:color="auto"/>
      </w:divBdr>
    </w:div>
    <w:div w:id="1659848451">
      <w:bodyDiv w:val="1"/>
      <w:marLeft w:val="0"/>
      <w:marRight w:val="0"/>
      <w:marTop w:val="0"/>
      <w:marBottom w:val="0"/>
      <w:divBdr>
        <w:top w:val="none" w:sz="0" w:space="0" w:color="auto"/>
        <w:left w:val="none" w:sz="0" w:space="0" w:color="auto"/>
        <w:bottom w:val="none" w:sz="0" w:space="0" w:color="auto"/>
        <w:right w:val="none" w:sz="0" w:space="0" w:color="auto"/>
      </w:divBdr>
    </w:div>
    <w:div w:id="1731421981">
      <w:bodyDiv w:val="1"/>
      <w:marLeft w:val="0"/>
      <w:marRight w:val="0"/>
      <w:marTop w:val="0"/>
      <w:marBottom w:val="0"/>
      <w:divBdr>
        <w:top w:val="none" w:sz="0" w:space="0" w:color="auto"/>
        <w:left w:val="none" w:sz="0" w:space="0" w:color="auto"/>
        <w:bottom w:val="none" w:sz="0" w:space="0" w:color="auto"/>
        <w:right w:val="none" w:sz="0" w:space="0" w:color="auto"/>
      </w:divBdr>
    </w:div>
    <w:div w:id="1783694605">
      <w:bodyDiv w:val="1"/>
      <w:marLeft w:val="0"/>
      <w:marRight w:val="0"/>
      <w:marTop w:val="0"/>
      <w:marBottom w:val="0"/>
      <w:divBdr>
        <w:top w:val="none" w:sz="0" w:space="0" w:color="auto"/>
        <w:left w:val="none" w:sz="0" w:space="0" w:color="auto"/>
        <w:bottom w:val="none" w:sz="0" w:space="0" w:color="auto"/>
        <w:right w:val="none" w:sz="0" w:space="0" w:color="auto"/>
      </w:divBdr>
    </w:div>
    <w:div w:id="1835949074">
      <w:bodyDiv w:val="1"/>
      <w:marLeft w:val="0"/>
      <w:marRight w:val="0"/>
      <w:marTop w:val="0"/>
      <w:marBottom w:val="0"/>
      <w:divBdr>
        <w:top w:val="none" w:sz="0" w:space="0" w:color="auto"/>
        <w:left w:val="none" w:sz="0" w:space="0" w:color="auto"/>
        <w:bottom w:val="none" w:sz="0" w:space="0" w:color="auto"/>
        <w:right w:val="none" w:sz="0" w:space="0" w:color="auto"/>
      </w:divBdr>
    </w:div>
    <w:div w:id="1858420679">
      <w:bodyDiv w:val="1"/>
      <w:marLeft w:val="0"/>
      <w:marRight w:val="0"/>
      <w:marTop w:val="0"/>
      <w:marBottom w:val="0"/>
      <w:divBdr>
        <w:top w:val="none" w:sz="0" w:space="0" w:color="auto"/>
        <w:left w:val="none" w:sz="0" w:space="0" w:color="auto"/>
        <w:bottom w:val="none" w:sz="0" w:space="0" w:color="auto"/>
        <w:right w:val="none" w:sz="0" w:space="0" w:color="auto"/>
      </w:divBdr>
    </w:div>
    <w:div w:id="1859852710">
      <w:bodyDiv w:val="1"/>
      <w:marLeft w:val="0"/>
      <w:marRight w:val="0"/>
      <w:marTop w:val="0"/>
      <w:marBottom w:val="0"/>
      <w:divBdr>
        <w:top w:val="none" w:sz="0" w:space="0" w:color="auto"/>
        <w:left w:val="none" w:sz="0" w:space="0" w:color="auto"/>
        <w:bottom w:val="none" w:sz="0" w:space="0" w:color="auto"/>
        <w:right w:val="none" w:sz="0" w:space="0" w:color="auto"/>
      </w:divBdr>
    </w:div>
    <w:div w:id="1889758958">
      <w:bodyDiv w:val="1"/>
      <w:marLeft w:val="0"/>
      <w:marRight w:val="0"/>
      <w:marTop w:val="0"/>
      <w:marBottom w:val="0"/>
      <w:divBdr>
        <w:top w:val="none" w:sz="0" w:space="0" w:color="auto"/>
        <w:left w:val="none" w:sz="0" w:space="0" w:color="auto"/>
        <w:bottom w:val="none" w:sz="0" w:space="0" w:color="auto"/>
        <w:right w:val="none" w:sz="0" w:space="0" w:color="auto"/>
      </w:divBdr>
    </w:div>
    <w:div w:id="1951350030">
      <w:bodyDiv w:val="1"/>
      <w:marLeft w:val="0"/>
      <w:marRight w:val="0"/>
      <w:marTop w:val="0"/>
      <w:marBottom w:val="0"/>
      <w:divBdr>
        <w:top w:val="none" w:sz="0" w:space="0" w:color="auto"/>
        <w:left w:val="none" w:sz="0" w:space="0" w:color="auto"/>
        <w:bottom w:val="none" w:sz="0" w:space="0" w:color="auto"/>
        <w:right w:val="none" w:sz="0" w:space="0" w:color="auto"/>
      </w:divBdr>
    </w:div>
    <w:div w:id="2041589738">
      <w:bodyDiv w:val="1"/>
      <w:marLeft w:val="0"/>
      <w:marRight w:val="0"/>
      <w:marTop w:val="0"/>
      <w:marBottom w:val="0"/>
      <w:divBdr>
        <w:top w:val="none" w:sz="0" w:space="0" w:color="auto"/>
        <w:left w:val="none" w:sz="0" w:space="0" w:color="auto"/>
        <w:bottom w:val="none" w:sz="0" w:space="0" w:color="auto"/>
        <w:right w:val="none" w:sz="0" w:space="0" w:color="auto"/>
      </w:divBdr>
    </w:div>
    <w:div w:id="2049063221">
      <w:bodyDiv w:val="1"/>
      <w:marLeft w:val="0"/>
      <w:marRight w:val="0"/>
      <w:marTop w:val="0"/>
      <w:marBottom w:val="0"/>
      <w:divBdr>
        <w:top w:val="none" w:sz="0" w:space="0" w:color="auto"/>
        <w:left w:val="none" w:sz="0" w:space="0" w:color="auto"/>
        <w:bottom w:val="none" w:sz="0" w:space="0" w:color="auto"/>
        <w:right w:val="none" w:sz="0" w:space="0" w:color="auto"/>
      </w:divBdr>
    </w:div>
    <w:div w:id="2101412953">
      <w:bodyDiv w:val="1"/>
      <w:marLeft w:val="0"/>
      <w:marRight w:val="0"/>
      <w:marTop w:val="0"/>
      <w:marBottom w:val="0"/>
      <w:divBdr>
        <w:top w:val="none" w:sz="0" w:space="0" w:color="auto"/>
        <w:left w:val="none" w:sz="0" w:space="0" w:color="auto"/>
        <w:bottom w:val="none" w:sz="0" w:space="0" w:color="auto"/>
        <w:right w:val="none" w:sz="0" w:space="0" w:color="auto"/>
      </w:divBdr>
    </w:div>
    <w:div w:id="213498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hart" Target="charts/chart1.xml"/><Relationship Id="rId27" Type="http://schemas.openxmlformats.org/officeDocument/2006/relationships/footer" Target="footer6.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sites/default/files/council-meeting-documents/GEF.A6.05.Rev_.01_Replenishment.pdf" TargetMode="External"/><Relationship Id="rId3" Type="http://schemas.openxmlformats.org/officeDocument/2006/relationships/hyperlink" Target="https://www.thegef.org/council-meeting-documents/initial-guidelines-enabling-activities-minamata-convention-mercury-0" TargetMode="External"/><Relationship Id="rId7" Type="http://schemas.openxmlformats.org/officeDocument/2006/relationships/hyperlink" Target="http://www.thegef.org/sites/default/files/council-meeting-documents/EN_GEF.C.54.19.Rev_.02_Replenishment.pdf" TargetMode="External"/><Relationship Id="rId2" Type="http://schemas.openxmlformats.org/officeDocument/2006/relationships/hyperlink" Target="http://www.thegef.org/sites/default/files/council-meeting-documents/EN_GEF.C.54.Inf_.03_Scorecard_0_0.pdf" TargetMode="External"/><Relationship Id="rId1" Type="http://schemas.openxmlformats.org/officeDocument/2006/relationships/hyperlink" Target="http://mercuryconvention.org/Portals/11/documents/meetings/COP1/English/1_29_e_report.pdf" TargetMode="External"/><Relationship Id="rId6" Type="http://schemas.openxmlformats.org/officeDocument/2006/relationships/hyperlink" Target="http://www.thegef.org/sites/default/files/council-meeting-documents/EN_GEF.C.54.Inf_.03_Scorecard_0_0.pdf" TargetMode="External"/><Relationship Id="rId5" Type="http://schemas.openxmlformats.org/officeDocument/2006/relationships/hyperlink" Target="http://www.gefieo.org/evaluations/chemicals-and-waste-cw-focal-area-study-2017" TargetMode="External"/><Relationship Id="rId4" Type="http://schemas.openxmlformats.org/officeDocument/2006/relationships/hyperlink" Target="https://www.thegef.org/sites/default/files/council-meeting-documents/GEF.A6.05.Rev_.01_Replenishmen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anilsookdeo\Downloads\Chemicals%20GEF%206%20Data%20Set_Complete%20for%20COP%20Repo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anilsookdeo\Downloads\Chemicals%20GEF%206%20Data%20Set_Complete%20for%20COP%20Repo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anilsookdeo\Downloads\Chemicals%20GEF%206%20Data%20Set_Complete%20for%20COP%20Repor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Analysis!$E$105</c:f>
              <c:strCache>
                <c:ptCount val="1"/>
                <c:pt idx="0">
                  <c:v>% of GEF Resources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44A-DB43-A76D-11931D226DC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44A-DB43-A76D-11931D226DC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44A-DB43-A76D-11931D226DC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44A-DB43-A76D-11931D226DC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44A-DB43-A76D-11931D226DC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44A-DB43-A76D-11931D226DC4}"/>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44A-DB43-A76D-11931D226DC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1-744A-DB43-A76D-11931D226DC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3-744A-DB43-A76D-11931D226DC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5-744A-DB43-A76D-11931D226DC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7-744A-DB43-A76D-11931D226DC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9-744A-DB43-A76D-11931D226DC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B-744A-DB43-A76D-11931D226DC4}"/>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D-744A-DB43-A76D-11931D226DC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Analysis!$D$106:$D$112</c:f>
              <c:strCache>
                <c:ptCount val="7"/>
                <c:pt idx="0">
                  <c:v>ASGM</c:v>
                </c:pt>
                <c:pt idx="1">
                  <c:v>Capacity</c:v>
                </c:pt>
                <c:pt idx="2">
                  <c:v>Chloro Alkali</c:v>
                </c:pt>
                <c:pt idx="3">
                  <c:v>Enabling Activitiy</c:v>
                </c:pt>
                <c:pt idx="4">
                  <c:v>HCW</c:v>
                </c:pt>
                <c:pt idx="5">
                  <c:v>Mercury Waste</c:v>
                </c:pt>
                <c:pt idx="6">
                  <c:v>VCM</c:v>
                </c:pt>
              </c:strCache>
            </c:strRef>
          </c:cat>
          <c:val>
            <c:numRef>
              <c:f>Analysis!$E$106:$E$112</c:f>
              <c:numCache>
                <c:formatCode>0.00%</c:formatCode>
                <c:ptCount val="7"/>
                <c:pt idx="0">
                  <c:v>0.47306811832534174</c:v>
                </c:pt>
                <c:pt idx="1">
                  <c:v>6.7636885516372619E-2</c:v>
                </c:pt>
                <c:pt idx="2">
                  <c:v>3.915121049647801E-2</c:v>
                </c:pt>
                <c:pt idx="3">
                  <c:v>0.25446083168862765</c:v>
                </c:pt>
                <c:pt idx="4">
                  <c:v>5.1157581715397934E-3</c:v>
                </c:pt>
                <c:pt idx="5">
                  <c:v>3.9757746269650854E-2</c:v>
                </c:pt>
                <c:pt idx="6">
                  <c:v>0.1208094495319893</c:v>
                </c:pt>
              </c:numCache>
            </c:numRef>
          </c:val>
          <c:extLst>
            <c:ext xmlns:c16="http://schemas.microsoft.com/office/drawing/2014/chart" uri="{C3380CC4-5D6E-409C-BE32-E72D297353CC}">
              <c16:uniqueId val="{0000000E-744A-DB43-A76D-11931D226DC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Analysis!$B$227</c:f>
              <c:strCache>
                <c:ptCount val="1"/>
                <c:pt idx="0">
                  <c:v>EA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Analysis!$A$228:$A$233</c:f>
              <c:strCache>
                <c:ptCount val="6"/>
                <c:pt idx="0">
                  <c:v>BOAD</c:v>
                </c:pt>
                <c:pt idx="1">
                  <c:v>CI</c:v>
                </c:pt>
                <c:pt idx="2">
                  <c:v>UNDP</c:v>
                </c:pt>
                <c:pt idx="3">
                  <c:v>UNEP</c:v>
                </c:pt>
                <c:pt idx="4">
                  <c:v>UNIDO</c:v>
                </c:pt>
                <c:pt idx="5">
                  <c:v>World Bank</c:v>
                </c:pt>
              </c:strCache>
            </c:strRef>
          </c:cat>
          <c:val>
            <c:numRef>
              <c:f>Analysis!$B$228:$B$233</c:f>
              <c:numCache>
                <c:formatCode>General</c:formatCode>
                <c:ptCount val="6"/>
                <c:pt idx="2">
                  <c:v>5749100</c:v>
                </c:pt>
                <c:pt idx="3">
                  <c:v>21172945</c:v>
                </c:pt>
                <c:pt idx="4">
                  <c:v>7200000</c:v>
                </c:pt>
              </c:numCache>
            </c:numRef>
          </c:val>
          <c:extLst>
            <c:ext xmlns:c16="http://schemas.microsoft.com/office/drawing/2014/chart" uri="{C3380CC4-5D6E-409C-BE32-E72D297353CC}">
              <c16:uniqueId val="{00000000-7EB6-4720-8D7B-BB9CB3C42ACA}"/>
            </c:ext>
          </c:extLst>
        </c:ser>
        <c:ser>
          <c:idx val="1"/>
          <c:order val="1"/>
          <c:tx>
            <c:strRef>
              <c:f>Analysis!$C$227</c:f>
              <c:strCache>
                <c:ptCount val="1"/>
                <c:pt idx="0">
                  <c:v>FSP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Analysis!$A$228:$A$233</c:f>
              <c:strCache>
                <c:ptCount val="6"/>
                <c:pt idx="0">
                  <c:v>BOAD</c:v>
                </c:pt>
                <c:pt idx="1">
                  <c:v>CI</c:v>
                </c:pt>
                <c:pt idx="2">
                  <c:v>UNDP</c:v>
                </c:pt>
                <c:pt idx="3">
                  <c:v>UNEP</c:v>
                </c:pt>
                <c:pt idx="4">
                  <c:v>UNIDO</c:v>
                </c:pt>
                <c:pt idx="5">
                  <c:v>World Bank</c:v>
                </c:pt>
              </c:strCache>
            </c:strRef>
          </c:cat>
          <c:val>
            <c:numRef>
              <c:f>Analysis!$C$228:$C$233</c:f>
              <c:numCache>
                <c:formatCode>General</c:formatCode>
                <c:ptCount val="6"/>
                <c:pt idx="0">
                  <c:v>5331333.7</c:v>
                </c:pt>
                <c:pt idx="1">
                  <c:v>2652294</c:v>
                </c:pt>
                <c:pt idx="2">
                  <c:v>26283759</c:v>
                </c:pt>
                <c:pt idx="3">
                  <c:v>21050000</c:v>
                </c:pt>
                <c:pt idx="4">
                  <c:v>22100000</c:v>
                </c:pt>
                <c:pt idx="5">
                  <c:v>21486239</c:v>
                </c:pt>
              </c:numCache>
            </c:numRef>
          </c:val>
          <c:extLst>
            <c:ext xmlns:c16="http://schemas.microsoft.com/office/drawing/2014/chart" uri="{C3380CC4-5D6E-409C-BE32-E72D297353CC}">
              <c16:uniqueId val="{00000001-7EB6-4720-8D7B-BB9CB3C42ACA}"/>
            </c:ext>
          </c:extLst>
        </c:ser>
        <c:ser>
          <c:idx val="2"/>
          <c:order val="2"/>
          <c:tx>
            <c:strRef>
              <c:f>Analysis!$D$227</c:f>
              <c:strCache>
                <c:ptCount val="1"/>
                <c:pt idx="0">
                  <c:v>MSP</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Analysis!$A$228:$A$233</c:f>
              <c:strCache>
                <c:ptCount val="6"/>
                <c:pt idx="0">
                  <c:v>BOAD</c:v>
                </c:pt>
                <c:pt idx="1">
                  <c:v>CI</c:v>
                </c:pt>
                <c:pt idx="2">
                  <c:v>UNDP</c:v>
                </c:pt>
                <c:pt idx="3">
                  <c:v>UNEP</c:v>
                </c:pt>
                <c:pt idx="4">
                  <c:v>UNIDO</c:v>
                </c:pt>
                <c:pt idx="5">
                  <c:v>World Bank</c:v>
                </c:pt>
              </c:strCache>
            </c:strRef>
          </c:cat>
          <c:val>
            <c:numRef>
              <c:f>Analysis!$D$228:$D$233</c:f>
              <c:numCache>
                <c:formatCode>General</c:formatCode>
                <c:ptCount val="6"/>
                <c:pt idx="2">
                  <c:v>469800</c:v>
                </c:pt>
                <c:pt idx="4">
                  <c:v>600000</c:v>
                </c:pt>
              </c:numCache>
            </c:numRef>
          </c:val>
          <c:extLst>
            <c:ext xmlns:c16="http://schemas.microsoft.com/office/drawing/2014/chart" uri="{C3380CC4-5D6E-409C-BE32-E72D297353CC}">
              <c16:uniqueId val="{00000002-7EB6-4720-8D7B-BB9CB3C42ACA}"/>
            </c:ext>
          </c:extLst>
        </c:ser>
        <c:dLbls>
          <c:dLblPos val="ctr"/>
          <c:showLegendKey val="0"/>
          <c:showVal val="1"/>
          <c:showCatName val="0"/>
          <c:showSerName val="0"/>
          <c:showPercent val="0"/>
          <c:showBubbleSize val="0"/>
        </c:dLbls>
        <c:gapWidth val="150"/>
        <c:overlap val="100"/>
        <c:axId val="257836176"/>
        <c:axId val="257837856"/>
      </c:barChart>
      <c:catAx>
        <c:axId val="257836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7837856"/>
        <c:crosses val="autoZero"/>
        <c:auto val="1"/>
        <c:lblAlgn val="ctr"/>
        <c:lblOffset val="100"/>
        <c:noMultiLvlLbl val="0"/>
      </c:catAx>
      <c:valAx>
        <c:axId val="25783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7836176"/>
        <c:crosses val="autoZero"/>
        <c:crossBetween val="between"/>
        <c:dispUnits>
          <c:builtInUnit val="millions"/>
          <c:dispUnitsLbl>
            <c:layout>
              <c:manualLayout>
                <c:xMode val="edge"/>
                <c:yMode val="edge"/>
                <c:x val="2.9180695847362513E-2"/>
                <c:y val="0.15915119363395225"/>
              </c:manualLayout>
            </c:layout>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GEF-6 Programmed Resources ($ million)</a:t>
                  </a:r>
                </a:p>
              </c:rich>
            </c:tx>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Analysis!$E$117</c:f>
              <c:strCache>
                <c:ptCount val="1"/>
                <c:pt idx="0">
                  <c:v>% of GEF Resources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399-6144-9AEA-5119E9C9F1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399-6144-9AEA-5119E9C9F1D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399-6144-9AEA-5119E9C9F1D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399-6144-9AEA-5119E9C9F1D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399-6144-9AEA-5119E9C9F1D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399-6144-9AEA-5119E9C9F1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1-7399-6144-9AEA-5119E9C9F1D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3-7399-6144-9AEA-5119E9C9F1D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5-7399-6144-9AEA-5119E9C9F1D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7-7399-6144-9AEA-5119E9C9F1DB}"/>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9-7399-6144-9AEA-5119E9C9F1DB}"/>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extLst>
                <c:ext xmlns:c16="http://schemas.microsoft.com/office/drawing/2014/chart" uri="{C3380CC4-5D6E-409C-BE32-E72D297353CC}">
                  <c16:uniqueId val="{0000000B-7399-6144-9AEA-5119E9C9F1D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fr-FR"/>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Analysis!$D$118:$D$123</c:f>
              <c:strCache>
                <c:ptCount val="6"/>
                <c:pt idx="0">
                  <c:v>AFR</c:v>
                </c:pt>
                <c:pt idx="1">
                  <c:v>Asia</c:v>
                </c:pt>
                <c:pt idx="2">
                  <c:v>ECA</c:v>
                </c:pt>
                <c:pt idx="3">
                  <c:v>GLO</c:v>
                </c:pt>
                <c:pt idx="4">
                  <c:v>LAC</c:v>
                </c:pt>
                <c:pt idx="5">
                  <c:v>SIDS</c:v>
                </c:pt>
              </c:strCache>
            </c:strRef>
          </c:cat>
          <c:val>
            <c:numRef>
              <c:f>Analysis!$E$118:$E$123</c:f>
              <c:numCache>
                <c:formatCode>0.00%</c:formatCode>
                <c:ptCount val="6"/>
                <c:pt idx="0">
                  <c:v>0.32861302078266241</c:v>
                </c:pt>
                <c:pt idx="1">
                  <c:v>0.35601351597328784</c:v>
                </c:pt>
                <c:pt idx="2">
                  <c:v>6.4506280151339968E-2</c:v>
                </c:pt>
                <c:pt idx="3">
                  <c:v>5.9658987423204593E-2</c:v>
                </c:pt>
                <c:pt idx="4">
                  <c:v>0.16604627198642585</c:v>
                </c:pt>
                <c:pt idx="5">
                  <c:v>2.5161923683079325E-2</c:v>
                </c:pt>
              </c:numCache>
            </c:numRef>
          </c:val>
          <c:extLst>
            <c:ext xmlns:c16="http://schemas.microsoft.com/office/drawing/2014/chart" uri="{C3380CC4-5D6E-409C-BE32-E72D297353CC}">
              <c16:uniqueId val="{0000000C-7399-6144-9AEA-5119E9C9F1D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220077918235168"/>
          <c:y val="5.0339988578066312E-2"/>
          <c:w val="0.88527312478424536"/>
          <c:h val="0.70228681349082445"/>
        </c:manualLayout>
      </c:layout>
      <c:barChart>
        <c:barDir val="col"/>
        <c:grouping val="stacked"/>
        <c:varyColors val="0"/>
        <c:ser>
          <c:idx val="0"/>
          <c:order val="0"/>
          <c:tx>
            <c:strRef>
              <c:f>Analysis!$C$260</c:f>
              <c:strCache>
                <c:ptCount val="1"/>
                <c:pt idx="0">
                  <c:v>ASGM</c:v>
                </c:pt>
              </c:strCache>
            </c:strRef>
          </c:tx>
          <c:spPr>
            <a:pattFill prst="narHorz">
              <a:fgClr>
                <a:schemeClr val="accent5">
                  <a:tint val="48000"/>
                </a:schemeClr>
              </a:fgClr>
              <a:bgClr>
                <a:schemeClr val="accent5">
                  <a:tint val="48000"/>
                  <a:lumMod val="20000"/>
                  <a:lumOff val="80000"/>
                </a:schemeClr>
              </a:bgClr>
            </a:pattFill>
            <a:ln>
              <a:noFill/>
            </a:ln>
            <a:effectLst>
              <a:innerShdw blurRad="114300">
                <a:schemeClr val="accent5">
                  <a:tint val="48000"/>
                </a:schemeClr>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Analysis!$C$261:$C$266</c:f>
              <c:numCache>
                <c:formatCode>General</c:formatCode>
                <c:ptCount val="6"/>
                <c:pt idx="0">
                  <c:v>19686239</c:v>
                </c:pt>
                <c:pt idx="1">
                  <c:v>18420000</c:v>
                </c:pt>
                <c:pt idx="3">
                  <c:v>8000000</c:v>
                </c:pt>
                <c:pt idx="4">
                  <c:v>17330053</c:v>
                </c:pt>
              </c:numCache>
            </c:numRef>
          </c:val>
          <c:extLst>
            <c:ext xmlns:c16="http://schemas.microsoft.com/office/drawing/2014/chart" uri="{C3380CC4-5D6E-409C-BE32-E72D297353CC}">
              <c16:uniqueId val="{00000000-47D0-5F4C-9AE2-2C37DEA574FB}"/>
            </c:ext>
          </c:extLst>
        </c:ser>
        <c:ser>
          <c:idx val="1"/>
          <c:order val="1"/>
          <c:tx>
            <c:strRef>
              <c:f>Analysis!$D$260</c:f>
              <c:strCache>
                <c:ptCount val="1"/>
                <c:pt idx="0">
                  <c:v>Capacity</c:v>
                </c:pt>
              </c:strCache>
            </c:strRef>
          </c:tx>
          <c:spPr>
            <a:pattFill prst="narHorz">
              <a:fgClr>
                <a:schemeClr val="accent5">
                  <a:tint val="65000"/>
                </a:schemeClr>
              </a:fgClr>
              <a:bgClr>
                <a:schemeClr val="accent5">
                  <a:tint val="65000"/>
                  <a:lumMod val="20000"/>
                  <a:lumOff val="80000"/>
                </a:schemeClr>
              </a:bgClr>
            </a:pattFill>
            <a:ln>
              <a:noFill/>
            </a:ln>
            <a:effectLst>
              <a:innerShdw blurRad="114300">
                <a:schemeClr val="accent5">
                  <a:tint val="65000"/>
                </a:schemeClr>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Analysis!$D$261:$D$266</c:f>
              <c:numCache>
                <c:formatCode>General</c:formatCode>
                <c:ptCount val="6"/>
                <c:pt idx="0">
                  <c:v>600000</c:v>
                </c:pt>
                <c:pt idx="1">
                  <c:v>8469800</c:v>
                </c:pt>
              </c:numCache>
            </c:numRef>
          </c:val>
          <c:extLst>
            <c:ext xmlns:c16="http://schemas.microsoft.com/office/drawing/2014/chart" uri="{C3380CC4-5D6E-409C-BE32-E72D297353CC}">
              <c16:uniqueId val="{00000001-47D0-5F4C-9AE2-2C37DEA574FB}"/>
            </c:ext>
          </c:extLst>
        </c:ser>
        <c:ser>
          <c:idx val="2"/>
          <c:order val="2"/>
          <c:tx>
            <c:strRef>
              <c:f>Analysis!$E$260</c:f>
              <c:strCache>
                <c:ptCount val="1"/>
                <c:pt idx="0">
                  <c:v>Chloro Alkali</c:v>
                </c:pt>
              </c:strCache>
            </c:strRef>
          </c:tx>
          <c:spPr>
            <a:pattFill prst="narHorz">
              <a:fgClr>
                <a:schemeClr val="accent5">
                  <a:tint val="83000"/>
                </a:schemeClr>
              </a:fgClr>
              <a:bgClr>
                <a:schemeClr val="accent5">
                  <a:tint val="83000"/>
                  <a:lumMod val="20000"/>
                  <a:lumOff val="80000"/>
                </a:schemeClr>
              </a:bgClr>
            </a:pattFill>
            <a:ln>
              <a:noFill/>
            </a:ln>
            <a:effectLst>
              <a:innerShdw blurRad="114300">
                <a:schemeClr val="accent5">
                  <a:tint val="83000"/>
                </a:schemeClr>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Analysis!$E$261:$E$266</c:f>
              <c:numCache>
                <c:formatCode>General</c:formatCode>
                <c:ptCount val="6"/>
                <c:pt idx="2">
                  <c:v>5250000</c:v>
                </c:pt>
              </c:numCache>
            </c:numRef>
          </c:val>
          <c:extLst>
            <c:ext xmlns:c16="http://schemas.microsoft.com/office/drawing/2014/chart" uri="{C3380CC4-5D6E-409C-BE32-E72D297353CC}">
              <c16:uniqueId val="{00000002-47D0-5F4C-9AE2-2C37DEA574FB}"/>
            </c:ext>
          </c:extLst>
        </c:ser>
        <c:ser>
          <c:idx val="3"/>
          <c:order val="3"/>
          <c:tx>
            <c:strRef>
              <c:f>Analysis!$F$260</c:f>
              <c:strCache>
                <c:ptCount val="1"/>
                <c:pt idx="0">
                  <c:v>Enabling Activitiy</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Analysis!$F$261:$F$266</c:f>
              <c:numCache>
                <c:formatCode>General</c:formatCode>
                <c:ptCount val="6"/>
                <c:pt idx="0">
                  <c:v>18447945</c:v>
                </c:pt>
                <c:pt idx="1">
                  <c:v>4650000</c:v>
                </c:pt>
                <c:pt idx="2">
                  <c:v>3400000</c:v>
                </c:pt>
                <c:pt idx="4">
                  <c:v>4250000</c:v>
                </c:pt>
                <c:pt idx="5">
                  <c:v>3374100</c:v>
                </c:pt>
              </c:numCache>
            </c:numRef>
          </c:val>
          <c:extLst>
            <c:ext xmlns:c16="http://schemas.microsoft.com/office/drawing/2014/chart" uri="{C3380CC4-5D6E-409C-BE32-E72D297353CC}">
              <c16:uniqueId val="{00000003-47D0-5F4C-9AE2-2C37DEA574FB}"/>
            </c:ext>
          </c:extLst>
        </c:ser>
        <c:ser>
          <c:idx val="4"/>
          <c:order val="4"/>
          <c:tx>
            <c:strRef>
              <c:f>Analysis!$G$260</c:f>
              <c:strCache>
                <c:ptCount val="1"/>
                <c:pt idx="0">
                  <c:v>Health Care Waste </c:v>
                </c:pt>
              </c:strCache>
            </c:strRef>
          </c:tx>
          <c:spPr>
            <a:pattFill prst="narHorz">
              <a:fgClr>
                <a:schemeClr val="accent5">
                  <a:shade val="82000"/>
                </a:schemeClr>
              </a:fgClr>
              <a:bgClr>
                <a:schemeClr val="accent5">
                  <a:shade val="82000"/>
                  <a:lumMod val="20000"/>
                  <a:lumOff val="80000"/>
                </a:schemeClr>
              </a:bgClr>
            </a:pattFill>
            <a:ln>
              <a:noFill/>
            </a:ln>
            <a:effectLst>
              <a:innerShdw blurRad="114300">
                <a:schemeClr val="accent5">
                  <a:shade val="82000"/>
                </a:schemeClr>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Analysis!$G$261:$G$266</c:f>
              <c:numCache>
                <c:formatCode>General</c:formatCode>
                <c:ptCount val="6"/>
                <c:pt idx="4">
                  <c:v>686000</c:v>
                </c:pt>
              </c:numCache>
            </c:numRef>
          </c:val>
          <c:extLst>
            <c:ext xmlns:c16="http://schemas.microsoft.com/office/drawing/2014/chart" uri="{C3380CC4-5D6E-409C-BE32-E72D297353CC}">
              <c16:uniqueId val="{00000004-47D0-5F4C-9AE2-2C37DEA574FB}"/>
            </c:ext>
          </c:extLst>
        </c:ser>
        <c:ser>
          <c:idx val="5"/>
          <c:order val="5"/>
          <c:tx>
            <c:strRef>
              <c:f>Analysis!$H$260</c:f>
              <c:strCache>
                <c:ptCount val="1"/>
                <c:pt idx="0">
                  <c:v>Mercury Waste</c:v>
                </c:pt>
              </c:strCache>
            </c:strRef>
          </c:tx>
          <c:spPr>
            <a:pattFill prst="narHorz">
              <a:fgClr>
                <a:schemeClr val="accent5">
                  <a:shade val="65000"/>
                </a:schemeClr>
              </a:fgClr>
              <a:bgClr>
                <a:schemeClr val="accent5">
                  <a:shade val="65000"/>
                  <a:lumMod val="20000"/>
                  <a:lumOff val="80000"/>
                </a:schemeClr>
              </a:bgClr>
            </a:pattFill>
            <a:ln>
              <a:noFill/>
            </a:ln>
            <a:effectLst>
              <a:innerShdw blurRad="114300">
                <a:schemeClr val="accent5">
                  <a:shade val="65000"/>
                </a:schemeClr>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Analysis!$H$261:$H$266</c:f>
              <c:numCache>
                <c:formatCode>General</c:formatCode>
                <c:ptCount val="6"/>
                <c:pt idx="0">
                  <c:v>5331333.7</c:v>
                </c:pt>
              </c:numCache>
            </c:numRef>
          </c:val>
          <c:extLst>
            <c:ext xmlns:c16="http://schemas.microsoft.com/office/drawing/2014/chart" uri="{C3380CC4-5D6E-409C-BE32-E72D297353CC}">
              <c16:uniqueId val="{00000005-47D0-5F4C-9AE2-2C37DEA574FB}"/>
            </c:ext>
          </c:extLst>
        </c:ser>
        <c:ser>
          <c:idx val="6"/>
          <c:order val="6"/>
          <c:tx>
            <c:strRef>
              <c:f>Analysis!$I$260</c:f>
              <c:strCache>
                <c:ptCount val="1"/>
                <c:pt idx="0">
                  <c:v>Vinyl Chloro Monomer</c:v>
                </c:pt>
              </c:strCache>
            </c:strRef>
          </c:tx>
          <c:spPr>
            <a:pattFill prst="narHorz">
              <a:fgClr>
                <a:schemeClr val="accent5">
                  <a:shade val="47000"/>
                </a:schemeClr>
              </a:fgClr>
              <a:bgClr>
                <a:schemeClr val="accent5">
                  <a:shade val="47000"/>
                  <a:lumMod val="20000"/>
                  <a:lumOff val="80000"/>
                </a:schemeClr>
              </a:bgClr>
            </a:pattFill>
            <a:ln>
              <a:noFill/>
            </a:ln>
            <a:effectLst>
              <a:innerShdw blurRad="114300">
                <a:schemeClr val="accent5">
                  <a:shade val="47000"/>
                </a:schemeClr>
              </a:innerShdw>
            </a:effectLst>
          </c:spPr>
          <c:invertIfNegative val="0"/>
          <c:cat>
            <c:strRef>
              <c:f>Analysis!$B$261:$B$266</c:f>
              <c:strCache>
                <c:ptCount val="6"/>
                <c:pt idx="0">
                  <c:v>AFR</c:v>
                </c:pt>
                <c:pt idx="1">
                  <c:v>Asia</c:v>
                </c:pt>
                <c:pt idx="2">
                  <c:v>ECA</c:v>
                </c:pt>
                <c:pt idx="3">
                  <c:v>Global</c:v>
                </c:pt>
                <c:pt idx="4">
                  <c:v>LAC</c:v>
                </c:pt>
                <c:pt idx="5">
                  <c:v>SIDS</c:v>
                </c:pt>
              </c:strCache>
            </c:strRef>
          </c:cat>
          <c:val>
            <c:numRef>
              <c:f>Analysis!$I$261:$I$266</c:f>
              <c:numCache>
                <c:formatCode>General</c:formatCode>
                <c:ptCount val="6"/>
                <c:pt idx="1">
                  <c:v>16200000</c:v>
                </c:pt>
              </c:numCache>
            </c:numRef>
          </c:val>
          <c:extLst>
            <c:ext xmlns:c16="http://schemas.microsoft.com/office/drawing/2014/chart" uri="{C3380CC4-5D6E-409C-BE32-E72D297353CC}">
              <c16:uniqueId val="{00000006-47D0-5F4C-9AE2-2C37DEA574FB}"/>
            </c:ext>
          </c:extLst>
        </c:ser>
        <c:dLbls>
          <c:showLegendKey val="0"/>
          <c:showVal val="0"/>
          <c:showCatName val="0"/>
          <c:showSerName val="0"/>
          <c:showPercent val="0"/>
          <c:showBubbleSize val="0"/>
        </c:dLbls>
        <c:gapWidth val="150"/>
        <c:overlap val="100"/>
        <c:axId val="257730096"/>
        <c:axId val="257868016"/>
      </c:barChart>
      <c:catAx>
        <c:axId val="2577300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7868016"/>
        <c:crosses val="autoZero"/>
        <c:auto val="1"/>
        <c:lblAlgn val="ctr"/>
        <c:lblOffset val="100"/>
        <c:noMultiLvlLbl val="0"/>
      </c:catAx>
      <c:valAx>
        <c:axId val="25786801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7730096"/>
        <c:crosses val="autoZero"/>
        <c:crossBetween val="between"/>
        <c:dispUnits>
          <c:builtInUnit val="millions"/>
          <c:dispUnitsLbl>
            <c:layout>
              <c:manualLayout>
                <c:xMode val="edge"/>
                <c:yMode val="edge"/>
                <c:x val="1.6701461377870562E-2"/>
                <c:y val="0.11547154304499692"/>
              </c:manualLayout>
            </c:layout>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GEF-6 Programmed Resources ($ million)</a:t>
                  </a:r>
                </a:p>
              </c:rich>
            </c:tx>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dispUnitsLbl>
        </c:dispUnits>
      </c:valAx>
      <c:spPr>
        <a:noFill/>
        <a:ln>
          <a:noFill/>
        </a:ln>
        <a:effectLst/>
      </c:spPr>
    </c:plotArea>
    <c:legend>
      <c:legendPos val="t"/>
      <c:layout>
        <c:manualLayout>
          <c:xMode val="edge"/>
          <c:yMode val="edge"/>
          <c:x val="0.12652606315651044"/>
          <c:y val="0.84651736182453252"/>
          <c:w val="0.7761754310982526"/>
          <c:h val="0.13252614021151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6791-A989-414E-BFA9-9C3C0B78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9755</Words>
  <Characters>53657</Characters>
  <Application>Microsoft Office Word</Application>
  <DocSecurity>0</DocSecurity>
  <Lines>447</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
  <LinksUpToDate>false</LinksUpToDate>
  <CharactersWithSpaces>63286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caoki@thegef.org;mogawa2@thegef.org;asookdeo@thegef.org</dc:creator>
  <cp:lastModifiedBy>Stephanie Laruelle</cp:lastModifiedBy>
  <cp:revision>2</cp:revision>
  <cp:lastPrinted>2018-11-01T21:28:00Z</cp:lastPrinted>
  <dcterms:created xsi:type="dcterms:W3CDTF">2018-11-13T15:41:00Z</dcterms:created>
  <dcterms:modified xsi:type="dcterms:W3CDTF">2018-11-13T15:41:00Z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2016</vt:lpwstr>
  </property>
  <property fmtid="{D5CDD505-2E9C-101B-9397-08002B2CF9AE}" pid="4" name="LastSaved">
    <vt:filetime>2017-08-03T00:00:00Z</vt:filetime>
  </property>
</Properties>
</file>