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613F89" w:rsidRPr="00D25175" w14:paraId="047FD903" w14:textId="77777777" w:rsidTr="0003606C">
        <w:trPr>
          <w:cantSplit/>
          <w:trHeight w:val="850"/>
          <w:jc w:val="right"/>
        </w:trPr>
        <w:tc>
          <w:tcPr>
            <w:tcW w:w="1518" w:type="dxa"/>
          </w:tcPr>
          <w:p w14:paraId="759BF17E" w14:textId="36D27A39" w:rsidR="00613F89" w:rsidRPr="00D25175" w:rsidRDefault="00613F89" w:rsidP="00B70F4A">
            <w:pPr>
              <w:rPr>
                <w:rFonts w:ascii="Univers" w:hAnsi="Univers"/>
                <w:b/>
                <w:noProof/>
                <w:sz w:val="27"/>
                <w:szCs w:val="27"/>
              </w:rPr>
            </w:pPr>
            <w:bookmarkStart w:id="0" w:name="_GoBack"/>
            <w:bookmarkEnd w:id="0"/>
            <w:r w:rsidRPr="00D25175">
              <w:rPr>
                <w:rFonts w:ascii="Arial" w:hAnsi="Arial" w:cs="Arial"/>
                <w:b/>
                <w:noProof/>
                <w:sz w:val="27"/>
                <w:szCs w:val="27"/>
              </w:rPr>
              <w:t>UNITED</w:t>
            </w:r>
            <w:r w:rsidR="008522F1">
              <w:rPr>
                <w:rFonts w:ascii="Arial" w:hAnsi="Arial" w:cs="Arial"/>
                <w:b/>
                <w:noProof/>
                <w:sz w:val="27"/>
                <w:szCs w:val="27"/>
              </w:rPr>
              <w:t xml:space="preserve"> </w:t>
            </w:r>
            <w:r w:rsidRPr="00D25175">
              <w:rPr>
                <w:rFonts w:ascii="Arial" w:hAnsi="Arial" w:cs="Arial"/>
                <w:b/>
                <w:noProof/>
                <w:sz w:val="27"/>
                <w:szCs w:val="27"/>
              </w:rPr>
              <w:br/>
              <w:t>NATIONS</w:t>
            </w:r>
          </w:p>
        </w:tc>
        <w:tc>
          <w:tcPr>
            <w:tcW w:w="4643" w:type="dxa"/>
          </w:tcPr>
          <w:p w14:paraId="7A8C6156" w14:textId="77777777" w:rsidR="00613F89" w:rsidRPr="00D25175" w:rsidRDefault="00613F89" w:rsidP="00B70F4A">
            <w:pPr>
              <w:rPr>
                <w:rFonts w:ascii="Univers" w:hAnsi="Univers"/>
                <w:b/>
                <w:sz w:val="27"/>
                <w:szCs w:val="27"/>
              </w:rPr>
            </w:pPr>
          </w:p>
        </w:tc>
        <w:tc>
          <w:tcPr>
            <w:tcW w:w="3335" w:type="dxa"/>
          </w:tcPr>
          <w:p w14:paraId="767F161A" w14:textId="77777777" w:rsidR="00613F89" w:rsidRPr="00D25175" w:rsidRDefault="00613F89" w:rsidP="00B70F4A">
            <w:pPr>
              <w:jc w:val="right"/>
              <w:rPr>
                <w:rFonts w:ascii="Arial" w:hAnsi="Arial" w:cs="Arial"/>
                <w:b/>
                <w:sz w:val="64"/>
                <w:szCs w:val="64"/>
              </w:rPr>
            </w:pPr>
            <w:r w:rsidRPr="00D25175">
              <w:rPr>
                <w:rFonts w:ascii="Arial" w:hAnsi="Arial" w:cs="Arial"/>
                <w:b/>
                <w:sz w:val="64"/>
                <w:szCs w:val="64"/>
              </w:rPr>
              <w:t>MC</w:t>
            </w:r>
          </w:p>
        </w:tc>
      </w:tr>
      <w:tr w:rsidR="00613F89" w:rsidRPr="00D25175" w14:paraId="6F29CD06" w14:textId="77777777" w:rsidTr="0003606C">
        <w:trPr>
          <w:cantSplit/>
          <w:trHeight w:val="281"/>
          <w:jc w:val="right"/>
        </w:trPr>
        <w:tc>
          <w:tcPr>
            <w:tcW w:w="1518" w:type="dxa"/>
            <w:tcBorders>
              <w:bottom w:val="single" w:sz="4" w:space="0" w:color="auto"/>
            </w:tcBorders>
          </w:tcPr>
          <w:p w14:paraId="37B4FB6B" w14:textId="77777777" w:rsidR="00613F89" w:rsidRPr="00D25175" w:rsidRDefault="00613F89" w:rsidP="00B70F4A">
            <w:pPr>
              <w:rPr>
                <w:noProof/>
                <w:sz w:val="18"/>
                <w:szCs w:val="18"/>
              </w:rPr>
            </w:pPr>
          </w:p>
        </w:tc>
        <w:tc>
          <w:tcPr>
            <w:tcW w:w="4643" w:type="dxa"/>
            <w:tcBorders>
              <w:bottom w:val="single" w:sz="4" w:space="0" w:color="auto"/>
            </w:tcBorders>
          </w:tcPr>
          <w:p w14:paraId="351DFB9B" w14:textId="77777777" w:rsidR="00613F89" w:rsidRPr="00D25175" w:rsidRDefault="00613F89" w:rsidP="00B70F4A">
            <w:pPr>
              <w:rPr>
                <w:rFonts w:ascii="Univers" w:hAnsi="Univers"/>
                <w:b/>
                <w:sz w:val="18"/>
                <w:szCs w:val="18"/>
              </w:rPr>
            </w:pPr>
          </w:p>
        </w:tc>
        <w:tc>
          <w:tcPr>
            <w:tcW w:w="3335" w:type="dxa"/>
            <w:tcBorders>
              <w:bottom w:val="single" w:sz="4" w:space="0" w:color="auto"/>
            </w:tcBorders>
          </w:tcPr>
          <w:p w14:paraId="5A4A4AF0" w14:textId="77777777" w:rsidR="00613F89" w:rsidRPr="00D25175" w:rsidRDefault="00613F89" w:rsidP="00B70F4A">
            <w:pPr>
              <w:rPr>
                <w:noProof/>
                <w:sz w:val="18"/>
                <w:szCs w:val="18"/>
              </w:rPr>
            </w:pPr>
            <w:r w:rsidRPr="00D25175">
              <w:rPr>
                <w:b/>
                <w:bCs/>
                <w:sz w:val="28"/>
              </w:rPr>
              <w:t>UNEP/</w:t>
            </w:r>
            <w:r w:rsidRPr="00D25175">
              <w:t>MC/COP.</w:t>
            </w:r>
            <w:r>
              <w:t>2</w:t>
            </w:r>
            <w:r w:rsidRPr="00D25175">
              <w:t>/</w:t>
            </w:r>
            <w:r>
              <w:t>INF/1</w:t>
            </w:r>
          </w:p>
        </w:tc>
      </w:tr>
      <w:tr w:rsidR="00613F89" w:rsidRPr="00D25175" w14:paraId="021AD74D" w14:textId="77777777" w:rsidTr="0003606C">
        <w:trPr>
          <w:cantSplit/>
          <w:trHeight w:val="2549"/>
          <w:jc w:val="right"/>
        </w:trPr>
        <w:tc>
          <w:tcPr>
            <w:tcW w:w="1518" w:type="dxa"/>
            <w:tcBorders>
              <w:top w:val="single" w:sz="4" w:space="0" w:color="auto"/>
              <w:bottom w:val="single" w:sz="24" w:space="0" w:color="auto"/>
            </w:tcBorders>
          </w:tcPr>
          <w:p w14:paraId="31AB5857" w14:textId="77777777" w:rsidR="00613F89" w:rsidRPr="00D25175" w:rsidRDefault="00613F89" w:rsidP="00B70F4A">
            <w:pPr>
              <w:rPr>
                <w:noProof/>
              </w:rPr>
            </w:pPr>
            <w:r w:rsidRPr="00D25175">
              <w:rPr>
                <w:noProof/>
              </w:rPr>
              <w:object w:dxaOrig="1831" w:dyaOrig="1726" w14:anchorId="69FEF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62.25pt;mso-width-percent:0;mso-height-percent:0;mso-width-percent:0;mso-height-percent:0" o:ole="" fillcolor="window">
                  <v:imagedata r:id="rId8" o:title=""/>
                </v:shape>
                <o:OLEObject Type="Embed" ProgID="Word.Picture.8" ShapeID="_x0000_i1025" DrawAspect="Content" ObjectID="_1604122852" r:id="rId9"/>
              </w:object>
            </w:r>
            <w:r w:rsidRPr="00D25175">
              <w:rPr>
                <w:noProof/>
                <w:lang w:val="fr-FR" w:eastAsia="zh-CN"/>
              </w:rPr>
              <w:drawing>
                <wp:inline distT="0" distB="0" distL="0" distR="0" wp14:anchorId="4A4519F0" wp14:editId="5800DCBC">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1568D082" w14:textId="77777777" w:rsidR="00613F89" w:rsidRPr="00D25175" w:rsidRDefault="00613F89" w:rsidP="00B70F4A">
            <w:pPr>
              <w:spacing w:before="1200"/>
              <w:rPr>
                <w:rFonts w:ascii="Arial" w:hAnsi="Arial" w:cs="Arial"/>
                <w:b/>
                <w:sz w:val="28"/>
              </w:rPr>
            </w:pPr>
            <w:r w:rsidRPr="00D25175">
              <w:rPr>
                <w:rFonts w:ascii="Arial" w:hAnsi="Arial" w:cs="Arial"/>
                <w:b/>
                <w:sz w:val="32"/>
                <w:szCs w:val="32"/>
              </w:rPr>
              <w:t>United Nations</w:t>
            </w:r>
            <w:r>
              <w:rPr>
                <w:rFonts w:ascii="Arial" w:hAnsi="Arial" w:cs="Arial"/>
                <w:b/>
                <w:sz w:val="32"/>
                <w:szCs w:val="32"/>
              </w:rPr>
              <w:t xml:space="preserve"> </w:t>
            </w:r>
            <w:r w:rsidRPr="00D25175">
              <w:rPr>
                <w:rFonts w:ascii="Arial" w:hAnsi="Arial" w:cs="Arial"/>
                <w:b/>
                <w:sz w:val="32"/>
                <w:szCs w:val="32"/>
              </w:rPr>
              <w:br w:type="textWrapping" w:clear="all"/>
              <w:t>Environment</w:t>
            </w:r>
            <w:r>
              <w:rPr>
                <w:rFonts w:ascii="Arial" w:hAnsi="Arial" w:cs="Arial"/>
                <w:b/>
                <w:sz w:val="32"/>
                <w:szCs w:val="32"/>
              </w:rPr>
              <w:t xml:space="preserve"> </w:t>
            </w:r>
            <w:r w:rsidRPr="00D25175">
              <w:rPr>
                <w:rFonts w:ascii="Arial" w:hAnsi="Arial" w:cs="Arial"/>
                <w:b/>
                <w:sz w:val="32"/>
                <w:szCs w:val="32"/>
              </w:rPr>
              <w:br w:type="textWrapping" w:clear="all"/>
              <w:t>Programme</w:t>
            </w:r>
          </w:p>
        </w:tc>
        <w:tc>
          <w:tcPr>
            <w:tcW w:w="3335" w:type="dxa"/>
            <w:tcBorders>
              <w:top w:val="single" w:sz="4" w:space="0" w:color="auto"/>
              <w:bottom w:val="single" w:sz="24" w:space="0" w:color="auto"/>
            </w:tcBorders>
          </w:tcPr>
          <w:p w14:paraId="7113C8F7" w14:textId="18650F11" w:rsidR="00613F89" w:rsidRPr="00D25175" w:rsidRDefault="00613F89" w:rsidP="00B70F4A">
            <w:pPr>
              <w:spacing w:before="120"/>
            </w:pPr>
            <w:r w:rsidRPr="00D25175">
              <w:t>Distr.: General</w:t>
            </w:r>
            <w:r>
              <w:t xml:space="preserve"> </w:t>
            </w:r>
            <w:r w:rsidRPr="00D25175">
              <w:br w:type="textWrapping" w:clear="all"/>
            </w:r>
            <w:r w:rsidR="008522F1">
              <w:t xml:space="preserve">16 November </w:t>
            </w:r>
            <w:r w:rsidRPr="00D25175">
              <w:t>201</w:t>
            </w:r>
            <w:r>
              <w:t>8</w:t>
            </w:r>
          </w:p>
          <w:p w14:paraId="1F119F59" w14:textId="77777777" w:rsidR="00613F89" w:rsidRPr="00D25175" w:rsidRDefault="00613F89" w:rsidP="006711CF">
            <w:pPr>
              <w:spacing w:before="120"/>
            </w:pPr>
            <w:r w:rsidRPr="00D25175">
              <w:t>English</w:t>
            </w:r>
            <w:r>
              <w:t xml:space="preserve"> only</w:t>
            </w:r>
          </w:p>
        </w:tc>
      </w:tr>
    </w:tbl>
    <w:p w14:paraId="5AC260C4" w14:textId="77777777" w:rsidR="00613F89" w:rsidRPr="00D25175" w:rsidRDefault="00613F89" w:rsidP="00613F89">
      <w:pPr>
        <w:pStyle w:val="AATitle"/>
        <w:keepNext w:val="0"/>
        <w:keepLines w:val="0"/>
      </w:pPr>
      <w:r w:rsidRPr="00D25175">
        <w:t>Conference of the Parties</w:t>
      </w:r>
      <w:r>
        <w:t xml:space="preserve"> to the </w:t>
      </w:r>
      <w:r>
        <w:br/>
      </w:r>
      <w:r w:rsidRPr="00D25175">
        <w:t>Minamata Convention on Mercury</w:t>
      </w:r>
    </w:p>
    <w:p w14:paraId="6E071718" w14:textId="77777777" w:rsidR="00613F89" w:rsidRPr="00D25175" w:rsidRDefault="00613F89" w:rsidP="00613F89">
      <w:pPr>
        <w:pStyle w:val="AATitle"/>
        <w:keepNext w:val="0"/>
        <w:keepLines w:val="0"/>
      </w:pPr>
      <w:r>
        <w:t>Second</w:t>
      </w:r>
      <w:r w:rsidRPr="00D25175">
        <w:t xml:space="preserve"> meeting</w:t>
      </w:r>
    </w:p>
    <w:p w14:paraId="210DE709" w14:textId="77777777" w:rsidR="00613F89" w:rsidRDefault="00613F89" w:rsidP="00613F89">
      <w:pPr>
        <w:pStyle w:val="AATitle"/>
        <w:rPr>
          <w:b w:val="0"/>
        </w:rPr>
      </w:pPr>
      <w:r w:rsidRPr="00D25175">
        <w:rPr>
          <w:b w:val="0"/>
        </w:rPr>
        <w:t xml:space="preserve">Geneva, </w:t>
      </w:r>
      <w:r>
        <w:rPr>
          <w:b w:val="0"/>
        </w:rPr>
        <w:t>19</w:t>
      </w:r>
      <w:r w:rsidRPr="00D25175">
        <w:rPr>
          <w:b w:val="0"/>
        </w:rPr>
        <w:t>–2</w:t>
      </w:r>
      <w:r>
        <w:rPr>
          <w:b w:val="0"/>
        </w:rPr>
        <w:t>3</w:t>
      </w:r>
      <w:r w:rsidRPr="00D25175">
        <w:rPr>
          <w:b w:val="0"/>
        </w:rPr>
        <w:t xml:space="preserve"> </w:t>
      </w:r>
      <w:r>
        <w:rPr>
          <w:b w:val="0"/>
        </w:rPr>
        <w:t>November 2018</w:t>
      </w:r>
    </w:p>
    <w:p w14:paraId="2D650CBA" w14:textId="77777777" w:rsidR="00613F89" w:rsidRPr="00421A12" w:rsidRDefault="00613F89" w:rsidP="00613F89">
      <w:pPr>
        <w:pStyle w:val="AATitle"/>
        <w:keepNext w:val="0"/>
        <w:keepLines w:val="0"/>
        <w:rPr>
          <w:b w:val="0"/>
          <w:lang w:val="en-US"/>
        </w:rPr>
      </w:pPr>
      <w:r w:rsidRPr="00421A12">
        <w:rPr>
          <w:b w:val="0"/>
        </w:rPr>
        <w:t>Item</w:t>
      </w:r>
      <w:r>
        <w:rPr>
          <w:b w:val="0"/>
          <w:lang w:val="en-US"/>
        </w:rPr>
        <w:t xml:space="preserve"> 2 (c) </w:t>
      </w:r>
      <w:r w:rsidRPr="00421A12">
        <w:rPr>
          <w:b w:val="0"/>
          <w:lang w:val="en-US"/>
        </w:rPr>
        <w:t>of the provisional agenda</w:t>
      </w:r>
      <w:r w:rsidRPr="00773098">
        <w:rPr>
          <w:b w:val="0"/>
          <w:lang w:val="en-US"/>
        </w:rPr>
        <w:footnoteReference w:customMarkFollows="1" w:id="1"/>
        <w:t>*</w:t>
      </w:r>
    </w:p>
    <w:p w14:paraId="18A607DA" w14:textId="77777777" w:rsidR="00613F89" w:rsidRPr="00474297" w:rsidRDefault="00613F89">
      <w:pPr>
        <w:pStyle w:val="AATitle2"/>
        <w:rPr>
          <w:lang w:val="en-US"/>
        </w:rPr>
      </w:pPr>
      <w:r w:rsidRPr="006711CF">
        <w:t>Organizational</w:t>
      </w:r>
      <w:r w:rsidRPr="008B16C7">
        <w:rPr>
          <w:lang w:val="en-US"/>
        </w:rPr>
        <w:t xml:space="preserve"> matters: org</w:t>
      </w:r>
      <w:r>
        <w:rPr>
          <w:lang w:val="en-US"/>
        </w:rPr>
        <w:t>anization of work</w:t>
      </w:r>
    </w:p>
    <w:p w14:paraId="3487E63A" w14:textId="4698B885" w:rsidR="00613F89" w:rsidRPr="00F7527B" w:rsidRDefault="00613F89" w:rsidP="008522F1">
      <w:pPr>
        <w:pStyle w:val="BBTitle"/>
      </w:pPr>
      <w:r w:rsidRPr="000E22D7">
        <w:t xml:space="preserve">List of documents for the second meeting of the Conference of the Parties to the Minamata Convention on Mercury, including </w:t>
      </w:r>
      <w:r w:rsidR="000E22D7" w:rsidRPr="006711CF">
        <w:t xml:space="preserve">working documents, information documents and </w:t>
      </w:r>
      <w:r w:rsidRPr="000E22D7">
        <w:t xml:space="preserve">additional relevant </w:t>
      </w:r>
      <w:r w:rsidR="00243315">
        <w:t xml:space="preserve">background </w:t>
      </w:r>
      <w:r w:rsidRPr="000E22D7">
        <w:t>documents</w:t>
      </w:r>
      <w:r w:rsidRPr="008A23C9" w:rsidDel="00ED7766">
        <w:t xml:space="preserve"> </w:t>
      </w:r>
    </w:p>
    <w:p w14:paraId="5C98031B" w14:textId="77777777" w:rsidR="00613F89" w:rsidRPr="004B11AD" w:rsidRDefault="00613F89" w:rsidP="006711CF">
      <w:pPr>
        <w:pStyle w:val="CH2"/>
        <w:rPr>
          <w:lang w:val="en-US"/>
        </w:rPr>
      </w:pPr>
      <w:r w:rsidRPr="004B11AD">
        <w:rPr>
          <w:lang w:val="en-US"/>
        </w:rPr>
        <w:tab/>
      </w:r>
      <w:r w:rsidRPr="004B11AD">
        <w:rPr>
          <w:lang w:val="en-US"/>
        </w:rPr>
        <w:tab/>
        <w:t xml:space="preserve">Note by the </w:t>
      </w:r>
      <w:r>
        <w:rPr>
          <w:lang w:val="en-US"/>
        </w:rPr>
        <w:t>s</w:t>
      </w:r>
      <w:r w:rsidRPr="004B11AD">
        <w:rPr>
          <w:lang w:val="en-US"/>
        </w:rPr>
        <w:t>ecretariat</w:t>
      </w:r>
    </w:p>
    <w:p w14:paraId="4EBBF9F3" w14:textId="6BEB9716" w:rsidR="00613F89" w:rsidRPr="00122803" w:rsidRDefault="00613F89" w:rsidP="008522F1">
      <w:pPr>
        <w:pStyle w:val="Normalnumber"/>
        <w:numPr>
          <w:ilvl w:val="0"/>
          <w:numId w:val="23"/>
        </w:numPr>
        <w:suppressAutoHyphens/>
        <w:autoSpaceDN w:val="0"/>
        <w:ind w:left="1247" w:firstLine="0"/>
        <w:textAlignment w:val="baseline"/>
        <w:rPr>
          <w:iCs/>
        </w:rPr>
      </w:pPr>
      <w:r>
        <w:t xml:space="preserve">Annex </w:t>
      </w:r>
      <w:r w:rsidR="00582340">
        <w:t>I</w:t>
      </w:r>
      <w:r>
        <w:t xml:space="preserve"> to the present note sets out the list of working and information documents for the second meeting of the Conference of the Parties to the Minamata Convention</w:t>
      </w:r>
      <w:r w:rsidR="000E22D7">
        <w:t xml:space="preserve"> on Mercury</w:t>
      </w:r>
      <w:r>
        <w:t xml:space="preserve">. </w:t>
      </w:r>
    </w:p>
    <w:p w14:paraId="1C70C2A2" w14:textId="169030D6" w:rsidR="00613F89" w:rsidRPr="00122803" w:rsidRDefault="00613F89" w:rsidP="008522F1">
      <w:pPr>
        <w:pStyle w:val="Normalnumber"/>
        <w:numPr>
          <w:ilvl w:val="0"/>
          <w:numId w:val="23"/>
        </w:numPr>
        <w:suppressAutoHyphens/>
        <w:autoSpaceDN w:val="0"/>
        <w:ind w:left="1247" w:firstLine="0"/>
        <w:textAlignment w:val="baseline"/>
        <w:rPr>
          <w:iCs/>
        </w:rPr>
      </w:pPr>
      <w:r>
        <w:t xml:space="preserve">Annex </w:t>
      </w:r>
      <w:r w:rsidR="00582340">
        <w:t>II</w:t>
      </w:r>
      <w:r>
        <w:t xml:space="preserve"> presents a list of additional documents </w:t>
      </w:r>
      <w:r w:rsidR="00391EC7">
        <w:t>containing</w:t>
      </w:r>
      <w:r>
        <w:t xml:space="preserve"> relevant background information. </w:t>
      </w:r>
      <w:r w:rsidR="000E22D7">
        <w:t>It</w:t>
      </w:r>
      <w:r>
        <w:t xml:space="preserve"> </w:t>
      </w:r>
      <w:r w:rsidR="000E22D7">
        <w:t>complements</w:t>
      </w:r>
      <w:r>
        <w:t xml:space="preserve"> document UNEP/MC/COP.1/INF/1, which listed the documents for the first meeting of the Conference of the Parties and for the seven sessions of the Intergovernmental Negotiating Committee, as well as reports, toolkits, guidance documents and other background documents relevant to the provisions of the Convention.</w:t>
      </w:r>
      <w:r w:rsidR="007123D1">
        <w:t xml:space="preserve"> It is presented without formal editing.</w:t>
      </w:r>
    </w:p>
    <w:p w14:paraId="18AA23B6" w14:textId="77777777" w:rsidR="000E22D7" w:rsidRDefault="000E22D7">
      <w:pPr>
        <w:tabs>
          <w:tab w:val="clear" w:pos="1247"/>
          <w:tab w:val="clear" w:pos="1814"/>
          <w:tab w:val="clear" w:pos="2381"/>
          <w:tab w:val="clear" w:pos="2948"/>
          <w:tab w:val="clear" w:pos="3515"/>
        </w:tabs>
        <w:rPr>
          <w:b/>
          <w:bCs/>
          <w:sz w:val="28"/>
          <w:szCs w:val="22"/>
        </w:rPr>
      </w:pPr>
      <w:r>
        <w:br w:type="page"/>
      </w:r>
    </w:p>
    <w:p w14:paraId="54C88EE5" w14:textId="77777777" w:rsidR="00613F89" w:rsidRPr="008A23C9" w:rsidRDefault="00613F89" w:rsidP="00613F89">
      <w:pPr>
        <w:pStyle w:val="ZZAnxheader"/>
        <w:rPr>
          <w:lang w:val="en-US"/>
        </w:rPr>
      </w:pPr>
      <w:r w:rsidRPr="008A23C9">
        <w:rPr>
          <w:lang w:val="en-US"/>
        </w:rPr>
        <w:lastRenderedPageBreak/>
        <w:t>Annex</w:t>
      </w:r>
      <w:r>
        <w:rPr>
          <w:lang w:val="en-US"/>
        </w:rPr>
        <w:t xml:space="preserve"> I</w:t>
      </w:r>
    </w:p>
    <w:p w14:paraId="2D1ECFDE" w14:textId="0A25C74D" w:rsidR="00613F89" w:rsidRPr="004B11AD" w:rsidRDefault="00613F89" w:rsidP="00613F89">
      <w:pPr>
        <w:pStyle w:val="Titletable"/>
        <w:spacing w:before="240" w:after="120"/>
        <w:ind w:left="720"/>
        <w:rPr>
          <w:rFonts w:asciiTheme="majorBidi" w:hAnsiTheme="majorBidi" w:cstheme="majorBidi"/>
          <w:lang w:val="en-US"/>
        </w:rPr>
      </w:pPr>
      <w:r w:rsidRPr="006711CF">
        <w:rPr>
          <w:rFonts w:asciiTheme="majorBidi" w:hAnsiTheme="majorBidi" w:cstheme="majorBidi"/>
          <w:b w:val="0"/>
          <w:bCs w:val="0"/>
          <w:lang w:val="en-US"/>
        </w:rPr>
        <w:t>Table 1</w:t>
      </w:r>
      <w:r w:rsidR="004622E3" w:rsidRPr="006711CF">
        <w:rPr>
          <w:rFonts w:asciiTheme="majorBidi" w:hAnsiTheme="majorBidi" w:cstheme="majorBidi"/>
          <w:b w:val="0"/>
          <w:bCs w:val="0"/>
          <w:lang w:val="en-US"/>
        </w:rPr>
        <w:t xml:space="preserve"> </w:t>
      </w:r>
      <w:r w:rsidR="004622E3" w:rsidRPr="006711CF">
        <w:rPr>
          <w:rFonts w:asciiTheme="majorBidi" w:hAnsiTheme="majorBidi" w:cstheme="majorBidi"/>
          <w:b w:val="0"/>
          <w:bCs w:val="0"/>
          <w:lang w:val="en-US"/>
        </w:rPr>
        <w:br/>
      </w:r>
      <w:r>
        <w:rPr>
          <w:rFonts w:asciiTheme="majorBidi" w:hAnsiTheme="majorBidi" w:cstheme="majorBidi"/>
          <w:lang w:val="en-US"/>
        </w:rPr>
        <w:t>Working documents for the</w:t>
      </w:r>
      <w:r w:rsidRPr="003A105C">
        <w:rPr>
          <w:rFonts w:asciiTheme="majorBidi" w:hAnsiTheme="majorBidi" w:cstheme="majorBidi"/>
          <w:lang w:val="en-US"/>
        </w:rPr>
        <w:t xml:space="preserve"> </w:t>
      </w:r>
      <w:r>
        <w:rPr>
          <w:rFonts w:asciiTheme="majorBidi" w:hAnsiTheme="majorBidi" w:cstheme="majorBidi"/>
          <w:lang w:val="en-US"/>
        </w:rPr>
        <w:t>second</w:t>
      </w:r>
      <w:r w:rsidRPr="003A105C">
        <w:rPr>
          <w:rFonts w:asciiTheme="majorBidi" w:hAnsiTheme="majorBidi" w:cstheme="majorBidi"/>
          <w:lang w:val="en-US"/>
        </w:rPr>
        <w:t xml:space="preserve"> meeting of the Conference of the Parties to the Minamata Convention on Mercury</w:t>
      </w:r>
      <w:r w:rsidRPr="004B11AD">
        <w:rPr>
          <w:rFonts w:asciiTheme="majorBidi" w:hAnsiTheme="majorBidi" w:cstheme="majorBidi"/>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304"/>
        <w:gridCol w:w="5096"/>
      </w:tblGrid>
      <w:tr w:rsidR="00613F89" w:rsidRPr="00A644B1" w14:paraId="5B80B170" w14:textId="77777777" w:rsidTr="00B70F4A">
        <w:trPr>
          <w:tblHeader/>
        </w:trPr>
        <w:tc>
          <w:tcPr>
            <w:tcW w:w="2836" w:type="dxa"/>
            <w:tcBorders>
              <w:top w:val="single" w:sz="4" w:space="0" w:color="auto"/>
              <w:left w:val="single" w:sz="4" w:space="0" w:color="auto"/>
              <w:bottom w:val="single" w:sz="4" w:space="0" w:color="auto"/>
              <w:right w:val="single" w:sz="4" w:space="0" w:color="auto"/>
            </w:tcBorders>
            <w:hideMark/>
          </w:tcPr>
          <w:p w14:paraId="121947FA" w14:textId="768D0EDE" w:rsidR="00613F89" w:rsidRPr="00A644B1" w:rsidRDefault="00613F89" w:rsidP="00A644B1">
            <w:pPr>
              <w:pStyle w:val="Normal-pool"/>
              <w:spacing w:before="40" w:after="40"/>
              <w:rPr>
                <w:i/>
                <w:sz w:val="18"/>
                <w:szCs w:val="18"/>
              </w:rPr>
            </w:pPr>
            <w:r w:rsidRPr="00A644B1">
              <w:rPr>
                <w:i/>
                <w:sz w:val="18"/>
                <w:szCs w:val="18"/>
              </w:rPr>
              <w:t>Symbol</w:t>
            </w:r>
          </w:p>
        </w:tc>
        <w:tc>
          <w:tcPr>
            <w:tcW w:w="1304" w:type="dxa"/>
            <w:tcBorders>
              <w:top w:val="single" w:sz="4" w:space="0" w:color="auto"/>
              <w:left w:val="single" w:sz="4" w:space="0" w:color="auto"/>
              <w:bottom w:val="single" w:sz="4" w:space="0" w:color="auto"/>
              <w:right w:val="single" w:sz="4" w:space="0" w:color="auto"/>
            </w:tcBorders>
          </w:tcPr>
          <w:p w14:paraId="6EEAEA81" w14:textId="77777777" w:rsidR="00613F89" w:rsidRPr="00A644B1" w:rsidRDefault="00613F89" w:rsidP="00A644B1">
            <w:pPr>
              <w:pStyle w:val="Normal-pool"/>
              <w:spacing w:before="40" w:after="40"/>
              <w:rPr>
                <w:i/>
                <w:sz w:val="18"/>
                <w:szCs w:val="18"/>
              </w:rPr>
            </w:pPr>
            <w:r w:rsidRPr="00A644B1">
              <w:rPr>
                <w:i/>
                <w:sz w:val="18"/>
                <w:szCs w:val="18"/>
              </w:rPr>
              <w:t>Agenda item</w:t>
            </w:r>
          </w:p>
        </w:tc>
        <w:tc>
          <w:tcPr>
            <w:tcW w:w="5096" w:type="dxa"/>
            <w:tcBorders>
              <w:top w:val="single" w:sz="4" w:space="0" w:color="auto"/>
              <w:left w:val="single" w:sz="4" w:space="0" w:color="auto"/>
              <w:bottom w:val="single" w:sz="4" w:space="0" w:color="auto"/>
              <w:right w:val="single" w:sz="4" w:space="0" w:color="auto"/>
            </w:tcBorders>
            <w:hideMark/>
          </w:tcPr>
          <w:p w14:paraId="453348E7" w14:textId="77777777" w:rsidR="00613F89" w:rsidRPr="00A644B1" w:rsidRDefault="00613F89" w:rsidP="00A644B1">
            <w:pPr>
              <w:pStyle w:val="Normal-pool"/>
              <w:spacing w:before="40" w:after="40"/>
              <w:rPr>
                <w:i/>
                <w:sz w:val="18"/>
                <w:szCs w:val="18"/>
              </w:rPr>
            </w:pPr>
            <w:r w:rsidRPr="00A644B1">
              <w:rPr>
                <w:i/>
                <w:sz w:val="18"/>
                <w:szCs w:val="18"/>
              </w:rPr>
              <w:t>Title</w:t>
            </w:r>
          </w:p>
        </w:tc>
      </w:tr>
      <w:tr w:rsidR="00613F89" w:rsidRPr="00A644B1" w14:paraId="3A273509"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732408A0" w14:textId="77777777" w:rsidR="00613F89" w:rsidRPr="00A644B1" w:rsidRDefault="00613F89" w:rsidP="00A644B1">
            <w:pPr>
              <w:pStyle w:val="Normal-pool"/>
              <w:spacing w:before="40" w:after="40"/>
              <w:rPr>
                <w:sz w:val="18"/>
                <w:szCs w:val="18"/>
              </w:rPr>
            </w:pPr>
            <w:r w:rsidRPr="00A644B1">
              <w:rPr>
                <w:spacing w:val="15"/>
                <w:sz w:val="18"/>
                <w:szCs w:val="18"/>
              </w:rPr>
              <w:t>UNEP/MC/COP.2/1</w:t>
            </w:r>
          </w:p>
        </w:tc>
        <w:tc>
          <w:tcPr>
            <w:tcW w:w="1304" w:type="dxa"/>
            <w:tcBorders>
              <w:top w:val="single" w:sz="4" w:space="0" w:color="auto"/>
              <w:left w:val="single" w:sz="4" w:space="0" w:color="auto"/>
              <w:bottom w:val="single" w:sz="4" w:space="0" w:color="auto"/>
              <w:right w:val="single" w:sz="4" w:space="0" w:color="auto"/>
            </w:tcBorders>
          </w:tcPr>
          <w:p w14:paraId="486BD464" w14:textId="77777777" w:rsidR="00613F89" w:rsidRPr="00A644B1" w:rsidRDefault="00613F89" w:rsidP="00A644B1">
            <w:pPr>
              <w:pStyle w:val="Normal-pool"/>
              <w:spacing w:before="40" w:after="40"/>
              <w:rPr>
                <w:spacing w:val="15"/>
                <w:sz w:val="18"/>
                <w:szCs w:val="18"/>
              </w:rPr>
            </w:pPr>
          </w:p>
        </w:tc>
        <w:tc>
          <w:tcPr>
            <w:tcW w:w="5096" w:type="dxa"/>
            <w:tcBorders>
              <w:top w:val="single" w:sz="4" w:space="0" w:color="auto"/>
              <w:left w:val="single" w:sz="4" w:space="0" w:color="auto"/>
              <w:bottom w:val="single" w:sz="4" w:space="0" w:color="auto"/>
              <w:right w:val="single" w:sz="4" w:space="0" w:color="auto"/>
            </w:tcBorders>
            <w:hideMark/>
          </w:tcPr>
          <w:p w14:paraId="6BBFDA51" w14:textId="77777777" w:rsidR="00613F89" w:rsidRPr="00A644B1" w:rsidRDefault="00613F89" w:rsidP="00A644B1">
            <w:pPr>
              <w:pStyle w:val="Normal-pool"/>
              <w:spacing w:before="40" w:after="40"/>
              <w:rPr>
                <w:sz w:val="18"/>
                <w:szCs w:val="18"/>
              </w:rPr>
            </w:pPr>
            <w:r w:rsidRPr="00A644B1">
              <w:rPr>
                <w:sz w:val="18"/>
                <w:szCs w:val="18"/>
              </w:rPr>
              <w:t>Provisional agenda</w:t>
            </w:r>
          </w:p>
        </w:tc>
      </w:tr>
      <w:tr w:rsidR="00613F89" w:rsidRPr="00A644B1" w14:paraId="473708A0"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0D2A6B6C" w14:textId="77777777" w:rsidR="00613F89" w:rsidRPr="00A644B1" w:rsidRDefault="00613F89" w:rsidP="00A644B1">
            <w:pPr>
              <w:pStyle w:val="Normal-pool"/>
              <w:spacing w:before="40" w:after="40"/>
              <w:rPr>
                <w:sz w:val="18"/>
                <w:szCs w:val="18"/>
              </w:rPr>
            </w:pPr>
            <w:r w:rsidRPr="00A644B1">
              <w:rPr>
                <w:spacing w:val="15"/>
                <w:sz w:val="18"/>
                <w:szCs w:val="18"/>
              </w:rPr>
              <w:t>UNEP/MC/COP.2/1</w:t>
            </w:r>
            <w:r w:rsidRPr="00A644B1">
              <w:rPr>
                <w:sz w:val="18"/>
                <w:szCs w:val="18"/>
              </w:rPr>
              <w:t>/Add.1</w:t>
            </w:r>
          </w:p>
        </w:tc>
        <w:tc>
          <w:tcPr>
            <w:tcW w:w="1304" w:type="dxa"/>
            <w:tcBorders>
              <w:top w:val="single" w:sz="4" w:space="0" w:color="auto"/>
              <w:left w:val="single" w:sz="4" w:space="0" w:color="auto"/>
              <w:bottom w:val="single" w:sz="4" w:space="0" w:color="auto"/>
              <w:right w:val="single" w:sz="4" w:space="0" w:color="auto"/>
            </w:tcBorders>
          </w:tcPr>
          <w:p w14:paraId="2F67B6D9" w14:textId="1D2CDDDF" w:rsidR="00613F89" w:rsidRPr="00A644B1" w:rsidRDefault="00613F89" w:rsidP="00A644B1">
            <w:pPr>
              <w:pStyle w:val="Normal-pool"/>
              <w:spacing w:before="40" w:after="40"/>
              <w:rPr>
                <w:sz w:val="18"/>
                <w:szCs w:val="18"/>
              </w:rPr>
            </w:pPr>
            <w:r w:rsidRPr="00A644B1">
              <w:rPr>
                <w:sz w:val="18"/>
                <w:szCs w:val="18"/>
              </w:rPr>
              <w:t>2</w:t>
            </w:r>
            <w:r w:rsidR="00391EC7">
              <w:rPr>
                <w:sz w:val="18"/>
                <w:szCs w:val="18"/>
              </w:rPr>
              <w:t xml:space="preserve"> </w:t>
            </w:r>
            <w:r w:rsidRPr="00A644B1">
              <w:rPr>
                <w:sz w:val="18"/>
                <w:szCs w:val="18"/>
              </w:rPr>
              <w:t>(c)</w:t>
            </w:r>
          </w:p>
        </w:tc>
        <w:tc>
          <w:tcPr>
            <w:tcW w:w="5096" w:type="dxa"/>
            <w:tcBorders>
              <w:top w:val="single" w:sz="4" w:space="0" w:color="auto"/>
              <w:left w:val="single" w:sz="4" w:space="0" w:color="auto"/>
              <w:bottom w:val="single" w:sz="4" w:space="0" w:color="auto"/>
              <w:right w:val="single" w:sz="4" w:space="0" w:color="auto"/>
            </w:tcBorders>
            <w:hideMark/>
          </w:tcPr>
          <w:p w14:paraId="38DE678B" w14:textId="77777777" w:rsidR="00613F89" w:rsidRPr="00A644B1" w:rsidRDefault="00613F89" w:rsidP="00A644B1">
            <w:pPr>
              <w:pStyle w:val="Normal-pool"/>
              <w:spacing w:before="40" w:after="40"/>
              <w:rPr>
                <w:sz w:val="18"/>
                <w:szCs w:val="18"/>
              </w:rPr>
            </w:pPr>
            <w:r w:rsidRPr="00A644B1">
              <w:rPr>
                <w:sz w:val="18"/>
                <w:szCs w:val="18"/>
              </w:rPr>
              <w:t>Annotations to the provisional agenda</w:t>
            </w:r>
          </w:p>
        </w:tc>
      </w:tr>
      <w:tr w:rsidR="00613F89" w:rsidRPr="00A644B1" w14:paraId="0F25FCB3"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2552C6C1" w14:textId="77777777" w:rsidR="00613F89" w:rsidRPr="00A644B1" w:rsidRDefault="00613F89" w:rsidP="00A644B1">
            <w:pPr>
              <w:pStyle w:val="Normal-pool"/>
              <w:spacing w:before="40" w:after="40"/>
              <w:rPr>
                <w:sz w:val="18"/>
                <w:szCs w:val="18"/>
              </w:rPr>
            </w:pPr>
            <w:r w:rsidRPr="00A644B1">
              <w:rPr>
                <w:spacing w:val="15"/>
                <w:sz w:val="18"/>
                <w:szCs w:val="18"/>
              </w:rPr>
              <w:t>UNEP/MC/COP.2/2</w:t>
            </w:r>
          </w:p>
        </w:tc>
        <w:tc>
          <w:tcPr>
            <w:tcW w:w="1304" w:type="dxa"/>
            <w:tcBorders>
              <w:top w:val="single" w:sz="4" w:space="0" w:color="auto"/>
              <w:left w:val="single" w:sz="4" w:space="0" w:color="auto"/>
              <w:bottom w:val="single" w:sz="4" w:space="0" w:color="auto"/>
              <w:right w:val="single" w:sz="4" w:space="0" w:color="auto"/>
            </w:tcBorders>
          </w:tcPr>
          <w:p w14:paraId="739FB1C7" w14:textId="0D0EEC54" w:rsidR="00613F89" w:rsidRPr="00A644B1" w:rsidRDefault="00613F89" w:rsidP="00A644B1">
            <w:pPr>
              <w:pStyle w:val="Normal-pool"/>
              <w:spacing w:before="40" w:after="40"/>
              <w:rPr>
                <w:spacing w:val="15"/>
                <w:sz w:val="18"/>
                <w:szCs w:val="18"/>
              </w:rPr>
            </w:pPr>
            <w:r w:rsidRPr="00A644B1">
              <w:rPr>
                <w:spacing w:val="15"/>
                <w:sz w:val="18"/>
                <w:szCs w:val="18"/>
              </w:rPr>
              <w:t>2</w:t>
            </w:r>
            <w:r w:rsidR="00391EC7">
              <w:rPr>
                <w:spacing w:val="15"/>
                <w:sz w:val="18"/>
                <w:szCs w:val="18"/>
              </w:rPr>
              <w:t xml:space="preserve"> </w:t>
            </w:r>
            <w:r w:rsidRPr="00A644B1">
              <w:rPr>
                <w:spacing w:val="15"/>
                <w:sz w:val="18"/>
                <w:szCs w:val="18"/>
              </w:rPr>
              <w:t>(c)</w:t>
            </w:r>
          </w:p>
        </w:tc>
        <w:tc>
          <w:tcPr>
            <w:tcW w:w="5096" w:type="dxa"/>
            <w:tcBorders>
              <w:top w:val="single" w:sz="4" w:space="0" w:color="auto"/>
              <w:left w:val="single" w:sz="4" w:space="0" w:color="auto"/>
              <w:bottom w:val="single" w:sz="4" w:space="0" w:color="auto"/>
              <w:right w:val="single" w:sz="4" w:space="0" w:color="auto"/>
            </w:tcBorders>
            <w:hideMark/>
          </w:tcPr>
          <w:p w14:paraId="50740D10" w14:textId="77777777" w:rsidR="00613F89" w:rsidRPr="00A644B1" w:rsidRDefault="00613F89" w:rsidP="00A644B1">
            <w:pPr>
              <w:pStyle w:val="Normal-pool"/>
              <w:spacing w:before="40" w:after="40"/>
              <w:rPr>
                <w:sz w:val="18"/>
                <w:szCs w:val="18"/>
                <w:lang w:val="en-US"/>
              </w:rPr>
            </w:pPr>
            <w:r w:rsidRPr="00A644B1">
              <w:rPr>
                <w:sz w:val="18"/>
                <w:szCs w:val="18"/>
              </w:rPr>
              <w:t>Scenario note for the second meeting of the Conference of the Parties to the Minamata Convention on Mercury</w:t>
            </w:r>
          </w:p>
        </w:tc>
      </w:tr>
      <w:tr w:rsidR="00613F89" w:rsidRPr="00A644B1" w14:paraId="3BACEDF7"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3F5C295B" w14:textId="77777777" w:rsidR="00613F89" w:rsidRPr="00A644B1" w:rsidRDefault="00613F89" w:rsidP="00A644B1">
            <w:pPr>
              <w:pStyle w:val="Normal-pool"/>
              <w:spacing w:before="40" w:after="40"/>
              <w:rPr>
                <w:sz w:val="18"/>
                <w:szCs w:val="18"/>
              </w:rPr>
            </w:pPr>
            <w:r w:rsidRPr="00A644B1">
              <w:rPr>
                <w:spacing w:val="15"/>
                <w:sz w:val="18"/>
                <w:szCs w:val="18"/>
              </w:rPr>
              <w:t>UNEP/MC/COP.2/3</w:t>
            </w:r>
          </w:p>
        </w:tc>
        <w:tc>
          <w:tcPr>
            <w:tcW w:w="1304" w:type="dxa"/>
            <w:tcBorders>
              <w:top w:val="single" w:sz="4" w:space="0" w:color="auto"/>
              <w:left w:val="single" w:sz="4" w:space="0" w:color="auto"/>
              <w:bottom w:val="single" w:sz="4" w:space="0" w:color="auto"/>
              <w:right w:val="single" w:sz="4" w:space="0" w:color="auto"/>
            </w:tcBorders>
          </w:tcPr>
          <w:p w14:paraId="4DAB6917" w14:textId="77777777" w:rsidR="00613F89" w:rsidRPr="00A644B1" w:rsidRDefault="00613F89" w:rsidP="00A644B1">
            <w:pPr>
              <w:pStyle w:val="Normal-pool"/>
              <w:spacing w:before="40" w:after="40"/>
              <w:rPr>
                <w:spacing w:val="15"/>
                <w:sz w:val="18"/>
                <w:szCs w:val="18"/>
              </w:rPr>
            </w:pPr>
            <w:r w:rsidRPr="00A644B1">
              <w:rPr>
                <w:spacing w:val="15"/>
                <w:sz w:val="18"/>
                <w:szCs w:val="18"/>
              </w:rPr>
              <w:t>3</w:t>
            </w:r>
          </w:p>
        </w:tc>
        <w:tc>
          <w:tcPr>
            <w:tcW w:w="5096" w:type="dxa"/>
            <w:tcBorders>
              <w:top w:val="single" w:sz="4" w:space="0" w:color="auto"/>
              <w:left w:val="single" w:sz="4" w:space="0" w:color="auto"/>
              <w:bottom w:val="single" w:sz="4" w:space="0" w:color="auto"/>
              <w:right w:val="single" w:sz="4" w:space="0" w:color="auto"/>
            </w:tcBorders>
            <w:hideMark/>
          </w:tcPr>
          <w:p w14:paraId="43EB79D0" w14:textId="77777777" w:rsidR="00613F89" w:rsidRPr="00A644B1" w:rsidRDefault="00613F89" w:rsidP="00A644B1">
            <w:pPr>
              <w:pStyle w:val="Normal-pool"/>
              <w:spacing w:before="40" w:after="40"/>
              <w:rPr>
                <w:sz w:val="18"/>
                <w:szCs w:val="18"/>
                <w:lang w:val="en-US"/>
              </w:rPr>
            </w:pPr>
            <w:r w:rsidRPr="00A644B1">
              <w:rPr>
                <w:sz w:val="18"/>
                <w:szCs w:val="18"/>
              </w:rPr>
              <w:t>Rules of procedure for the Conference of the Parties to the Minamata Convention on Mercury</w:t>
            </w:r>
          </w:p>
        </w:tc>
      </w:tr>
      <w:tr w:rsidR="00613F89" w:rsidRPr="00A644B1" w14:paraId="4D636668"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7431E88E" w14:textId="77777777" w:rsidR="00613F89" w:rsidRPr="00A644B1" w:rsidRDefault="00613F89" w:rsidP="00A644B1">
            <w:pPr>
              <w:pStyle w:val="Normal-pool"/>
              <w:spacing w:before="40" w:after="40"/>
              <w:rPr>
                <w:sz w:val="18"/>
                <w:szCs w:val="18"/>
              </w:rPr>
            </w:pPr>
            <w:r w:rsidRPr="00A644B1">
              <w:rPr>
                <w:spacing w:val="15"/>
                <w:sz w:val="18"/>
                <w:szCs w:val="18"/>
              </w:rPr>
              <w:t>UNEP/MC/COP.2/4/Rev.1</w:t>
            </w:r>
          </w:p>
        </w:tc>
        <w:tc>
          <w:tcPr>
            <w:tcW w:w="1304" w:type="dxa"/>
            <w:tcBorders>
              <w:top w:val="single" w:sz="4" w:space="0" w:color="auto"/>
              <w:left w:val="single" w:sz="4" w:space="0" w:color="auto"/>
              <w:bottom w:val="single" w:sz="4" w:space="0" w:color="auto"/>
              <w:right w:val="single" w:sz="4" w:space="0" w:color="auto"/>
            </w:tcBorders>
          </w:tcPr>
          <w:p w14:paraId="39B388E5" w14:textId="681BC985"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(a)</w:t>
            </w:r>
          </w:p>
        </w:tc>
        <w:tc>
          <w:tcPr>
            <w:tcW w:w="5096" w:type="dxa"/>
            <w:tcBorders>
              <w:top w:val="single" w:sz="4" w:space="0" w:color="auto"/>
              <w:left w:val="single" w:sz="4" w:space="0" w:color="auto"/>
              <w:bottom w:val="single" w:sz="4" w:space="0" w:color="auto"/>
              <w:right w:val="single" w:sz="4" w:space="0" w:color="auto"/>
            </w:tcBorders>
            <w:hideMark/>
          </w:tcPr>
          <w:p w14:paraId="37979607" w14:textId="77777777" w:rsidR="00613F89" w:rsidRPr="00A644B1" w:rsidRDefault="00613F89" w:rsidP="00A644B1">
            <w:pPr>
              <w:pStyle w:val="Normal-pool"/>
              <w:spacing w:before="40" w:after="40"/>
              <w:rPr>
                <w:sz w:val="18"/>
                <w:szCs w:val="18"/>
                <w:lang w:val="en-US"/>
              </w:rPr>
            </w:pPr>
            <w:r w:rsidRPr="00A644B1">
              <w:rPr>
                <w:sz w:val="18"/>
                <w:szCs w:val="18"/>
              </w:rPr>
              <w:t>Guidance in relation to mercury releases</w:t>
            </w:r>
          </w:p>
        </w:tc>
      </w:tr>
      <w:tr w:rsidR="00613F89" w:rsidRPr="00A644B1" w14:paraId="6C1367AB"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795C71C7" w14:textId="77777777" w:rsidR="00613F89" w:rsidRPr="00A644B1" w:rsidRDefault="00613F89" w:rsidP="00A644B1">
            <w:pPr>
              <w:pStyle w:val="Normal-pool"/>
              <w:spacing w:before="40" w:after="40"/>
              <w:rPr>
                <w:sz w:val="18"/>
                <w:szCs w:val="18"/>
              </w:rPr>
            </w:pPr>
            <w:r w:rsidRPr="00A644B1">
              <w:rPr>
                <w:spacing w:val="15"/>
                <w:sz w:val="18"/>
                <w:szCs w:val="18"/>
              </w:rPr>
              <w:t>UNEP/MC/COP.2/5</w:t>
            </w:r>
          </w:p>
        </w:tc>
        <w:tc>
          <w:tcPr>
            <w:tcW w:w="1304" w:type="dxa"/>
            <w:tcBorders>
              <w:top w:val="single" w:sz="4" w:space="0" w:color="auto"/>
              <w:left w:val="single" w:sz="4" w:space="0" w:color="auto"/>
              <w:bottom w:val="single" w:sz="4" w:space="0" w:color="auto"/>
              <w:right w:val="single" w:sz="4" w:space="0" w:color="auto"/>
            </w:tcBorders>
          </w:tcPr>
          <w:p w14:paraId="6A85E2DD" w14:textId="5325B19E" w:rsidR="00613F89" w:rsidRPr="00A644B1" w:rsidRDefault="00613F89" w:rsidP="00A644B1">
            <w:pPr>
              <w:pStyle w:val="Normal-pool"/>
              <w:spacing w:before="40" w:after="40"/>
              <w:rPr>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(b)</w:t>
            </w:r>
          </w:p>
        </w:tc>
        <w:tc>
          <w:tcPr>
            <w:tcW w:w="5096" w:type="dxa"/>
            <w:tcBorders>
              <w:top w:val="single" w:sz="4" w:space="0" w:color="auto"/>
              <w:left w:val="single" w:sz="4" w:space="0" w:color="auto"/>
              <w:bottom w:val="single" w:sz="4" w:space="0" w:color="auto"/>
              <w:right w:val="single" w:sz="4" w:space="0" w:color="auto"/>
            </w:tcBorders>
          </w:tcPr>
          <w:p w14:paraId="2D5D36FE" w14:textId="77777777" w:rsidR="00613F89" w:rsidRPr="00A644B1" w:rsidRDefault="00613F89" w:rsidP="00A644B1">
            <w:pPr>
              <w:pStyle w:val="Normal-pool"/>
              <w:spacing w:before="40" w:after="40"/>
              <w:rPr>
                <w:rFonts w:eastAsiaTheme="minorEastAsia"/>
                <w:sz w:val="18"/>
                <w:szCs w:val="18"/>
                <w:lang w:val="en-US"/>
              </w:rPr>
            </w:pPr>
            <w:r w:rsidRPr="00A644B1">
              <w:rPr>
                <w:sz w:val="18"/>
                <w:szCs w:val="18"/>
              </w:rPr>
              <w:t>Guidelines on the environmentally sound interim storage of mercury other than waste mercury</w:t>
            </w:r>
          </w:p>
        </w:tc>
      </w:tr>
      <w:tr w:rsidR="00613F89" w:rsidRPr="00A644B1" w14:paraId="3A643C7D"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3F7CEA35" w14:textId="77777777" w:rsidR="00613F89" w:rsidRPr="00A644B1" w:rsidRDefault="00613F89" w:rsidP="00A644B1">
            <w:pPr>
              <w:pStyle w:val="Normal-pool"/>
              <w:spacing w:before="40" w:after="40"/>
              <w:rPr>
                <w:sz w:val="18"/>
                <w:szCs w:val="18"/>
              </w:rPr>
            </w:pPr>
            <w:r w:rsidRPr="00A644B1">
              <w:rPr>
                <w:spacing w:val="15"/>
                <w:sz w:val="18"/>
                <w:szCs w:val="18"/>
              </w:rPr>
              <w:t>UNEP/MC/COP.2/6</w:t>
            </w:r>
          </w:p>
        </w:tc>
        <w:tc>
          <w:tcPr>
            <w:tcW w:w="1304" w:type="dxa"/>
            <w:tcBorders>
              <w:top w:val="single" w:sz="4" w:space="0" w:color="auto"/>
              <w:left w:val="single" w:sz="4" w:space="0" w:color="auto"/>
              <w:bottom w:val="single" w:sz="4" w:space="0" w:color="auto"/>
              <w:right w:val="single" w:sz="4" w:space="0" w:color="auto"/>
            </w:tcBorders>
          </w:tcPr>
          <w:p w14:paraId="3631BA10" w14:textId="21624CB6"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(c)</w:t>
            </w:r>
          </w:p>
        </w:tc>
        <w:tc>
          <w:tcPr>
            <w:tcW w:w="5096" w:type="dxa"/>
            <w:tcBorders>
              <w:top w:val="single" w:sz="4" w:space="0" w:color="auto"/>
              <w:left w:val="single" w:sz="4" w:space="0" w:color="auto"/>
              <w:bottom w:val="single" w:sz="4" w:space="0" w:color="auto"/>
              <w:right w:val="single" w:sz="4" w:space="0" w:color="auto"/>
            </w:tcBorders>
          </w:tcPr>
          <w:p w14:paraId="2CBBC43E" w14:textId="77777777" w:rsidR="00613F89" w:rsidRPr="00A644B1" w:rsidRDefault="00613F89" w:rsidP="00A644B1">
            <w:pPr>
              <w:pStyle w:val="Normal-pool"/>
              <w:spacing w:before="40" w:after="40"/>
              <w:rPr>
                <w:rFonts w:eastAsiaTheme="minorEastAsia"/>
                <w:sz w:val="18"/>
                <w:szCs w:val="18"/>
                <w:lang w:val="en-US"/>
              </w:rPr>
            </w:pPr>
            <w:r w:rsidRPr="00A644B1">
              <w:rPr>
                <w:sz w:val="18"/>
                <w:szCs w:val="18"/>
              </w:rPr>
              <w:t>Report on the outcome of the open-ended process on waste thresholds called for under article 11</w:t>
            </w:r>
          </w:p>
        </w:tc>
      </w:tr>
      <w:tr w:rsidR="00613F89" w:rsidRPr="00A644B1" w14:paraId="7C34E85B"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32716991" w14:textId="77777777" w:rsidR="00613F89" w:rsidRPr="00A644B1" w:rsidRDefault="00613F89" w:rsidP="00A644B1">
            <w:pPr>
              <w:pStyle w:val="Normal-pool"/>
              <w:spacing w:before="40" w:after="40"/>
              <w:rPr>
                <w:sz w:val="18"/>
                <w:szCs w:val="18"/>
              </w:rPr>
            </w:pPr>
            <w:r w:rsidRPr="00A644B1">
              <w:rPr>
                <w:spacing w:val="15"/>
                <w:sz w:val="18"/>
                <w:szCs w:val="18"/>
              </w:rPr>
              <w:t>UNEP/MC/COP.2/7</w:t>
            </w:r>
          </w:p>
        </w:tc>
        <w:tc>
          <w:tcPr>
            <w:tcW w:w="1304" w:type="dxa"/>
            <w:tcBorders>
              <w:top w:val="single" w:sz="4" w:space="0" w:color="auto"/>
              <w:left w:val="single" w:sz="4" w:space="0" w:color="auto"/>
              <w:bottom w:val="single" w:sz="4" w:space="0" w:color="auto"/>
              <w:right w:val="single" w:sz="4" w:space="0" w:color="auto"/>
            </w:tcBorders>
          </w:tcPr>
          <w:p w14:paraId="43EBB791" w14:textId="78063669"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(d)</w:t>
            </w:r>
          </w:p>
        </w:tc>
        <w:tc>
          <w:tcPr>
            <w:tcW w:w="5096" w:type="dxa"/>
            <w:tcBorders>
              <w:top w:val="single" w:sz="4" w:space="0" w:color="auto"/>
              <w:left w:val="single" w:sz="4" w:space="0" w:color="auto"/>
              <w:bottom w:val="single" w:sz="4" w:space="0" w:color="auto"/>
              <w:right w:val="single" w:sz="4" w:space="0" w:color="auto"/>
            </w:tcBorders>
          </w:tcPr>
          <w:p w14:paraId="44EE11FD" w14:textId="77777777" w:rsidR="00613F89" w:rsidRPr="00A644B1" w:rsidRDefault="00613F89" w:rsidP="00A644B1">
            <w:pPr>
              <w:pStyle w:val="Normal-pool"/>
              <w:spacing w:before="40" w:after="40"/>
              <w:rPr>
                <w:sz w:val="18"/>
                <w:szCs w:val="18"/>
                <w:lang w:val="en-US"/>
              </w:rPr>
            </w:pPr>
            <w:r w:rsidRPr="00A644B1">
              <w:rPr>
                <w:sz w:val="18"/>
                <w:szCs w:val="18"/>
              </w:rPr>
              <w:t>Guidance on the management of contaminated sites</w:t>
            </w:r>
          </w:p>
        </w:tc>
      </w:tr>
      <w:tr w:rsidR="00613F89" w:rsidRPr="00A644B1" w14:paraId="4298B5E7"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14C2D5E9" w14:textId="77777777" w:rsidR="00613F89" w:rsidRPr="00A644B1" w:rsidRDefault="00613F89" w:rsidP="00A644B1">
            <w:pPr>
              <w:pStyle w:val="Normal-pool"/>
              <w:spacing w:before="40" w:after="40"/>
              <w:rPr>
                <w:sz w:val="18"/>
                <w:szCs w:val="18"/>
              </w:rPr>
            </w:pPr>
            <w:r w:rsidRPr="00A644B1">
              <w:rPr>
                <w:spacing w:val="15"/>
                <w:sz w:val="18"/>
                <w:szCs w:val="18"/>
              </w:rPr>
              <w:t>UNEP/MC/COP.2/8</w:t>
            </w:r>
          </w:p>
        </w:tc>
        <w:tc>
          <w:tcPr>
            <w:tcW w:w="1304" w:type="dxa"/>
            <w:tcBorders>
              <w:top w:val="single" w:sz="4" w:space="0" w:color="auto"/>
              <w:left w:val="single" w:sz="4" w:space="0" w:color="auto"/>
              <w:bottom w:val="single" w:sz="4" w:space="0" w:color="auto"/>
              <w:right w:val="single" w:sz="4" w:space="0" w:color="auto"/>
            </w:tcBorders>
          </w:tcPr>
          <w:p w14:paraId="11950006" w14:textId="3ECDCB8A"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(e)</w:t>
            </w:r>
            <w:r w:rsidR="00391EC7">
              <w:rPr>
                <w:spacing w:val="15"/>
                <w:sz w:val="18"/>
                <w:szCs w:val="18"/>
              </w:rPr>
              <w:t xml:space="preserve"> </w:t>
            </w:r>
            <w:r w:rsidRPr="00A644B1">
              <w:rPr>
                <w:spacing w:val="15"/>
                <w:sz w:val="18"/>
                <w:szCs w:val="18"/>
              </w:rPr>
              <w:t>(i)</w:t>
            </w:r>
          </w:p>
        </w:tc>
        <w:tc>
          <w:tcPr>
            <w:tcW w:w="5096" w:type="dxa"/>
            <w:tcBorders>
              <w:top w:val="single" w:sz="4" w:space="0" w:color="auto"/>
              <w:left w:val="single" w:sz="4" w:space="0" w:color="auto"/>
              <w:bottom w:val="single" w:sz="4" w:space="0" w:color="auto"/>
              <w:right w:val="single" w:sz="4" w:space="0" w:color="auto"/>
            </w:tcBorders>
          </w:tcPr>
          <w:p w14:paraId="1C2E9862" w14:textId="77777777" w:rsidR="00613F89" w:rsidRPr="00A644B1" w:rsidRDefault="00613F89" w:rsidP="00A644B1">
            <w:pPr>
              <w:pStyle w:val="Normal-pool"/>
              <w:spacing w:before="40" w:after="40"/>
              <w:rPr>
                <w:sz w:val="18"/>
                <w:szCs w:val="18"/>
                <w:lang w:val="en-US"/>
              </w:rPr>
            </w:pPr>
            <w:r w:rsidRPr="00A644B1">
              <w:rPr>
                <w:sz w:val="18"/>
                <w:szCs w:val="18"/>
              </w:rPr>
              <w:t>Update on matters related to the Global Environment Facility Trust Fund</w:t>
            </w:r>
          </w:p>
        </w:tc>
      </w:tr>
      <w:tr w:rsidR="00613F89" w:rsidRPr="00A644B1" w14:paraId="76C003FE" w14:textId="77777777" w:rsidTr="00B70F4A">
        <w:tc>
          <w:tcPr>
            <w:tcW w:w="2836" w:type="dxa"/>
            <w:tcBorders>
              <w:top w:val="single" w:sz="4" w:space="0" w:color="auto"/>
              <w:left w:val="single" w:sz="4" w:space="0" w:color="auto"/>
              <w:bottom w:val="single" w:sz="4" w:space="0" w:color="auto"/>
              <w:right w:val="single" w:sz="4" w:space="0" w:color="auto"/>
            </w:tcBorders>
          </w:tcPr>
          <w:p w14:paraId="778731A3" w14:textId="77777777" w:rsidR="00613F89" w:rsidRPr="00A644B1" w:rsidRDefault="00613F89" w:rsidP="00A644B1">
            <w:pPr>
              <w:pStyle w:val="Normal-pool"/>
              <w:spacing w:before="40" w:after="40"/>
              <w:rPr>
                <w:sz w:val="18"/>
                <w:szCs w:val="18"/>
              </w:rPr>
            </w:pPr>
            <w:r w:rsidRPr="00A644B1">
              <w:rPr>
                <w:spacing w:val="15"/>
                <w:sz w:val="18"/>
                <w:szCs w:val="18"/>
              </w:rPr>
              <w:t>UNEP/MC/COP.2/9</w:t>
            </w:r>
          </w:p>
        </w:tc>
        <w:tc>
          <w:tcPr>
            <w:tcW w:w="1304" w:type="dxa"/>
            <w:tcBorders>
              <w:top w:val="single" w:sz="4" w:space="0" w:color="auto"/>
              <w:left w:val="single" w:sz="4" w:space="0" w:color="auto"/>
              <w:bottom w:val="single" w:sz="4" w:space="0" w:color="auto"/>
              <w:right w:val="single" w:sz="4" w:space="0" w:color="auto"/>
            </w:tcBorders>
          </w:tcPr>
          <w:p w14:paraId="18882870" w14:textId="0F2E3BCD"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(e)(ii)</w:t>
            </w:r>
          </w:p>
        </w:tc>
        <w:tc>
          <w:tcPr>
            <w:tcW w:w="5096" w:type="dxa"/>
            <w:tcBorders>
              <w:top w:val="single" w:sz="4" w:space="0" w:color="auto"/>
              <w:left w:val="single" w:sz="4" w:space="0" w:color="auto"/>
              <w:bottom w:val="single" w:sz="4" w:space="0" w:color="auto"/>
              <w:right w:val="single" w:sz="4" w:space="0" w:color="auto"/>
            </w:tcBorders>
          </w:tcPr>
          <w:p w14:paraId="3A840BA8" w14:textId="77777777" w:rsidR="00613F89" w:rsidRPr="00A644B1" w:rsidRDefault="00613F89" w:rsidP="00A644B1">
            <w:pPr>
              <w:pStyle w:val="Normal-pool"/>
              <w:spacing w:before="40" w:after="40"/>
              <w:rPr>
                <w:sz w:val="18"/>
                <w:szCs w:val="18"/>
              </w:rPr>
            </w:pPr>
            <w:r w:rsidRPr="00093AD0">
              <w:rPr>
                <w:sz w:val="18"/>
                <w:szCs w:val="18"/>
              </w:rPr>
              <w:t>Overall report on the Specific International Programme to Support Capacity-building and Technical</w:t>
            </w:r>
            <w:r w:rsidRPr="00A644B1">
              <w:rPr>
                <w:sz w:val="18"/>
                <w:szCs w:val="18"/>
              </w:rPr>
              <w:t xml:space="preserve"> Assistance </w:t>
            </w:r>
          </w:p>
        </w:tc>
      </w:tr>
      <w:tr w:rsidR="00613F89" w:rsidRPr="00A644B1" w14:paraId="3167346C"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3F6630EB" w14:textId="77777777" w:rsidR="00613F89" w:rsidRPr="00A644B1" w:rsidRDefault="00613F89" w:rsidP="00A644B1">
            <w:pPr>
              <w:pStyle w:val="Normal-pool"/>
              <w:spacing w:before="40" w:after="40"/>
              <w:rPr>
                <w:sz w:val="18"/>
                <w:szCs w:val="18"/>
              </w:rPr>
            </w:pPr>
            <w:r w:rsidRPr="00A644B1">
              <w:rPr>
                <w:spacing w:val="15"/>
                <w:sz w:val="18"/>
                <w:szCs w:val="18"/>
              </w:rPr>
              <w:t>UNEP/MC/COP.2/10</w:t>
            </w:r>
          </w:p>
        </w:tc>
        <w:tc>
          <w:tcPr>
            <w:tcW w:w="1304" w:type="dxa"/>
            <w:tcBorders>
              <w:top w:val="single" w:sz="4" w:space="0" w:color="auto"/>
              <w:left w:val="single" w:sz="4" w:space="0" w:color="auto"/>
              <w:bottom w:val="single" w:sz="4" w:space="0" w:color="auto"/>
              <w:right w:val="single" w:sz="4" w:space="0" w:color="auto"/>
            </w:tcBorders>
          </w:tcPr>
          <w:p w14:paraId="4E6F74C5" w14:textId="108D1368"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(f)</w:t>
            </w:r>
          </w:p>
        </w:tc>
        <w:tc>
          <w:tcPr>
            <w:tcW w:w="5096" w:type="dxa"/>
            <w:tcBorders>
              <w:top w:val="single" w:sz="4" w:space="0" w:color="auto"/>
              <w:left w:val="single" w:sz="4" w:space="0" w:color="auto"/>
              <w:bottom w:val="single" w:sz="4" w:space="0" w:color="auto"/>
              <w:right w:val="single" w:sz="4" w:space="0" w:color="auto"/>
            </w:tcBorders>
          </w:tcPr>
          <w:p w14:paraId="24DF9BC2" w14:textId="77777777" w:rsidR="00613F89" w:rsidRPr="00A644B1" w:rsidRDefault="00613F89" w:rsidP="00A644B1">
            <w:pPr>
              <w:pStyle w:val="Normal-pool"/>
              <w:spacing w:before="40" w:after="40"/>
              <w:rPr>
                <w:sz w:val="18"/>
                <w:szCs w:val="18"/>
                <w:lang w:val="en-US"/>
              </w:rPr>
            </w:pPr>
            <w:r w:rsidRPr="00A644B1">
              <w:rPr>
                <w:sz w:val="18"/>
                <w:szCs w:val="18"/>
              </w:rPr>
              <w:t>Submissions and reports received in relation to alternative technologies and technology transfer as referred to in paragraph 4 of article 14</w:t>
            </w:r>
          </w:p>
        </w:tc>
      </w:tr>
      <w:tr w:rsidR="00613F89" w:rsidRPr="00A644B1" w14:paraId="474BECE1"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5F52EFFE" w14:textId="77777777" w:rsidR="00613F89" w:rsidRPr="00A644B1" w:rsidRDefault="00613F89" w:rsidP="00A644B1">
            <w:pPr>
              <w:pStyle w:val="Normal-pool"/>
              <w:spacing w:before="40" w:after="40"/>
              <w:rPr>
                <w:sz w:val="18"/>
                <w:szCs w:val="18"/>
              </w:rPr>
            </w:pPr>
            <w:r w:rsidRPr="00A644B1">
              <w:rPr>
                <w:spacing w:val="15"/>
                <w:sz w:val="18"/>
                <w:szCs w:val="18"/>
              </w:rPr>
              <w:t>UNEP/MC/COP.2/11</w:t>
            </w:r>
          </w:p>
        </w:tc>
        <w:tc>
          <w:tcPr>
            <w:tcW w:w="1304" w:type="dxa"/>
            <w:tcBorders>
              <w:top w:val="single" w:sz="4" w:space="0" w:color="auto"/>
              <w:left w:val="single" w:sz="4" w:space="0" w:color="auto"/>
              <w:bottom w:val="single" w:sz="4" w:space="0" w:color="auto"/>
              <w:right w:val="single" w:sz="4" w:space="0" w:color="auto"/>
            </w:tcBorders>
          </w:tcPr>
          <w:p w14:paraId="0BCDDE89" w14:textId="7BB8D1BB"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(g)</w:t>
            </w:r>
          </w:p>
        </w:tc>
        <w:tc>
          <w:tcPr>
            <w:tcW w:w="5096" w:type="dxa"/>
            <w:tcBorders>
              <w:top w:val="single" w:sz="4" w:space="0" w:color="auto"/>
              <w:left w:val="single" w:sz="4" w:space="0" w:color="auto"/>
              <w:bottom w:val="single" w:sz="4" w:space="0" w:color="auto"/>
              <w:right w:val="single" w:sz="4" w:space="0" w:color="auto"/>
            </w:tcBorders>
          </w:tcPr>
          <w:p w14:paraId="73DED986" w14:textId="77777777" w:rsidR="00613F89" w:rsidRPr="00A644B1" w:rsidRDefault="00613F89" w:rsidP="00A644B1">
            <w:pPr>
              <w:pStyle w:val="Normal-pool"/>
              <w:spacing w:before="40" w:after="40"/>
              <w:rPr>
                <w:sz w:val="18"/>
                <w:szCs w:val="18"/>
                <w:lang w:val="en-US"/>
              </w:rPr>
            </w:pPr>
            <w:r w:rsidRPr="00A644B1">
              <w:rPr>
                <w:sz w:val="18"/>
                <w:szCs w:val="18"/>
              </w:rPr>
              <w:t>Report on the work of the Implementation and Compliance Committee of the Minamata Convention on Mercury</w:t>
            </w:r>
          </w:p>
        </w:tc>
      </w:tr>
      <w:tr w:rsidR="00613F89" w:rsidRPr="00A644B1" w14:paraId="4A16252B"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46CB4FAD" w14:textId="77777777" w:rsidR="00613F89" w:rsidRPr="00A644B1" w:rsidRDefault="00613F89" w:rsidP="00A644B1">
            <w:pPr>
              <w:pStyle w:val="Normal-pool"/>
              <w:spacing w:before="40" w:after="40"/>
              <w:rPr>
                <w:sz w:val="18"/>
                <w:szCs w:val="18"/>
              </w:rPr>
            </w:pPr>
            <w:r w:rsidRPr="00E9762F">
              <w:rPr>
                <w:spacing w:val="15"/>
                <w:sz w:val="18"/>
                <w:szCs w:val="18"/>
              </w:rPr>
              <w:t>UNEP/MC/COP.2/12</w:t>
            </w:r>
          </w:p>
        </w:tc>
        <w:tc>
          <w:tcPr>
            <w:tcW w:w="1304" w:type="dxa"/>
            <w:tcBorders>
              <w:top w:val="single" w:sz="4" w:space="0" w:color="auto"/>
              <w:left w:val="single" w:sz="4" w:space="0" w:color="auto"/>
              <w:bottom w:val="single" w:sz="4" w:space="0" w:color="auto"/>
              <w:right w:val="single" w:sz="4" w:space="0" w:color="auto"/>
            </w:tcBorders>
          </w:tcPr>
          <w:p w14:paraId="00BC74D2" w14:textId="7C52DDDA"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(h)</w:t>
            </w:r>
          </w:p>
        </w:tc>
        <w:tc>
          <w:tcPr>
            <w:tcW w:w="5096" w:type="dxa"/>
            <w:tcBorders>
              <w:top w:val="single" w:sz="4" w:space="0" w:color="auto"/>
              <w:left w:val="single" w:sz="4" w:space="0" w:color="auto"/>
              <w:bottom w:val="single" w:sz="4" w:space="0" w:color="auto"/>
              <w:right w:val="single" w:sz="4" w:space="0" w:color="auto"/>
            </w:tcBorders>
          </w:tcPr>
          <w:p w14:paraId="58DA4F04" w14:textId="77777777" w:rsidR="00613F89" w:rsidRPr="00A644B1" w:rsidRDefault="00613F89" w:rsidP="00A644B1">
            <w:pPr>
              <w:pStyle w:val="Normal-pool"/>
              <w:spacing w:before="40" w:after="40"/>
              <w:rPr>
                <w:sz w:val="18"/>
                <w:szCs w:val="18"/>
                <w:lang w:val="en-US"/>
              </w:rPr>
            </w:pPr>
            <w:r w:rsidRPr="00A644B1">
              <w:rPr>
                <w:sz w:val="18"/>
                <w:szCs w:val="18"/>
              </w:rPr>
              <w:t>Cooperation with the World Health Organization and the International Labour Organization</w:t>
            </w:r>
          </w:p>
        </w:tc>
      </w:tr>
      <w:tr w:rsidR="00613F89" w:rsidRPr="00A644B1" w14:paraId="11E10F92"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4E9CCA52" w14:textId="3C375CC3" w:rsidR="00613F89" w:rsidRPr="00A644B1" w:rsidRDefault="00613F89" w:rsidP="00A644B1">
            <w:pPr>
              <w:pStyle w:val="Normal-pool"/>
              <w:spacing w:before="40" w:after="40"/>
              <w:rPr>
                <w:sz w:val="18"/>
                <w:szCs w:val="18"/>
              </w:rPr>
            </w:pPr>
            <w:r w:rsidRPr="00A644B1">
              <w:rPr>
                <w:spacing w:val="15"/>
                <w:sz w:val="18"/>
                <w:szCs w:val="18"/>
              </w:rPr>
              <w:t>UNEP/MC/COP.2/13</w:t>
            </w:r>
            <w:r w:rsidR="00857396">
              <w:rPr>
                <w:spacing w:val="15"/>
                <w:sz w:val="18"/>
                <w:szCs w:val="18"/>
              </w:rPr>
              <w:t>*</w:t>
            </w:r>
          </w:p>
        </w:tc>
        <w:tc>
          <w:tcPr>
            <w:tcW w:w="1304" w:type="dxa"/>
            <w:tcBorders>
              <w:top w:val="single" w:sz="4" w:space="0" w:color="auto"/>
              <w:left w:val="single" w:sz="4" w:space="0" w:color="auto"/>
              <w:bottom w:val="single" w:sz="4" w:space="0" w:color="auto"/>
              <w:right w:val="single" w:sz="4" w:space="0" w:color="auto"/>
            </w:tcBorders>
          </w:tcPr>
          <w:p w14:paraId="700A949C" w14:textId="1215FC31"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(i)</w:t>
            </w:r>
          </w:p>
        </w:tc>
        <w:tc>
          <w:tcPr>
            <w:tcW w:w="5096" w:type="dxa"/>
            <w:tcBorders>
              <w:top w:val="single" w:sz="4" w:space="0" w:color="auto"/>
              <w:left w:val="single" w:sz="4" w:space="0" w:color="auto"/>
              <w:bottom w:val="single" w:sz="4" w:space="0" w:color="auto"/>
              <w:right w:val="single" w:sz="4" w:space="0" w:color="auto"/>
            </w:tcBorders>
          </w:tcPr>
          <w:p w14:paraId="60F4294B" w14:textId="77777777" w:rsidR="00613F89" w:rsidRPr="00A644B1" w:rsidRDefault="00613F89" w:rsidP="00A644B1">
            <w:pPr>
              <w:pStyle w:val="Normal-pool"/>
              <w:spacing w:before="40" w:after="40"/>
              <w:rPr>
                <w:sz w:val="18"/>
                <w:szCs w:val="18"/>
                <w:lang w:val="en-US"/>
              </w:rPr>
            </w:pPr>
            <w:r w:rsidRPr="00A644B1">
              <w:rPr>
                <w:sz w:val="18"/>
                <w:szCs w:val="18"/>
              </w:rPr>
              <w:t>Report on the outline, plan and elements of the effectiveness evaluation framework</w:t>
            </w:r>
          </w:p>
        </w:tc>
      </w:tr>
      <w:tr w:rsidR="00613F89" w:rsidRPr="00A644B1" w14:paraId="1789C9AE"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021F080B" w14:textId="77777777" w:rsidR="00613F89" w:rsidRPr="00A644B1" w:rsidRDefault="00613F89" w:rsidP="00A644B1">
            <w:pPr>
              <w:pStyle w:val="Normal-pool"/>
              <w:spacing w:before="40" w:after="40"/>
              <w:rPr>
                <w:sz w:val="18"/>
                <w:szCs w:val="18"/>
              </w:rPr>
            </w:pPr>
            <w:r w:rsidRPr="00A644B1">
              <w:rPr>
                <w:spacing w:val="15"/>
                <w:sz w:val="18"/>
                <w:szCs w:val="18"/>
              </w:rPr>
              <w:t>UNEP/MC/COP.2/14</w:t>
            </w:r>
          </w:p>
        </w:tc>
        <w:tc>
          <w:tcPr>
            <w:tcW w:w="1304" w:type="dxa"/>
            <w:tcBorders>
              <w:top w:val="single" w:sz="4" w:space="0" w:color="auto"/>
              <w:left w:val="single" w:sz="4" w:space="0" w:color="auto"/>
              <w:bottom w:val="single" w:sz="4" w:space="0" w:color="auto"/>
              <w:right w:val="single" w:sz="4" w:space="0" w:color="auto"/>
            </w:tcBorders>
          </w:tcPr>
          <w:p w14:paraId="7B8443B7" w14:textId="7078B159"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(j)</w:t>
            </w:r>
          </w:p>
        </w:tc>
        <w:tc>
          <w:tcPr>
            <w:tcW w:w="5096" w:type="dxa"/>
            <w:tcBorders>
              <w:top w:val="single" w:sz="4" w:space="0" w:color="auto"/>
              <w:left w:val="single" w:sz="4" w:space="0" w:color="auto"/>
              <w:bottom w:val="single" w:sz="4" w:space="0" w:color="auto"/>
              <w:right w:val="single" w:sz="4" w:space="0" w:color="auto"/>
            </w:tcBorders>
          </w:tcPr>
          <w:p w14:paraId="1C26CCC1" w14:textId="77777777" w:rsidR="00613F89" w:rsidRPr="00A644B1" w:rsidRDefault="00613F89" w:rsidP="00A644B1">
            <w:pPr>
              <w:pStyle w:val="Normal-pool"/>
              <w:spacing w:before="40" w:after="40"/>
              <w:rPr>
                <w:sz w:val="18"/>
                <w:szCs w:val="18"/>
                <w:lang w:val="en-US"/>
              </w:rPr>
            </w:pPr>
            <w:r w:rsidRPr="00A644B1">
              <w:rPr>
                <w:sz w:val="18"/>
                <w:szCs w:val="18"/>
              </w:rPr>
              <w:t>Financial rules for the Conference of the Parties to the Minamata Convention on Mercury, its subsidiary bodies and the secretariat of the Convention</w:t>
            </w:r>
          </w:p>
        </w:tc>
      </w:tr>
      <w:tr w:rsidR="00613F89" w:rsidRPr="00A644B1" w14:paraId="06BE5F5A" w14:textId="77777777" w:rsidTr="00B70F4A">
        <w:tc>
          <w:tcPr>
            <w:tcW w:w="2836" w:type="dxa"/>
            <w:tcBorders>
              <w:top w:val="single" w:sz="4" w:space="0" w:color="auto"/>
              <w:left w:val="single" w:sz="4" w:space="0" w:color="auto"/>
              <w:bottom w:val="single" w:sz="4" w:space="0" w:color="auto"/>
              <w:right w:val="single" w:sz="4" w:space="0" w:color="auto"/>
            </w:tcBorders>
          </w:tcPr>
          <w:p w14:paraId="1C0AC937" w14:textId="77777777" w:rsidR="00613F89" w:rsidRPr="00A644B1" w:rsidRDefault="00613F89" w:rsidP="00A644B1">
            <w:pPr>
              <w:pStyle w:val="Normal-pool"/>
              <w:spacing w:before="40" w:after="40"/>
              <w:rPr>
                <w:spacing w:val="15"/>
                <w:sz w:val="18"/>
                <w:szCs w:val="18"/>
              </w:rPr>
            </w:pPr>
            <w:r w:rsidRPr="00A644B1">
              <w:rPr>
                <w:spacing w:val="15"/>
                <w:sz w:val="18"/>
                <w:szCs w:val="18"/>
              </w:rPr>
              <w:t>UNEP/MC/COP.2/15/Rev.1</w:t>
            </w:r>
          </w:p>
        </w:tc>
        <w:tc>
          <w:tcPr>
            <w:tcW w:w="1304" w:type="dxa"/>
            <w:tcBorders>
              <w:top w:val="single" w:sz="4" w:space="0" w:color="auto"/>
              <w:left w:val="single" w:sz="4" w:space="0" w:color="auto"/>
              <w:bottom w:val="single" w:sz="4" w:space="0" w:color="auto"/>
              <w:right w:val="single" w:sz="4" w:space="0" w:color="auto"/>
            </w:tcBorders>
          </w:tcPr>
          <w:p w14:paraId="64D614E0" w14:textId="6138A375"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(k)</w:t>
            </w:r>
          </w:p>
        </w:tc>
        <w:tc>
          <w:tcPr>
            <w:tcW w:w="5096" w:type="dxa"/>
            <w:tcBorders>
              <w:top w:val="single" w:sz="4" w:space="0" w:color="auto"/>
              <w:left w:val="single" w:sz="4" w:space="0" w:color="auto"/>
              <w:bottom w:val="single" w:sz="4" w:space="0" w:color="auto"/>
              <w:right w:val="single" w:sz="4" w:space="0" w:color="auto"/>
            </w:tcBorders>
          </w:tcPr>
          <w:p w14:paraId="03EBC3AC" w14:textId="77777777" w:rsidR="00613F89" w:rsidRPr="00A644B1" w:rsidRDefault="00613F89" w:rsidP="00A644B1">
            <w:pPr>
              <w:pStyle w:val="Normal-pool"/>
              <w:spacing w:before="40" w:after="40"/>
              <w:rPr>
                <w:sz w:val="18"/>
                <w:szCs w:val="18"/>
              </w:rPr>
            </w:pPr>
            <w:r w:rsidRPr="00A644B1">
              <w:rPr>
                <w:sz w:val="18"/>
                <w:szCs w:val="18"/>
              </w:rPr>
              <w:t>Review of the organizational arrangements of the secretariat</w:t>
            </w:r>
          </w:p>
        </w:tc>
      </w:tr>
      <w:tr w:rsidR="00613F89" w:rsidRPr="00A644B1" w14:paraId="56A8E861"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505CA635" w14:textId="77777777" w:rsidR="00613F89" w:rsidRPr="00A644B1" w:rsidRDefault="00613F89" w:rsidP="00A644B1">
            <w:pPr>
              <w:pStyle w:val="Normal-pool"/>
              <w:spacing w:before="40" w:after="40"/>
              <w:rPr>
                <w:sz w:val="18"/>
                <w:szCs w:val="18"/>
              </w:rPr>
            </w:pPr>
            <w:r w:rsidRPr="00A644B1">
              <w:rPr>
                <w:spacing w:val="15"/>
                <w:sz w:val="18"/>
                <w:szCs w:val="18"/>
              </w:rPr>
              <w:t>UNEP/MC/COP.2/15/Add.1</w:t>
            </w:r>
          </w:p>
        </w:tc>
        <w:tc>
          <w:tcPr>
            <w:tcW w:w="1304" w:type="dxa"/>
            <w:tcBorders>
              <w:top w:val="single" w:sz="4" w:space="0" w:color="auto"/>
              <w:left w:val="single" w:sz="4" w:space="0" w:color="auto"/>
              <w:bottom w:val="single" w:sz="4" w:space="0" w:color="auto"/>
              <w:right w:val="single" w:sz="4" w:space="0" w:color="auto"/>
            </w:tcBorders>
          </w:tcPr>
          <w:p w14:paraId="0D612708" w14:textId="54E3B092"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(k)</w:t>
            </w:r>
          </w:p>
        </w:tc>
        <w:tc>
          <w:tcPr>
            <w:tcW w:w="5096" w:type="dxa"/>
            <w:tcBorders>
              <w:top w:val="single" w:sz="4" w:space="0" w:color="auto"/>
              <w:left w:val="single" w:sz="4" w:space="0" w:color="auto"/>
              <w:bottom w:val="single" w:sz="4" w:space="0" w:color="auto"/>
              <w:right w:val="single" w:sz="4" w:space="0" w:color="auto"/>
            </w:tcBorders>
          </w:tcPr>
          <w:p w14:paraId="63232756" w14:textId="15597B7D" w:rsidR="00613F89" w:rsidRPr="00A644B1" w:rsidRDefault="00613F89" w:rsidP="00A644B1">
            <w:pPr>
              <w:pStyle w:val="Normal-pool"/>
              <w:spacing w:before="40" w:after="40"/>
              <w:rPr>
                <w:sz w:val="18"/>
                <w:szCs w:val="18"/>
              </w:rPr>
            </w:pPr>
            <w:r w:rsidRPr="00A644B1">
              <w:rPr>
                <w:sz w:val="18"/>
                <w:szCs w:val="18"/>
              </w:rPr>
              <w:t>Review of the organizational arrangements of the secretariat</w:t>
            </w:r>
            <w:r w:rsidR="00B32E33">
              <w:rPr>
                <w:sz w:val="18"/>
                <w:szCs w:val="18"/>
                <w:lang w:val="en-US"/>
              </w:rPr>
              <w:t>: addendum</w:t>
            </w:r>
            <w:r w:rsidRPr="00A644B1">
              <w:rPr>
                <w:sz w:val="18"/>
                <w:szCs w:val="18"/>
              </w:rPr>
              <w:t xml:space="preserve"> </w:t>
            </w:r>
          </w:p>
        </w:tc>
      </w:tr>
      <w:tr w:rsidR="00613F89" w:rsidRPr="00A644B1" w14:paraId="753D9851"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28E7BEC9" w14:textId="77777777" w:rsidR="00613F89" w:rsidRPr="00A644B1" w:rsidRDefault="00613F89" w:rsidP="00A644B1">
            <w:pPr>
              <w:pStyle w:val="Normal-pool"/>
              <w:spacing w:before="40" w:after="40"/>
              <w:rPr>
                <w:sz w:val="18"/>
                <w:szCs w:val="18"/>
              </w:rPr>
            </w:pPr>
            <w:r w:rsidRPr="00A644B1">
              <w:rPr>
                <w:spacing w:val="15"/>
                <w:sz w:val="18"/>
                <w:szCs w:val="18"/>
              </w:rPr>
              <w:t>UNEP/MC/COP.2/16</w:t>
            </w:r>
          </w:p>
        </w:tc>
        <w:tc>
          <w:tcPr>
            <w:tcW w:w="1304" w:type="dxa"/>
            <w:tcBorders>
              <w:top w:val="single" w:sz="4" w:space="0" w:color="auto"/>
              <w:left w:val="single" w:sz="4" w:space="0" w:color="auto"/>
              <w:bottom w:val="single" w:sz="4" w:space="0" w:color="auto"/>
              <w:right w:val="single" w:sz="4" w:space="0" w:color="auto"/>
            </w:tcBorders>
          </w:tcPr>
          <w:p w14:paraId="5D8EEDEC" w14:textId="3DF9AE8D" w:rsidR="00613F89" w:rsidRPr="00A644B1" w:rsidRDefault="00613F89" w:rsidP="00A644B1">
            <w:pPr>
              <w:pStyle w:val="Normal-pool"/>
              <w:spacing w:before="40" w:after="40"/>
              <w:rPr>
                <w:spacing w:val="15"/>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(l)</w:t>
            </w:r>
          </w:p>
        </w:tc>
        <w:tc>
          <w:tcPr>
            <w:tcW w:w="5096" w:type="dxa"/>
            <w:tcBorders>
              <w:top w:val="single" w:sz="4" w:space="0" w:color="auto"/>
              <w:left w:val="single" w:sz="4" w:space="0" w:color="auto"/>
              <w:bottom w:val="single" w:sz="4" w:space="0" w:color="auto"/>
              <w:right w:val="single" w:sz="4" w:space="0" w:color="auto"/>
            </w:tcBorders>
          </w:tcPr>
          <w:p w14:paraId="4F4A6CD2" w14:textId="77777777" w:rsidR="00613F89" w:rsidRPr="00A644B1" w:rsidRDefault="00613F89" w:rsidP="00A644B1">
            <w:pPr>
              <w:pStyle w:val="Normal-pool"/>
              <w:spacing w:before="40" w:after="40"/>
              <w:rPr>
                <w:sz w:val="18"/>
                <w:szCs w:val="18"/>
              </w:rPr>
            </w:pPr>
            <w:r w:rsidRPr="00A644B1">
              <w:rPr>
                <w:sz w:val="18"/>
                <w:szCs w:val="18"/>
              </w:rPr>
              <w:t>Information in relation to emissions of mercury resulting from the open burning of waste</w:t>
            </w:r>
          </w:p>
        </w:tc>
      </w:tr>
      <w:tr w:rsidR="00613F89" w:rsidRPr="00A644B1" w14:paraId="6A63DC9A"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57094812" w14:textId="77777777" w:rsidR="00613F89" w:rsidRPr="00A644B1" w:rsidRDefault="00613F89" w:rsidP="00A644B1">
            <w:pPr>
              <w:pStyle w:val="Normal-pool"/>
              <w:spacing w:before="40" w:after="40"/>
              <w:rPr>
                <w:sz w:val="18"/>
                <w:szCs w:val="18"/>
              </w:rPr>
            </w:pPr>
            <w:r w:rsidRPr="00A644B1">
              <w:rPr>
                <w:spacing w:val="15"/>
                <w:sz w:val="18"/>
                <w:szCs w:val="18"/>
              </w:rPr>
              <w:t>UNEP/MC/COP.2/17</w:t>
            </w:r>
          </w:p>
        </w:tc>
        <w:tc>
          <w:tcPr>
            <w:tcW w:w="1304" w:type="dxa"/>
            <w:tcBorders>
              <w:top w:val="single" w:sz="4" w:space="0" w:color="auto"/>
              <w:left w:val="single" w:sz="4" w:space="0" w:color="auto"/>
              <w:bottom w:val="single" w:sz="4" w:space="0" w:color="auto"/>
              <w:right w:val="single" w:sz="4" w:space="0" w:color="auto"/>
            </w:tcBorders>
          </w:tcPr>
          <w:p w14:paraId="1A1EC311" w14:textId="2EAA2513" w:rsidR="00613F89" w:rsidRPr="00A644B1" w:rsidRDefault="00613F89" w:rsidP="00A644B1">
            <w:pPr>
              <w:pStyle w:val="Normal-pool"/>
              <w:spacing w:before="40" w:after="40"/>
              <w:rPr>
                <w:sz w:val="18"/>
                <w:szCs w:val="18"/>
              </w:rPr>
            </w:pPr>
            <w:r w:rsidRPr="00A644B1">
              <w:rPr>
                <w:spacing w:val="15"/>
                <w:sz w:val="18"/>
                <w:szCs w:val="18"/>
              </w:rPr>
              <w:t>5</w:t>
            </w:r>
            <w:r w:rsidR="00391EC7">
              <w:rPr>
                <w:spacing w:val="15"/>
                <w:sz w:val="18"/>
                <w:szCs w:val="18"/>
              </w:rPr>
              <w:t xml:space="preserve"> </w:t>
            </w:r>
            <w:r w:rsidRPr="00A644B1">
              <w:rPr>
                <w:spacing w:val="15"/>
                <w:sz w:val="18"/>
                <w:szCs w:val="18"/>
              </w:rPr>
              <w:t>(k)</w:t>
            </w:r>
          </w:p>
        </w:tc>
        <w:tc>
          <w:tcPr>
            <w:tcW w:w="5096" w:type="dxa"/>
            <w:tcBorders>
              <w:top w:val="single" w:sz="4" w:space="0" w:color="auto"/>
              <w:left w:val="single" w:sz="4" w:space="0" w:color="auto"/>
              <w:bottom w:val="single" w:sz="4" w:space="0" w:color="auto"/>
              <w:right w:val="single" w:sz="4" w:space="0" w:color="auto"/>
            </w:tcBorders>
          </w:tcPr>
          <w:p w14:paraId="292E2590" w14:textId="77777777" w:rsidR="00613F89" w:rsidRPr="00A644B1" w:rsidRDefault="00613F89" w:rsidP="00A644B1">
            <w:pPr>
              <w:pStyle w:val="Normal-pool"/>
              <w:spacing w:before="40" w:after="40"/>
              <w:rPr>
                <w:sz w:val="18"/>
                <w:szCs w:val="18"/>
                <w:lang w:val="en-US"/>
              </w:rPr>
            </w:pPr>
            <w:r w:rsidRPr="00A644B1">
              <w:rPr>
                <w:sz w:val="18"/>
                <w:szCs w:val="18"/>
              </w:rPr>
              <w:t>Progress report on the main activities of the secretariat in the intersessional period</w:t>
            </w:r>
          </w:p>
        </w:tc>
      </w:tr>
      <w:tr w:rsidR="00613F89" w:rsidRPr="00A644B1" w14:paraId="69A993FD"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1412F13D" w14:textId="77777777" w:rsidR="00613F89" w:rsidRPr="00A644B1" w:rsidRDefault="00613F89" w:rsidP="00A644B1">
            <w:pPr>
              <w:pStyle w:val="Normal-pool"/>
              <w:spacing w:before="40" w:after="40"/>
              <w:rPr>
                <w:sz w:val="18"/>
                <w:szCs w:val="18"/>
              </w:rPr>
            </w:pPr>
            <w:r w:rsidRPr="00A644B1">
              <w:rPr>
                <w:spacing w:val="15"/>
                <w:sz w:val="18"/>
                <w:szCs w:val="18"/>
              </w:rPr>
              <w:t>UNEP/MC/COP.2/18</w:t>
            </w:r>
          </w:p>
        </w:tc>
        <w:tc>
          <w:tcPr>
            <w:tcW w:w="1304" w:type="dxa"/>
            <w:tcBorders>
              <w:top w:val="single" w:sz="4" w:space="0" w:color="auto"/>
              <w:left w:val="single" w:sz="4" w:space="0" w:color="auto"/>
              <w:bottom w:val="single" w:sz="4" w:space="0" w:color="auto"/>
              <w:right w:val="single" w:sz="4" w:space="0" w:color="auto"/>
            </w:tcBorders>
          </w:tcPr>
          <w:p w14:paraId="35BD7D37" w14:textId="77777777" w:rsidR="00613F89" w:rsidRPr="00A644B1" w:rsidRDefault="00613F89" w:rsidP="00A644B1">
            <w:pPr>
              <w:pStyle w:val="Normal-pool"/>
              <w:spacing w:before="40" w:after="40"/>
              <w:rPr>
                <w:sz w:val="18"/>
                <w:szCs w:val="18"/>
              </w:rPr>
            </w:pPr>
            <w:r w:rsidRPr="00A644B1">
              <w:rPr>
                <w:sz w:val="18"/>
                <w:szCs w:val="18"/>
              </w:rPr>
              <w:t>6</w:t>
            </w:r>
          </w:p>
        </w:tc>
        <w:tc>
          <w:tcPr>
            <w:tcW w:w="5096" w:type="dxa"/>
            <w:tcBorders>
              <w:top w:val="single" w:sz="4" w:space="0" w:color="auto"/>
              <w:left w:val="single" w:sz="4" w:space="0" w:color="auto"/>
              <w:bottom w:val="single" w:sz="4" w:space="0" w:color="auto"/>
              <w:right w:val="single" w:sz="4" w:space="0" w:color="auto"/>
            </w:tcBorders>
          </w:tcPr>
          <w:p w14:paraId="41796878" w14:textId="77777777" w:rsidR="00613F89" w:rsidRPr="00A644B1" w:rsidRDefault="00613F89" w:rsidP="00A644B1">
            <w:pPr>
              <w:pStyle w:val="Normal-pool"/>
              <w:spacing w:before="40" w:after="40"/>
              <w:rPr>
                <w:sz w:val="18"/>
                <w:szCs w:val="18"/>
                <w:lang w:val="en-US"/>
              </w:rPr>
            </w:pPr>
            <w:r w:rsidRPr="00A644B1">
              <w:rPr>
                <w:sz w:val="18"/>
                <w:szCs w:val="18"/>
                <w:lang w:val="en-US"/>
              </w:rPr>
              <w:t>Update on the programme of work and budget for the biennium 2018–2019</w:t>
            </w:r>
          </w:p>
        </w:tc>
      </w:tr>
    </w:tbl>
    <w:p w14:paraId="299F4D4B" w14:textId="77777777" w:rsidR="00613F89" w:rsidRDefault="00613F89" w:rsidP="00613F89">
      <w:pPr>
        <w:pStyle w:val="Normal-pool"/>
      </w:pPr>
    </w:p>
    <w:p w14:paraId="2C5B7ED4" w14:textId="038689A1" w:rsidR="00613F89" w:rsidRDefault="00613F89" w:rsidP="00E9762F">
      <w:pPr>
        <w:pStyle w:val="Titletable"/>
        <w:tabs>
          <w:tab w:val="clear" w:pos="1814"/>
          <w:tab w:val="clear" w:pos="2381"/>
          <w:tab w:val="clear" w:pos="2948"/>
          <w:tab w:val="clear" w:pos="3515"/>
          <w:tab w:val="clear" w:pos="4082"/>
          <w:tab w:val="left" w:pos="8145"/>
        </w:tabs>
        <w:spacing w:before="240" w:after="120"/>
        <w:ind w:left="720"/>
        <w:rPr>
          <w:rFonts w:asciiTheme="majorBidi" w:hAnsiTheme="majorBidi" w:cstheme="majorBidi"/>
          <w:lang w:val="en-US"/>
        </w:rPr>
      </w:pPr>
      <w:r w:rsidRPr="006711CF">
        <w:rPr>
          <w:rFonts w:asciiTheme="majorBidi" w:hAnsiTheme="majorBidi" w:cstheme="majorBidi"/>
          <w:b w:val="0"/>
          <w:bCs w:val="0"/>
          <w:lang w:val="en-US"/>
        </w:rPr>
        <w:lastRenderedPageBreak/>
        <w:t>Table 2</w:t>
      </w:r>
      <w:r w:rsidR="004622E3" w:rsidRPr="006711CF">
        <w:rPr>
          <w:rFonts w:asciiTheme="majorBidi" w:hAnsiTheme="majorBidi" w:cstheme="majorBidi"/>
          <w:b w:val="0"/>
          <w:bCs w:val="0"/>
          <w:lang w:val="en-US"/>
        </w:rPr>
        <w:t xml:space="preserve"> </w:t>
      </w:r>
      <w:r w:rsidR="00E9762F">
        <w:rPr>
          <w:rFonts w:asciiTheme="majorBidi" w:hAnsiTheme="majorBidi" w:cstheme="majorBidi"/>
          <w:b w:val="0"/>
          <w:bCs w:val="0"/>
          <w:lang w:val="en-US"/>
        </w:rPr>
        <w:tab/>
      </w:r>
      <w:r w:rsidR="004622E3" w:rsidRPr="006711CF">
        <w:rPr>
          <w:rFonts w:asciiTheme="majorBidi" w:hAnsiTheme="majorBidi" w:cstheme="majorBidi"/>
          <w:b w:val="0"/>
          <w:bCs w:val="0"/>
          <w:lang w:val="en-US"/>
        </w:rPr>
        <w:br/>
      </w:r>
      <w:r>
        <w:rPr>
          <w:rFonts w:asciiTheme="majorBidi" w:hAnsiTheme="majorBidi" w:cstheme="majorBidi"/>
          <w:lang w:val="en-US"/>
        </w:rPr>
        <w:t>Information documents for the</w:t>
      </w:r>
      <w:r w:rsidRPr="003A105C">
        <w:rPr>
          <w:rFonts w:asciiTheme="majorBidi" w:hAnsiTheme="majorBidi" w:cstheme="majorBidi"/>
          <w:lang w:val="en-US"/>
        </w:rPr>
        <w:t xml:space="preserve"> </w:t>
      </w:r>
      <w:r>
        <w:rPr>
          <w:rFonts w:asciiTheme="majorBidi" w:hAnsiTheme="majorBidi" w:cstheme="majorBidi"/>
          <w:lang w:val="en-US"/>
        </w:rPr>
        <w:t>second</w:t>
      </w:r>
      <w:r w:rsidRPr="003A105C">
        <w:rPr>
          <w:rFonts w:asciiTheme="majorBidi" w:hAnsiTheme="majorBidi" w:cstheme="majorBidi"/>
          <w:lang w:val="en-US"/>
        </w:rPr>
        <w:t xml:space="preserve"> meeting of the Conference of the Parties to the Minamata Convention on Mercury</w:t>
      </w:r>
      <w:r w:rsidRPr="004B11AD">
        <w:rPr>
          <w:rFonts w:asciiTheme="majorBidi" w:hAnsiTheme="majorBidi" w:cstheme="majorBidi"/>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304"/>
        <w:gridCol w:w="5096"/>
      </w:tblGrid>
      <w:tr w:rsidR="00613F89" w:rsidRPr="004622E3" w14:paraId="2D6A54DC"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4D1D4A8E" w14:textId="77777777" w:rsidR="00613F89" w:rsidRPr="006711CF" w:rsidRDefault="00613F89" w:rsidP="006711CF">
            <w:pPr>
              <w:pStyle w:val="Normal-pool"/>
              <w:keepNext/>
              <w:keepLines/>
              <w:spacing w:before="40" w:after="40"/>
              <w:rPr>
                <w:i/>
                <w:sz w:val="18"/>
                <w:szCs w:val="18"/>
              </w:rPr>
            </w:pPr>
            <w:r w:rsidRPr="006711CF">
              <w:rPr>
                <w:i/>
                <w:sz w:val="18"/>
                <w:szCs w:val="18"/>
              </w:rPr>
              <w:t>Symbol</w:t>
            </w:r>
          </w:p>
        </w:tc>
        <w:tc>
          <w:tcPr>
            <w:tcW w:w="1304" w:type="dxa"/>
            <w:tcBorders>
              <w:top w:val="single" w:sz="4" w:space="0" w:color="auto"/>
              <w:left w:val="single" w:sz="4" w:space="0" w:color="auto"/>
              <w:bottom w:val="single" w:sz="4" w:space="0" w:color="auto"/>
              <w:right w:val="single" w:sz="4" w:space="0" w:color="auto"/>
            </w:tcBorders>
          </w:tcPr>
          <w:p w14:paraId="77C2049F" w14:textId="77777777" w:rsidR="00613F89" w:rsidRPr="006711CF" w:rsidRDefault="00613F89" w:rsidP="006711CF">
            <w:pPr>
              <w:pStyle w:val="Normal-pool"/>
              <w:keepNext/>
              <w:keepLines/>
              <w:spacing w:before="40" w:after="40"/>
              <w:rPr>
                <w:i/>
                <w:sz w:val="18"/>
                <w:szCs w:val="18"/>
              </w:rPr>
            </w:pPr>
            <w:r w:rsidRPr="006711CF">
              <w:rPr>
                <w:i/>
                <w:sz w:val="18"/>
                <w:szCs w:val="18"/>
              </w:rPr>
              <w:t>Agenda item</w:t>
            </w:r>
          </w:p>
        </w:tc>
        <w:tc>
          <w:tcPr>
            <w:tcW w:w="5096" w:type="dxa"/>
            <w:tcBorders>
              <w:top w:val="single" w:sz="4" w:space="0" w:color="auto"/>
              <w:left w:val="single" w:sz="4" w:space="0" w:color="auto"/>
              <w:bottom w:val="single" w:sz="4" w:space="0" w:color="auto"/>
              <w:right w:val="single" w:sz="4" w:space="0" w:color="auto"/>
            </w:tcBorders>
          </w:tcPr>
          <w:p w14:paraId="69383C33" w14:textId="77777777" w:rsidR="00613F89" w:rsidRPr="006711CF" w:rsidRDefault="00613F89" w:rsidP="006711CF">
            <w:pPr>
              <w:pStyle w:val="Normal-pool"/>
              <w:keepNext/>
              <w:keepLines/>
              <w:spacing w:before="40" w:after="40"/>
              <w:rPr>
                <w:i/>
                <w:sz w:val="18"/>
                <w:szCs w:val="18"/>
              </w:rPr>
            </w:pPr>
            <w:r w:rsidRPr="006711CF">
              <w:rPr>
                <w:i/>
                <w:sz w:val="18"/>
                <w:szCs w:val="18"/>
              </w:rPr>
              <w:t>Title</w:t>
            </w:r>
          </w:p>
        </w:tc>
      </w:tr>
      <w:tr w:rsidR="00613F89" w:rsidRPr="004622E3" w14:paraId="62BC9F19" w14:textId="77777777" w:rsidTr="00B70F4A">
        <w:tc>
          <w:tcPr>
            <w:tcW w:w="2836" w:type="dxa"/>
            <w:tcBorders>
              <w:top w:val="single" w:sz="4" w:space="0" w:color="auto"/>
              <w:left w:val="single" w:sz="4" w:space="0" w:color="auto"/>
              <w:bottom w:val="single" w:sz="4" w:space="0" w:color="auto"/>
              <w:right w:val="single" w:sz="4" w:space="0" w:color="auto"/>
            </w:tcBorders>
            <w:hideMark/>
          </w:tcPr>
          <w:p w14:paraId="634637B6" w14:textId="77777777" w:rsidR="00613F89" w:rsidRPr="006711CF" w:rsidRDefault="00613F89" w:rsidP="006711CF">
            <w:pPr>
              <w:pStyle w:val="Normal-pool"/>
              <w:keepNext/>
              <w:keepLines/>
              <w:spacing w:before="40" w:after="40"/>
              <w:rPr>
                <w:sz w:val="18"/>
                <w:szCs w:val="18"/>
              </w:rPr>
            </w:pPr>
            <w:r w:rsidRPr="006711CF">
              <w:rPr>
                <w:spacing w:val="15"/>
                <w:sz w:val="18"/>
                <w:szCs w:val="18"/>
              </w:rPr>
              <w:t>UNEP/MC/COP.2/INF/1</w:t>
            </w:r>
          </w:p>
        </w:tc>
        <w:tc>
          <w:tcPr>
            <w:tcW w:w="1304" w:type="dxa"/>
            <w:tcBorders>
              <w:top w:val="single" w:sz="4" w:space="0" w:color="auto"/>
              <w:left w:val="single" w:sz="4" w:space="0" w:color="auto"/>
              <w:bottom w:val="single" w:sz="4" w:space="0" w:color="auto"/>
              <w:right w:val="single" w:sz="4" w:space="0" w:color="auto"/>
            </w:tcBorders>
          </w:tcPr>
          <w:p w14:paraId="17D43F60" w14:textId="505D192D" w:rsidR="00613F89" w:rsidRPr="006711CF" w:rsidRDefault="00613F89" w:rsidP="006711CF">
            <w:pPr>
              <w:pStyle w:val="Normal-pool"/>
              <w:keepNext/>
              <w:keepLines/>
              <w:spacing w:before="40" w:after="40"/>
              <w:rPr>
                <w:sz w:val="18"/>
                <w:szCs w:val="18"/>
              </w:rPr>
            </w:pPr>
            <w:r w:rsidRPr="006711CF">
              <w:rPr>
                <w:sz w:val="18"/>
                <w:szCs w:val="18"/>
              </w:rPr>
              <w:t>2</w:t>
            </w:r>
            <w:r w:rsidR="00391EC7">
              <w:rPr>
                <w:sz w:val="18"/>
                <w:szCs w:val="18"/>
              </w:rPr>
              <w:t xml:space="preserve"> </w:t>
            </w:r>
            <w:r w:rsidRPr="006711CF">
              <w:rPr>
                <w:sz w:val="18"/>
                <w:szCs w:val="18"/>
              </w:rPr>
              <w:t>(c)</w:t>
            </w:r>
          </w:p>
        </w:tc>
        <w:tc>
          <w:tcPr>
            <w:tcW w:w="5096" w:type="dxa"/>
            <w:tcBorders>
              <w:top w:val="single" w:sz="4" w:space="0" w:color="auto"/>
              <w:left w:val="single" w:sz="4" w:space="0" w:color="auto"/>
              <w:bottom w:val="single" w:sz="4" w:space="0" w:color="auto"/>
              <w:right w:val="single" w:sz="4" w:space="0" w:color="auto"/>
            </w:tcBorders>
          </w:tcPr>
          <w:p w14:paraId="448FFBD3" w14:textId="314DDD76" w:rsidR="00613F89" w:rsidRPr="006711CF" w:rsidRDefault="000E22D7" w:rsidP="006711CF">
            <w:pPr>
              <w:pStyle w:val="Normal-pool"/>
              <w:keepNext/>
              <w:keepLines/>
              <w:spacing w:before="40" w:after="40"/>
              <w:rPr>
                <w:sz w:val="18"/>
                <w:szCs w:val="18"/>
              </w:rPr>
            </w:pPr>
            <w:r w:rsidRPr="006711CF">
              <w:rPr>
                <w:sz w:val="18"/>
                <w:szCs w:val="18"/>
              </w:rPr>
              <w:t xml:space="preserve">List of documents for the second meeting of the Conference of the Parties to the Minamata Convention on Mercury, including working documents, information documents and additional relevant </w:t>
            </w:r>
            <w:r w:rsidR="0096416A">
              <w:rPr>
                <w:sz w:val="18"/>
                <w:szCs w:val="18"/>
              </w:rPr>
              <w:t xml:space="preserve">background </w:t>
            </w:r>
            <w:r w:rsidRPr="006711CF">
              <w:rPr>
                <w:sz w:val="18"/>
                <w:szCs w:val="18"/>
              </w:rPr>
              <w:t>documents</w:t>
            </w:r>
            <w:r w:rsidRPr="006711CF" w:rsidDel="00ED7766">
              <w:rPr>
                <w:sz w:val="18"/>
                <w:szCs w:val="18"/>
              </w:rPr>
              <w:t xml:space="preserve"> </w:t>
            </w:r>
          </w:p>
        </w:tc>
      </w:tr>
      <w:tr w:rsidR="00613F89" w:rsidRPr="004622E3" w14:paraId="3C21651C" w14:textId="77777777" w:rsidTr="00B70F4A">
        <w:tc>
          <w:tcPr>
            <w:tcW w:w="2836" w:type="dxa"/>
            <w:tcBorders>
              <w:top w:val="single" w:sz="4" w:space="0" w:color="auto"/>
              <w:left w:val="single" w:sz="4" w:space="0" w:color="auto"/>
              <w:bottom w:val="single" w:sz="4" w:space="0" w:color="auto"/>
              <w:right w:val="single" w:sz="4" w:space="0" w:color="auto"/>
            </w:tcBorders>
          </w:tcPr>
          <w:p w14:paraId="79306CED" w14:textId="77777777" w:rsidR="00613F89" w:rsidRPr="006711CF" w:rsidRDefault="00613F89" w:rsidP="006711CF">
            <w:pPr>
              <w:pStyle w:val="Normal-pool"/>
              <w:keepNext/>
              <w:keepLines/>
              <w:spacing w:before="40" w:after="40"/>
              <w:rPr>
                <w:sz w:val="18"/>
                <w:szCs w:val="18"/>
              </w:rPr>
            </w:pPr>
            <w:r w:rsidRPr="006711CF">
              <w:rPr>
                <w:spacing w:val="15"/>
                <w:sz w:val="18"/>
                <w:szCs w:val="18"/>
              </w:rPr>
              <w:t>UNEP/MC/COP.2/INF/2</w:t>
            </w:r>
          </w:p>
        </w:tc>
        <w:tc>
          <w:tcPr>
            <w:tcW w:w="1304" w:type="dxa"/>
            <w:tcBorders>
              <w:top w:val="single" w:sz="4" w:space="0" w:color="auto"/>
              <w:left w:val="single" w:sz="4" w:space="0" w:color="auto"/>
              <w:bottom w:val="single" w:sz="4" w:space="0" w:color="auto"/>
              <w:right w:val="single" w:sz="4" w:space="0" w:color="auto"/>
            </w:tcBorders>
          </w:tcPr>
          <w:p w14:paraId="51CFC10C" w14:textId="77777777" w:rsidR="00613F89" w:rsidRPr="006711CF" w:rsidRDefault="00613F89" w:rsidP="006711CF">
            <w:pPr>
              <w:pStyle w:val="Normal-pool"/>
              <w:keepNext/>
              <w:keepLines/>
              <w:spacing w:before="40" w:after="40"/>
              <w:rPr>
                <w:sz w:val="18"/>
                <w:szCs w:val="18"/>
              </w:rPr>
            </w:pPr>
            <w:r w:rsidRPr="006711CF">
              <w:rPr>
                <w:sz w:val="18"/>
                <w:szCs w:val="18"/>
              </w:rPr>
              <w:t>6</w:t>
            </w:r>
          </w:p>
        </w:tc>
        <w:tc>
          <w:tcPr>
            <w:tcW w:w="5096" w:type="dxa"/>
            <w:tcBorders>
              <w:top w:val="single" w:sz="4" w:space="0" w:color="auto"/>
              <w:left w:val="single" w:sz="4" w:space="0" w:color="auto"/>
              <w:bottom w:val="single" w:sz="4" w:space="0" w:color="auto"/>
              <w:right w:val="single" w:sz="4" w:space="0" w:color="auto"/>
            </w:tcBorders>
          </w:tcPr>
          <w:p w14:paraId="2A2DDA6E" w14:textId="77777777" w:rsidR="00613F89" w:rsidRPr="006711CF" w:rsidRDefault="00613F89" w:rsidP="006711CF">
            <w:pPr>
              <w:pStyle w:val="Normal-pool"/>
              <w:keepNext/>
              <w:keepLines/>
              <w:spacing w:before="40" w:after="40"/>
              <w:rPr>
                <w:sz w:val="18"/>
                <w:szCs w:val="18"/>
              </w:rPr>
            </w:pPr>
            <w:r w:rsidRPr="006711CF">
              <w:rPr>
                <w:sz w:val="18"/>
                <w:szCs w:val="18"/>
              </w:rPr>
              <w:t>Report on the activities of relevant international bodies</w:t>
            </w:r>
          </w:p>
        </w:tc>
      </w:tr>
      <w:tr w:rsidR="00613F89" w:rsidRPr="004622E3" w14:paraId="50922437" w14:textId="77777777" w:rsidTr="00B70F4A">
        <w:tc>
          <w:tcPr>
            <w:tcW w:w="2836" w:type="dxa"/>
            <w:tcBorders>
              <w:top w:val="single" w:sz="4" w:space="0" w:color="auto"/>
              <w:left w:val="single" w:sz="4" w:space="0" w:color="auto"/>
              <w:bottom w:val="single" w:sz="4" w:space="0" w:color="auto"/>
              <w:right w:val="single" w:sz="4" w:space="0" w:color="auto"/>
            </w:tcBorders>
          </w:tcPr>
          <w:p w14:paraId="6830B105" w14:textId="77777777" w:rsidR="00613F89" w:rsidRPr="006711CF" w:rsidRDefault="00613F89" w:rsidP="006711CF">
            <w:pPr>
              <w:pStyle w:val="Normal-pool"/>
              <w:keepNext/>
              <w:keepLines/>
              <w:spacing w:before="40" w:after="40"/>
              <w:rPr>
                <w:sz w:val="18"/>
                <w:szCs w:val="18"/>
              </w:rPr>
            </w:pPr>
            <w:r w:rsidRPr="006711CF">
              <w:rPr>
                <w:spacing w:val="15"/>
                <w:sz w:val="18"/>
                <w:szCs w:val="18"/>
              </w:rPr>
              <w:t>UNEP/MC/COP.2/INF/3</w:t>
            </w:r>
          </w:p>
        </w:tc>
        <w:tc>
          <w:tcPr>
            <w:tcW w:w="1304" w:type="dxa"/>
            <w:tcBorders>
              <w:top w:val="single" w:sz="4" w:space="0" w:color="auto"/>
              <w:left w:val="single" w:sz="4" w:space="0" w:color="auto"/>
              <w:bottom w:val="single" w:sz="4" w:space="0" w:color="auto"/>
              <w:right w:val="single" w:sz="4" w:space="0" w:color="auto"/>
            </w:tcBorders>
          </w:tcPr>
          <w:p w14:paraId="2F040275" w14:textId="56529078" w:rsidR="00613F89" w:rsidRPr="006711CF" w:rsidRDefault="00613F89" w:rsidP="006711CF">
            <w:pPr>
              <w:pStyle w:val="Normal-pool"/>
              <w:keepNext/>
              <w:keepLines/>
              <w:spacing w:before="40" w:after="40"/>
              <w:rPr>
                <w:sz w:val="18"/>
                <w:szCs w:val="18"/>
              </w:rPr>
            </w:pPr>
            <w:r w:rsidRPr="006711CF">
              <w:rPr>
                <w:spacing w:val="15"/>
                <w:sz w:val="18"/>
                <w:szCs w:val="18"/>
              </w:rPr>
              <w:t>5</w:t>
            </w:r>
            <w:r w:rsidR="00391EC7">
              <w:rPr>
                <w:spacing w:val="15"/>
                <w:sz w:val="18"/>
                <w:szCs w:val="18"/>
              </w:rPr>
              <w:t xml:space="preserve"> </w:t>
            </w:r>
            <w:r w:rsidRPr="006711CF">
              <w:rPr>
                <w:spacing w:val="15"/>
                <w:sz w:val="18"/>
                <w:szCs w:val="18"/>
              </w:rPr>
              <w:t>(e)</w:t>
            </w:r>
            <w:r w:rsidR="00391EC7">
              <w:rPr>
                <w:spacing w:val="15"/>
                <w:sz w:val="18"/>
                <w:szCs w:val="18"/>
              </w:rPr>
              <w:t xml:space="preserve"> </w:t>
            </w:r>
            <w:r w:rsidRPr="006711CF">
              <w:rPr>
                <w:spacing w:val="15"/>
                <w:sz w:val="18"/>
                <w:szCs w:val="18"/>
              </w:rPr>
              <w:t>(i)</w:t>
            </w:r>
          </w:p>
        </w:tc>
        <w:tc>
          <w:tcPr>
            <w:tcW w:w="5096" w:type="dxa"/>
            <w:tcBorders>
              <w:top w:val="single" w:sz="4" w:space="0" w:color="auto"/>
              <w:left w:val="single" w:sz="4" w:space="0" w:color="auto"/>
              <w:bottom w:val="single" w:sz="4" w:space="0" w:color="auto"/>
              <w:right w:val="single" w:sz="4" w:space="0" w:color="auto"/>
            </w:tcBorders>
          </w:tcPr>
          <w:p w14:paraId="47DEFCB9" w14:textId="77777777" w:rsidR="00613F89" w:rsidRPr="006711CF" w:rsidRDefault="00613F89" w:rsidP="006711CF">
            <w:pPr>
              <w:pStyle w:val="Normal-pool"/>
              <w:keepNext/>
              <w:keepLines/>
              <w:spacing w:before="40" w:after="40"/>
              <w:rPr>
                <w:sz w:val="18"/>
                <w:szCs w:val="18"/>
              </w:rPr>
            </w:pPr>
            <w:r w:rsidRPr="006711CF">
              <w:rPr>
                <w:sz w:val="18"/>
                <w:szCs w:val="18"/>
                <w:lang w:val="en-US"/>
              </w:rPr>
              <w:t>Report of the Global Environment Facility to the Conference of the Parties to the Minamata Convention on Mercury at its second meeting</w:t>
            </w:r>
          </w:p>
        </w:tc>
      </w:tr>
      <w:tr w:rsidR="00613F89" w:rsidRPr="004622E3" w14:paraId="02F787F6" w14:textId="77777777" w:rsidTr="00B70F4A">
        <w:tc>
          <w:tcPr>
            <w:tcW w:w="2836" w:type="dxa"/>
            <w:tcBorders>
              <w:top w:val="single" w:sz="4" w:space="0" w:color="auto"/>
              <w:left w:val="single" w:sz="4" w:space="0" w:color="auto"/>
              <w:bottom w:val="single" w:sz="4" w:space="0" w:color="auto"/>
              <w:right w:val="single" w:sz="4" w:space="0" w:color="auto"/>
            </w:tcBorders>
          </w:tcPr>
          <w:p w14:paraId="1184381C" w14:textId="77777777" w:rsidR="00613F89" w:rsidRPr="006711CF" w:rsidRDefault="00613F89" w:rsidP="006711CF">
            <w:pPr>
              <w:pStyle w:val="Normal-pool"/>
              <w:keepNext/>
              <w:keepLines/>
              <w:spacing w:before="40" w:after="40"/>
              <w:rPr>
                <w:sz w:val="18"/>
                <w:szCs w:val="18"/>
              </w:rPr>
            </w:pPr>
            <w:r w:rsidRPr="006711CF">
              <w:rPr>
                <w:spacing w:val="15"/>
                <w:sz w:val="18"/>
                <w:szCs w:val="18"/>
              </w:rPr>
              <w:t>UNEP/MC/COP.2/INF/4</w:t>
            </w:r>
          </w:p>
        </w:tc>
        <w:tc>
          <w:tcPr>
            <w:tcW w:w="1304" w:type="dxa"/>
            <w:tcBorders>
              <w:top w:val="single" w:sz="4" w:space="0" w:color="auto"/>
              <w:left w:val="single" w:sz="4" w:space="0" w:color="auto"/>
              <w:bottom w:val="single" w:sz="4" w:space="0" w:color="auto"/>
              <w:right w:val="single" w:sz="4" w:space="0" w:color="auto"/>
            </w:tcBorders>
          </w:tcPr>
          <w:p w14:paraId="186953C1" w14:textId="387D31B9" w:rsidR="00613F89" w:rsidRPr="006711CF" w:rsidRDefault="00613F89" w:rsidP="006711CF">
            <w:pPr>
              <w:pStyle w:val="Normal-pool"/>
              <w:keepNext/>
              <w:keepLines/>
              <w:spacing w:before="40" w:after="40"/>
              <w:rPr>
                <w:spacing w:val="15"/>
                <w:sz w:val="18"/>
                <w:szCs w:val="18"/>
              </w:rPr>
            </w:pPr>
            <w:r w:rsidRPr="006711CF">
              <w:rPr>
                <w:spacing w:val="15"/>
                <w:sz w:val="18"/>
                <w:szCs w:val="18"/>
              </w:rPr>
              <w:t>5</w:t>
            </w:r>
            <w:r w:rsidR="00391EC7">
              <w:rPr>
                <w:spacing w:val="15"/>
                <w:sz w:val="18"/>
                <w:szCs w:val="18"/>
              </w:rPr>
              <w:t xml:space="preserve"> </w:t>
            </w:r>
            <w:r w:rsidRPr="006711CF">
              <w:rPr>
                <w:spacing w:val="15"/>
                <w:sz w:val="18"/>
                <w:szCs w:val="18"/>
              </w:rPr>
              <w:t>(k)</w:t>
            </w:r>
          </w:p>
        </w:tc>
        <w:tc>
          <w:tcPr>
            <w:tcW w:w="5096" w:type="dxa"/>
            <w:tcBorders>
              <w:top w:val="single" w:sz="4" w:space="0" w:color="auto"/>
              <w:left w:val="single" w:sz="4" w:space="0" w:color="auto"/>
              <w:bottom w:val="single" w:sz="4" w:space="0" w:color="auto"/>
              <w:right w:val="single" w:sz="4" w:space="0" w:color="auto"/>
            </w:tcBorders>
          </w:tcPr>
          <w:p w14:paraId="1BBED4D4" w14:textId="77777777" w:rsidR="00613F89" w:rsidRPr="006711CF" w:rsidRDefault="00613F89" w:rsidP="006711CF">
            <w:pPr>
              <w:pStyle w:val="Normal-pool"/>
              <w:keepNext/>
              <w:keepLines/>
              <w:spacing w:before="40" w:after="40"/>
              <w:rPr>
                <w:sz w:val="18"/>
                <w:szCs w:val="18"/>
              </w:rPr>
            </w:pPr>
            <w:r w:rsidRPr="006711CF">
              <w:rPr>
                <w:sz w:val="18"/>
                <w:szCs w:val="18"/>
              </w:rPr>
              <w:t>Offer by Switzerland to host a stand-alone secretariat of the Minamata Convention on Mercury in Geneva</w:t>
            </w:r>
          </w:p>
        </w:tc>
      </w:tr>
      <w:tr w:rsidR="00613F89" w:rsidRPr="004622E3" w14:paraId="37CDB331" w14:textId="77777777" w:rsidTr="00B70F4A">
        <w:tc>
          <w:tcPr>
            <w:tcW w:w="2836" w:type="dxa"/>
            <w:tcBorders>
              <w:top w:val="single" w:sz="4" w:space="0" w:color="auto"/>
              <w:left w:val="single" w:sz="4" w:space="0" w:color="auto"/>
              <w:bottom w:val="single" w:sz="4" w:space="0" w:color="auto"/>
              <w:right w:val="single" w:sz="4" w:space="0" w:color="auto"/>
            </w:tcBorders>
          </w:tcPr>
          <w:p w14:paraId="6D278BA8" w14:textId="77777777" w:rsidR="00613F89" w:rsidRPr="006711CF" w:rsidRDefault="00613F89" w:rsidP="006711CF">
            <w:pPr>
              <w:pStyle w:val="Normal-pool"/>
              <w:spacing w:before="40" w:after="40"/>
              <w:rPr>
                <w:sz w:val="18"/>
                <w:szCs w:val="18"/>
              </w:rPr>
            </w:pPr>
            <w:r w:rsidRPr="006711CF">
              <w:rPr>
                <w:spacing w:val="15"/>
                <w:sz w:val="18"/>
                <w:szCs w:val="18"/>
              </w:rPr>
              <w:t>UNEP/MC/COP.2/INF/5</w:t>
            </w:r>
          </w:p>
        </w:tc>
        <w:tc>
          <w:tcPr>
            <w:tcW w:w="1304" w:type="dxa"/>
            <w:tcBorders>
              <w:top w:val="single" w:sz="4" w:space="0" w:color="auto"/>
              <w:left w:val="single" w:sz="4" w:space="0" w:color="auto"/>
              <w:bottom w:val="single" w:sz="4" w:space="0" w:color="auto"/>
              <w:right w:val="single" w:sz="4" w:space="0" w:color="auto"/>
            </w:tcBorders>
          </w:tcPr>
          <w:p w14:paraId="21259B14" w14:textId="35E94FCA" w:rsidR="00613F89" w:rsidRPr="006711CF" w:rsidRDefault="00613F89" w:rsidP="006711CF">
            <w:pPr>
              <w:pStyle w:val="Normal-pool"/>
              <w:spacing w:before="40" w:after="40"/>
              <w:rPr>
                <w:spacing w:val="15"/>
                <w:sz w:val="18"/>
                <w:szCs w:val="18"/>
              </w:rPr>
            </w:pPr>
            <w:r w:rsidRPr="006711CF">
              <w:rPr>
                <w:spacing w:val="15"/>
                <w:sz w:val="18"/>
                <w:szCs w:val="18"/>
              </w:rPr>
              <w:t>5</w:t>
            </w:r>
            <w:r w:rsidR="00391EC7">
              <w:rPr>
                <w:spacing w:val="15"/>
                <w:sz w:val="18"/>
                <w:szCs w:val="18"/>
              </w:rPr>
              <w:t xml:space="preserve"> </w:t>
            </w:r>
            <w:r w:rsidRPr="006711CF">
              <w:rPr>
                <w:spacing w:val="15"/>
                <w:sz w:val="18"/>
                <w:szCs w:val="18"/>
              </w:rPr>
              <w:t>(f)</w:t>
            </w:r>
          </w:p>
        </w:tc>
        <w:tc>
          <w:tcPr>
            <w:tcW w:w="5096" w:type="dxa"/>
            <w:tcBorders>
              <w:top w:val="single" w:sz="4" w:space="0" w:color="auto"/>
              <w:left w:val="single" w:sz="4" w:space="0" w:color="auto"/>
              <w:bottom w:val="single" w:sz="4" w:space="0" w:color="auto"/>
              <w:right w:val="single" w:sz="4" w:space="0" w:color="auto"/>
            </w:tcBorders>
          </w:tcPr>
          <w:p w14:paraId="3ABB202A" w14:textId="77777777" w:rsidR="00613F89" w:rsidRPr="006711CF" w:rsidRDefault="00613F89" w:rsidP="006711CF">
            <w:pPr>
              <w:pStyle w:val="Normal-pool"/>
              <w:spacing w:before="40" w:after="40"/>
              <w:rPr>
                <w:sz w:val="18"/>
                <w:szCs w:val="18"/>
              </w:rPr>
            </w:pPr>
            <w:r w:rsidRPr="006711CF">
              <w:rPr>
                <w:sz w:val="18"/>
                <w:szCs w:val="18"/>
              </w:rPr>
              <w:t>Compilation of submissions and reports received in relation to alternative technologies and technology transfer as referred to in paragraph 4 of article 14</w:t>
            </w:r>
          </w:p>
        </w:tc>
      </w:tr>
      <w:tr w:rsidR="00613F89" w:rsidRPr="004622E3" w14:paraId="511635EB" w14:textId="77777777" w:rsidTr="00B70F4A">
        <w:tc>
          <w:tcPr>
            <w:tcW w:w="2836" w:type="dxa"/>
            <w:tcBorders>
              <w:top w:val="single" w:sz="4" w:space="0" w:color="auto"/>
              <w:left w:val="single" w:sz="4" w:space="0" w:color="auto"/>
              <w:bottom w:val="single" w:sz="4" w:space="0" w:color="auto"/>
              <w:right w:val="single" w:sz="4" w:space="0" w:color="auto"/>
            </w:tcBorders>
          </w:tcPr>
          <w:p w14:paraId="696020A9" w14:textId="77777777" w:rsidR="00613F89" w:rsidRPr="006711CF" w:rsidRDefault="00613F89" w:rsidP="006711CF">
            <w:pPr>
              <w:pStyle w:val="Normal-pool"/>
              <w:spacing w:before="40" w:after="40"/>
              <w:rPr>
                <w:sz w:val="18"/>
                <w:szCs w:val="18"/>
              </w:rPr>
            </w:pPr>
            <w:r w:rsidRPr="006711CF">
              <w:rPr>
                <w:spacing w:val="15"/>
                <w:sz w:val="18"/>
                <w:szCs w:val="18"/>
              </w:rPr>
              <w:t>UNEP/MC/COP.2/INF/6</w:t>
            </w:r>
          </w:p>
        </w:tc>
        <w:tc>
          <w:tcPr>
            <w:tcW w:w="1304" w:type="dxa"/>
            <w:tcBorders>
              <w:top w:val="single" w:sz="4" w:space="0" w:color="auto"/>
              <w:left w:val="single" w:sz="4" w:space="0" w:color="auto"/>
              <w:bottom w:val="single" w:sz="4" w:space="0" w:color="auto"/>
              <w:right w:val="single" w:sz="4" w:space="0" w:color="auto"/>
            </w:tcBorders>
          </w:tcPr>
          <w:p w14:paraId="27D1E6A3" w14:textId="52A6BA18" w:rsidR="00613F89" w:rsidRPr="006711CF" w:rsidRDefault="00613F89" w:rsidP="006711CF">
            <w:pPr>
              <w:pStyle w:val="Normal-pool"/>
              <w:spacing w:before="40" w:after="40"/>
              <w:rPr>
                <w:spacing w:val="15"/>
                <w:sz w:val="18"/>
                <w:szCs w:val="18"/>
              </w:rPr>
            </w:pPr>
            <w:r w:rsidRPr="006711CF">
              <w:rPr>
                <w:spacing w:val="15"/>
                <w:sz w:val="18"/>
                <w:szCs w:val="18"/>
              </w:rPr>
              <w:t>5</w:t>
            </w:r>
            <w:r w:rsidR="00391EC7">
              <w:rPr>
                <w:spacing w:val="15"/>
                <w:sz w:val="18"/>
                <w:szCs w:val="18"/>
              </w:rPr>
              <w:t xml:space="preserve"> </w:t>
            </w:r>
            <w:r w:rsidRPr="006711CF">
              <w:rPr>
                <w:spacing w:val="15"/>
                <w:sz w:val="18"/>
                <w:szCs w:val="18"/>
              </w:rPr>
              <w:t>(l)</w:t>
            </w:r>
          </w:p>
        </w:tc>
        <w:tc>
          <w:tcPr>
            <w:tcW w:w="5096" w:type="dxa"/>
            <w:tcBorders>
              <w:top w:val="single" w:sz="4" w:space="0" w:color="auto"/>
              <w:left w:val="single" w:sz="4" w:space="0" w:color="auto"/>
              <w:bottom w:val="single" w:sz="4" w:space="0" w:color="auto"/>
              <w:right w:val="single" w:sz="4" w:space="0" w:color="auto"/>
            </w:tcBorders>
          </w:tcPr>
          <w:p w14:paraId="3A89BCA1" w14:textId="77777777" w:rsidR="00613F89" w:rsidRPr="006711CF" w:rsidRDefault="00613F89" w:rsidP="006711CF">
            <w:pPr>
              <w:pStyle w:val="Normal-pool"/>
              <w:spacing w:before="40" w:after="40"/>
              <w:rPr>
                <w:sz w:val="18"/>
                <w:szCs w:val="18"/>
              </w:rPr>
            </w:pPr>
            <w:r w:rsidRPr="006711CF">
              <w:rPr>
                <w:sz w:val="18"/>
                <w:szCs w:val="18"/>
              </w:rPr>
              <w:t>Compilation of information submitted in relation to emissions of mercury resulting from the open burning of waste</w:t>
            </w:r>
          </w:p>
        </w:tc>
      </w:tr>
      <w:tr w:rsidR="00613F89" w:rsidRPr="004622E3" w14:paraId="72B74777" w14:textId="77777777" w:rsidTr="00B70F4A">
        <w:tc>
          <w:tcPr>
            <w:tcW w:w="2836" w:type="dxa"/>
            <w:tcBorders>
              <w:top w:val="single" w:sz="4" w:space="0" w:color="auto"/>
              <w:left w:val="single" w:sz="4" w:space="0" w:color="auto"/>
              <w:bottom w:val="single" w:sz="4" w:space="0" w:color="auto"/>
              <w:right w:val="single" w:sz="4" w:space="0" w:color="auto"/>
            </w:tcBorders>
          </w:tcPr>
          <w:p w14:paraId="5C1F5282" w14:textId="77777777" w:rsidR="00613F89" w:rsidRPr="006711CF" w:rsidRDefault="00613F89" w:rsidP="006711CF">
            <w:pPr>
              <w:pStyle w:val="Normal-pool"/>
              <w:spacing w:before="40" w:after="40"/>
              <w:rPr>
                <w:sz w:val="18"/>
                <w:szCs w:val="18"/>
              </w:rPr>
            </w:pPr>
            <w:r w:rsidRPr="006711CF">
              <w:rPr>
                <w:spacing w:val="15"/>
                <w:sz w:val="18"/>
                <w:szCs w:val="18"/>
              </w:rPr>
              <w:t>UNEP/MC/COP.2/INF/7</w:t>
            </w:r>
          </w:p>
        </w:tc>
        <w:tc>
          <w:tcPr>
            <w:tcW w:w="1304" w:type="dxa"/>
            <w:tcBorders>
              <w:top w:val="single" w:sz="4" w:space="0" w:color="auto"/>
              <w:left w:val="single" w:sz="4" w:space="0" w:color="auto"/>
              <w:bottom w:val="single" w:sz="4" w:space="0" w:color="auto"/>
              <w:right w:val="single" w:sz="4" w:space="0" w:color="auto"/>
            </w:tcBorders>
          </w:tcPr>
          <w:p w14:paraId="38AD32C6" w14:textId="613E1005" w:rsidR="00613F89" w:rsidRPr="006711CF" w:rsidRDefault="00613F89" w:rsidP="006711CF">
            <w:pPr>
              <w:pStyle w:val="Normal-pool"/>
              <w:spacing w:before="40" w:after="40"/>
              <w:rPr>
                <w:sz w:val="18"/>
                <w:szCs w:val="18"/>
                <w:highlight w:val="yellow"/>
              </w:rPr>
            </w:pPr>
            <w:r w:rsidRPr="006711CF">
              <w:rPr>
                <w:sz w:val="18"/>
                <w:szCs w:val="18"/>
              </w:rPr>
              <w:t>5</w:t>
            </w:r>
            <w:r w:rsidR="00391EC7">
              <w:rPr>
                <w:sz w:val="18"/>
                <w:szCs w:val="18"/>
              </w:rPr>
              <w:t xml:space="preserve"> </w:t>
            </w:r>
            <w:r w:rsidRPr="006711CF">
              <w:rPr>
                <w:sz w:val="18"/>
                <w:szCs w:val="18"/>
              </w:rPr>
              <w:t>(k)</w:t>
            </w:r>
          </w:p>
        </w:tc>
        <w:tc>
          <w:tcPr>
            <w:tcW w:w="5096" w:type="dxa"/>
            <w:tcBorders>
              <w:top w:val="single" w:sz="4" w:space="0" w:color="auto"/>
              <w:left w:val="single" w:sz="4" w:space="0" w:color="auto"/>
              <w:bottom w:val="single" w:sz="4" w:space="0" w:color="auto"/>
              <w:right w:val="single" w:sz="4" w:space="0" w:color="auto"/>
            </w:tcBorders>
          </w:tcPr>
          <w:p w14:paraId="67819ED5" w14:textId="252D8865" w:rsidR="00613F89" w:rsidRPr="006711CF" w:rsidRDefault="00613F89" w:rsidP="006711CF">
            <w:pPr>
              <w:pStyle w:val="Normal-pool"/>
              <w:spacing w:before="40" w:after="40"/>
              <w:rPr>
                <w:sz w:val="18"/>
                <w:szCs w:val="18"/>
              </w:rPr>
            </w:pPr>
            <w:r w:rsidRPr="006711CF">
              <w:rPr>
                <w:sz w:val="18"/>
                <w:szCs w:val="18"/>
              </w:rPr>
              <w:t xml:space="preserve">Information requested by the Bureau on possible services that the </w:t>
            </w:r>
            <w:r w:rsidR="006711CF">
              <w:rPr>
                <w:sz w:val="18"/>
                <w:szCs w:val="18"/>
              </w:rPr>
              <w:t>s</w:t>
            </w:r>
            <w:r w:rsidRPr="006711CF">
              <w:rPr>
                <w:sz w:val="18"/>
                <w:szCs w:val="18"/>
              </w:rPr>
              <w:t xml:space="preserve">ecretariat of the Minamata Convention could purchase from or share with the </w:t>
            </w:r>
            <w:r w:rsidR="006711CF">
              <w:rPr>
                <w:sz w:val="18"/>
                <w:szCs w:val="18"/>
              </w:rPr>
              <w:t>s</w:t>
            </w:r>
            <w:r w:rsidRPr="006711CF">
              <w:rPr>
                <w:sz w:val="18"/>
                <w:szCs w:val="18"/>
              </w:rPr>
              <w:t>ecretariat of the Basel, Rotterdam and Stockholm Conventions</w:t>
            </w:r>
          </w:p>
        </w:tc>
      </w:tr>
      <w:tr w:rsidR="00613F89" w:rsidRPr="004622E3" w14:paraId="6E689349" w14:textId="77777777" w:rsidTr="00B70F4A">
        <w:tc>
          <w:tcPr>
            <w:tcW w:w="2836" w:type="dxa"/>
            <w:tcBorders>
              <w:top w:val="single" w:sz="4" w:space="0" w:color="auto"/>
              <w:left w:val="single" w:sz="4" w:space="0" w:color="auto"/>
              <w:bottom w:val="single" w:sz="4" w:space="0" w:color="auto"/>
              <w:right w:val="single" w:sz="4" w:space="0" w:color="auto"/>
            </w:tcBorders>
          </w:tcPr>
          <w:p w14:paraId="7C3D8442" w14:textId="77777777" w:rsidR="00613F89" w:rsidRPr="006711CF" w:rsidRDefault="00613F89" w:rsidP="006711CF">
            <w:pPr>
              <w:pStyle w:val="Normal-pool"/>
              <w:spacing w:before="40" w:after="40"/>
              <w:rPr>
                <w:sz w:val="18"/>
                <w:szCs w:val="18"/>
              </w:rPr>
            </w:pPr>
            <w:r w:rsidRPr="006711CF">
              <w:rPr>
                <w:spacing w:val="15"/>
                <w:sz w:val="18"/>
                <w:szCs w:val="18"/>
              </w:rPr>
              <w:t>UNEP/MC/COP.2/INF/8</w:t>
            </w:r>
          </w:p>
        </w:tc>
        <w:tc>
          <w:tcPr>
            <w:tcW w:w="1304" w:type="dxa"/>
            <w:tcBorders>
              <w:top w:val="single" w:sz="4" w:space="0" w:color="auto"/>
              <w:left w:val="single" w:sz="4" w:space="0" w:color="auto"/>
              <w:bottom w:val="single" w:sz="4" w:space="0" w:color="auto"/>
              <w:right w:val="single" w:sz="4" w:space="0" w:color="auto"/>
            </w:tcBorders>
          </w:tcPr>
          <w:p w14:paraId="5F07C4B2" w14:textId="24F97FD6" w:rsidR="00613F89" w:rsidRPr="006711CF" w:rsidRDefault="00613F89" w:rsidP="006711CF">
            <w:pPr>
              <w:pStyle w:val="Normal-pool"/>
              <w:spacing w:before="40" w:after="40"/>
              <w:rPr>
                <w:spacing w:val="15"/>
                <w:sz w:val="18"/>
                <w:szCs w:val="18"/>
              </w:rPr>
            </w:pPr>
            <w:r w:rsidRPr="006711CF">
              <w:rPr>
                <w:spacing w:val="15"/>
                <w:sz w:val="18"/>
                <w:szCs w:val="18"/>
              </w:rPr>
              <w:t>5</w:t>
            </w:r>
            <w:r w:rsidR="00391EC7">
              <w:rPr>
                <w:spacing w:val="15"/>
                <w:sz w:val="18"/>
                <w:szCs w:val="18"/>
              </w:rPr>
              <w:t xml:space="preserve"> </w:t>
            </w:r>
            <w:r w:rsidRPr="006711CF">
              <w:rPr>
                <w:spacing w:val="15"/>
                <w:sz w:val="18"/>
                <w:szCs w:val="18"/>
              </w:rPr>
              <w:t>(i)</w:t>
            </w:r>
          </w:p>
        </w:tc>
        <w:tc>
          <w:tcPr>
            <w:tcW w:w="5096" w:type="dxa"/>
            <w:tcBorders>
              <w:top w:val="single" w:sz="4" w:space="0" w:color="auto"/>
              <w:left w:val="single" w:sz="4" w:space="0" w:color="auto"/>
              <w:bottom w:val="single" w:sz="4" w:space="0" w:color="auto"/>
              <w:right w:val="single" w:sz="4" w:space="0" w:color="auto"/>
            </w:tcBorders>
          </w:tcPr>
          <w:p w14:paraId="4811D015" w14:textId="77777777" w:rsidR="00613F89" w:rsidRPr="006711CF" w:rsidRDefault="00613F89" w:rsidP="006711CF">
            <w:pPr>
              <w:pStyle w:val="Normal-pool"/>
              <w:spacing w:before="40" w:after="40"/>
              <w:rPr>
                <w:sz w:val="18"/>
                <w:szCs w:val="18"/>
              </w:rPr>
            </w:pPr>
            <w:r w:rsidRPr="006711CF">
              <w:rPr>
                <w:sz w:val="18"/>
                <w:szCs w:val="18"/>
              </w:rPr>
              <w:t>Report of the ad hoc group of experts on effectiveness evaluation</w:t>
            </w:r>
          </w:p>
        </w:tc>
      </w:tr>
      <w:tr w:rsidR="00613F89" w:rsidRPr="004622E3" w14:paraId="00BC0961" w14:textId="77777777" w:rsidTr="00B70F4A">
        <w:tc>
          <w:tcPr>
            <w:tcW w:w="2836" w:type="dxa"/>
            <w:tcBorders>
              <w:top w:val="single" w:sz="4" w:space="0" w:color="auto"/>
              <w:left w:val="single" w:sz="4" w:space="0" w:color="auto"/>
              <w:bottom w:val="single" w:sz="4" w:space="0" w:color="auto"/>
              <w:right w:val="single" w:sz="4" w:space="0" w:color="auto"/>
            </w:tcBorders>
          </w:tcPr>
          <w:p w14:paraId="3CE759AC" w14:textId="77777777" w:rsidR="00613F89" w:rsidRPr="006711CF" w:rsidRDefault="00613F89" w:rsidP="006711CF">
            <w:pPr>
              <w:pStyle w:val="Normal-pool"/>
              <w:spacing w:before="40" w:after="40"/>
              <w:rPr>
                <w:sz w:val="18"/>
                <w:szCs w:val="18"/>
              </w:rPr>
            </w:pPr>
            <w:r w:rsidRPr="006711CF">
              <w:rPr>
                <w:spacing w:val="15"/>
                <w:sz w:val="18"/>
                <w:szCs w:val="18"/>
              </w:rPr>
              <w:t>UNEP/MC/COP.2/INF/9</w:t>
            </w:r>
          </w:p>
        </w:tc>
        <w:tc>
          <w:tcPr>
            <w:tcW w:w="1304" w:type="dxa"/>
            <w:tcBorders>
              <w:top w:val="single" w:sz="4" w:space="0" w:color="auto"/>
              <w:left w:val="single" w:sz="4" w:space="0" w:color="auto"/>
              <w:bottom w:val="single" w:sz="4" w:space="0" w:color="auto"/>
              <w:right w:val="single" w:sz="4" w:space="0" w:color="auto"/>
            </w:tcBorders>
          </w:tcPr>
          <w:p w14:paraId="1267E298" w14:textId="77777777" w:rsidR="00613F89" w:rsidRPr="006711CF" w:rsidRDefault="00613F89" w:rsidP="006711CF">
            <w:pPr>
              <w:pStyle w:val="Normal-pool"/>
              <w:spacing w:before="40" w:after="40"/>
              <w:rPr>
                <w:sz w:val="18"/>
                <w:szCs w:val="18"/>
              </w:rPr>
            </w:pPr>
            <w:r w:rsidRPr="006711CF">
              <w:rPr>
                <w:sz w:val="18"/>
                <w:szCs w:val="18"/>
              </w:rPr>
              <w:t>6</w:t>
            </w:r>
          </w:p>
        </w:tc>
        <w:tc>
          <w:tcPr>
            <w:tcW w:w="5096" w:type="dxa"/>
            <w:tcBorders>
              <w:top w:val="single" w:sz="4" w:space="0" w:color="auto"/>
              <w:left w:val="single" w:sz="4" w:space="0" w:color="auto"/>
              <w:bottom w:val="single" w:sz="4" w:space="0" w:color="auto"/>
              <w:right w:val="single" w:sz="4" w:space="0" w:color="auto"/>
            </w:tcBorders>
          </w:tcPr>
          <w:p w14:paraId="366CA328" w14:textId="103CBB24" w:rsidR="00613F89" w:rsidRPr="006711CF" w:rsidRDefault="00613F89" w:rsidP="006711CF">
            <w:pPr>
              <w:pStyle w:val="Normal-pool"/>
              <w:spacing w:before="40" w:after="40"/>
              <w:rPr>
                <w:sz w:val="18"/>
                <w:szCs w:val="18"/>
              </w:rPr>
            </w:pPr>
            <w:r w:rsidRPr="006711CF">
              <w:rPr>
                <w:sz w:val="18"/>
                <w:szCs w:val="18"/>
              </w:rPr>
              <w:t xml:space="preserve">Programme of work and budget: </w:t>
            </w:r>
            <w:r w:rsidR="00ED3CE4">
              <w:rPr>
                <w:sz w:val="18"/>
                <w:szCs w:val="18"/>
              </w:rPr>
              <w:t>budget d</w:t>
            </w:r>
            <w:r w:rsidRPr="006711CF">
              <w:rPr>
                <w:sz w:val="18"/>
                <w:szCs w:val="18"/>
              </w:rPr>
              <w:t xml:space="preserve">etail </w:t>
            </w:r>
            <w:r w:rsidR="00ED3CE4">
              <w:rPr>
                <w:sz w:val="18"/>
                <w:szCs w:val="18"/>
              </w:rPr>
              <w:t>s</w:t>
            </w:r>
            <w:r w:rsidRPr="006711CF">
              <w:rPr>
                <w:sz w:val="18"/>
                <w:szCs w:val="18"/>
              </w:rPr>
              <w:t>heets</w:t>
            </w:r>
          </w:p>
        </w:tc>
      </w:tr>
      <w:tr w:rsidR="00613F89" w:rsidRPr="004622E3" w14:paraId="56E092F3" w14:textId="77777777" w:rsidTr="00B70F4A">
        <w:tc>
          <w:tcPr>
            <w:tcW w:w="2836" w:type="dxa"/>
            <w:tcBorders>
              <w:top w:val="single" w:sz="4" w:space="0" w:color="auto"/>
              <w:left w:val="single" w:sz="4" w:space="0" w:color="auto"/>
              <w:bottom w:val="single" w:sz="4" w:space="0" w:color="auto"/>
              <w:right w:val="single" w:sz="4" w:space="0" w:color="auto"/>
            </w:tcBorders>
          </w:tcPr>
          <w:p w14:paraId="48C08B88" w14:textId="77777777" w:rsidR="00613F89" w:rsidRPr="006711CF" w:rsidRDefault="00613F89" w:rsidP="006711CF">
            <w:pPr>
              <w:pStyle w:val="Normal-pool"/>
              <w:spacing w:before="40" w:after="40"/>
              <w:rPr>
                <w:sz w:val="18"/>
                <w:szCs w:val="18"/>
              </w:rPr>
            </w:pPr>
            <w:r w:rsidRPr="006711CF">
              <w:rPr>
                <w:spacing w:val="15"/>
                <w:sz w:val="18"/>
                <w:szCs w:val="18"/>
              </w:rPr>
              <w:t>UNEP/MC/COP.2/INF/10</w:t>
            </w:r>
          </w:p>
        </w:tc>
        <w:tc>
          <w:tcPr>
            <w:tcW w:w="1304" w:type="dxa"/>
            <w:tcBorders>
              <w:top w:val="single" w:sz="4" w:space="0" w:color="auto"/>
              <w:left w:val="single" w:sz="4" w:space="0" w:color="auto"/>
              <w:bottom w:val="single" w:sz="4" w:space="0" w:color="auto"/>
              <w:right w:val="single" w:sz="4" w:space="0" w:color="auto"/>
            </w:tcBorders>
          </w:tcPr>
          <w:p w14:paraId="1DB5AA37" w14:textId="12A9FD6D" w:rsidR="00613F89" w:rsidRPr="006711CF" w:rsidRDefault="00613F89" w:rsidP="006711CF">
            <w:pPr>
              <w:pStyle w:val="Normal-pool"/>
              <w:spacing w:before="40" w:after="40"/>
              <w:rPr>
                <w:spacing w:val="15"/>
                <w:sz w:val="18"/>
                <w:szCs w:val="18"/>
              </w:rPr>
            </w:pPr>
            <w:r w:rsidRPr="006711CF">
              <w:rPr>
                <w:spacing w:val="15"/>
                <w:sz w:val="18"/>
                <w:szCs w:val="18"/>
              </w:rPr>
              <w:t>5</w:t>
            </w:r>
            <w:r w:rsidR="00391EC7">
              <w:rPr>
                <w:spacing w:val="15"/>
                <w:sz w:val="18"/>
                <w:szCs w:val="18"/>
              </w:rPr>
              <w:t xml:space="preserve"> </w:t>
            </w:r>
            <w:r w:rsidRPr="006711CF">
              <w:rPr>
                <w:spacing w:val="15"/>
                <w:sz w:val="18"/>
                <w:szCs w:val="18"/>
              </w:rPr>
              <w:t>(c)</w:t>
            </w:r>
          </w:p>
        </w:tc>
        <w:tc>
          <w:tcPr>
            <w:tcW w:w="5096" w:type="dxa"/>
            <w:tcBorders>
              <w:top w:val="single" w:sz="4" w:space="0" w:color="auto"/>
              <w:left w:val="single" w:sz="4" w:space="0" w:color="auto"/>
              <w:bottom w:val="single" w:sz="4" w:space="0" w:color="auto"/>
              <w:right w:val="single" w:sz="4" w:space="0" w:color="auto"/>
            </w:tcBorders>
          </w:tcPr>
          <w:p w14:paraId="5D4FBBB2" w14:textId="77777777" w:rsidR="00613F89" w:rsidRPr="006711CF" w:rsidRDefault="00613F89" w:rsidP="006711CF">
            <w:pPr>
              <w:pStyle w:val="Normal-pool"/>
              <w:spacing w:before="40" w:after="40"/>
              <w:rPr>
                <w:sz w:val="18"/>
                <w:szCs w:val="18"/>
              </w:rPr>
            </w:pPr>
            <w:r w:rsidRPr="006711CF">
              <w:rPr>
                <w:sz w:val="18"/>
                <w:szCs w:val="18"/>
              </w:rPr>
              <w:t>Information submitted by nominated experts that may contribute to the development of mercury waste thresholds</w:t>
            </w:r>
          </w:p>
        </w:tc>
      </w:tr>
      <w:tr w:rsidR="00613F89" w:rsidRPr="004622E3" w14:paraId="1265CF7F" w14:textId="77777777" w:rsidTr="00B70F4A">
        <w:tc>
          <w:tcPr>
            <w:tcW w:w="2836" w:type="dxa"/>
            <w:tcBorders>
              <w:top w:val="single" w:sz="4" w:space="0" w:color="auto"/>
              <w:left w:val="single" w:sz="4" w:space="0" w:color="auto"/>
              <w:bottom w:val="single" w:sz="4" w:space="0" w:color="auto"/>
              <w:right w:val="single" w:sz="4" w:space="0" w:color="auto"/>
            </w:tcBorders>
          </w:tcPr>
          <w:p w14:paraId="007254B7" w14:textId="77777777" w:rsidR="00613F89" w:rsidRPr="006711CF" w:rsidRDefault="00613F89" w:rsidP="006711CF">
            <w:pPr>
              <w:pStyle w:val="Normal-pool"/>
              <w:spacing w:before="40" w:after="40"/>
              <w:rPr>
                <w:sz w:val="18"/>
                <w:szCs w:val="18"/>
              </w:rPr>
            </w:pPr>
            <w:r w:rsidRPr="006711CF">
              <w:rPr>
                <w:spacing w:val="15"/>
                <w:sz w:val="18"/>
                <w:szCs w:val="18"/>
              </w:rPr>
              <w:t>UNEP/MC/COP.2/INF/11</w:t>
            </w:r>
          </w:p>
        </w:tc>
        <w:tc>
          <w:tcPr>
            <w:tcW w:w="1304" w:type="dxa"/>
            <w:tcBorders>
              <w:top w:val="single" w:sz="4" w:space="0" w:color="auto"/>
              <w:left w:val="single" w:sz="4" w:space="0" w:color="auto"/>
              <w:bottom w:val="single" w:sz="4" w:space="0" w:color="auto"/>
              <w:right w:val="single" w:sz="4" w:space="0" w:color="auto"/>
            </w:tcBorders>
          </w:tcPr>
          <w:p w14:paraId="3D289B31" w14:textId="1E6BF96B" w:rsidR="00613F89" w:rsidRPr="006711CF" w:rsidRDefault="00613F89" w:rsidP="006711CF">
            <w:pPr>
              <w:pStyle w:val="Normal-pool"/>
              <w:spacing w:before="40" w:after="40"/>
              <w:rPr>
                <w:sz w:val="18"/>
                <w:szCs w:val="18"/>
              </w:rPr>
            </w:pPr>
            <w:r w:rsidRPr="006711CF">
              <w:rPr>
                <w:sz w:val="18"/>
                <w:szCs w:val="18"/>
              </w:rPr>
              <w:t>5</w:t>
            </w:r>
            <w:r w:rsidR="00391EC7">
              <w:rPr>
                <w:sz w:val="18"/>
                <w:szCs w:val="18"/>
              </w:rPr>
              <w:t xml:space="preserve"> </w:t>
            </w:r>
            <w:r w:rsidRPr="006711CF">
              <w:rPr>
                <w:sz w:val="18"/>
                <w:szCs w:val="18"/>
              </w:rPr>
              <w:t>(k)</w:t>
            </w:r>
          </w:p>
        </w:tc>
        <w:tc>
          <w:tcPr>
            <w:tcW w:w="5096" w:type="dxa"/>
            <w:tcBorders>
              <w:top w:val="single" w:sz="4" w:space="0" w:color="auto"/>
              <w:left w:val="single" w:sz="4" w:space="0" w:color="auto"/>
              <w:bottom w:val="single" w:sz="4" w:space="0" w:color="auto"/>
              <w:right w:val="single" w:sz="4" w:space="0" w:color="auto"/>
            </w:tcBorders>
          </w:tcPr>
          <w:p w14:paraId="59D66ECF" w14:textId="495DD8FA" w:rsidR="00613F89" w:rsidRPr="006711CF" w:rsidRDefault="006711CF" w:rsidP="006711CF">
            <w:pPr>
              <w:pStyle w:val="Normal-pool"/>
              <w:spacing w:before="40" w:after="40"/>
              <w:rPr>
                <w:sz w:val="18"/>
                <w:szCs w:val="18"/>
              </w:rPr>
            </w:pPr>
            <w:r>
              <w:rPr>
                <w:sz w:val="18"/>
                <w:szCs w:val="18"/>
              </w:rPr>
              <w:t>Report by the s</w:t>
            </w:r>
            <w:r w:rsidR="00613F89" w:rsidRPr="006711CF">
              <w:rPr>
                <w:sz w:val="18"/>
                <w:szCs w:val="18"/>
              </w:rPr>
              <w:t>ecretariat of the Basel, Rotterdam and Stockholm conventions on cooperative activities with the secretariat of the Minamata Convention in areas of mutual interest</w:t>
            </w:r>
          </w:p>
        </w:tc>
      </w:tr>
      <w:tr w:rsidR="00613F89" w:rsidRPr="004622E3" w14:paraId="49F0008E" w14:textId="77777777" w:rsidTr="00B70F4A">
        <w:tc>
          <w:tcPr>
            <w:tcW w:w="2836" w:type="dxa"/>
            <w:tcBorders>
              <w:top w:val="single" w:sz="4" w:space="0" w:color="auto"/>
              <w:left w:val="single" w:sz="4" w:space="0" w:color="auto"/>
              <w:bottom w:val="single" w:sz="4" w:space="0" w:color="auto"/>
              <w:right w:val="single" w:sz="4" w:space="0" w:color="auto"/>
            </w:tcBorders>
          </w:tcPr>
          <w:p w14:paraId="66D5FBDF" w14:textId="77777777" w:rsidR="00613F89" w:rsidRPr="006711CF" w:rsidRDefault="00613F89" w:rsidP="006711CF">
            <w:pPr>
              <w:pStyle w:val="Normal-pool"/>
              <w:spacing w:before="40" w:after="40"/>
              <w:rPr>
                <w:sz w:val="18"/>
                <w:szCs w:val="18"/>
              </w:rPr>
            </w:pPr>
            <w:r w:rsidRPr="006711CF">
              <w:rPr>
                <w:spacing w:val="15"/>
                <w:sz w:val="18"/>
                <w:szCs w:val="18"/>
              </w:rPr>
              <w:t>UNEP/MC/COP.2/INF/12</w:t>
            </w:r>
          </w:p>
        </w:tc>
        <w:tc>
          <w:tcPr>
            <w:tcW w:w="1304" w:type="dxa"/>
            <w:tcBorders>
              <w:top w:val="single" w:sz="4" w:space="0" w:color="auto"/>
              <w:left w:val="single" w:sz="4" w:space="0" w:color="auto"/>
              <w:bottom w:val="single" w:sz="4" w:space="0" w:color="auto"/>
              <w:right w:val="single" w:sz="4" w:space="0" w:color="auto"/>
            </w:tcBorders>
          </w:tcPr>
          <w:p w14:paraId="3A2C97D1" w14:textId="77777777" w:rsidR="00613F89" w:rsidRPr="006711CF" w:rsidRDefault="00613F89" w:rsidP="006711CF">
            <w:pPr>
              <w:pStyle w:val="Normal-pool"/>
              <w:spacing w:before="40" w:after="40"/>
              <w:rPr>
                <w:sz w:val="18"/>
                <w:szCs w:val="18"/>
              </w:rPr>
            </w:pPr>
            <w:r w:rsidRPr="006711CF">
              <w:rPr>
                <w:sz w:val="18"/>
                <w:szCs w:val="18"/>
              </w:rPr>
              <w:t>6</w:t>
            </w:r>
          </w:p>
        </w:tc>
        <w:tc>
          <w:tcPr>
            <w:tcW w:w="5096" w:type="dxa"/>
            <w:tcBorders>
              <w:top w:val="single" w:sz="4" w:space="0" w:color="auto"/>
              <w:left w:val="single" w:sz="4" w:space="0" w:color="auto"/>
              <w:bottom w:val="single" w:sz="4" w:space="0" w:color="auto"/>
              <w:right w:val="single" w:sz="4" w:space="0" w:color="auto"/>
            </w:tcBorders>
          </w:tcPr>
          <w:p w14:paraId="5BC905CA" w14:textId="04E40144" w:rsidR="00613F89" w:rsidRPr="006711CF" w:rsidRDefault="00613F89" w:rsidP="006711CF">
            <w:pPr>
              <w:pStyle w:val="Normal-pool"/>
              <w:spacing w:before="40" w:after="40"/>
              <w:rPr>
                <w:sz w:val="18"/>
                <w:szCs w:val="18"/>
              </w:rPr>
            </w:pPr>
            <w:r w:rsidRPr="006711CF">
              <w:rPr>
                <w:sz w:val="18"/>
                <w:szCs w:val="18"/>
              </w:rPr>
              <w:t>Activities of the Special Programme to support institutional strengthening at the national level for implementation of the Basel, Rotterdam and Stockholm conventions, the Minamata Convention on Mercury and the Strategic Approach to International Chemicals Management</w:t>
            </w:r>
          </w:p>
        </w:tc>
      </w:tr>
      <w:tr w:rsidR="00613F89" w:rsidRPr="004622E3" w14:paraId="2775C2AD" w14:textId="77777777" w:rsidTr="00B70F4A">
        <w:tc>
          <w:tcPr>
            <w:tcW w:w="2836" w:type="dxa"/>
            <w:tcBorders>
              <w:top w:val="single" w:sz="4" w:space="0" w:color="auto"/>
              <w:left w:val="single" w:sz="4" w:space="0" w:color="auto"/>
              <w:bottom w:val="single" w:sz="4" w:space="0" w:color="auto"/>
              <w:right w:val="single" w:sz="4" w:space="0" w:color="auto"/>
            </w:tcBorders>
          </w:tcPr>
          <w:p w14:paraId="17523030" w14:textId="77777777" w:rsidR="00613F89" w:rsidRPr="006711CF" w:rsidRDefault="00613F89" w:rsidP="006711CF">
            <w:pPr>
              <w:pStyle w:val="Normal-pool"/>
              <w:spacing w:before="40" w:after="40"/>
              <w:rPr>
                <w:sz w:val="18"/>
                <w:szCs w:val="18"/>
              </w:rPr>
            </w:pPr>
            <w:r w:rsidRPr="006711CF">
              <w:rPr>
                <w:spacing w:val="15"/>
                <w:sz w:val="18"/>
                <w:szCs w:val="18"/>
              </w:rPr>
              <w:t>UNEP/MC/COP.2/INF/13</w:t>
            </w:r>
          </w:p>
        </w:tc>
        <w:tc>
          <w:tcPr>
            <w:tcW w:w="1304" w:type="dxa"/>
            <w:tcBorders>
              <w:top w:val="single" w:sz="4" w:space="0" w:color="auto"/>
              <w:left w:val="single" w:sz="4" w:space="0" w:color="auto"/>
              <w:bottom w:val="single" w:sz="4" w:space="0" w:color="auto"/>
              <w:right w:val="single" w:sz="4" w:space="0" w:color="auto"/>
            </w:tcBorders>
          </w:tcPr>
          <w:p w14:paraId="470F6ACB" w14:textId="77777777" w:rsidR="00613F89" w:rsidRPr="006711CF" w:rsidRDefault="00613F89" w:rsidP="006711CF">
            <w:pPr>
              <w:pStyle w:val="Normal-pool"/>
              <w:spacing w:before="40" w:after="40"/>
              <w:rPr>
                <w:sz w:val="18"/>
                <w:szCs w:val="18"/>
              </w:rPr>
            </w:pPr>
            <w:r w:rsidRPr="006711CF">
              <w:rPr>
                <w:sz w:val="18"/>
                <w:szCs w:val="18"/>
              </w:rPr>
              <w:t>6</w:t>
            </w:r>
          </w:p>
        </w:tc>
        <w:tc>
          <w:tcPr>
            <w:tcW w:w="5096" w:type="dxa"/>
            <w:tcBorders>
              <w:top w:val="single" w:sz="4" w:space="0" w:color="auto"/>
              <w:left w:val="single" w:sz="4" w:space="0" w:color="auto"/>
              <w:bottom w:val="single" w:sz="4" w:space="0" w:color="auto"/>
              <w:right w:val="single" w:sz="4" w:space="0" w:color="auto"/>
            </w:tcBorders>
          </w:tcPr>
          <w:p w14:paraId="3580C0EB" w14:textId="77777777" w:rsidR="00613F89" w:rsidRPr="006711CF" w:rsidRDefault="00613F89" w:rsidP="006711CF">
            <w:pPr>
              <w:pStyle w:val="Normal-pool"/>
              <w:spacing w:before="40" w:after="40"/>
              <w:rPr>
                <w:sz w:val="18"/>
                <w:szCs w:val="18"/>
              </w:rPr>
            </w:pPr>
            <w:r w:rsidRPr="006711CF">
              <w:rPr>
                <w:sz w:val="18"/>
                <w:szCs w:val="18"/>
              </w:rPr>
              <w:t>Report on activities undertaken within the United Nations Environment Programme Global Mercury Partnership</w:t>
            </w:r>
          </w:p>
        </w:tc>
      </w:tr>
      <w:tr w:rsidR="00613F89" w:rsidRPr="004622E3" w14:paraId="0A908013" w14:textId="77777777" w:rsidTr="00B70F4A">
        <w:tc>
          <w:tcPr>
            <w:tcW w:w="2836" w:type="dxa"/>
            <w:tcBorders>
              <w:top w:val="single" w:sz="4" w:space="0" w:color="auto"/>
              <w:left w:val="single" w:sz="4" w:space="0" w:color="auto"/>
              <w:bottom w:val="single" w:sz="4" w:space="0" w:color="auto"/>
              <w:right w:val="single" w:sz="4" w:space="0" w:color="auto"/>
            </w:tcBorders>
          </w:tcPr>
          <w:p w14:paraId="6BBA2F60" w14:textId="77777777" w:rsidR="00613F89" w:rsidRPr="006711CF" w:rsidRDefault="00613F89" w:rsidP="006711CF">
            <w:pPr>
              <w:pStyle w:val="Normal-pool"/>
              <w:spacing w:before="40" w:after="40"/>
              <w:rPr>
                <w:sz w:val="18"/>
                <w:szCs w:val="18"/>
              </w:rPr>
            </w:pPr>
            <w:r w:rsidRPr="006711CF">
              <w:rPr>
                <w:spacing w:val="15"/>
                <w:sz w:val="18"/>
                <w:szCs w:val="18"/>
              </w:rPr>
              <w:t>UNEP/MC/COP.2/INF/14</w:t>
            </w:r>
          </w:p>
        </w:tc>
        <w:tc>
          <w:tcPr>
            <w:tcW w:w="1304" w:type="dxa"/>
            <w:tcBorders>
              <w:top w:val="single" w:sz="4" w:space="0" w:color="auto"/>
              <w:left w:val="single" w:sz="4" w:space="0" w:color="auto"/>
              <w:bottom w:val="single" w:sz="4" w:space="0" w:color="auto"/>
              <w:right w:val="single" w:sz="4" w:space="0" w:color="auto"/>
            </w:tcBorders>
          </w:tcPr>
          <w:p w14:paraId="60B86F7B" w14:textId="77777777" w:rsidR="00613F89" w:rsidRPr="006711CF" w:rsidRDefault="00613F89" w:rsidP="006711CF">
            <w:pPr>
              <w:pStyle w:val="Normal-pool"/>
              <w:spacing w:before="40" w:after="40"/>
              <w:rPr>
                <w:sz w:val="18"/>
                <w:szCs w:val="18"/>
              </w:rPr>
            </w:pPr>
            <w:r w:rsidRPr="006711CF">
              <w:rPr>
                <w:sz w:val="18"/>
                <w:szCs w:val="18"/>
              </w:rPr>
              <w:t>6</w:t>
            </w:r>
          </w:p>
        </w:tc>
        <w:tc>
          <w:tcPr>
            <w:tcW w:w="5096" w:type="dxa"/>
            <w:tcBorders>
              <w:top w:val="single" w:sz="4" w:space="0" w:color="auto"/>
              <w:left w:val="single" w:sz="4" w:space="0" w:color="auto"/>
              <w:bottom w:val="single" w:sz="4" w:space="0" w:color="auto"/>
              <w:right w:val="single" w:sz="4" w:space="0" w:color="auto"/>
            </w:tcBorders>
          </w:tcPr>
          <w:p w14:paraId="1E99BA65" w14:textId="77777777" w:rsidR="00613F89" w:rsidRPr="006711CF" w:rsidRDefault="00613F89" w:rsidP="006711CF">
            <w:pPr>
              <w:pStyle w:val="Normal-pool"/>
              <w:spacing w:before="40" w:after="40"/>
              <w:rPr>
                <w:sz w:val="18"/>
                <w:szCs w:val="18"/>
              </w:rPr>
            </w:pPr>
            <w:r w:rsidRPr="006711CF">
              <w:rPr>
                <w:sz w:val="18"/>
                <w:szCs w:val="18"/>
              </w:rPr>
              <w:t>Update on the Strategic Approach to International Chemicals Management</w:t>
            </w:r>
          </w:p>
        </w:tc>
      </w:tr>
      <w:tr w:rsidR="00613F89" w:rsidRPr="004622E3" w14:paraId="3F6F0583" w14:textId="77777777" w:rsidTr="00B70F4A">
        <w:tc>
          <w:tcPr>
            <w:tcW w:w="2836" w:type="dxa"/>
            <w:tcBorders>
              <w:top w:val="single" w:sz="4" w:space="0" w:color="auto"/>
              <w:left w:val="single" w:sz="4" w:space="0" w:color="auto"/>
              <w:bottom w:val="single" w:sz="4" w:space="0" w:color="auto"/>
              <w:right w:val="single" w:sz="4" w:space="0" w:color="auto"/>
            </w:tcBorders>
          </w:tcPr>
          <w:p w14:paraId="648E0209" w14:textId="77777777" w:rsidR="00613F89" w:rsidRPr="006711CF" w:rsidRDefault="00613F89" w:rsidP="006711CF">
            <w:pPr>
              <w:pStyle w:val="Normal-pool"/>
              <w:spacing w:before="40" w:after="40"/>
              <w:rPr>
                <w:sz w:val="18"/>
                <w:szCs w:val="18"/>
              </w:rPr>
            </w:pPr>
            <w:r w:rsidRPr="006711CF">
              <w:rPr>
                <w:spacing w:val="15"/>
                <w:sz w:val="18"/>
                <w:szCs w:val="18"/>
              </w:rPr>
              <w:t>UNEP/MC/COP.2/INF/15</w:t>
            </w:r>
          </w:p>
        </w:tc>
        <w:tc>
          <w:tcPr>
            <w:tcW w:w="1304" w:type="dxa"/>
            <w:tcBorders>
              <w:top w:val="single" w:sz="4" w:space="0" w:color="auto"/>
              <w:left w:val="single" w:sz="4" w:space="0" w:color="auto"/>
              <w:bottom w:val="single" w:sz="4" w:space="0" w:color="auto"/>
              <w:right w:val="single" w:sz="4" w:space="0" w:color="auto"/>
            </w:tcBorders>
          </w:tcPr>
          <w:p w14:paraId="36F108C2" w14:textId="2F4C47E7" w:rsidR="00613F89" w:rsidRPr="006711CF" w:rsidRDefault="00613F89" w:rsidP="006711CF">
            <w:pPr>
              <w:pStyle w:val="Normal-pool"/>
              <w:spacing w:before="40" w:after="40"/>
              <w:rPr>
                <w:sz w:val="18"/>
                <w:szCs w:val="18"/>
              </w:rPr>
            </w:pPr>
            <w:r w:rsidRPr="006711CF">
              <w:rPr>
                <w:spacing w:val="15"/>
                <w:sz w:val="18"/>
                <w:szCs w:val="18"/>
              </w:rPr>
              <w:t>5</w:t>
            </w:r>
            <w:r w:rsidR="00391EC7">
              <w:rPr>
                <w:spacing w:val="15"/>
                <w:sz w:val="18"/>
                <w:szCs w:val="18"/>
              </w:rPr>
              <w:t xml:space="preserve"> </w:t>
            </w:r>
            <w:r w:rsidRPr="006711CF">
              <w:rPr>
                <w:spacing w:val="15"/>
                <w:sz w:val="18"/>
                <w:szCs w:val="18"/>
              </w:rPr>
              <w:t>(i)</w:t>
            </w:r>
          </w:p>
        </w:tc>
        <w:tc>
          <w:tcPr>
            <w:tcW w:w="5096" w:type="dxa"/>
            <w:tcBorders>
              <w:top w:val="single" w:sz="4" w:space="0" w:color="auto"/>
              <w:left w:val="single" w:sz="4" w:space="0" w:color="auto"/>
              <w:bottom w:val="single" w:sz="4" w:space="0" w:color="auto"/>
              <w:right w:val="single" w:sz="4" w:space="0" w:color="auto"/>
            </w:tcBorders>
          </w:tcPr>
          <w:p w14:paraId="57E9CD1F" w14:textId="3A112F1F" w:rsidR="00613F89" w:rsidRPr="006711CF" w:rsidRDefault="00613F89" w:rsidP="006711CF">
            <w:pPr>
              <w:pStyle w:val="Normal-pool"/>
              <w:spacing w:before="40" w:after="40"/>
              <w:rPr>
                <w:sz w:val="18"/>
                <w:szCs w:val="18"/>
              </w:rPr>
            </w:pPr>
            <w:r w:rsidRPr="006711CF">
              <w:rPr>
                <w:sz w:val="18"/>
                <w:szCs w:val="18"/>
              </w:rPr>
              <w:t>Compilation of comments submitted on the draft report of the ad</w:t>
            </w:r>
            <w:r w:rsidR="00ED3CE4">
              <w:rPr>
                <w:sz w:val="18"/>
                <w:szCs w:val="18"/>
              </w:rPr>
              <w:t xml:space="preserve"> </w:t>
            </w:r>
            <w:r w:rsidRPr="006711CF">
              <w:rPr>
                <w:sz w:val="18"/>
                <w:szCs w:val="18"/>
              </w:rPr>
              <w:t>hoc group of experts on effectiveness evaluation</w:t>
            </w:r>
          </w:p>
        </w:tc>
      </w:tr>
      <w:tr w:rsidR="00613F89" w:rsidRPr="004622E3" w14:paraId="3275E8FA" w14:textId="77777777" w:rsidTr="00B70F4A">
        <w:tc>
          <w:tcPr>
            <w:tcW w:w="2836" w:type="dxa"/>
            <w:tcBorders>
              <w:top w:val="single" w:sz="4" w:space="0" w:color="auto"/>
              <w:left w:val="single" w:sz="4" w:space="0" w:color="auto"/>
              <w:bottom w:val="single" w:sz="4" w:space="0" w:color="auto"/>
              <w:right w:val="single" w:sz="4" w:space="0" w:color="auto"/>
            </w:tcBorders>
          </w:tcPr>
          <w:p w14:paraId="213357F8" w14:textId="77777777" w:rsidR="00613F89" w:rsidRPr="006711CF" w:rsidRDefault="00613F89" w:rsidP="006711CF">
            <w:pPr>
              <w:pStyle w:val="Normal-pool"/>
              <w:spacing w:before="40" w:after="40"/>
              <w:rPr>
                <w:sz w:val="18"/>
                <w:szCs w:val="18"/>
              </w:rPr>
            </w:pPr>
            <w:r w:rsidRPr="006711CF">
              <w:rPr>
                <w:spacing w:val="15"/>
                <w:sz w:val="18"/>
                <w:szCs w:val="18"/>
              </w:rPr>
              <w:t>UNEP/MC/COP.2/INF/16</w:t>
            </w:r>
          </w:p>
        </w:tc>
        <w:tc>
          <w:tcPr>
            <w:tcW w:w="1304" w:type="dxa"/>
            <w:tcBorders>
              <w:top w:val="single" w:sz="4" w:space="0" w:color="auto"/>
              <w:left w:val="single" w:sz="4" w:space="0" w:color="auto"/>
              <w:bottom w:val="single" w:sz="4" w:space="0" w:color="auto"/>
              <w:right w:val="single" w:sz="4" w:space="0" w:color="auto"/>
            </w:tcBorders>
          </w:tcPr>
          <w:p w14:paraId="49C295B7" w14:textId="704781D7" w:rsidR="00613F89" w:rsidRPr="006711CF" w:rsidRDefault="00613F89" w:rsidP="006711CF">
            <w:pPr>
              <w:pStyle w:val="Normal-pool"/>
              <w:spacing w:before="40" w:after="40"/>
              <w:rPr>
                <w:spacing w:val="15"/>
                <w:sz w:val="18"/>
                <w:szCs w:val="18"/>
              </w:rPr>
            </w:pPr>
            <w:r w:rsidRPr="006711CF">
              <w:rPr>
                <w:spacing w:val="15"/>
                <w:sz w:val="18"/>
                <w:szCs w:val="18"/>
              </w:rPr>
              <w:t>5</w:t>
            </w:r>
            <w:r w:rsidR="00391EC7">
              <w:rPr>
                <w:spacing w:val="15"/>
                <w:sz w:val="18"/>
                <w:szCs w:val="18"/>
              </w:rPr>
              <w:t xml:space="preserve"> </w:t>
            </w:r>
            <w:r w:rsidRPr="006711CF">
              <w:rPr>
                <w:spacing w:val="15"/>
                <w:sz w:val="18"/>
                <w:szCs w:val="18"/>
              </w:rPr>
              <w:t>(e)</w:t>
            </w:r>
            <w:r w:rsidR="00391EC7">
              <w:rPr>
                <w:spacing w:val="15"/>
                <w:sz w:val="18"/>
                <w:szCs w:val="18"/>
              </w:rPr>
              <w:t xml:space="preserve"> </w:t>
            </w:r>
            <w:r w:rsidRPr="006711CF">
              <w:rPr>
                <w:spacing w:val="15"/>
                <w:sz w:val="18"/>
                <w:szCs w:val="18"/>
              </w:rPr>
              <w:t>(ii)</w:t>
            </w:r>
          </w:p>
        </w:tc>
        <w:tc>
          <w:tcPr>
            <w:tcW w:w="5096" w:type="dxa"/>
            <w:tcBorders>
              <w:top w:val="single" w:sz="4" w:space="0" w:color="auto"/>
              <w:left w:val="single" w:sz="4" w:space="0" w:color="auto"/>
              <w:bottom w:val="single" w:sz="4" w:space="0" w:color="auto"/>
              <w:right w:val="single" w:sz="4" w:space="0" w:color="auto"/>
            </w:tcBorders>
          </w:tcPr>
          <w:p w14:paraId="48F67867" w14:textId="77777777" w:rsidR="00613F89" w:rsidRPr="006711CF" w:rsidRDefault="00613F89" w:rsidP="006711CF">
            <w:pPr>
              <w:pStyle w:val="Normal-pool"/>
              <w:spacing w:before="40" w:after="40"/>
              <w:rPr>
                <w:sz w:val="18"/>
                <w:szCs w:val="18"/>
              </w:rPr>
            </w:pPr>
            <w:r w:rsidRPr="006711CF">
              <w:rPr>
                <w:sz w:val="18"/>
                <w:szCs w:val="18"/>
              </w:rPr>
              <w:t>Application guidelines for the first round of applications to the Specific International Programme to Support Capacity-building and Technical Assistance</w:t>
            </w:r>
          </w:p>
        </w:tc>
      </w:tr>
      <w:tr w:rsidR="00613F89" w:rsidRPr="004622E3" w14:paraId="64296A96" w14:textId="77777777" w:rsidTr="00B70F4A">
        <w:tc>
          <w:tcPr>
            <w:tcW w:w="2836" w:type="dxa"/>
            <w:tcBorders>
              <w:top w:val="single" w:sz="4" w:space="0" w:color="auto"/>
              <w:left w:val="single" w:sz="4" w:space="0" w:color="auto"/>
              <w:bottom w:val="single" w:sz="4" w:space="0" w:color="auto"/>
              <w:right w:val="single" w:sz="4" w:space="0" w:color="auto"/>
            </w:tcBorders>
          </w:tcPr>
          <w:p w14:paraId="70778553" w14:textId="77777777" w:rsidR="00613F89" w:rsidRPr="006711CF" w:rsidRDefault="00613F89" w:rsidP="006711CF">
            <w:pPr>
              <w:pStyle w:val="Normal-pool"/>
              <w:spacing w:before="40" w:after="40"/>
              <w:rPr>
                <w:sz w:val="18"/>
                <w:szCs w:val="18"/>
              </w:rPr>
            </w:pPr>
            <w:r w:rsidRPr="006711CF">
              <w:rPr>
                <w:spacing w:val="15"/>
                <w:sz w:val="18"/>
                <w:szCs w:val="18"/>
              </w:rPr>
              <w:t>UNEP/MC/COP.2/INF/17</w:t>
            </w:r>
          </w:p>
        </w:tc>
        <w:tc>
          <w:tcPr>
            <w:tcW w:w="1304" w:type="dxa"/>
            <w:tcBorders>
              <w:top w:val="single" w:sz="4" w:space="0" w:color="auto"/>
              <w:left w:val="single" w:sz="4" w:space="0" w:color="auto"/>
              <w:bottom w:val="single" w:sz="4" w:space="0" w:color="auto"/>
              <w:right w:val="single" w:sz="4" w:space="0" w:color="auto"/>
            </w:tcBorders>
          </w:tcPr>
          <w:p w14:paraId="3442BE6F" w14:textId="77777777" w:rsidR="00613F89" w:rsidRPr="006711CF" w:rsidRDefault="00613F89" w:rsidP="006711CF">
            <w:pPr>
              <w:pStyle w:val="Normal-pool"/>
              <w:spacing w:before="40" w:after="40"/>
              <w:rPr>
                <w:sz w:val="18"/>
                <w:szCs w:val="18"/>
              </w:rPr>
            </w:pPr>
            <w:r w:rsidRPr="006711CF">
              <w:rPr>
                <w:sz w:val="18"/>
                <w:szCs w:val="18"/>
              </w:rPr>
              <w:t>5 (h)</w:t>
            </w:r>
          </w:p>
        </w:tc>
        <w:tc>
          <w:tcPr>
            <w:tcW w:w="5096" w:type="dxa"/>
            <w:tcBorders>
              <w:top w:val="single" w:sz="4" w:space="0" w:color="auto"/>
              <w:left w:val="single" w:sz="4" w:space="0" w:color="auto"/>
              <w:bottom w:val="single" w:sz="4" w:space="0" w:color="auto"/>
              <w:right w:val="single" w:sz="4" w:space="0" w:color="auto"/>
            </w:tcBorders>
          </w:tcPr>
          <w:p w14:paraId="7F9076C5" w14:textId="77777777" w:rsidR="00613F89" w:rsidRPr="006711CF" w:rsidRDefault="00613F89" w:rsidP="006711CF">
            <w:pPr>
              <w:pStyle w:val="Normal-pool"/>
              <w:spacing w:before="40" w:after="40"/>
              <w:rPr>
                <w:sz w:val="18"/>
                <w:szCs w:val="18"/>
                <w:lang w:val="en-US"/>
              </w:rPr>
            </w:pPr>
            <w:r w:rsidRPr="006711CF">
              <w:rPr>
                <w:sz w:val="18"/>
                <w:szCs w:val="18"/>
                <w:lang w:val="en-US"/>
              </w:rPr>
              <w:t>Addressing health aspects in the context of developing national action plans under the Minamata Convention on Mercury</w:t>
            </w:r>
          </w:p>
        </w:tc>
      </w:tr>
      <w:tr w:rsidR="00613F89" w:rsidRPr="004622E3" w14:paraId="42283484" w14:textId="77777777" w:rsidTr="00B70F4A">
        <w:tc>
          <w:tcPr>
            <w:tcW w:w="2836" w:type="dxa"/>
            <w:tcBorders>
              <w:top w:val="single" w:sz="4" w:space="0" w:color="auto"/>
              <w:left w:val="single" w:sz="4" w:space="0" w:color="auto"/>
              <w:bottom w:val="single" w:sz="4" w:space="0" w:color="auto"/>
              <w:right w:val="single" w:sz="4" w:space="0" w:color="auto"/>
            </w:tcBorders>
          </w:tcPr>
          <w:p w14:paraId="23EAE29F" w14:textId="77777777" w:rsidR="00613F89" w:rsidRPr="006711CF" w:rsidRDefault="00613F89" w:rsidP="006711CF">
            <w:pPr>
              <w:pStyle w:val="Normal-pool"/>
              <w:spacing w:before="40" w:after="40"/>
              <w:rPr>
                <w:sz w:val="18"/>
                <w:szCs w:val="18"/>
              </w:rPr>
            </w:pPr>
            <w:r w:rsidRPr="006711CF">
              <w:rPr>
                <w:spacing w:val="15"/>
                <w:sz w:val="18"/>
                <w:szCs w:val="18"/>
              </w:rPr>
              <w:t>UNEP/MC/COP.2/INF/18</w:t>
            </w:r>
          </w:p>
        </w:tc>
        <w:tc>
          <w:tcPr>
            <w:tcW w:w="1304" w:type="dxa"/>
            <w:tcBorders>
              <w:top w:val="single" w:sz="4" w:space="0" w:color="auto"/>
              <w:left w:val="single" w:sz="4" w:space="0" w:color="auto"/>
              <w:bottom w:val="single" w:sz="4" w:space="0" w:color="auto"/>
              <w:right w:val="single" w:sz="4" w:space="0" w:color="auto"/>
            </w:tcBorders>
          </w:tcPr>
          <w:p w14:paraId="0504B758" w14:textId="4DFF8A7A" w:rsidR="00613F89" w:rsidRPr="006711CF" w:rsidRDefault="00AA2110" w:rsidP="006711CF">
            <w:pPr>
              <w:pStyle w:val="Normal-pool"/>
              <w:spacing w:before="40" w:after="40"/>
              <w:rPr>
                <w:spacing w:val="15"/>
                <w:sz w:val="18"/>
                <w:szCs w:val="18"/>
              </w:rPr>
            </w:pPr>
            <w:r>
              <w:rPr>
                <w:spacing w:val="15"/>
                <w:sz w:val="18"/>
                <w:szCs w:val="18"/>
              </w:rPr>
              <w:t>4</w:t>
            </w:r>
          </w:p>
        </w:tc>
        <w:tc>
          <w:tcPr>
            <w:tcW w:w="5096" w:type="dxa"/>
            <w:tcBorders>
              <w:top w:val="single" w:sz="4" w:space="0" w:color="auto"/>
              <w:left w:val="single" w:sz="4" w:space="0" w:color="auto"/>
              <w:bottom w:val="single" w:sz="4" w:space="0" w:color="auto"/>
              <w:right w:val="single" w:sz="4" w:space="0" w:color="auto"/>
            </w:tcBorders>
          </w:tcPr>
          <w:p w14:paraId="20FA6CAF" w14:textId="77777777" w:rsidR="00613F89" w:rsidRPr="006711CF" w:rsidRDefault="00613F89" w:rsidP="006711CF">
            <w:pPr>
              <w:pStyle w:val="Normal-pool"/>
              <w:spacing w:before="40" w:after="40"/>
              <w:rPr>
                <w:sz w:val="18"/>
                <w:szCs w:val="18"/>
              </w:rPr>
            </w:pPr>
            <w:r w:rsidRPr="006711CF">
              <w:rPr>
                <w:sz w:val="18"/>
                <w:szCs w:val="18"/>
              </w:rPr>
              <w:t>Status of ratification of the Minamata Convention on Mercury as at 18 September 2018</w:t>
            </w:r>
          </w:p>
        </w:tc>
      </w:tr>
      <w:tr w:rsidR="00613F89" w:rsidRPr="004622E3" w14:paraId="21E2C4C5" w14:textId="77777777" w:rsidTr="00B70F4A">
        <w:tc>
          <w:tcPr>
            <w:tcW w:w="2836" w:type="dxa"/>
            <w:tcBorders>
              <w:top w:val="single" w:sz="4" w:space="0" w:color="auto"/>
              <w:left w:val="single" w:sz="4" w:space="0" w:color="auto"/>
              <w:bottom w:val="single" w:sz="4" w:space="0" w:color="auto"/>
              <w:right w:val="single" w:sz="4" w:space="0" w:color="auto"/>
            </w:tcBorders>
          </w:tcPr>
          <w:p w14:paraId="1B73759C" w14:textId="77777777" w:rsidR="00613F89" w:rsidRPr="006711CF" w:rsidRDefault="00613F89" w:rsidP="006711CF">
            <w:pPr>
              <w:pStyle w:val="Normal-pool"/>
              <w:spacing w:before="40" w:after="40"/>
              <w:rPr>
                <w:spacing w:val="15"/>
                <w:sz w:val="18"/>
                <w:szCs w:val="18"/>
              </w:rPr>
            </w:pPr>
            <w:r w:rsidRPr="006711CF">
              <w:rPr>
                <w:spacing w:val="15"/>
                <w:sz w:val="18"/>
                <w:szCs w:val="18"/>
              </w:rPr>
              <w:t>UNEP/MC/COP.2/INF/19</w:t>
            </w:r>
          </w:p>
        </w:tc>
        <w:tc>
          <w:tcPr>
            <w:tcW w:w="1304" w:type="dxa"/>
            <w:tcBorders>
              <w:top w:val="single" w:sz="4" w:space="0" w:color="auto"/>
              <w:left w:val="single" w:sz="4" w:space="0" w:color="auto"/>
              <w:bottom w:val="single" w:sz="4" w:space="0" w:color="auto"/>
              <w:right w:val="single" w:sz="4" w:space="0" w:color="auto"/>
            </w:tcBorders>
          </w:tcPr>
          <w:p w14:paraId="3773AA5A" w14:textId="61880057" w:rsidR="00613F89" w:rsidRPr="006711CF" w:rsidRDefault="009C7330" w:rsidP="006711CF">
            <w:pPr>
              <w:pStyle w:val="Normal-pool"/>
              <w:spacing w:before="40" w:after="40"/>
              <w:rPr>
                <w:spacing w:val="15"/>
                <w:sz w:val="18"/>
                <w:szCs w:val="18"/>
              </w:rPr>
            </w:pPr>
            <w:r>
              <w:rPr>
                <w:spacing w:val="15"/>
                <w:sz w:val="18"/>
                <w:szCs w:val="18"/>
              </w:rPr>
              <w:t>2</w:t>
            </w:r>
            <w:r w:rsidR="00391EC7">
              <w:rPr>
                <w:spacing w:val="15"/>
                <w:sz w:val="18"/>
                <w:szCs w:val="18"/>
              </w:rPr>
              <w:t xml:space="preserve"> </w:t>
            </w:r>
            <w:r w:rsidR="00613F89" w:rsidRPr="006711CF">
              <w:rPr>
                <w:spacing w:val="15"/>
                <w:sz w:val="18"/>
                <w:szCs w:val="18"/>
              </w:rPr>
              <w:t>(</w:t>
            </w:r>
            <w:r>
              <w:rPr>
                <w:spacing w:val="15"/>
                <w:sz w:val="18"/>
                <w:szCs w:val="18"/>
              </w:rPr>
              <w:t>c</w:t>
            </w:r>
            <w:r w:rsidR="00613F89" w:rsidRPr="006711CF">
              <w:rPr>
                <w:spacing w:val="15"/>
                <w:sz w:val="18"/>
                <w:szCs w:val="18"/>
              </w:rPr>
              <w:t xml:space="preserve">) </w:t>
            </w:r>
          </w:p>
        </w:tc>
        <w:tc>
          <w:tcPr>
            <w:tcW w:w="5096" w:type="dxa"/>
            <w:tcBorders>
              <w:top w:val="single" w:sz="4" w:space="0" w:color="auto"/>
              <w:left w:val="single" w:sz="4" w:space="0" w:color="auto"/>
              <w:bottom w:val="single" w:sz="4" w:space="0" w:color="auto"/>
              <w:right w:val="single" w:sz="4" w:space="0" w:color="auto"/>
            </w:tcBorders>
          </w:tcPr>
          <w:p w14:paraId="6B5B1FE0" w14:textId="48F94753" w:rsidR="00613F89" w:rsidRPr="006711CF" w:rsidRDefault="00613F89" w:rsidP="006711CF">
            <w:pPr>
              <w:pStyle w:val="Normal-pool"/>
              <w:spacing w:before="40" w:after="40"/>
              <w:rPr>
                <w:sz w:val="18"/>
                <w:szCs w:val="18"/>
              </w:rPr>
            </w:pPr>
            <w:r w:rsidRPr="006711CF">
              <w:rPr>
                <w:sz w:val="18"/>
                <w:szCs w:val="18"/>
              </w:rPr>
              <w:t xml:space="preserve">Admission of observers: bodies or agencies </w:t>
            </w:r>
            <w:r w:rsidR="00CB7085">
              <w:rPr>
                <w:sz w:val="18"/>
                <w:szCs w:val="18"/>
              </w:rPr>
              <w:t xml:space="preserve">having </w:t>
            </w:r>
            <w:r w:rsidRPr="006711CF">
              <w:rPr>
                <w:sz w:val="18"/>
                <w:szCs w:val="18"/>
              </w:rPr>
              <w:t>request</w:t>
            </w:r>
            <w:r w:rsidR="00CB7085">
              <w:rPr>
                <w:sz w:val="18"/>
                <w:szCs w:val="18"/>
              </w:rPr>
              <w:t>ed</w:t>
            </w:r>
            <w:r w:rsidRPr="006711CF">
              <w:rPr>
                <w:sz w:val="18"/>
                <w:szCs w:val="18"/>
              </w:rPr>
              <w:t xml:space="preserve"> admission to participate </w:t>
            </w:r>
            <w:r w:rsidR="00CB7085">
              <w:rPr>
                <w:sz w:val="18"/>
                <w:szCs w:val="18"/>
              </w:rPr>
              <w:t xml:space="preserve">as observers </w:t>
            </w:r>
            <w:r w:rsidRPr="006711CF">
              <w:rPr>
                <w:sz w:val="18"/>
                <w:szCs w:val="18"/>
              </w:rPr>
              <w:t xml:space="preserve">in </w:t>
            </w:r>
            <w:r w:rsidR="00CB7085">
              <w:rPr>
                <w:sz w:val="18"/>
                <w:szCs w:val="18"/>
              </w:rPr>
              <w:t xml:space="preserve">the second </w:t>
            </w:r>
            <w:r w:rsidRPr="006711CF">
              <w:rPr>
                <w:sz w:val="18"/>
                <w:szCs w:val="18"/>
              </w:rPr>
              <w:t>meeting of the Conference of the Parties to the Minamata Convention on Mercury</w:t>
            </w:r>
          </w:p>
        </w:tc>
      </w:tr>
      <w:tr w:rsidR="00613F89" w:rsidRPr="004622E3" w14:paraId="53F9E4AB" w14:textId="77777777" w:rsidTr="00B70F4A">
        <w:tc>
          <w:tcPr>
            <w:tcW w:w="2836" w:type="dxa"/>
            <w:tcBorders>
              <w:top w:val="single" w:sz="4" w:space="0" w:color="auto"/>
              <w:left w:val="single" w:sz="4" w:space="0" w:color="auto"/>
              <w:bottom w:val="single" w:sz="4" w:space="0" w:color="auto"/>
              <w:right w:val="single" w:sz="4" w:space="0" w:color="auto"/>
            </w:tcBorders>
          </w:tcPr>
          <w:p w14:paraId="13A37EBA" w14:textId="77777777" w:rsidR="00613F89" w:rsidRPr="006711CF" w:rsidRDefault="00613F89" w:rsidP="006711CF">
            <w:pPr>
              <w:pStyle w:val="Normal-pool"/>
              <w:spacing w:before="40" w:after="40"/>
              <w:rPr>
                <w:spacing w:val="15"/>
                <w:sz w:val="18"/>
                <w:szCs w:val="18"/>
              </w:rPr>
            </w:pPr>
            <w:r w:rsidRPr="006711CF">
              <w:rPr>
                <w:spacing w:val="15"/>
                <w:sz w:val="18"/>
                <w:szCs w:val="18"/>
              </w:rPr>
              <w:t>UNEP/MC/COP.2/INF/20</w:t>
            </w:r>
          </w:p>
        </w:tc>
        <w:tc>
          <w:tcPr>
            <w:tcW w:w="1304" w:type="dxa"/>
            <w:tcBorders>
              <w:top w:val="single" w:sz="4" w:space="0" w:color="auto"/>
              <w:left w:val="single" w:sz="4" w:space="0" w:color="auto"/>
              <w:bottom w:val="single" w:sz="4" w:space="0" w:color="auto"/>
              <w:right w:val="single" w:sz="4" w:space="0" w:color="auto"/>
            </w:tcBorders>
          </w:tcPr>
          <w:p w14:paraId="02417227" w14:textId="02D4E085" w:rsidR="00613F89" w:rsidRPr="006711CF" w:rsidRDefault="00AA2110" w:rsidP="006711CF">
            <w:pPr>
              <w:pStyle w:val="Normal-pool"/>
              <w:spacing w:before="40" w:after="40"/>
              <w:rPr>
                <w:spacing w:val="15"/>
                <w:sz w:val="18"/>
                <w:szCs w:val="18"/>
              </w:rPr>
            </w:pPr>
            <w:r>
              <w:rPr>
                <w:spacing w:val="15"/>
                <w:sz w:val="18"/>
                <w:szCs w:val="18"/>
              </w:rPr>
              <w:t>5</w:t>
            </w:r>
            <w:r w:rsidR="00391EC7">
              <w:rPr>
                <w:spacing w:val="15"/>
                <w:sz w:val="18"/>
                <w:szCs w:val="18"/>
              </w:rPr>
              <w:t xml:space="preserve"> </w:t>
            </w:r>
            <w:r w:rsidR="00613F89" w:rsidRPr="006711CF">
              <w:rPr>
                <w:spacing w:val="15"/>
                <w:sz w:val="18"/>
                <w:szCs w:val="18"/>
              </w:rPr>
              <w:t>(</w:t>
            </w:r>
            <w:r>
              <w:rPr>
                <w:spacing w:val="15"/>
                <w:sz w:val="18"/>
                <w:szCs w:val="18"/>
              </w:rPr>
              <w:t>h</w:t>
            </w:r>
            <w:r w:rsidR="00613F89" w:rsidRPr="006711CF">
              <w:rPr>
                <w:spacing w:val="15"/>
                <w:sz w:val="18"/>
                <w:szCs w:val="18"/>
              </w:rPr>
              <w:t>)</w:t>
            </w:r>
          </w:p>
        </w:tc>
        <w:tc>
          <w:tcPr>
            <w:tcW w:w="5096" w:type="dxa"/>
            <w:tcBorders>
              <w:top w:val="single" w:sz="4" w:space="0" w:color="auto"/>
              <w:left w:val="single" w:sz="4" w:space="0" w:color="auto"/>
              <w:bottom w:val="single" w:sz="4" w:space="0" w:color="auto"/>
              <w:right w:val="single" w:sz="4" w:space="0" w:color="auto"/>
            </w:tcBorders>
          </w:tcPr>
          <w:p w14:paraId="23C4E7B6" w14:textId="4D6D3D14" w:rsidR="00613F89" w:rsidRPr="006711CF" w:rsidRDefault="00AA2110" w:rsidP="006711CF">
            <w:pPr>
              <w:pStyle w:val="Normal-pool"/>
              <w:spacing w:before="40" w:after="40"/>
              <w:rPr>
                <w:sz w:val="18"/>
                <w:szCs w:val="18"/>
              </w:rPr>
            </w:pPr>
            <w:r w:rsidRPr="006711CF">
              <w:rPr>
                <w:sz w:val="18"/>
                <w:szCs w:val="18"/>
              </w:rPr>
              <w:t xml:space="preserve"> Work of the International Labour Organization relevant to the Minamata Convention on Mercury in 2017 and 2018</w:t>
            </w:r>
          </w:p>
        </w:tc>
      </w:tr>
    </w:tbl>
    <w:p w14:paraId="79C9002B" w14:textId="77777777" w:rsidR="008522F1" w:rsidRDefault="008522F1" w:rsidP="008522F1">
      <w:pPr>
        <w:pStyle w:val="Normal-pool"/>
        <w:rPr>
          <w:lang w:val="en-US"/>
        </w:rPr>
        <w:sectPr w:rsidR="008522F1" w:rsidSect="008522F1">
          <w:headerReference w:type="even" r:id="rId11"/>
          <w:headerReference w:type="default" r:id="rId12"/>
          <w:footerReference w:type="even" r:id="rId13"/>
          <w:footerReference w:type="default" r:id="rId14"/>
          <w:headerReference w:type="first" r:id="rId15"/>
          <w:footerReference w:type="first" r:id="rId16"/>
          <w:pgSz w:w="11906" w:h="16838" w:code="9"/>
          <w:pgMar w:top="907" w:right="992" w:bottom="1418" w:left="1418" w:header="539" w:footer="975" w:gutter="0"/>
          <w:cols w:space="539"/>
          <w:titlePg/>
          <w:docGrid w:linePitch="360"/>
        </w:sectPr>
      </w:pPr>
    </w:p>
    <w:p w14:paraId="34C663C4" w14:textId="03FFE78C" w:rsidR="00613F89" w:rsidRPr="008A23C9" w:rsidRDefault="00613F89" w:rsidP="00613F89">
      <w:pPr>
        <w:pStyle w:val="ZZAnxheader"/>
        <w:rPr>
          <w:lang w:val="en-US"/>
        </w:rPr>
      </w:pPr>
      <w:r w:rsidRPr="008A23C9">
        <w:rPr>
          <w:lang w:val="en-US"/>
        </w:rPr>
        <w:lastRenderedPageBreak/>
        <w:t>Annex</w:t>
      </w:r>
      <w:r>
        <w:rPr>
          <w:lang w:val="en-US"/>
        </w:rPr>
        <w:t xml:space="preserve"> II</w:t>
      </w:r>
    </w:p>
    <w:p w14:paraId="39EE2268" w14:textId="0F93F80D" w:rsidR="00613F89" w:rsidRPr="005C47A5" w:rsidRDefault="00613F89" w:rsidP="006711CF">
      <w:pPr>
        <w:pStyle w:val="ZZAnxtitle"/>
      </w:pPr>
      <w:r w:rsidRPr="005C47A5">
        <w:t>List of additional relevant background documents</w:t>
      </w:r>
      <w:r w:rsidRPr="005C47A5" w:rsidDel="00ED7766">
        <w:t xml:space="preserve"> </w:t>
      </w:r>
    </w:p>
    <w:p w14:paraId="54761C69" w14:textId="3A9FB522" w:rsidR="00613F89" w:rsidRDefault="00613F89" w:rsidP="00E9762F">
      <w:pPr>
        <w:pStyle w:val="Normal-pool"/>
        <w:tabs>
          <w:tab w:val="clear" w:pos="1247"/>
          <w:tab w:val="clear" w:pos="1814"/>
          <w:tab w:val="clear" w:pos="2381"/>
          <w:tab w:val="clear" w:pos="3515"/>
          <w:tab w:val="clear" w:pos="4082"/>
        </w:tabs>
        <w:spacing w:after="120"/>
        <w:ind w:left="1247"/>
      </w:pPr>
      <w:r>
        <w:t xml:space="preserve">The </w:t>
      </w:r>
      <w:r w:rsidR="00391EC7">
        <w:t>following</w:t>
      </w:r>
      <w:r>
        <w:t xml:space="preserve"> list complements the lists of documents set out in document UNEP/MC/COP.1/INF/1.</w:t>
      </w:r>
    </w:p>
    <w:p w14:paraId="19A7B765" w14:textId="77777777" w:rsidR="00613F89" w:rsidRPr="007864E8" w:rsidRDefault="00613F89" w:rsidP="00E9762F">
      <w:pPr>
        <w:pStyle w:val="Normal-pool"/>
        <w:numPr>
          <w:ilvl w:val="0"/>
          <w:numId w:val="24"/>
        </w:numPr>
        <w:tabs>
          <w:tab w:val="clear" w:pos="1247"/>
          <w:tab w:val="clear" w:pos="1814"/>
          <w:tab w:val="clear" w:pos="2381"/>
          <w:tab w:val="clear" w:pos="2948"/>
          <w:tab w:val="clear" w:pos="3515"/>
          <w:tab w:val="clear" w:pos="4082"/>
          <w:tab w:val="left" w:pos="624"/>
        </w:tabs>
        <w:spacing w:before="240" w:after="120"/>
        <w:ind w:left="1248" w:hanging="624"/>
        <w:rPr>
          <w:b/>
          <w:bCs/>
        </w:rPr>
      </w:pPr>
      <w:r w:rsidRPr="007864E8">
        <w:rPr>
          <w:b/>
          <w:bCs/>
        </w:rPr>
        <w:t>Supply and trade</w:t>
      </w:r>
    </w:p>
    <w:p w14:paraId="52335C1B" w14:textId="77777777" w:rsidR="00613F89" w:rsidRPr="009B79F2"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rsidRPr="00303D7E">
        <w:rPr>
          <w:b/>
          <w:bCs/>
        </w:rPr>
        <w:t xml:space="preserve">Global Mercury Supply, Trade, and Demand, 2017, UN Environment </w:t>
      </w:r>
      <w:r w:rsidRPr="009B79F2">
        <w:t xml:space="preserve">(available in English at </w:t>
      </w:r>
      <w:hyperlink r:id="rId17" w:history="1">
        <w:r w:rsidRPr="009B79F2">
          <w:rPr>
            <w:rStyle w:val="Lienhypertexte"/>
            <w:lang w:val="en-US"/>
          </w:rPr>
          <w:t>http://wedocs.unep.org/bitstream/handle/20.500.11822/21725/global_mercury.pdf?sequence=1&amp;isAllowed=y</w:t>
        </w:r>
      </w:hyperlink>
      <w:r w:rsidRPr="009B79F2">
        <w:t>)</w:t>
      </w:r>
    </w:p>
    <w:p w14:paraId="17615D6A" w14:textId="77777777" w:rsidR="00613F89"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rsidRPr="00303D7E">
        <w:t>A good understanding of mercury supply, trade and demand is critical to effective implementation of the Convention. This report provides detailed and timely information on where mercury comes from, how it moves in commerce, and how it is used in products and industrial processes. To further facilitate informed decision-making, the report also evaluates data sources, discusses trends and identifies knowledge gaps.</w:t>
      </w:r>
    </w:p>
    <w:p w14:paraId="548E270B" w14:textId="77777777" w:rsidR="00613F89" w:rsidRPr="007864E8" w:rsidRDefault="00613F89" w:rsidP="00E9762F">
      <w:pPr>
        <w:pStyle w:val="Normal-pool"/>
        <w:numPr>
          <w:ilvl w:val="0"/>
          <w:numId w:val="24"/>
        </w:numPr>
        <w:tabs>
          <w:tab w:val="clear" w:pos="1247"/>
          <w:tab w:val="clear" w:pos="1814"/>
          <w:tab w:val="clear" w:pos="2381"/>
          <w:tab w:val="clear" w:pos="2948"/>
          <w:tab w:val="clear" w:pos="3515"/>
          <w:tab w:val="clear" w:pos="4082"/>
          <w:tab w:val="left" w:pos="624"/>
        </w:tabs>
        <w:spacing w:before="240" w:after="120"/>
        <w:ind w:left="1248" w:hanging="624"/>
        <w:rPr>
          <w:b/>
          <w:bCs/>
        </w:rPr>
      </w:pPr>
      <w:r>
        <w:rPr>
          <w:b/>
          <w:bCs/>
        </w:rPr>
        <w:t>Artisanal and small-scale gold mining</w:t>
      </w:r>
    </w:p>
    <w:p w14:paraId="6C7CB3AD" w14:textId="77777777" w:rsidR="00613F89" w:rsidRPr="009B79F2"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rsidRPr="00303D7E">
        <w:rPr>
          <w:b/>
          <w:bCs/>
        </w:rPr>
        <w:t>Developing a National Action Plan to Reduce, and Where Feasible, Eliminate Mercury Use in Artisanal and Small Scale Gold Mining</w:t>
      </w:r>
      <w:r>
        <w:rPr>
          <w:b/>
          <w:bCs/>
        </w:rPr>
        <w:t xml:space="preserve">, 2017, UN Environment </w:t>
      </w:r>
      <w:r w:rsidRPr="009B79F2">
        <w:t xml:space="preserve">(Available in English, French, Spanish and Russian at </w:t>
      </w:r>
      <w:hyperlink r:id="rId18" w:history="1">
        <w:r w:rsidRPr="009B79F2">
          <w:rPr>
            <w:rStyle w:val="Lienhypertexte"/>
            <w:lang w:val="en-US"/>
          </w:rPr>
          <w:t>http://web.unep.org/globalmercurypartnership/nap-starter-kit</w:t>
        </w:r>
      </w:hyperlink>
      <w:r w:rsidRPr="009B79F2">
        <w:t>)</w:t>
      </w:r>
    </w:p>
    <w:p w14:paraId="0705D628" w14:textId="77777777" w:rsidR="00613F89"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t xml:space="preserve">This document </w:t>
      </w:r>
      <w:r w:rsidRPr="00303D7E">
        <w:t>is intended to provide guidance to countries in formulating</w:t>
      </w:r>
      <w:r w:rsidRPr="00BD1537">
        <w:t xml:space="preserve"> Artisanal and Small Scale Gold Mining</w:t>
      </w:r>
      <w:r>
        <w:t xml:space="preserve"> (</w:t>
      </w:r>
      <w:r w:rsidRPr="00303D7E">
        <w:t>ASGM</w:t>
      </w:r>
      <w:r>
        <w:t>)</w:t>
      </w:r>
      <w:r w:rsidRPr="00303D7E">
        <w:t xml:space="preserve"> National Action Plans (NAPs) that are compliant with the requirements of the Minamata Convention. The document also provides technical, legal and policy information on issues related to ASGM, which may be useful when preparing and implementing the NAP. This guidance is indicative – the use of this document is not mandatory or a requirement under the Convention. The mandate for the development of this document comes from the Final Act of the Minamata Convention, which called on the Intergovernmental Negotiating Committee on Mercury (INC) to support the development of guidance to countries in preparing their NAPs. </w:t>
      </w:r>
      <w:r>
        <w:t>At COP1, the Parties agreed to the use of this guidance document for the development of ASGM NAPs.</w:t>
      </w:r>
    </w:p>
    <w:p w14:paraId="35A2B9B5" w14:textId="77777777" w:rsidR="00613F89" w:rsidRPr="009B79F2"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rsidRPr="00303D7E">
        <w:rPr>
          <w:b/>
          <w:bCs/>
        </w:rPr>
        <w:t xml:space="preserve">Methods and Tools: Estimating Mercury Use and Documenting Practices in Artisanal and Small-Scale Gold Mining. 2017, UN Environment and Artisanal Gold Council </w:t>
      </w:r>
      <w:r w:rsidRPr="009B79F2">
        <w:t xml:space="preserve">(Available in English, French and Spanish at </w:t>
      </w:r>
      <w:hyperlink r:id="rId19" w:history="1">
        <w:r w:rsidRPr="009B79F2">
          <w:rPr>
            <w:rStyle w:val="Lienhypertexte"/>
            <w:lang w:val="en-US"/>
          </w:rPr>
          <w:t>http://web.unep.org/globalmercurypartnership/nap-starter-kit</w:t>
        </w:r>
      </w:hyperlink>
      <w:r w:rsidRPr="009B79F2">
        <w:t>)</w:t>
      </w:r>
    </w:p>
    <w:p w14:paraId="3EBB26F3" w14:textId="77777777" w:rsidR="00613F89"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t>This document, also referred to as the “ASGM baseline inventory toolkit” provides guidance and tools for conducting an ASGM overview and mercury use estimate for the National Action Plan. In addition to the main text, the toolkit also consists of survey forms and calculation spreadsheets. Developed in collaboration with the Artisanal Gold Council, the toolkit is intended to assist countries and other partners in adopting a standard and rigours methodology for characterizing ASGM practices, extent, and mercury use. The resulting data and overview can then be used in the development of the full National Action Plan.</w:t>
      </w:r>
    </w:p>
    <w:p w14:paraId="138C295F" w14:textId="77777777" w:rsidR="00613F89" w:rsidRPr="007864E8" w:rsidRDefault="00613F89" w:rsidP="00E9762F">
      <w:pPr>
        <w:pStyle w:val="Normal-pool"/>
        <w:numPr>
          <w:ilvl w:val="0"/>
          <w:numId w:val="24"/>
        </w:numPr>
        <w:tabs>
          <w:tab w:val="clear" w:pos="1247"/>
          <w:tab w:val="clear" w:pos="1814"/>
          <w:tab w:val="clear" w:pos="2381"/>
          <w:tab w:val="clear" w:pos="2948"/>
          <w:tab w:val="clear" w:pos="3515"/>
          <w:tab w:val="clear" w:pos="4082"/>
          <w:tab w:val="left" w:pos="624"/>
        </w:tabs>
        <w:spacing w:before="240" w:after="120"/>
        <w:ind w:left="1248" w:hanging="624"/>
        <w:rPr>
          <w:b/>
          <w:bCs/>
        </w:rPr>
      </w:pPr>
      <w:r>
        <w:rPr>
          <w:b/>
          <w:bCs/>
        </w:rPr>
        <w:t>Mercury-added products</w:t>
      </w:r>
    </w:p>
    <w:p w14:paraId="031BEFE4" w14:textId="77777777" w:rsidR="00613F89" w:rsidRPr="009B79F2"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rsidRPr="00303D7E">
        <w:rPr>
          <w:b/>
          <w:bCs/>
        </w:rPr>
        <w:t xml:space="preserve">Guide and Checklist for Phasing Our Mercury-added Products Under the Minamata Convention on Mercury, 2017, NRDC and Zero Mercury Working Group </w:t>
      </w:r>
      <w:r w:rsidRPr="009B79F2">
        <w:t xml:space="preserve">(Available in English at </w:t>
      </w:r>
      <w:hyperlink r:id="rId20" w:history="1">
        <w:r w:rsidRPr="009B79F2">
          <w:rPr>
            <w:rStyle w:val="Lienhypertexte"/>
            <w:lang w:val="en-US"/>
          </w:rPr>
          <w:t>http://www.zeromercury.org/phocadownload/Developments_at_UNEP_level/FAO_project_2014-17/180219_map_checklist_final_en.pdf</w:t>
        </w:r>
      </w:hyperlink>
      <w:r w:rsidRPr="009B79F2">
        <w:t xml:space="preserve">), French at </w:t>
      </w:r>
      <w:hyperlink r:id="rId21" w:history="1">
        <w:r w:rsidRPr="009B79F2">
          <w:rPr>
            <w:rStyle w:val="Lienhypertexte"/>
            <w:lang w:val="en-US"/>
          </w:rPr>
          <w:t>http://www.zeromercury.org/phocadownload/Developments_at_UNEP_level/FAO_project_2014-17/180219_map_checklist_final_fr.pdf</w:t>
        </w:r>
      </w:hyperlink>
      <w:r w:rsidRPr="009B79F2">
        <w:t xml:space="preserve">, and Spanish at </w:t>
      </w:r>
      <w:hyperlink r:id="rId22" w:history="1">
        <w:r w:rsidRPr="009B79F2">
          <w:rPr>
            <w:rStyle w:val="Lienhypertexte"/>
            <w:lang w:val="en-US"/>
          </w:rPr>
          <w:t>http://www.zeromercury.org/phocadownload/Developments_at_UNEP_level/FAO_project_2014-17/180219_map_checklist_final_es.pdf</w:t>
        </w:r>
      </w:hyperlink>
      <w:r w:rsidRPr="009B79F2">
        <w:t>)</w:t>
      </w:r>
    </w:p>
    <w:p w14:paraId="7A5D0038" w14:textId="47231792" w:rsidR="004622E3"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rsidRPr="00303D7E">
        <w:t>This guide provides a simplified list of steps governments may take in preparing to undertake the Convention Article 4 obligations. It is intended to facilitate the implementation of the legal, institutional, and practical components of a mercury product phase out strategy, including those that may be performed as part of Min</w:t>
      </w:r>
      <w:r>
        <w:t>amata Initial Assessments</w:t>
      </w:r>
      <w:r w:rsidRPr="00303D7E">
        <w:t>. The guide should be used in conjunction with the Convention text, and related materials providing additional details regarding Convention obligations.</w:t>
      </w:r>
    </w:p>
    <w:p w14:paraId="516F0F45" w14:textId="77777777" w:rsidR="00613F89" w:rsidRPr="007864E8" w:rsidRDefault="00613F89" w:rsidP="00E9762F">
      <w:pPr>
        <w:pStyle w:val="Normal-pool"/>
        <w:keepNext/>
        <w:keepLines/>
        <w:numPr>
          <w:ilvl w:val="0"/>
          <w:numId w:val="24"/>
        </w:numPr>
        <w:tabs>
          <w:tab w:val="clear" w:pos="1247"/>
          <w:tab w:val="clear" w:pos="1814"/>
          <w:tab w:val="clear" w:pos="2381"/>
          <w:tab w:val="clear" w:pos="2948"/>
          <w:tab w:val="clear" w:pos="3515"/>
          <w:tab w:val="clear" w:pos="4082"/>
          <w:tab w:val="left" w:pos="624"/>
        </w:tabs>
        <w:spacing w:before="240" w:after="120"/>
        <w:ind w:left="1248" w:hanging="624"/>
        <w:rPr>
          <w:b/>
          <w:bCs/>
        </w:rPr>
      </w:pPr>
      <w:r>
        <w:rPr>
          <w:b/>
          <w:bCs/>
        </w:rPr>
        <w:lastRenderedPageBreak/>
        <w:t>Waste</w:t>
      </w:r>
    </w:p>
    <w:p w14:paraId="2CA99C57" w14:textId="678DF50A" w:rsidR="00613F89" w:rsidRPr="009B79F2" w:rsidRDefault="00613F89" w:rsidP="00E9762F">
      <w:pPr>
        <w:pStyle w:val="Normal-pool"/>
        <w:keepNext/>
        <w:keepLines/>
        <w:tabs>
          <w:tab w:val="clear" w:pos="1247"/>
          <w:tab w:val="clear" w:pos="1814"/>
          <w:tab w:val="clear" w:pos="2381"/>
          <w:tab w:val="clear" w:pos="2948"/>
          <w:tab w:val="clear" w:pos="3515"/>
          <w:tab w:val="clear" w:pos="4082"/>
          <w:tab w:val="left" w:pos="1134"/>
        </w:tabs>
        <w:spacing w:after="120"/>
        <w:ind w:left="1247"/>
      </w:pPr>
      <w:r w:rsidRPr="00303D7E">
        <w:rPr>
          <w:b/>
          <w:bCs/>
        </w:rPr>
        <w:t>Global Mercury Waste Assessment: Review of Current National Measures, 2017, UN</w:t>
      </w:r>
      <w:r w:rsidR="00E9762F">
        <w:rPr>
          <w:b/>
          <w:bCs/>
        </w:rPr>
        <w:t> </w:t>
      </w:r>
      <w:r w:rsidRPr="00303D7E">
        <w:rPr>
          <w:b/>
          <w:bCs/>
        </w:rPr>
        <w:t xml:space="preserve">Environment </w:t>
      </w:r>
      <w:r w:rsidRPr="009B79F2">
        <w:t xml:space="preserve">(Available in all UN languages at </w:t>
      </w:r>
      <w:hyperlink r:id="rId23" w:history="1">
        <w:r w:rsidR="00E9762F" w:rsidRPr="00734036">
          <w:rPr>
            <w:rStyle w:val="Lienhypertexte"/>
            <w:lang w:val="en-US"/>
          </w:rPr>
          <w:t>https://www.unenvironment.org/ietc/</w:t>
        </w:r>
        <w:r w:rsidR="00E9762F" w:rsidRPr="00734036">
          <w:rPr>
            <w:rStyle w:val="Lienhypertexte"/>
            <w:lang w:val="en-US"/>
          </w:rPr>
          <w:br/>
          <w:t>what-we-do/mercury-waste-management</w:t>
        </w:r>
      </w:hyperlink>
      <w:r w:rsidRPr="009B79F2">
        <w:t>)</w:t>
      </w:r>
    </w:p>
    <w:p w14:paraId="01DF7A05" w14:textId="77777777" w:rsidR="00613F89"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rsidRPr="00303D7E">
        <w:t>The assessment describes the current mercury waste management practices in these countries, and provides a basis for understanding the size and nature of the gap between current practices and the environmentally sound mercury waste management envisioned in the Minamata Convention. The central finding is clear: The gap between the provisions of the Minamata Convention and the current mercury waste management practices is wide.</w:t>
      </w:r>
    </w:p>
    <w:p w14:paraId="68A70AA7" w14:textId="77777777" w:rsidR="00613F89"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rsidRPr="00DA61BE">
        <w:rPr>
          <w:b/>
          <w:bCs/>
        </w:rPr>
        <w:t>No time to waste: International expert group meeting on the sustainable management of mercury waste, UN Industrial Development Organization</w:t>
      </w:r>
      <w:r>
        <w:rPr>
          <w:b/>
          <w:bCs/>
        </w:rPr>
        <w:t xml:space="preserve"> </w:t>
      </w:r>
      <w:r w:rsidRPr="00DA61BE">
        <w:rPr>
          <w:b/>
          <w:bCs/>
        </w:rPr>
        <w:cr/>
      </w:r>
      <w:r w:rsidRPr="00DA61BE">
        <w:t xml:space="preserve">(Available at </w:t>
      </w:r>
      <w:hyperlink r:id="rId24" w:history="1">
        <w:r w:rsidRPr="006711CF">
          <w:rPr>
            <w:rStyle w:val="Lienhypertexte"/>
            <w:lang w:val="en-US"/>
          </w:rPr>
          <w:t>https://www.unido.org/sites/default/files/files/2018-11/MWaste%20Booklet.pdf</w:t>
        </w:r>
      </w:hyperlink>
      <w:r w:rsidRPr="00DA61BE">
        <w:t>)</w:t>
      </w:r>
    </w:p>
    <w:p w14:paraId="0D912589" w14:textId="77777777" w:rsidR="00613F89" w:rsidRPr="007864E8" w:rsidRDefault="00613F89" w:rsidP="00E9762F">
      <w:pPr>
        <w:pStyle w:val="Normal-pool"/>
        <w:numPr>
          <w:ilvl w:val="0"/>
          <w:numId w:val="24"/>
        </w:numPr>
        <w:tabs>
          <w:tab w:val="clear" w:pos="1247"/>
          <w:tab w:val="clear" w:pos="1814"/>
          <w:tab w:val="clear" w:pos="2381"/>
          <w:tab w:val="clear" w:pos="2948"/>
          <w:tab w:val="clear" w:pos="3515"/>
          <w:tab w:val="clear" w:pos="4082"/>
          <w:tab w:val="left" w:pos="624"/>
        </w:tabs>
        <w:spacing w:before="240" w:after="120"/>
        <w:ind w:left="1248" w:hanging="624"/>
        <w:rPr>
          <w:b/>
          <w:bCs/>
        </w:rPr>
      </w:pPr>
      <w:r>
        <w:rPr>
          <w:b/>
          <w:bCs/>
        </w:rPr>
        <w:t>Health aspects</w:t>
      </w:r>
    </w:p>
    <w:p w14:paraId="1459B6BD" w14:textId="77777777" w:rsidR="00613F89" w:rsidRDefault="00613F89" w:rsidP="00E9762F">
      <w:pPr>
        <w:pStyle w:val="Normal-pool"/>
        <w:tabs>
          <w:tab w:val="clear" w:pos="1247"/>
          <w:tab w:val="clear" w:pos="1814"/>
          <w:tab w:val="clear" w:pos="2381"/>
          <w:tab w:val="clear" w:pos="2948"/>
          <w:tab w:val="clear" w:pos="3515"/>
          <w:tab w:val="left" w:pos="1134"/>
        </w:tabs>
        <w:spacing w:after="120"/>
        <w:ind w:left="1247"/>
      </w:pPr>
      <w:r w:rsidRPr="009A77D5">
        <w:rPr>
          <w:b/>
          <w:bCs/>
        </w:rPr>
        <w:t>Human biomonitoring survey assessment of prenatal exposures to mercury using biomarkers in cord blood, maternal urine and hair: A tool for developing national protocols</w:t>
      </w:r>
      <w:r>
        <w:rPr>
          <w:b/>
          <w:bCs/>
        </w:rPr>
        <w:t>, World Health Organization</w:t>
      </w:r>
      <w:r>
        <w:t xml:space="preserve"> (in press – to be made available on the website of the World Health Organization)</w:t>
      </w:r>
    </w:p>
    <w:p w14:paraId="10EA3609" w14:textId="2E185E07" w:rsidR="00613F89" w:rsidRDefault="00613F89" w:rsidP="00E9762F">
      <w:pPr>
        <w:pStyle w:val="Normal-pool"/>
        <w:tabs>
          <w:tab w:val="clear" w:pos="1247"/>
          <w:tab w:val="clear" w:pos="1814"/>
          <w:tab w:val="clear" w:pos="2381"/>
          <w:tab w:val="clear" w:pos="2948"/>
          <w:tab w:val="clear" w:pos="3515"/>
          <w:tab w:val="left" w:pos="1134"/>
        </w:tabs>
        <w:spacing w:after="120"/>
        <w:ind w:left="1247"/>
      </w:pPr>
      <w:r w:rsidRPr="009A77D5">
        <w:rPr>
          <w:b/>
          <w:bCs/>
        </w:rPr>
        <w:t>Assessment of prenatal exposure to mercury: standard operating procedures</w:t>
      </w:r>
      <w:r>
        <w:rPr>
          <w:b/>
          <w:bCs/>
        </w:rPr>
        <w:t xml:space="preserve">, World Health Organization </w:t>
      </w:r>
      <w:r w:rsidRPr="009B79F2">
        <w:t>(Available in English at http://www.euro.who.int/en/health-topics/</w:t>
      </w:r>
      <w:r w:rsidR="00E9762F">
        <w:br/>
      </w:r>
      <w:r w:rsidRPr="009B79F2">
        <w:t>environment-and-health/chemical-safety/publications/_recache)</w:t>
      </w:r>
    </w:p>
    <w:p w14:paraId="0427AD39" w14:textId="77777777" w:rsidR="00613F89" w:rsidRDefault="00613F89" w:rsidP="00E9762F">
      <w:pPr>
        <w:pStyle w:val="Normal-pool"/>
        <w:tabs>
          <w:tab w:val="clear" w:pos="1247"/>
          <w:tab w:val="clear" w:pos="1814"/>
          <w:tab w:val="clear" w:pos="2381"/>
          <w:tab w:val="clear" w:pos="2948"/>
          <w:tab w:val="clear" w:pos="3515"/>
          <w:tab w:val="left" w:pos="1134"/>
        </w:tabs>
        <w:spacing w:after="120"/>
        <w:ind w:left="1247"/>
      </w:pPr>
      <w:r>
        <w:t>These SOP are the more detailed technical sampling and lab techniques that support the overall survey protocol (addressed by the above document)</w:t>
      </w:r>
    </w:p>
    <w:p w14:paraId="012D0ECC" w14:textId="77777777" w:rsidR="00613F89" w:rsidRDefault="00613F89" w:rsidP="00E9762F">
      <w:pPr>
        <w:pStyle w:val="Normal-pool"/>
        <w:tabs>
          <w:tab w:val="clear" w:pos="1247"/>
          <w:tab w:val="clear" w:pos="1814"/>
          <w:tab w:val="clear" w:pos="2381"/>
          <w:tab w:val="clear" w:pos="2948"/>
          <w:tab w:val="clear" w:pos="3515"/>
          <w:tab w:val="left" w:pos="1134"/>
        </w:tabs>
        <w:spacing w:after="120"/>
        <w:ind w:left="1247"/>
      </w:pPr>
      <w:r>
        <w:t>http://www.euro.who.int/en/health-topics/environment-and-health/chemical-safety/publications/2018/assessment-of-prenatal-exposure-to-mercury-standard-operating-procedures-2018/_recache</w:t>
      </w:r>
    </w:p>
    <w:p w14:paraId="049C2007" w14:textId="7A3A6A99" w:rsidR="00613F89" w:rsidRDefault="00613F89" w:rsidP="00E9762F">
      <w:pPr>
        <w:pStyle w:val="Normal-pool"/>
        <w:tabs>
          <w:tab w:val="clear" w:pos="1247"/>
          <w:tab w:val="clear" w:pos="1814"/>
          <w:tab w:val="clear" w:pos="2381"/>
          <w:tab w:val="clear" w:pos="2948"/>
          <w:tab w:val="clear" w:pos="3515"/>
          <w:tab w:val="left" w:pos="1134"/>
        </w:tabs>
        <w:spacing w:after="120"/>
        <w:ind w:left="1247"/>
      </w:pPr>
      <w:r w:rsidRPr="007864E8">
        <w:rPr>
          <w:b/>
          <w:bCs/>
        </w:rPr>
        <w:t>Health sector involvement in the Minamata Convention on Mercury: Outcomes of World Health Organization regional workshops for ministries of health</w:t>
      </w:r>
      <w:r>
        <w:rPr>
          <w:b/>
          <w:bCs/>
        </w:rPr>
        <w:t xml:space="preserve">, World Health Organization </w:t>
      </w:r>
      <w:r w:rsidR="00E9762F">
        <w:rPr>
          <w:b/>
          <w:bCs/>
        </w:rPr>
        <w:br/>
      </w:r>
      <w:r>
        <w:t>(in press – to be made available on the website of the World Health Organization)</w:t>
      </w:r>
    </w:p>
    <w:p w14:paraId="3B31B7F5" w14:textId="77777777" w:rsidR="00613F89" w:rsidRDefault="00613F89" w:rsidP="00E9762F">
      <w:pPr>
        <w:pStyle w:val="Normal-pool"/>
        <w:tabs>
          <w:tab w:val="clear" w:pos="1247"/>
          <w:tab w:val="clear" w:pos="1814"/>
          <w:tab w:val="clear" w:pos="2381"/>
          <w:tab w:val="clear" w:pos="2948"/>
          <w:tab w:val="clear" w:pos="3515"/>
          <w:tab w:val="left" w:pos="1134"/>
        </w:tabs>
        <w:spacing w:after="120"/>
        <w:ind w:left="1247"/>
      </w:pPr>
      <w:r w:rsidRPr="007864E8">
        <w:rPr>
          <w:b/>
          <w:bCs/>
        </w:rPr>
        <w:t>WHO Guidance on Strategic Planning for Implementation of the Health-related articles of the Minamata Convention on Mercury</w:t>
      </w:r>
      <w:r>
        <w:rPr>
          <w:b/>
          <w:bCs/>
        </w:rPr>
        <w:t>, World Health Organization</w:t>
      </w:r>
      <w:r>
        <w:t>. (in preparation – to be made available on the website of the World Health Organization)</w:t>
      </w:r>
    </w:p>
    <w:p w14:paraId="0B035990" w14:textId="77777777" w:rsidR="00613F89"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rsidRPr="007864E8">
        <w:rPr>
          <w:b/>
          <w:bCs/>
        </w:rPr>
        <w:t>State-of-the-Science Review of Mercury Biomarkers in Human Populations Worldwide Between 2000 and 2018</w:t>
      </w:r>
      <w:r>
        <w:t xml:space="preserve">, commissioned by WHO and published in Environmental Health Perspectives. (available at </w:t>
      </w:r>
      <w:hyperlink r:id="rId25" w:history="1">
        <w:r w:rsidRPr="00E9762F">
          <w:rPr>
            <w:rStyle w:val="Lienhypertexte"/>
            <w:lang w:val="en-US"/>
          </w:rPr>
          <w:t>https://ehp.niehs.nih.gov/doi/10.1289/EHP3904</w:t>
        </w:r>
      </w:hyperlink>
      <w:r>
        <w:t>)</w:t>
      </w:r>
    </w:p>
    <w:p w14:paraId="13CC340E" w14:textId="77777777" w:rsidR="00613F89" w:rsidRPr="007864E8" w:rsidRDefault="00613F89" w:rsidP="00E9762F">
      <w:pPr>
        <w:pStyle w:val="Normal-pool"/>
        <w:numPr>
          <w:ilvl w:val="0"/>
          <w:numId w:val="24"/>
        </w:numPr>
        <w:tabs>
          <w:tab w:val="clear" w:pos="1247"/>
          <w:tab w:val="clear" w:pos="1814"/>
          <w:tab w:val="clear" w:pos="2381"/>
          <w:tab w:val="clear" w:pos="2948"/>
          <w:tab w:val="clear" w:pos="3515"/>
          <w:tab w:val="clear" w:pos="4082"/>
          <w:tab w:val="left" w:pos="624"/>
        </w:tabs>
        <w:spacing w:before="240" w:after="120"/>
        <w:ind w:left="1248" w:hanging="624"/>
        <w:rPr>
          <w:b/>
          <w:bCs/>
        </w:rPr>
      </w:pPr>
      <w:r>
        <w:rPr>
          <w:b/>
          <w:bCs/>
        </w:rPr>
        <w:t>Monitoring</w:t>
      </w:r>
    </w:p>
    <w:p w14:paraId="1BF5C4CB" w14:textId="4BFE6A22" w:rsidR="00613F89" w:rsidRDefault="00613F89" w:rsidP="00E9762F">
      <w:pPr>
        <w:pStyle w:val="Normal-pool"/>
        <w:tabs>
          <w:tab w:val="clear" w:pos="1247"/>
          <w:tab w:val="clear" w:pos="1814"/>
          <w:tab w:val="clear" w:pos="2381"/>
          <w:tab w:val="clear" w:pos="2948"/>
          <w:tab w:val="clear" w:pos="3515"/>
          <w:tab w:val="left" w:pos="1134"/>
        </w:tabs>
        <w:spacing w:after="120"/>
        <w:ind w:left="1247"/>
      </w:pPr>
      <w:r w:rsidRPr="007864E8">
        <w:rPr>
          <w:b/>
          <w:bCs/>
        </w:rPr>
        <w:t>Outcomes and lesson learnt report of the Project: Development of a Plan for Global Monitoring of Human Exposure to and Environmental Concentrations of Mercury, UN Environment</w:t>
      </w:r>
      <w:r>
        <w:t xml:space="preserve"> </w:t>
      </w:r>
      <w:r w:rsidR="00E9762F">
        <w:br/>
      </w:r>
      <w:r>
        <w:t>(in press, to be made available on the UN Environment website)</w:t>
      </w:r>
    </w:p>
    <w:p w14:paraId="3E8B7311" w14:textId="77777777" w:rsidR="00613F89"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t>The document contains a report by UN Environment, in close cooperation with the World Health Organization (WHO), and the Italian National Research Council - Institute of Atmospheric Pollution Research (CNR-IIA) regarding the outcomes, lesson learnt of the UNEP/GEF project “Development of a Plan for Global Monitoring of Human Exposure to and Environmental Concentrations of Mercury”, including the shared contribution of the project to the discussion on the arrangement for providing comparable monitoring data and elements of an effectiveness Evaluation.</w:t>
      </w:r>
    </w:p>
    <w:p w14:paraId="1516C52A" w14:textId="77777777" w:rsidR="00613F89" w:rsidRPr="007864E8" w:rsidRDefault="00613F89" w:rsidP="00E9762F">
      <w:pPr>
        <w:pStyle w:val="Normal-pool"/>
        <w:numPr>
          <w:ilvl w:val="0"/>
          <w:numId w:val="24"/>
        </w:numPr>
        <w:tabs>
          <w:tab w:val="clear" w:pos="1247"/>
          <w:tab w:val="clear" w:pos="1814"/>
          <w:tab w:val="clear" w:pos="2381"/>
          <w:tab w:val="clear" w:pos="2948"/>
          <w:tab w:val="clear" w:pos="3515"/>
          <w:tab w:val="clear" w:pos="4082"/>
          <w:tab w:val="left" w:pos="624"/>
        </w:tabs>
        <w:spacing w:before="240" w:after="120"/>
        <w:ind w:left="1248" w:hanging="624"/>
        <w:rPr>
          <w:b/>
          <w:bCs/>
        </w:rPr>
      </w:pPr>
      <w:r>
        <w:rPr>
          <w:b/>
          <w:bCs/>
        </w:rPr>
        <w:t>Assessments</w:t>
      </w:r>
    </w:p>
    <w:p w14:paraId="259689E4" w14:textId="77777777" w:rsidR="00613F89" w:rsidRPr="00303D7E"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rPr>
          <w:b/>
          <w:bCs/>
        </w:rPr>
      </w:pPr>
      <w:r w:rsidRPr="00303D7E">
        <w:rPr>
          <w:b/>
          <w:bCs/>
        </w:rPr>
        <w:t>Global Mercury Assessment 2018</w:t>
      </w:r>
      <w:r>
        <w:rPr>
          <w:b/>
          <w:bCs/>
        </w:rPr>
        <w:t>, UN Environment</w:t>
      </w:r>
      <w:r w:rsidRPr="00303D7E">
        <w:rPr>
          <w:b/>
          <w:bCs/>
        </w:rPr>
        <w:t xml:space="preserve"> </w:t>
      </w:r>
      <w:r w:rsidRPr="009B79F2">
        <w:t>(</w:t>
      </w:r>
      <w:r w:rsidRPr="009B79F2">
        <w:rPr>
          <w:rFonts w:asciiTheme="majorBidi" w:hAnsiTheme="majorBidi" w:cstheme="majorBidi"/>
          <w:lang w:val="en-US"/>
        </w:rPr>
        <w:t xml:space="preserve">summary report and technical background report available in English from November 2018 at </w:t>
      </w:r>
      <w:hyperlink r:id="rId26" w:history="1">
        <w:r w:rsidRPr="009B79F2">
          <w:rPr>
            <w:rStyle w:val="Lienhypertexte"/>
            <w:lang w:val="en-US"/>
          </w:rPr>
          <w:t>https://www.unenvironment.org/explore-topics/chemicals-waste/what-we-do/mercury/global-mercury-assessment</w:t>
        </w:r>
      </w:hyperlink>
      <w:r w:rsidRPr="009B79F2">
        <w:t>)</w:t>
      </w:r>
    </w:p>
    <w:p w14:paraId="1B34BB0F" w14:textId="77777777" w:rsidR="00613F89" w:rsidRDefault="00613F89" w:rsidP="00E9762F">
      <w:pPr>
        <w:pStyle w:val="Normal-pool"/>
        <w:tabs>
          <w:tab w:val="clear" w:pos="1247"/>
          <w:tab w:val="clear" w:pos="1814"/>
          <w:tab w:val="clear" w:pos="2381"/>
          <w:tab w:val="clear" w:pos="2948"/>
          <w:tab w:val="clear" w:pos="3515"/>
          <w:tab w:val="clear" w:pos="4082"/>
          <w:tab w:val="left" w:pos="1134"/>
        </w:tabs>
        <w:ind w:left="1247"/>
      </w:pPr>
      <w:r w:rsidRPr="008A23C9">
        <w:t>The 201</w:t>
      </w:r>
      <w:r>
        <w:t>8</w:t>
      </w:r>
      <w:r w:rsidRPr="008A23C9">
        <w:t xml:space="preserve"> update the global atmospheric mercury assessment was requested by the Governing Council of UNEP at its twenty-</w:t>
      </w:r>
      <w:r>
        <w:t>seventh</w:t>
      </w:r>
      <w:r w:rsidRPr="008A23C9">
        <w:t xml:space="preserve"> session.</w:t>
      </w:r>
      <w:r>
        <w:t xml:space="preserve"> It will be presented at the 3</w:t>
      </w:r>
      <w:r w:rsidRPr="005C47A5">
        <w:t>rd</w:t>
      </w:r>
      <w:r>
        <w:t xml:space="preserve"> UN Environment Assembly in 2019. </w:t>
      </w:r>
      <w:r w:rsidRPr="00303D7E">
        <w:t xml:space="preserve">The </w:t>
      </w:r>
      <w:r>
        <w:t xml:space="preserve">2018 </w:t>
      </w:r>
      <w:r w:rsidRPr="00303D7E">
        <w:t xml:space="preserve">assessment will be expanded with respect to quantification of releases and discharges of mercury </w:t>
      </w:r>
      <w:r>
        <w:t xml:space="preserve">to the aquatic environment, and </w:t>
      </w:r>
      <w:r w:rsidRPr="00303D7E">
        <w:t>include an overview and assessment of mercury levels in humans and biota.</w:t>
      </w:r>
      <w:r w:rsidRPr="005C47A5">
        <w:t> </w:t>
      </w:r>
    </w:p>
    <w:p w14:paraId="791C7A74" w14:textId="18095C2A" w:rsidR="00613F89" w:rsidRDefault="00613F89" w:rsidP="00E9762F">
      <w:pPr>
        <w:pStyle w:val="Normal-pool"/>
        <w:tabs>
          <w:tab w:val="clear" w:pos="1247"/>
          <w:tab w:val="clear" w:pos="1814"/>
          <w:tab w:val="clear" w:pos="2381"/>
          <w:tab w:val="clear" w:pos="2948"/>
          <w:tab w:val="clear" w:pos="3515"/>
          <w:tab w:val="clear" w:pos="4082"/>
          <w:tab w:val="left" w:pos="1134"/>
        </w:tabs>
        <w:spacing w:after="120"/>
        <w:ind w:left="1247"/>
      </w:pPr>
      <w:r w:rsidRPr="00C75EB9">
        <w:lastRenderedPageBreak/>
        <w:t>The Technical Background Report for the Global Mercury Assessment 2013 is a joint report of UNEP and the Arctic Monitoring and Assessment Programme (a working group under the Arctic Council) which presents the latest comprehensive information on global mercury emissions and releases to the environment, information on atmospheric and aquatic chemistry and fate and transport of mercury.</w:t>
      </w:r>
    </w:p>
    <w:p w14:paraId="3A217E11" w14:textId="77777777" w:rsidR="008522F1" w:rsidRDefault="008522F1" w:rsidP="00E9762F">
      <w:pPr>
        <w:pStyle w:val="Normal-pool"/>
        <w:tabs>
          <w:tab w:val="clear" w:pos="1247"/>
          <w:tab w:val="clear" w:pos="1814"/>
          <w:tab w:val="clear" w:pos="2381"/>
          <w:tab w:val="clear" w:pos="2948"/>
          <w:tab w:val="clear" w:pos="3515"/>
          <w:tab w:val="clear" w:pos="4082"/>
          <w:tab w:val="left" w:pos="1134"/>
        </w:tabs>
        <w:ind w:left="1247"/>
      </w:pPr>
    </w:p>
    <w:tbl>
      <w:tblPr>
        <w:tblW w:w="0" w:type="auto"/>
        <w:tblLook w:val="04A0" w:firstRow="1" w:lastRow="0" w:firstColumn="1" w:lastColumn="0" w:noHBand="0" w:noVBand="1"/>
      </w:tblPr>
      <w:tblGrid>
        <w:gridCol w:w="1898"/>
        <w:gridCol w:w="1899"/>
        <w:gridCol w:w="1899"/>
        <w:gridCol w:w="1900"/>
        <w:gridCol w:w="1900"/>
      </w:tblGrid>
      <w:tr w:rsidR="00E976AB" w:rsidRPr="00D25175" w14:paraId="6DB0CABC" w14:textId="77777777" w:rsidTr="008522F1">
        <w:tc>
          <w:tcPr>
            <w:tcW w:w="1898" w:type="dxa"/>
            <w:shd w:val="clear" w:color="auto" w:fill="auto"/>
          </w:tcPr>
          <w:p w14:paraId="6D3F7C2C" w14:textId="77777777" w:rsidR="00E976AB" w:rsidRPr="00D25175" w:rsidRDefault="00E976AB" w:rsidP="00990918">
            <w:pPr>
              <w:pStyle w:val="Normal-pool"/>
              <w:spacing w:before="520"/>
            </w:pPr>
          </w:p>
        </w:tc>
        <w:tc>
          <w:tcPr>
            <w:tcW w:w="1899" w:type="dxa"/>
            <w:shd w:val="clear" w:color="auto" w:fill="auto"/>
          </w:tcPr>
          <w:p w14:paraId="378BA037" w14:textId="77777777" w:rsidR="00E976AB" w:rsidRPr="00D25175" w:rsidRDefault="00E976AB" w:rsidP="00990918">
            <w:pPr>
              <w:pStyle w:val="Normal-pool"/>
              <w:spacing w:before="520"/>
            </w:pPr>
          </w:p>
        </w:tc>
        <w:tc>
          <w:tcPr>
            <w:tcW w:w="1899" w:type="dxa"/>
            <w:tcBorders>
              <w:bottom w:val="single" w:sz="4" w:space="0" w:color="auto"/>
            </w:tcBorders>
            <w:shd w:val="clear" w:color="auto" w:fill="auto"/>
          </w:tcPr>
          <w:p w14:paraId="028E3E1E" w14:textId="77777777" w:rsidR="00E976AB" w:rsidRPr="00D25175" w:rsidRDefault="00E976AB" w:rsidP="00990918">
            <w:pPr>
              <w:pStyle w:val="Normal-pool"/>
              <w:spacing w:before="520"/>
            </w:pPr>
          </w:p>
        </w:tc>
        <w:tc>
          <w:tcPr>
            <w:tcW w:w="1900" w:type="dxa"/>
            <w:shd w:val="clear" w:color="auto" w:fill="auto"/>
          </w:tcPr>
          <w:p w14:paraId="25F1BA19" w14:textId="77777777" w:rsidR="00E976AB" w:rsidRPr="00D25175" w:rsidRDefault="00E976AB" w:rsidP="00990918">
            <w:pPr>
              <w:pStyle w:val="Normal-pool"/>
              <w:spacing w:before="520"/>
            </w:pPr>
          </w:p>
        </w:tc>
        <w:tc>
          <w:tcPr>
            <w:tcW w:w="1900" w:type="dxa"/>
            <w:shd w:val="clear" w:color="auto" w:fill="auto"/>
          </w:tcPr>
          <w:p w14:paraId="457D2993" w14:textId="77777777" w:rsidR="00E976AB" w:rsidRPr="00D25175" w:rsidRDefault="00E976AB" w:rsidP="00990918">
            <w:pPr>
              <w:pStyle w:val="Normal-pool"/>
              <w:spacing w:before="520"/>
            </w:pPr>
          </w:p>
        </w:tc>
      </w:tr>
    </w:tbl>
    <w:p w14:paraId="325E8270" w14:textId="77777777" w:rsidR="00032E4E" w:rsidRPr="00D25175" w:rsidRDefault="00032E4E" w:rsidP="00D013F5">
      <w:pPr>
        <w:pStyle w:val="Normal-pool"/>
      </w:pPr>
    </w:p>
    <w:sectPr w:rsidR="00032E4E" w:rsidRPr="00D25175" w:rsidSect="008522F1">
      <w:headerReference w:type="first" r:id="rId27"/>
      <w:footerReference w:type="first" r:id="rId2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7D74E" w14:textId="77777777" w:rsidR="002A3EDE" w:rsidRDefault="002A3EDE">
      <w:r>
        <w:separator/>
      </w:r>
    </w:p>
  </w:endnote>
  <w:endnote w:type="continuationSeparator" w:id="0">
    <w:p w14:paraId="2B5DB5D8" w14:textId="77777777" w:rsidR="002A3EDE" w:rsidRDefault="002A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371221777"/>
      <w:docPartObj>
        <w:docPartGallery w:val="Page Numbers (Bottom of Page)"/>
        <w:docPartUnique/>
      </w:docPartObj>
    </w:sdtPr>
    <w:sdtEndPr>
      <w:rPr>
        <w:noProof/>
      </w:rPr>
    </w:sdtEndPr>
    <w:sdtContent>
      <w:p w14:paraId="3BE7C1B5" w14:textId="0A58C08C" w:rsidR="00E9762F" w:rsidRPr="00E9762F" w:rsidRDefault="00E9762F">
        <w:pPr>
          <w:pStyle w:val="Pieddepage"/>
          <w:rPr>
            <w:b/>
          </w:rPr>
        </w:pPr>
        <w:r w:rsidRPr="00E9762F">
          <w:rPr>
            <w:b/>
          </w:rPr>
          <w:fldChar w:fldCharType="begin"/>
        </w:r>
        <w:r w:rsidRPr="00E9762F">
          <w:rPr>
            <w:b/>
          </w:rPr>
          <w:instrText xml:space="preserve"> PAGE   \* MERGEFORMAT </w:instrText>
        </w:r>
        <w:r w:rsidRPr="00E9762F">
          <w:rPr>
            <w:b/>
          </w:rPr>
          <w:fldChar w:fldCharType="separate"/>
        </w:r>
        <w:r w:rsidR="00B95F28">
          <w:rPr>
            <w:b/>
            <w:noProof/>
          </w:rPr>
          <w:t>2</w:t>
        </w:r>
        <w:r w:rsidRPr="00E9762F">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97477"/>
      <w:docPartObj>
        <w:docPartGallery w:val="Page Numbers (Bottom of Page)"/>
        <w:docPartUnique/>
      </w:docPartObj>
    </w:sdtPr>
    <w:sdtEndPr>
      <w:rPr>
        <w:b/>
        <w:noProof/>
      </w:rPr>
    </w:sdtEndPr>
    <w:sdtContent>
      <w:p w14:paraId="083B0098" w14:textId="351028B0" w:rsidR="00E9762F" w:rsidRPr="00E9762F" w:rsidRDefault="00E9762F" w:rsidP="00E9762F">
        <w:pPr>
          <w:pStyle w:val="Pieddepage"/>
          <w:jc w:val="right"/>
          <w:rPr>
            <w:b/>
          </w:rPr>
        </w:pPr>
        <w:r w:rsidRPr="00E9762F">
          <w:rPr>
            <w:b/>
          </w:rPr>
          <w:fldChar w:fldCharType="begin"/>
        </w:r>
        <w:r w:rsidRPr="00E9762F">
          <w:rPr>
            <w:b/>
          </w:rPr>
          <w:instrText xml:space="preserve"> PAGE   \* MERGEFORMAT </w:instrText>
        </w:r>
        <w:r w:rsidRPr="00E9762F">
          <w:rPr>
            <w:b/>
          </w:rPr>
          <w:fldChar w:fldCharType="separate"/>
        </w:r>
        <w:r w:rsidR="00B95F28">
          <w:rPr>
            <w:b/>
            <w:noProof/>
          </w:rPr>
          <w:t>5</w:t>
        </w:r>
        <w:r w:rsidRPr="00E9762F">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18744000"/>
      <w:docPartObj>
        <w:docPartGallery w:val="Page Numbers (Bottom of Page)"/>
        <w:docPartUnique/>
      </w:docPartObj>
    </w:sdtPr>
    <w:sdtEndPr>
      <w:rPr>
        <w:b w:val="0"/>
        <w:noProof/>
      </w:rPr>
    </w:sdtEndPr>
    <w:sdtContent>
      <w:p w14:paraId="57E7F212" w14:textId="7440DE8A" w:rsidR="008522F1" w:rsidRPr="00E9762F" w:rsidRDefault="00E9762F" w:rsidP="008522F1">
        <w:pPr>
          <w:pStyle w:val="Normal-pool"/>
          <w:rPr>
            <w:sz w:val="18"/>
            <w:szCs w:val="18"/>
          </w:rPr>
        </w:pPr>
        <w:r w:rsidRPr="00E9762F">
          <w:rPr>
            <w:sz w:val="18"/>
            <w:szCs w:val="18"/>
          </w:rPr>
          <w:t>K1803570</w:t>
        </w:r>
        <w:r w:rsidRPr="00E9762F">
          <w:rPr>
            <w:sz w:val="18"/>
            <w:szCs w:val="18"/>
          </w:rPr>
          <w:tab/>
          <w:t>091118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975184743"/>
      <w:docPartObj>
        <w:docPartGallery w:val="Page Numbers (Bottom of Page)"/>
        <w:docPartUnique/>
      </w:docPartObj>
    </w:sdtPr>
    <w:sdtEndPr>
      <w:rPr>
        <w:noProof/>
      </w:rPr>
    </w:sdtEndPr>
    <w:sdtContent>
      <w:p w14:paraId="2723ABAF" w14:textId="722FC2B7" w:rsidR="00E9762F" w:rsidRPr="00E9762F" w:rsidRDefault="00E9762F" w:rsidP="00E9762F">
        <w:pPr>
          <w:pStyle w:val="Pieddepage"/>
          <w:rPr>
            <w:b/>
          </w:rPr>
        </w:pPr>
        <w:r w:rsidRPr="00E9762F">
          <w:rPr>
            <w:b/>
          </w:rPr>
          <w:fldChar w:fldCharType="begin"/>
        </w:r>
        <w:r w:rsidRPr="00E9762F">
          <w:rPr>
            <w:b/>
          </w:rPr>
          <w:instrText xml:space="preserve"> PAGE   \* MERGEFORMAT </w:instrText>
        </w:r>
        <w:r w:rsidRPr="00E9762F">
          <w:rPr>
            <w:b/>
          </w:rPr>
          <w:fldChar w:fldCharType="separate"/>
        </w:r>
        <w:r w:rsidR="00B95F28">
          <w:rPr>
            <w:b/>
            <w:noProof/>
          </w:rPr>
          <w:t>4</w:t>
        </w:r>
        <w:r w:rsidRPr="00E9762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6789" w14:textId="77777777" w:rsidR="002A3EDE" w:rsidRPr="00E9762F" w:rsidRDefault="002A3EDE" w:rsidP="006711CF">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E9762F">
        <w:rPr>
          <w:sz w:val="18"/>
          <w:szCs w:val="18"/>
        </w:rPr>
        <w:separator/>
      </w:r>
    </w:p>
  </w:footnote>
  <w:footnote w:type="continuationSeparator" w:id="0">
    <w:p w14:paraId="4D824538" w14:textId="77777777" w:rsidR="002A3EDE" w:rsidRDefault="002A3EDE">
      <w:r>
        <w:continuationSeparator/>
      </w:r>
    </w:p>
  </w:footnote>
  <w:footnote w:id="1">
    <w:p w14:paraId="3420FC41" w14:textId="5E2E9F03" w:rsidR="00613F89" w:rsidRPr="00A644B1" w:rsidRDefault="00613F89" w:rsidP="00E9762F">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A644B1">
        <w:rPr>
          <w:sz w:val="18"/>
          <w:szCs w:val="18"/>
        </w:rPr>
        <w:t xml:space="preserve">* </w:t>
      </w:r>
      <w:r w:rsidRPr="006711CF">
        <w:rPr>
          <w:sz w:val="18"/>
          <w:szCs w:val="18"/>
        </w:rPr>
        <w:t>UNEP/MC/COP.2/1</w:t>
      </w:r>
      <w:r w:rsidR="00A644B1" w:rsidRPr="006711CF">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245F" w14:textId="48CD4507" w:rsidR="00E9762F" w:rsidRDefault="00E9762F">
    <w:pPr>
      <w:pStyle w:val="En-tte"/>
    </w:pPr>
    <w:r w:rsidRPr="008522F1">
      <w:rPr>
        <w:bCs/>
      </w:rPr>
      <w:t>UNEP/MC/COP.2/INF/1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3781" w14:textId="77777777" w:rsidR="008522F1" w:rsidRPr="008522F1" w:rsidRDefault="008522F1" w:rsidP="008522F1">
    <w:pPr>
      <w:pStyle w:val="En-tte"/>
      <w:jc w:val="right"/>
    </w:pPr>
    <w:r w:rsidRPr="008522F1">
      <w:rPr>
        <w:bCs/>
      </w:rPr>
      <w:t>UNEP/MC/COP.2/INF/1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42A6" w14:textId="14717D26" w:rsidR="008522F1" w:rsidRDefault="008522F1" w:rsidP="00E9762F">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0E38" w14:textId="1C01938F" w:rsidR="00E9762F" w:rsidRDefault="00E9762F" w:rsidP="00E9762F">
    <w:pPr>
      <w:pStyle w:val="En-tte"/>
    </w:pPr>
    <w:r w:rsidRPr="008522F1">
      <w:rPr>
        <w:bCs/>
      </w:rPr>
      <w:t>UNEP/MC/COP.2/INF/1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2EB7"/>
    <w:multiLevelType w:val="singleLevel"/>
    <w:tmpl w:val="98E88CC0"/>
    <w:lvl w:ilvl="0">
      <w:start w:val="1"/>
      <w:numFmt w:val="decimal"/>
      <w:pStyle w:val="Paralevel1"/>
      <w:lvlText w:val="%1."/>
      <w:lvlJc w:val="left"/>
      <w:pPr>
        <w:tabs>
          <w:tab w:val="num" w:pos="360"/>
        </w:tabs>
        <w:ind w:left="0" w:firstLine="0"/>
      </w:pPr>
      <w:rPr>
        <w:rFonts w:ascii="Times New Roman" w:hAnsi="Times New Roman" w:cs="Times New Roman" w:hint="default"/>
        <w:b w:val="0"/>
        <w:i w:val="0"/>
        <w:sz w:val="20"/>
        <w:szCs w:val="20"/>
      </w:r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01C7F90"/>
    <w:multiLevelType w:val="hybridMultilevel"/>
    <w:tmpl w:val="A1BC2F74"/>
    <w:lvl w:ilvl="0" w:tplc="005ABD78">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5" w15:restartNumberingAfterBreak="0">
    <w:nsid w:val="45D2529E"/>
    <w:multiLevelType w:val="hybridMultilevel"/>
    <w:tmpl w:val="AD564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6"/>
  </w:num>
  <w:num w:numId="2">
    <w:abstractNumId w:val="1"/>
  </w:num>
  <w:num w:numId="3">
    <w:abstractNumId w:val="4"/>
  </w:num>
  <w:num w:numId="4">
    <w:abstractNumId w:val="6"/>
  </w:num>
  <w:num w:numId="5">
    <w:abstractNumId w:val="6"/>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0"/>
    <w:lvlOverride w:ilvl="0">
      <w:startOverride w:val="1"/>
    </w:lvlOverride>
  </w:num>
  <w:num w:numId="23">
    <w:abstractNumId w:val="2"/>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fr-CH" w:vendorID="64" w:dllVersion="0" w:nlCheck="1" w:checkStyle="0"/>
  <w:activeWritingStyle w:appName="MSWord" w:lang="en-GB" w:vendorID="64" w:dllVersion="6"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5956"/>
    <w:rsid w:val="00026997"/>
    <w:rsid w:val="00026A08"/>
    <w:rsid w:val="00032E4E"/>
    <w:rsid w:val="00033E0B"/>
    <w:rsid w:val="00035EDE"/>
    <w:rsid w:val="0003606C"/>
    <w:rsid w:val="000509B4"/>
    <w:rsid w:val="0006035B"/>
    <w:rsid w:val="0006096F"/>
    <w:rsid w:val="000649C5"/>
    <w:rsid w:val="00071886"/>
    <w:rsid w:val="000742BC"/>
    <w:rsid w:val="00076CC6"/>
    <w:rsid w:val="00082A0C"/>
    <w:rsid w:val="00083504"/>
    <w:rsid w:val="00093AD0"/>
    <w:rsid w:val="0009640C"/>
    <w:rsid w:val="000B22A2"/>
    <w:rsid w:val="000B541B"/>
    <w:rsid w:val="000B73F9"/>
    <w:rsid w:val="000C2A52"/>
    <w:rsid w:val="000C2A88"/>
    <w:rsid w:val="000D33C0"/>
    <w:rsid w:val="000D4CF6"/>
    <w:rsid w:val="000D6941"/>
    <w:rsid w:val="000E22D7"/>
    <w:rsid w:val="000F4829"/>
    <w:rsid w:val="000F6B21"/>
    <w:rsid w:val="00102EFB"/>
    <w:rsid w:val="001202E3"/>
    <w:rsid w:val="00123699"/>
    <w:rsid w:val="001241FB"/>
    <w:rsid w:val="0013059D"/>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3874"/>
    <w:rsid w:val="001D7E75"/>
    <w:rsid w:val="001E0D73"/>
    <w:rsid w:val="001E45BD"/>
    <w:rsid w:val="001E56D2"/>
    <w:rsid w:val="001E7D56"/>
    <w:rsid w:val="001F5186"/>
    <w:rsid w:val="001F75DE"/>
    <w:rsid w:val="001F7DD7"/>
    <w:rsid w:val="00200D58"/>
    <w:rsid w:val="002011C1"/>
    <w:rsid w:val="002013BE"/>
    <w:rsid w:val="00201EDC"/>
    <w:rsid w:val="002063A4"/>
    <w:rsid w:val="0021145B"/>
    <w:rsid w:val="00220C23"/>
    <w:rsid w:val="002247F6"/>
    <w:rsid w:val="00225E21"/>
    <w:rsid w:val="00225E44"/>
    <w:rsid w:val="00234E78"/>
    <w:rsid w:val="00243315"/>
    <w:rsid w:val="00243D36"/>
    <w:rsid w:val="00246151"/>
    <w:rsid w:val="00247707"/>
    <w:rsid w:val="00252456"/>
    <w:rsid w:val="0026018E"/>
    <w:rsid w:val="00286740"/>
    <w:rsid w:val="00291EAE"/>
    <w:rsid w:val="002929D8"/>
    <w:rsid w:val="002A237D"/>
    <w:rsid w:val="002A3EDE"/>
    <w:rsid w:val="002A4C53"/>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10BEB"/>
    <w:rsid w:val="00311880"/>
    <w:rsid w:val="0031413F"/>
    <w:rsid w:val="00314854"/>
    <w:rsid w:val="003148BB"/>
    <w:rsid w:val="00317976"/>
    <w:rsid w:val="00320F2F"/>
    <w:rsid w:val="0032457E"/>
    <w:rsid w:val="00325D38"/>
    <w:rsid w:val="00351AAD"/>
    <w:rsid w:val="0035277E"/>
    <w:rsid w:val="00355EA9"/>
    <w:rsid w:val="003578DE"/>
    <w:rsid w:val="00361688"/>
    <w:rsid w:val="00380921"/>
    <w:rsid w:val="003877D5"/>
    <w:rsid w:val="00391EC7"/>
    <w:rsid w:val="003929B8"/>
    <w:rsid w:val="00393432"/>
    <w:rsid w:val="00396257"/>
    <w:rsid w:val="00397EB8"/>
    <w:rsid w:val="003A48D5"/>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E7723"/>
    <w:rsid w:val="003F0E85"/>
    <w:rsid w:val="00410C55"/>
    <w:rsid w:val="00416854"/>
    <w:rsid w:val="00417725"/>
    <w:rsid w:val="0042266F"/>
    <w:rsid w:val="00434321"/>
    <w:rsid w:val="00437F26"/>
    <w:rsid w:val="00444097"/>
    <w:rsid w:val="00445487"/>
    <w:rsid w:val="00447E0D"/>
    <w:rsid w:val="00453EA8"/>
    <w:rsid w:val="00454769"/>
    <w:rsid w:val="004622E3"/>
    <w:rsid w:val="00466991"/>
    <w:rsid w:val="0047064C"/>
    <w:rsid w:val="004822B7"/>
    <w:rsid w:val="0049469E"/>
    <w:rsid w:val="004A2217"/>
    <w:rsid w:val="004A24F9"/>
    <w:rsid w:val="004A42E1"/>
    <w:rsid w:val="004B162C"/>
    <w:rsid w:val="004B2ABE"/>
    <w:rsid w:val="004C3DBE"/>
    <w:rsid w:val="004C5C96"/>
    <w:rsid w:val="004D06A4"/>
    <w:rsid w:val="004F1A81"/>
    <w:rsid w:val="004F5D88"/>
    <w:rsid w:val="00501354"/>
    <w:rsid w:val="005050D2"/>
    <w:rsid w:val="005218D9"/>
    <w:rsid w:val="00536186"/>
    <w:rsid w:val="00544CBB"/>
    <w:rsid w:val="00551B65"/>
    <w:rsid w:val="00556704"/>
    <w:rsid w:val="005656D7"/>
    <w:rsid w:val="0057315F"/>
    <w:rsid w:val="00576104"/>
    <w:rsid w:val="00582340"/>
    <w:rsid w:val="00586418"/>
    <w:rsid w:val="00592B21"/>
    <w:rsid w:val="005B2DF4"/>
    <w:rsid w:val="005B44BF"/>
    <w:rsid w:val="005C67C8"/>
    <w:rsid w:val="005D0249"/>
    <w:rsid w:val="005D18FA"/>
    <w:rsid w:val="005D4FD4"/>
    <w:rsid w:val="005D6E8C"/>
    <w:rsid w:val="005E3004"/>
    <w:rsid w:val="005F100C"/>
    <w:rsid w:val="005F68DA"/>
    <w:rsid w:val="005F7419"/>
    <w:rsid w:val="00601BC9"/>
    <w:rsid w:val="0060773B"/>
    <w:rsid w:val="00613F89"/>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70FAE"/>
    <w:rsid w:val="006711CF"/>
    <w:rsid w:val="00692E2A"/>
    <w:rsid w:val="0069496A"/>
    <w:rsid w:val="00696C1C"/>
    <w:rsid w:val="006A76F2"/>
    <w:rsid w:val="006B7D29"/>
    <w:rsid w:val="006D19D4"/>
    <w:rsid w:val="006D5644"/>
    <w:rsid w:val="006D7EFB"/>
    <w:rsid w:val="006E6672"/>
    <w:rsid w:val="006E6722"/>
    <w:rsid w:val="006F7AFF"/>
    <w:rsid w:val="007027B9"/>
    <w:rsid w:val="007066B5"/>
    <w:rsid w:val="007123D1"/>
    <w:rsid w:val="007145DA"/>
    <w:rsid w:val="00715E88"/>
    <w:rsid w:val="00716D8B"/>
    <w:rsid w:val="00731576"/>
    <w:rsid w:val="00734CAA"/>
    <w:rsid w:val="00740EE2"/>
    <w:rsid w:val="00742680"/>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C2F3C"/>
    <w:rsid w:val="007D66A8"/>
    <w:rsid w:val="007E003F"/>
    <w:rsid w:val="007F0CF8"/>
    <w:rsid w:val="007F5E1B"/>
    <w:rsid w:val="007F62CB"/>
    <w:rsid w:val="008142EC"/>
    <w:rsid w:val="008164F2"/>
    <w:rsid w:val="00821395"/>
    <w:rsid w:val="00830E26"/>
    <w:rsid w:val="00834368"/>
    <w:rsid w:val="0083441A"/>
    <w:rsid w:val="00843576"/>
    <w:rsid w:val="00843B64"/>
    <w:rsid w:val="00845261"/>
    <w:rsid w:val="008478FC"/>
    <w:rsid w:val="00851C51"/>
    <w:rsid w:val="008522F1"/>
    <w:rsid w:val="008538F7"/>
    <w:rsid w:val="00857396"/>
    <w:rsid w:val="00867BFF"/>
    <w:rsid w:val="00871542"/>
    <w:rsid w:val="00872BF6"/>
    <w:rsid w:val="0088480A"/>
    <w:rsid w:val="0088757A"/>
    <w:rsid w:val="0089431B"/>
    <w:rsid w:val="00895668"/>
    <w:rsid w:val="008957DD"/>
    <w:rsid w:val="00897D98"/>
    <w:rsid w:val="008A6DF2"/>
    <w:rsid w:val="008A7807"/>
    <w:rsid w:val="008B4CC9"/>
    <w:rsid w:val="008C0B15"/>
    <w:rsid w:val="008D75E4"/>
    <w:rsid w:val="008D7C99"/>
    <w:rsid w:val="008E0FCB"/>
    <w:rsid w:val="008F6DFE"/>
    <w:rsid w:val="0090055B"/>
    <w:rsid w:val="0090529F"/>
    <w:rsid w:val="0092178C"/>
    <w:rsid w:val="00930B88"/>
    <w:rsid w:val="00935376"/>
    <w:rsid w:val="00940DCC"/>
    <w:rsid w:val="0094179A"/>
    <w:rsid w:val="0094459E"/>
    <w:rsid w:val="00944DBC"/>
    <w:rsid w:val="00950977"/>
    <w:rsid w:val="00951A7B"/>
    <w:rsid w:val="00955512"/>
    <w:rsid w:val="009564A6"/>
    <w:rsid w:val="00957EF8"/>
    <w:rsid w:val="0096416A"/>
    <w:rsid w:val="00966A53"/>
    <w:rsid w:val="00967621"/>
    <w:rsid w:val="00967E6A"/>
    <w:rsid w:val="009907B9"/>
    <w:rsid w:val="00990918"/>
    <w:rsid w:val="009A3A83"/>
    <w:rsid w:val="009B4A0F"/>
    <w:rsid w:val="009C11D2"/>
    <w:rsid w:val="009C6C70"/>
    <w:rsid w:val="009C7330"/>
    <w:rsid w:val="009C7B0A"/>
    <w:rsid w:val="009D0B63"/>
    <w:rsid w:val="009D5CB8"/>
    <w:rsid w:val="009E307E"/>
    <w:rsid w:val="00A07870"/>
    <w:rsid w:val="00A07C54"/>
    <w:rsid w:val="00A07D52"/>
    <w:rsid w:val="00A07F19"/>
    <w:rsid w:val="00A10ABB"/>
    <w:rsid w:val="00A1348D"/>
    <w:rsid w:val="00A13C99"/>
    <w:rsid w:val="00A232EE"/>
    <w:rsid w:val="00A4175F"/>
    <w:rsid w:val="00A44411"/>
    <w:rsid w:val="00A469FA"/>
    <w:rsid w:val="00A53662"/>
    <w:rsid w:val="00A55B01"/>
    <w:rsid w:val="00A56B5B"/>
    <w:rsid w:val="00A603FF"/>
    <w:rsid w:val="00A619B6"/>
    <w:rsid w:val="00A644B1"/>
    <w:rsid w:val="00A648CA"/>
    <w:rsid w:val="00A657DD"/>
    <w:rsid w:val="00A666A6"/>
    <w:rsid w:val="00A675FD"/>
    <w:rsid w:val="00A72437"/>
    <w:rsid w:val="00A8048B"/>
    <w:rsid w:val="00A80611"/>
    <w:rsid w:val="00AA2110"/>
    <w:rsid w:val="00AA5BF4"/>
    <w:rsid w:val="00AB5340"/>
    <w:rsid w:val="00AC0A89"/>
    <w:rsid w:val="00AC232D"/>
    <w:rsid w:val="00AC7C96"/>
    <w:rsid w:val="00AD3593"/>
    <w:rsid w:val="00AE0812"/>
    <w:rsid w:val="00AE1BC1"/>
    <w:rsid w:val="00AE237D"/>
    <w:rsid w:val="00AE502A"/>
    <w:rsid w:val="00AE5B25"/>
    <w:rsid w:val="00AF0010"/>
    <w:rsid w:val="00AF1AA8"/>
    <w:rsid w:val="00AF2C1F"/>
    <w:rsid w:val="00AF7C07"/>
    <w:rsid w:val="00B06C64"/>
    <w:rsid w:val="00B07D8E"/>
    <w:rsid w:val="00B11CAC"/>
    <w:rsid w:val="00B15A29"/>
    <w:rsid w:val="00B22C93"/>
    <w:rsid w:val="00B27589"/>
    <w:rsid w:val="00B32E33"/>
    <w:rsid w:val="00B405B7"/>
    <w:rsid w:val="00B468C0"/>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95F28"/>
    <w:rsid w:val="00BA0090"/>
    <w:rsid w:val="00BA1A67"/>
    <w:rsid w:val="00BA6A80"/>
    <w:rsid w:val="00BB4ABB"/>
    <w:rsid w:val="00BC62BA"/>
    <w:rsid w:val="00BE5B5F"/>
    <w:rsid w:val="00BE7993"/>
    <w:rsid w:val="00C11971"/>
    <w:rsid w:val="00C179DE"/>
    <w:rsid w:val="00C26F55"/>
    <w:rsid w:val="00C30C63"/>
    <w:rsid w:val="00C30FF3"/>
    <w:rsid w:val="00C34D5C"/>
    <w:rsid w:val="00C36B8B"/>
    <w:rsid w:val="00C415C1"/>
    <w:rsid w:val="00C47DBF"/>
    <w:rsid w:val="00C552FF"/>
    <w:rsid w:val="00C558DA"/>
    <w:rsid w:val="00C55AF3"/>
    <w:rsid w:val="00C5704C"/>
    <w:rsid w:val="00C771A9"/>
    <w:rsid w:val="00C82943"/>
    <w:rsid w:val="00C84759"/>
    <w:rsid w:val="00C93096"/>
    <w:rsid w:val="00CA5CA9"/>
    <w:rsid w:val="00CA6C7F"/>
    <w:rsid w:val="00CB007D"/>
    <w:rsid w:val="00CB60CA"/>
    <w:rsid w:val="00CB7085"/>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63B8C"/>
    <w:rsid w:val="00D739CC"/>
    <w:rsid w:val="00D806F9"/>
    <w:rsid w:val="00D8093D"/>
    <w:rsid w:val="00D8108C"/>
    <w:rsid w:val="00D842AE"/>
    <w:rsid w:val="00D9211C"/>
    <w:rsid w:val="00D92DE0"/>
    <w:rsid w:val="00D92FEF"/>
    <w:rsid w:val="00D931F9"/>
    <w:rsid w:val="00D93A0F"/>
    <w:rsid w:val="00DA1BCA"/>
    <w:rsid w:val="00DA3663"/>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6D9A"/>
    <w:rsid w:val="00E565FF"/>
    <w:rsid w:val="00E65388"/>
    <w:rsid w:val="00E7741D"/>
    <w:rsid w:val="00E808CD"/>
    <w:rsid w:val="00E8348F"/>
    <w:rsid w:val="00E85B7D"/>
    <w:rsid w:val="00E9121B"/>
    <w:rsid w:val="00E9302E"/>
    <w:rsid w:val="00E9762F"/>
    <w:rsid w:val="00E976AB"/>
    <w:rsid w:val="00EA0AE2"/>
    <w:rsid w:val="00EA39E5"/>
    <w:rsid w:val="00EA57A3"/>
    <w:rsid w:val="00EC2813"/>
    <w:rsid w:val="00EC5A46"/>
    <w:rsid w:val="00EC63E2"/>
    <w:rsid w:val="00ED0225"/>
    <w:rsid w:val="00ED366A"/>
    <w:rsid w:val="00ED3CE4"/>
    <w:rsid w:val="00ED6BB7"/>
    <w:rsid w:val="00EF22B3"/>
    <w:rsid w:val="00F03B69"/>
    <w:rsid w:val="00F07A50"/>
    <w:rsid w:val="00F113DA"/>
    <w:rsid w:val="00F266FC"/>
    <w:rsid w:val="00F3037A"/>
    <w:rsid w:val="00F3465A"/>
    <w:rsid w:val="00F37DC8"/>
    <w:rsid w:val="00F439B3"/>
    <w:rsid w:val="00F650C3"/>
    <w:rsid w:val="00F65D85"/>
    <w:rsid w:val="00F6700B"/>
    <w:rsid w:val="00F7137B"/>
    <w:rsid w:val="00F8091E"/>
    <w:rsid w:val="00F8615C"/>
    <w:rsid w:val="00F969E5"/>
    <w:rsid w:val="00FA4972"/>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06B4B"/>
  <w15:docId w15:val="{81F0E6E6-5BA4-45D3-8CB7-759E604D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8522F1"/>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link w:val="En-tteC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8522F1"/>
    <w:pPr>
      <w:numPr>
        <w:numId w:val="5"/>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PieddepageCar">
    <w:name w:val="Pied de page Car"/>
    <w:basedOn w:val="Policepardfaut"/>
    <w:link w:val="Pieddepage"/>
    <w:uiPriority w:val="99"/>
    <w:rsid w:val="00613F89"/>
    <w:rPr>
      <w:sz w:val="18"/>
      <w:lang w:eastAsia="en-US"/>
    </w:rPr>
  </w:style>
  <w:style w:type="character" w:customStyle="1" w:styleId="En-tteCar">
    <w:name w:val="En-tête Car"/>
    <w:basedOn w:val="Policepardfaut"/>
    <w:link w:val="En-tte"/>
    <w:rsid w:val="00613F89"/>
    <w:rPr>
      <w:b/>
      <w:sz w:val="18"/>
      <w:lang w:eastAsia="en-US"/>
    </w:rPr>
  </w:style>
  <w:style w:type="character" w:customStyle="1" w:styleId="CH2Char">
    <w:name w:val="CH2 Char"/>
    <w:link w:val="CH2"/>
    <w:rsid w:val="00613F89"/>
    <w:rPr>
      <w:b/>
      <w:sz w:val="24"/>
      <w:szCs w:val="24"/>
      <w:lang w:eastAsia="en-US"/>
    </w:rPr>
  </w:style>
  <w:style w:type="character" w:customStyle="1" w:styleId="BBTitleChar">
    <w:name w:val="BB_Title Char"/>
    <w:link w:val="BBTitle"/>
    <w:rsid w:val="00613F89"/>
    <w:rPr>
      <w:b/>
      <w:sz w:val="28"/>
      <w:szCs w:val="28"/>
      <w:lang w:eastAsia="en-US"/>
    </w:rPr>
  </w:style>
  <w:style w:type="character" w:customStyle="1" w:styleId="ZZAnxheaderChar">
    <w:name w:val="ZZ_Anx_header Char"/>
    <w:link w:val="ZZAnxheader"/>
    <w:rsid w:val="00613F89"/>
    <w:rPr>
      <w:b/>
      <w:bCs/>
      <w:sz w:val="28"/>
      <w:szCs w:val="22"/>
      <w:lang w:eastAsia="en-US"/>
    </w:rPr>
  </w:style>
  <w:style w:type="paragraph" w:customStyle="1" w:styleId="Paralevel1">
    <w:name w:val="Para level1"/>
    <w:basedOn w:val="Normal"/>
    <w:autoRedefine/>
    <w:rsid w:val="00613F89"/>
    <w:pPr>
      <w:numPr>
        <w:numId w:val="22"/>
      </w:numPr>
      <w:tabs>
        <w:tab w:val="clear" w:pos="1247"/>
        <w:tab w:val="clear" w:pos="1814"/>
        <w:tab w:val="clear" w:pos="2381"/>
        <w:tab w:val="clear" w:pos="2948"/>
        <w:tab w:val="clear" w:pos="3515"/>
      </w:tabs>
      <w:suppressAutoHyphens/>
      <w:spacing w:after="120"/>
    </w:pPr>
    <w:rPr>
      <w:rFonts w:asciiTheme="minorHAnsi" w:eastAsiaTheme="minorEastAsia" w:hAnsiTheme="minorHAnsi" w:cstheme="minorBidi"/>
      <w:sz w:val="22"/>
      <w:szCs w:val="22"/>
      <w:lang w:val="en-US"/>
    </w:rPr>
  </w:style>
  <w:style w:type="character" w:customStyle="1" w:styleId="NormalnumberChar">
    <w:name w:val="Normal_number Char"/>
    <w:basedOn w:val="Policepardfaut"/>
    <w:link w:val="Normalnumber"/>
    <w:rsid w:val="008522F1"/>
    <w:rPr>
      <w:lang w:eastAsia="en-US"/>
    </w:rPr>
  </w:style>
  <w:style w:type="character" w:customStyle="1" w:styleId="Normal-poolChar">
    <w:name w:val="Normal-pool Char"/>
    <w:link w:val="Normal-pool"/>
    <w:locked/>
    <w:rsid w:val="00613F89"/>
    <w:rPr>
      <w:lang w:eastAsia="en-US"/>
    </w:rPr>
  </w:style>
  <w:style w:type="character" w:customStyle="1" w:styleId="UnresolvedMention">
    <w:name w:val="Unresolved Mention"/>
    <w:basedOn w:val="Policepardfaut"/>
    <w:uiPriority w:val="99"/>
    <w:semiHidden/>
    <w:unhideWhenUsed/>
    <w:rsid w:val="00E97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4806856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web.unep.org/globalmercurypartnership/nap-starter-kit" TargetMode="External"/><Relationship Id="rId26" Type="http://schemas.openxmlformats.org/officeDocument/2006/relationships/hyperlink" Target="https://www.unenvironment.org/explore-topics/chemicals-waste/what-we-do/mercury/global-mercury-assessment" TargetMode="External"/><Relationship Id="rId3" Type="http://schemas.openxmlformats.org/officeDocument/2006/relationships/styles" Target="styles.xml"/><Relationship Id="rId21" Type="http://schemas.openxmlformats.org/officeDocument/2006/relationships/hyperlink" Target="http://www.zeromercury.org/phocadownload/Developments_at_UNEP_level/FAO_project_2014-17/180219_map_checklist_final_fr.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edocs.unep.org/bitstream/handle/20.500.11822/21725/global_mercury.pdf?sequence=1&amp;isAllowed=y" TargetMode="External"/><Relationship Id="rId25" Type="http://schemas.openxmlformats.org/officeDocument/2006/relationships/hyperlink" Target="https://ehp.niehs.nih.gov/doi/10.1289/EHP3904"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zeromercury.org/phocadownload/Developments_at_UNEP_level/FAO_project_2014-17/180219_map_checklist_final_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unido.org/sites/default/files/files/2018-11/MWaste%20Booklet.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unenvironment.org/ietc/what-we-do/mercury-waste-management" TargetMode="Externa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web.unep.org/globalmercurypartnership/nap-starter-k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zeromercury.org/phocadownload/Developments_at_UNEP_level/FAO_project_2014-17/180219_map_checklist_final_es.pdf"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6843-30CC-4E32-A75E-B0862E22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2477</Words>
  <Characters>13626</Characters>
  <Application>Microsoft Office Word</Application>
  <DocSecurity>4</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2016-07-18T09:51:00Z</cp:lastPrinted>
  <dcterms:created xsi:type="dcterms:W3CDTF">2018-11-19T07:54:00Z</dcterms:created>
  <dcterms:modified xsi:type="dcterms:W3CDTF">2018-11-19T07:54:00Z</dcterms:modified>
</cp:coreProperties>
</file>