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701"/>
        <w:gridCol w:w="4962"/>
        <w:gridCol w:w="2833"/>
      </w:tblGrid>
      <w:tr w:rsidR="00C9457D" w:rsidRPr="00D25175" w14:paraId="202D20E5" w14:textId="77777777" w:rsidTr="004C0FA4">
        <w:trPr>
          <w:cantSplit/>
          <w:trHeight w:val="850"/>
          <w:jc w:val="right"/>
        </w:trPr>
        <w:tc>
          <w:tcPr>
            <w:tcW w:w="1701" w:type="dxa"/>
          </w:tcPr>
          <w:p w14:paraId="2993F43B" w14:textId="77777777" w:rsidR="00C9457D" w:rsidRPr="00D25175" w:rsidRDefault="00C9457D" w:rsidP="004C0FA4">
            <w:pPr>
              <w:tabs>
                <w:tab w:val="left" w:pos="624"/>
                <w:tab w:val="left" w:pos="1871"/>
                <w:tab w:val="left" w:pos="2495"/>
              </w:tabs>
              <w:rPr>
                <w:rFonts w:ascii="Univers" w:hAnsi="Univers"/>
                <w:b/>
                <w:noProof/>
                <w:sz w:val="27"/>
                <w:szCs w:val="27"/>
              </w:rPr>
            </w:pPr>
            <w:bookmarkStart w:id="0" w:name="_Hlk525053848"/>
            <w:bookmarkEnd w:id="0"/>
            <w:r>
              <w:rPr>
                <w:rFonts w:ascii="Arial" w:hAnsi="Arial" w:cs="Arial"/>
                <w:b/>
                <w:noProof/>
                <w:sz w:val="27"/>
                <w:szCs w:val="27"/>
              </w:rPr>
              <w:t>NACIONES UNIDAS</w:t>
            </w:r>
          </w:p>
        </w:tc>
        <w:tc>
          <w:tcPr>
            <w:tcW w:w="4962" w:type="dxa"/>
          </w:tcPr>
          <w:p w14:paraId="2C0D4E61" w14:textId="77777777" w:rsidR="00C9457D" w:rsidRPr="00D25175" w:rsidRDefault="00C9457D" w:rsidP="004C0FA4">
            <w:pPr>
              <w:tabs>
                <w:tab w:val="left" w:pos="624"/>
                <w:tab w:val="left" w:pos="1871"/>
                <w:tab w:val="left" w:pos="2495"/>
              </w:tabs>
              <w:rPr>
                <w:rFonts w:ascii="Univers" w:hAnsi="Univers"/>
                <w:b/>
                <w:sz w:val="27"/>
                <w:szCs w:val="27"/>
              </w:rPr>
            </w:pPr>
          </w:p>
        </w:tc>
        <w:tc>
          <w:tcPr>
            <w:tcW w:w="2833" w:type="dxa"/>
          </w:tcPr>
          <w:p w14:paraId="1584BC01" w14:textId="77777777" w:rsidR="00C9457D" w:rsidRPr="00D25175" w:rsidRDefault="00C9457D" w:rsidP="004C0FA4">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C9457D" w:rsidRPr="00D25175" w14:paraId="28550DD2" w14:textId="77777777" w:rsidTr="004C0FA4">
        <w:trPr>
          <w:cantSplit/>
          <w:trHeight w:val="281"/>
          <w:jc w:val="right"/>
        </w:trPr>
        <w:tc>
          <w:tcPr>
            <w:tcW w:w="1701" w:type="dxa"/>
            <w:tcBorders>
              <w:bottom w:val="single" w:sz="4" w:space="0" w:color="auto"/>
            </w:tcBorders>
          </w:tcPr>
          <w:p w14:paraId="7E53C34F" w14:textId="77777777" w:rsidR="00C9457D" w:rsidRPr="00D25175" w:rsidRDefault="00C9457D" w:rsidP="004C0FA4">
            <w:pPr>
              <w:tabs>
                <w:tab w:val="left" w:pos="624"/>
                <w:tab w:val="left" w:pos="1871"/>
                <w:tab w:val="left" w:pos="2495"/>
              </w:tabs>
              <w:rPr>
                <w:noProof/>
                <w:sz w:val="18"/>
                <w:szCs w:val="18"/>
              </w:rPr>
            </w:pPr>
          </w:p>
        </w:tc>
        <w:tc>
          <w:tcPr>
            <w:tcW w:w="4962" w:type="dxa"/>
            <w:tcBorders>
              <w:bottom w:val="single" w:sz="4" w:space="0" w:color="auto"/>
            </w:tcBorders>
          </w:tcPr>
          <w:p w14:paraId="6E78B0E5" w14:textId="77777777" w:rsidR="00C9457D" w:rsidRPr="00D25175" w:rsidRDefault="00C9457D" w:rsidP="004C0FA4">
            <w:pPr>
              <w:tabs>
                <w:tab w:val="left" w:pos="624"/>
                <w:tab w:val="left" w:pos="1871"/>
                <w:tab w:val="left" w:pos="2495"/>
              </w:tabs>
              <w:rPr>
                <w:rFonts w:ascii="Univers" w:hAnsi="Univers"/>
                <w:b/>
                <w:sz w:val="18"/>
                <w:szCs w:val="18"/>
              </w:rPr>
            </w:pPr>
          </w:p>
        </w:tc>
        <w:tc>
          <w:tcPr>
            <w:tcW w:w="2833" w:type="dxa"/>
            <w:tcBorders>
              <w:bottom w:val="single" w:sz="4" w:space="0" w:color="auto"/>
            </w:tcBorders>
          </w:tcPr>
          <w:p w14:paraId="2727437E" w14:textId="6E4A2D1B" w:rsidR="00C9457D" w:rsidRPr="00D25175" w:rsidRDefault="00C9457D" w:rsidP="004C0FA4">
            <w:pPr>
              <w:tabs>
                <w:tab w:val="left" w:pos="624"/>
                <w:tab w:val="left" w:pos="1871"/>
                <w:tab w:val="left" w:pos="2495"/>
              </w:tabs>
              <w:rPr>
                <w:noProof/>
                <w:sz w:val="18"/>
                <w:szCs w:val="18"/>
              </w:rPr>
            </w:pPr>
            <w:r w:rsidRPr="00D25175">
              <w:rPr>
                <w:b/>
                <w:bCs/>
                <w:sz w:val="28"/>
              </w:rPr>
              <w:t>UNEP</w:t>
            </w:r>
            <w:r w:rsidRPr="00F67DC3">
              <w:rPr>
                <w:b/>
                <w:bCs/>
              </w:rPr>
              <w:t>/</w:t>
            </w:r>
            <w:r w:rsidRPr="00D25175">
              <w:t>MC/COP.</w:t>
            </w:r>
            <w:r>
              <w:t>2</w:t>
            </w:r>
            <w:r w:rsidRPr="00D25175">
              <w:t>/</w:t>
            </w:r>
            <w:r>
              <w:t>INF/4</w:t>
            </w:r>
          </w:p>
        </w:tc>
      </w:tr>
      <w:tr w:rsidR="00C9457D" w:rsidRPr="009B2F7E" w14:paraId="17EEC26B" w14:textId="77777777" w:rsidTr="004C0FA4">
        <w:trPr>
          <w:cantSplit/>
          <w:trHeight w:val="2549"/>
          <w:jc w:val="right"/>
        </w:trPr>
        <w:tc>
          <w:tcPr>
            <w:tcW w:w="1701" w:type="dxa"/>
            <w:tcBorders>
              <w:top w:val="single" w:sz="4" w:space="0" w:color="auto"/>
              <w:bottom w:val="single" w:sz="24" w:space="0" w:color="auto"/>
            </w:tcBorders>
          </w:tcPr>
          <w:p w14:paraId="61FFEAFB" w14:textId="77777777" w:rsidR="00C9457D" w:rsidRPr="00D25175" w:rsidRDefault="00C9457D" w:rsidP="004C0FA4">
            <w:pPr>
              <w:tabs>
                <w:tab w:val="left" w:pos="624"/>
                <w:tab w:val="left" w:pos="1871"/>
                <w:tab w:val="left" w:pos="2495"/>
              </w:tabs>
              <w:rPr>
                <w:noProof/>
              </w:rPr>
            </w:pPr>
            <w:r w:rsidRPr="00D25175">
              <w:rPr>
                <w:noProof/>
              </w:rPr>
              <w:object w:dxaOrig="1831" w:dyaOrig="1726" w14:anchorId="7CC19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60.5pt" o:ole="" fillcolor="window">
                  <v:imagedata r:id="rId8" o:title=""/>
                </v:shape>
                <o:OLEObject Type="Embed" ProgID="Word.Picture.8" ShapeID="_x0000_i1025" DrawAspect="Content" ObjectID="_1599641799" r:id="rId9"/>
              </w:object>
            </w:r>
            <w:r w:rsidRPr="00D25175">
              <w:rPr>
                <w:noProof/>
                <w:lang w:val="es-ES" w:eastAsia="es-ES"/>
              </w:rPr>
              <w:drawing>
                <wp:inline distT="0" distB="0" distL="0" distR="0" wp14:anchorId="2D2EAC7C" wp14:editId="729BCE1C">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962" w:type="dxa"/>
            <w:tcBorders>
              <w:top w:val="single" w:sz="4" w:space="0" w:color="auto"/>
              <w:bottom w:val="single" w:sz="24" w:space="0" w:color="auto"/>
            </w:tcBorders>
          </w:tcPr>
          <w:p w14:paraId="31E69A24" w14:textId="3C4EBD7F" w:rsidR="00C9457D" w:rsidRPr="009B2F7E" w:rsidRDefault="00C9457D" w:rsidP="004C0FA4">
            <w:pPr>
              <w:tabs>
                <w:tab w:val="left" w:pos="624"/>
                <w:tab w:val="left" w:pos="1871"/>
                <w:tab w:val="left" w:pos="2495"/>
              </w:tabs>
              <w:spacing w:before="1200"/>
              <w:rPr>
                <w:rFonts w:ascii="Arial" w:hAnsi="Arial" w:cs="Arial"/>
                <w:b/>
                <w:sz w:val="32"/>
                <w:szCs w:val="32"/>
                <w:lang w:val="es-ES"/>
              </w:rPr>
            </w:pPr>
            <w:r w:rsidRPr="009B2F7E">
              <w:rPr>
                <w:rFonts w:ascii="Arial" w:hAnsi="Arial" w:cs="Arial"/>
                <w:b/>
                <w:sz w:val="32"/>
                <w:szCs w:val="32"/>
                <w:lang w:val="es-ES"/>
              </w:rPr>
              <w:t>Programa de las Naciones</w:t>
            </w:r>
            <w:r>
              <w:rPr>
                <w:rFonts w:ascii="Arial" w:hAnsi="Arial" w:cs="Arial"/>
                <w:b/>
                <w:sz w:val="32"/>
                <w:szCs w:val="32"/>
                <w:lang w:val="es-ES"/>
              </w:rPr>
              <w:t> </w:t>
            </w:r>
            <w:r w:rsidRPr="009B2F7E">
              <w:rPr>
                <w:rFonts w:ascii="Arial" w:hAnsi="Arial" w:cs="Arial"/>
                <w:b/>
                <w:sz w:val="32"/>
                <w:szCs w:val="32"/>
                <w:lang w:val="es-ES"/>
              </w:rPr>
              <w:t xml:space="preserve">Unidas </w:t>
            </w:r>
            <w:r w:rsidR="00D7431A">
              <w:rPr>
                <w:rFonts w:ascii="Arial" w:hAnsi="Arial" w:cs="Arial"/>
                <w:b/>
                <w:sz w:val="32"/>
                <w:szCs w:val="32"/>
                <w:lang w:val="es-ES"/>
              </w:rPr>
              <w:br/>
            </w:r>
            <w:r w:rsidRPr="009B2F7E">
              <w:rPr>
                <w:rFonts w:ascii="Arial" w:hAnsi="Arial" w:cs="Arial"/>
                <w:b/>
                <w:sz w:val="32"/>
                <w:szCs w:val="32"/>
                <w:lang w:val="es-ES"/>
              </w:rPr>
              <w:t>para</w:t>
            </w:r>
            <w:r w:rsidR="00D7431A">
              <w:rPr>
                <w:rFonts w:ascii="Arial" w:hAnsi="Arial" w:cs="Arial"/>
                <w:b/>
                <w:sz w:val="32"/>
                <w:szCs w:val="32"/>
                <w:lang w:val="es-ES"/>
              </w:rPr>
              <w:t xml:space="preserve"> </w:t>
            </w:r>
            <w:r w:rsidRPr="009B2F7E">
              <w:rPr>
                <w:rFonts w:ascii="Arial" w:hAnsi="Arial" w:cs="Arial"/>
                <w:b/>
                <w:sz w:val="32"/>
                <w:szCs w:val="32"/>
                <w:lang w:val="es-ES"/>
              </w:rPr>
              <w:t>el</w:t>
            </w:r>
            <w:r>
              <w:rPr>
                <w:rFonts w:ascii="Arial" w:hAnsi="Arial" w:cs="Arial"/>
                <w:b/>
                <w:sz w:val="32"/>
                <w:szCs w:val="32"/>
                <w:lang w:val="es-ES"/>
              </w:rPr>
              <w:t> </w:t>
            </w:r>
            <w:r w:rsidRPr="009B2F7E">
              <w:rPr>
                <w:rFonts w:ascii="Arial" w:hAnsi="Arial" w:cs="Arial"/>
                <w:b/>
                <w:sz w:val="32"/>
                <w:szCs w:val="32"/>
                <w:lang w:val="es-ES"/>
              </w:rPr>
              <w:t>Medio</w:t>
            </w:r>
            <w:r>
              <w:rPr>
                <w:rFonts w:ascii="Arial" w:hAnsi="Arial" w:cs="Arial"/>
                <w:b/>
                <w:sz w:val="32"/>
                <w:szCs w:val="32"/>
                <w:lang w:val="es-ES"/>
              </w:rPr>
              <w:t> </w:t>
            </w:r>
            <w:r w:rsidRPr="009B2F7E">
              <w:rPr>
                <w:rFonts w:ascii="Arial" w:hAnsi="Arial" w:cs="Arial"/>
                <w:b/>
                <w:sz w:val="32"/>
                <w:szCs w:val="32"/>
                <w:lang w:val="es-ES"/>
              </w:rPr>
              <w:t>Ambiente</w:t>
            </w:r>
          </w:p>
        </w:tc>
        <w:tc>
          <w:tcPr>
            <w:tcW w:w="2833" w:type="dxa"/>
            <w:tcBorders>
              <w:top w:val="single" w:sz="4" w:space="0" w:color="auto"/>
              <w:bottom w:val="single" w:sz="24" w:space="0" w:color="auto"/>
            </w:tcBorders>
          </w:tcPr>
          <w:p w14:paraId="76B433B0" w14:textId="3782419F" w:rsidR="00C9457D" w:rsidRPr="009B2F7E" w:rsidRDefault="00C9457D" w:rsidP="004C0FA4">
            <w:pPr>
              <w:tabs>
                <w:tab w:val="left" w:pos="624"/>
                <w:tab w:val="left" w:pos="1871"/>
                <w:tab w:val="left" w:pos="2495"/>
              </w:tabs>
              <w:spacing w:before="120"/>
              <w:rPr>
                <w:lang w:val="es-ES"/>
              </w:rPr>
            </w:pPr>
            <w:proofErr w:type="spellStart"/>
            <w:r>
              <w:rPr>
                <w:lang w:val="es-ES"/>
              </w:rPr>
              <w:t>Distr</w:t>
            </w:r>
            <w:proofErr w:type="spellEnd"/>
            <w:r>
              <w:rPr>
                <w:lang w:val="es-ES"/>
              </w:rPr>
              <w:t>. general</w:t>
            </w:r>
            <w:r>
              <w:rPr>
                <w:lang w:val="es-ES"/>
              </w:rPr>
              <w:br/>
              <w:t>3 de agosto de 2018</w:t>
            </w:r>
          </w:p>
          <w:p w14:paraId="7A2FD441" w14:textId="77777777" w:rsidR="00C9457D" w:rsidRPr="009B2F7E" w:rsidRDefault="00C9457D" w:rsidP="004C0FA4">
            <w:pPr>
              <w:tabs>
                <w:tab w:val="left" w:pos="624"/>
                <w:tab w:val="left" w:pos="1871"/>
                <w:tab w:val="left" w:pos="2495"/>
              </w:tabs>
              <w:spacing w:before="240"/>
              <w:rPr>
                <w:lang w:val="es-ES"/>
              </w:rPr>
            </w:pPr>
            <w:r>
              <w:rPr>
                <w:lang w:val="es-ES"/>
              </w:rPr>
              <w:t>Español</w:t>
            </w:r>
            <w:r>
              <w:rPr>
                <w:lang w:val="es-ES"/>
              </w:rPr>
              <w:br/>
              <w:t>Original: inglés</w:t>
            </w:r>
          </w:p>
        </w:tc>
      </w:tr>
    </w:tbl>
    <w:p w14:paraId="3DA53FA3" w14:textId="77777777" w:rsidR="00C9457D" w:rsidRPr="009B2F7E" w:rsidRDefault="00C9457D" w:rsidP="00C9457D">
      <w:pPr>
        <w:pStyle w:val="AATitle"/>
        <w:keepNext w:val="0"/>
        <w:keepLines w:val="0"/>
        <w:tabs>
          <w:tab w:val="left" w:pos="624"/>
          <w:tab w:val="left" w:pos="1871"/>
          <w:tab w:val="left" w:pos="2495"/>
        </w:tabs>
        <w:rPr>
          <w:lang w:val="es-ES"/>
        </w:rPr>
      </w:pPr>
      <w:r>
        <w:rPr>
          <w:lang w:val="es-ES"/>
        </w:rPr>
        <w:t>Conferencia de las Partes en el Convenio de Minamata sobre el Mercurio</w:t>
      </w:r>
    </w:p>
    <w:p w14:paraId="078735F9" w14:textId="77777777" w:rsidR="00C9457D" w:rsidRPr="009B2F7E" w:rsidRDefault="00C9457D" w:rsidP="00C9457D">
      <w:pPr>
        <w:pStyle w:val="AATitle"/>
        <w:keepNext w:val="0"/>
        <w:keepLines w:val="0"/>
        <w:tabs>
          <w:tab w:val="left" w:pos="624"/>
          <w:tab w:val="left" w:pos="1871"/>
          <w:tab w:val="left" w:pos="2495"/>
        </w:tabs>
        <w:rPr>
          <w:lang w:val="es-ES"/>
        </w:rPr>
      </w:pPr>
      <w:r>
        <w:rPr>
          <w:lang w:val="es-ES"/>
        </w:rPr>
        <w:t>Segunda reunión</w:t>
      </w:r>
    </w:p>
    <w:p w14:paraId="692E3831" w14:textId="77777777" w:rsidR="00C9457D" w:rsidRPr="009B2F7E" w:rsidRDefault="00C9457D" w:rsidP="00C9457D">
      <w:pPr>
        <w:pStyle w:val="AATitle"/>
        <w:tabs>
          <w:tab w:val="left" w:pos="624"/>
          <w:tab w:val="left" w:pos="1871"/>
          <w:tab w:val="left" w:pos="2495"/>
        </w:tabs>
        <w:rPr>
          <w:b w:val="0"/>
          <w:lang w:val="es-ES"/>
        </w:rPr>
      </w:pPr>
      <w:r w:rsidRPr="009B2F7E">
        <w:rPr>
          <w:b w:val="0"/>
          <w:lang w:val="es-ES"/>
        </w:rPr>
        <w:t>Ginebra, 19 a 23 de noviembre de 2018</w:t>
      </w:r>
    </w:p>
    <w:p w14:paraId="41CF4448" w14:textId="28DF8491" w:rsidR="00F15578" w:rsidRPr="00110A5D" w:rsidRDefault="00E54866" w:rsidP="00F15578">
      <w:pPr>
        <w:pStyle w:val="AATitle"/>
        <w:keepNext w:val="0"/>
        <w:keepLines w:val="0"/>
        <w:rPr>
          <w:b w:val="0"/>
          <w:lang w:val="es-ES_tradnl"/>
        </w:rPr>
      </w:pPr>
      <w:r w:rsidRPr="00110A5D">
        <w:rPr>
          <w:b w:val="0"/>
          <w:lang w:val="es-ES"/>
        </w:rPr>
        <w:t>Tema 5 k) del p</w:t>
      </w:r>
      <w:bookmarkStart w:id="1" w:name="_GoBack"/>
      <w:bookmarkEnd w:id="1"/>
      <w:r w:rsidRPr="00110A5D">
        <w:rPr>
          <w:b w:val="0"/>
          <w:lang w:val="es-ES"/>
        </w:rPr>
        <w:t>rograma provisional</w:t>
      </w:r>
      <w:r w:rsidRPr="00110A5D">
        <w:rPr>
          <w:b w:val="0"/>
          <w:lang w:val="es-ES"/>
        </w:rPr>
        <w:footnoteReference w:customMarkFollows="1" w:id="1"/>
        <w:t>*</w:t>
      </w:r>
    </w:p>
    <w:p w14:paraId="2D8757BE" w14:textId="36506918" w:rsidR="00F15578" w:rsidRPr="007B4637" w:rsidRDefault="002A2380" w:rsidP="00361D9C">
      <w:pPr>
        <w:pStyle w:val="AATitle2"/>
        <w:spacing w:before="60"/>
        <w:ind w:right="4251"/>
        <w:rPr>
          <w:lang w:val="es-ES_tradnl"/>
        </w:rPr>
      </w:pPr>
      <w:r>
        <w:rPr>
          <w:lang w:val="es-ES"/>
        </w:rPr>
        <w:t xml:space="preserve">Cuestiones para el examen o la adopción de medidas por la Conferencia de las Partes: </w:t>
      </w:r>
      <w:r w:rsidR="008C3EDC">
        <w:rPr>
          <w:lang w:val="es-ES"/>
        </w:rPr>
        <w:t>S</w:t>
      </w:r>
      <w:r>
        <w:rPr>
          <w:lang w:val="es-ES"/>
        </w:rPr>
        <w:t>ecretaría</w:t>
      </w:r>
    </w:p>
    <w:p w14:paraId="7E0774C1" w14:textId="3B8F5089" w:rsidR="00175C76" w:rsidRPr="007B4637" w:rsidRDefault="001417C1" w:rsidP="001417C1">
      <w:pPr>
        <w:pStyle w:val="BBTitle"/>
        <w:rPr>
          <w:lang w:val="es-ES_tradnl"/>
        </w:rPr>
      </w:pPr>
      <w:r>
        <w:rPr>
          <w:bCs/>
          <w:lang w:val="es-ES"/>
        </w:rPr>
        <w:t xml:space="preserve">Ofrecimiento de Suiza de acoger la </w:t>
      </w:r>
      <w:r w:rsidR="008C3EDC">
        <w:rPr>
          <w:bCs/>
          <w:lang w:val="es-ES"/>
        </w:rPr>
        <w:t>S</w:t>
      </w:r>
      <w:r>
        <w:rPr>
          <w:bCs/>
          <w:lang w:val="es-ES"/>
        </w:rPr>
        <w:t>ecretaría independiente del Convenio de Minamata sobre el Mercurio en Ginebra</w:t>
      </w:r>
    </w:p>
    <w:p w14:paraId="53518348" w14:textId="77777777" w:rsidR="00F15578" w:rsidRPr="007B4637" w:rsidRDefault="00F15578" w:rsidP="00F15578">
      <w:pPr>
        <w:pStyle w:val="BBTitle"/>
        <w:rPr>
          <w:lang w:val="es-ES_tradnl"/>
        </w:rPr>
      </w:pPr>
      <w:r>
        <w:rPr>
          <w:bCs/>
          <w:lang w:val="es-ES"/>
        </w:rPr>
        <w:t>Nota de la Secretaría</w:t>
      </w:r>
    </w:p>
    <w:p w14:paraId="73120E26" w14:textId="1F17BCAD" w:rsidR="00F15578" w:rsidRPr="007B4637" w:rsidRDefault="001417C1" w:rsidP="00361D9C">
      <w:pPr>
        <w:pStyle w:val="Normal-pool"/>
        <w:spacing w:after="120"/>
        <w:ind w:left="1247" w:firstLine="624"/>
        <w:rPr>
          <w:b/>
          <w:lang w:val="es-ES_tradnl"/>
        </w:rPr>
      </w:pPr>
      <w:r>
        <w:rPr>
          <w:lang w:val="es-ES"/>
        </w:rPr>
        <w:t>En su primera reunión, la Conferencia de las Partes examinó cuestiones relacionadas con la Secretaría del Convenio de Minamata sobre el Mercurio y aprobó la decisión MC-1/11. Posteriormente, la entonces Presidenta de Suiza, Sra. Doris Leuthard, en una carta de fecha 7 de</w:t>
      </w:r>
      <w:r w:rsidR="008C3EDC">
        <w:rPr>
          <w:lang w:val="es-ES"/>
        </w:rPr>
        <w:t> </w:t>
      </w:r>
      <w:r>
        <w:rPr>
          <w:lang w:val="es-ES"/>
        </w:rPr>
        <w:t xml:space="preserve">diciembre de 2017, confirmó el contenido del ofrecimiento del Gobierno de Suiza, formulado durante la primera reunión de la Conferencia de las Partes, de acoger la </w:t>
      </w:r>
      <w:r w:rsidR="008C3EDC">
        <w:rPr>
          <w:lang w:val="es-ES"/>
        </w:rPr>
        <w:t>S</w:t>
      </w:r>
      <w:r>
        <w:rPr>
          <w:lang w:val="es-ES"/>
        </w:rPr>
        <w:t xml:space="preserve">ecretaría en Ginebra. Para información de la Conferencia de las Partes en su segunda reunión, como se acordó con el Gobierno de Suiza, en el anexo de la presente nota se reproduce la carta en la que se confirman los elementos del ofrecimiento </w:t>
      </w:r>
      <w:r w:rsidR="008C3EDC">
        <w:rPr>
          <w:lang w:val="es-ES"/>
        </w:rPr>
        <w:t xml:space="preserve">de </w:t>
      </w:r>
      <w:r>
        <w:rPr>
          <w:lang w:val="es-ES"/>
        </w:rPr>
        <w:t>Suiza.</w:t>
      </w:r>
    </w:p>
    <w:p w14:paraId="325E8270" w14:textId="58E4F496" w:rsidR="005F2AF3" w:rsidRDefault="005F2AF3">
      <w:pPr>
        <w:tabs>
          <w:tab w:val="clear" w:pos="1247"/>
          <w:tab w:val="clear" w:pos="1814"/>
          <w:tab w:val="clear" w:pos="2381"/>
          <w:tab w:val="clear" w:pos="2948"/>
          <w:tab w:val="clear" w:pos="3515"/>
        </w:tabs>
      </w:pPr>
      <w:r>
        <w:br w:type="page"/>
      </w:r>
    </w:p>
    <w:p w14:paraId="56355E51" w14:textId="6E29E4F9" w:rsidR="001E5528" w:rsidRDefault="005F2AF3" w:rsidP="007A289E">
      <w:pPr>
        <w:pStyle w:val="ZZAnxheader"/>
        <w:spacing w:after="360"/>
        <w:rPr>
          <w:lang w:val="es-ES"/>
        </w:rPr>
      </w:pPr>
      <w:r>
        <w:rPr>
          <w:lang w:val="es-ES"/>
        </w:rPr>
        <w:lastRenderedPageBreak/>
        <w:t>Anexo</w:t>
      </w:r>
    </w:p>
    <w:p w14:paraId="58420A22" w14:textId="4F9BC733" w:rsidR="00C9457D" w:rsidRDefault="00C9457D" w:rsidP="00C9457D">
      <w:pPr>
        <w:pStyle w:val="ZZAnxheader"/>
        <w:pBdr>
          <w:bottom w:val="single" w:sz="4" w:space="1" w:color="auto"/>
        </w:pBdr>
        <w:rPr>
          <w:sz w:val="20"/>
          <w:szCs w:val="20"/>
          <w:lang w:val="es-ES"/>
        </w:rPr>
      </w:pPr>
      <w:r>
        <w:rPr>
          <w:noProof/>
          <w:lang w:val="es-ES" w:eastAsia="es-ES"/>
        </w:rPr>
        <w:drawing>
          <wp:inline distT="0" distB="0" distL="0" distR="0" wp14:anchorId="4ED5BAC0" wp14:editId="0CC5AC34">
            <wp:extent cx="361480" cy="3683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092" cy="378094"/>
                    </a:xfrm>
                    <a:prstGeom prst="rect">
                      <a:avLst/>
                    </a:prstGeom>
                  </pic:spPr>
                </pic:pic>
              </a:graphicData>
            </a:graphic>
          </wp:inline>
        </w:drawing>
      </w:r>
      <w:proofErr w:type="spellStart"/>
      <w:r w:rsidRPr="00C9457D">
        <w:rPr>
          <w:sz w:val="20"/>
          <w:szCs w:val="20"/>
          <w:lang w:val="es-ES_tradnl"/>
        </w:rPr>
        <w:t>Confedereción</w:t>
      </w:r>
      <w:proofErr w:type="spellEnd"/>
      <w:r w:rsidRPr="00C9457D">
        <w:rPr>
          <w:sz w:val="20"/>
          <w:szCs w:val="20"/>
          <w:lang w:val="es-ES_tradnl"/>
        </w:rPr>
        <w:t xml:space="preserve"> de Suiza</w:t>
      </w:r>
      <w:r>
        <w:rPr>
          <w:sz w:val="20"/>
          <w:szCs w:val="20"/>
          <w:lang w:val="es-ES_tradnl"/>
        </w:rPr>
        <w:tab/>
      </w:r>
      <w:r>
        <w:rPr>
          <w:sz w:val="20"/>
          <w:szCs w:val="20"/>
          <w:lang w:val="es-ES_tradnl"/>
        </w:rPr>
        <w:tab/>
      </w:r>
      <w:r>
        <w:rPr>
          <w:sz w:val="20"/>
          <w:szCs w:val="20"/>
          <w:lang w:val="es-ES_tradnl"/>
        </w:rPr>
        <w:tab/>
      </w:r>
      <w:r>
        <w:rPr>
          <w:sz w:val="20"/>
          <w:szCs w:val="20"/>
          <w:lang w:val="es-ES_tradnl"/>
        </w:rPr>
        <w:tab/>
      </w:r>
      <w:r w:rsidRPr="00C9457D">
        <w:rPr>
          <w:sz w:val="20"/>
          <w:szCs w:val="20"/>
          <w:lang w:val="es-ES"/>
        </w:rPr>
        <w:t>Presidente de la Confederación de Suiza</w:t>
      </w:r>
    </w:p>
    <w:p w14:paraId="2635C732" w14:textId="77777777" w:rsidR="00C9457D" w:rsidRPr="00C9457D" w:rsidRDefault="00C9457D" w:rsidP="00C9457D">
      <w:pPr>
        <w:pStyle w:val="ZZAnxheader"/>
        <w:pBdr>
          <w:bottom w:val="single" w:sz="4" w:space="1" w:color="auto"/>
        </w:pBdr>
        <w:rPr>
          <w:sz w:val="20"/>
          <w:szCs w:val="20"/>
          <w:lang w:val="es-ES"/>
        </w:rPr>
      </w:pPr>
    </w:p>
    <w:p w14:paraId="3755F608" w14:textId="77777777" w:rsidR="00C9457D" w:rsidRPr="00C9457D" w:rsidRDefault="00C9457D" w:rsidP="00C9457D">
      <w:pPr>
        <w:spacing w:before="360" w:after="360"/>
        <w:rPr>
          <w:b/>
          <w:sz w:val="18"/>
          <w:szCs w:val="18"/>
          <w:u w:val="single"/>
        </w:rPr>
      </w:pPr>
      <w:r w:rsidRPr="00C9457D">
        <w:rPr>
          <w:b/>
          <w:sz w:val="18"/>
          <w:szCs w:val="18"/>
          <w:u w:val="single"/>
        </w:rPr>
        <w:t>CH-3003 Berna, GS-DETEC</w:t>
      </w:r>
    </w:p>
    <w:p w14:paraId="77CC6D71" w14:textId="77777777" w:rsidR="00C9457D" w:rsidRPr="003B304C" w:rsidRDefault="00C9457D" w:rsidP="00C9457D"/>
    <w:p w14:paraId="788F6E66" w14:textId="77777777" w:rsidR="00C9457D" w:rsidRPr="003B304C" w:rsidRDefault="00C9457D" w:rsidP="00C9457D">
      <w:r w:rsidRPr="003B304C">
        <w:t>Programa de las Naciones Unidas para el Medio Ambiente (PNUMA)</w:t>
      </w:r>
    </w:p>
    <w:p w14:paraId="318B440E" w14:textId="77777777" w:rsidR="00C9457D" w:rsidRPr="003B304C" w:rsidRDefault="00C9457D" w:rsidP="00C9457D">
      <w:r w:rsidRPr="003B304C">
        <w:t xml:space="preserve">Sr. Erik </w:t>
      </w:r>
      <w:proofErr w:type="spellStart"/>
      <w:r w:rsidRPr="003B304C">
        <w:t>Solheim</w:t>
      </w:r>
      <w:proofErr w:type="spellEnd"/>
    </w:p>
    <w:p w14:paraId="46BE9072" w14:textId="77777777" w:rsidR="00C9457D" w:rsidRPr="003B304C" w:rsidRDefault="00C9457D" w:rsidP="00C9457D">
      <w:r w:rsidRPr="003B304C">
        <w:t>Director Ejecutivo</w:t>
      </w:r>
    </w:p>
    <w:p w14:paraId="17B84A92" w14:textId="77777777" w:rsidR="00C9457D" w:rsidRPr="003B304C" w:rsidRDefault="00C9457D" w:rsidP="00C9457D">
      <w:r w:rsidRPr="003B304C">
        <w:t>P.O.</w:t>
      </w:r>
      <w:r>
        <w:t xml:space="preserve"> </w:t>
      </w:r>
      <w:r w:rsidRPr="003B304C">
        <w:t>Box 30552</w:t>
      </w:r>
    </w:p>
    <w:p w14:paraId="14117EC3" w14:textId="77777777" w:rsidR="00C9457D" w:rsidRPr="003B304C" w:rsidRDefault="00C9457D" w:rsidP="00C9457D">
      <w:r w:rsidRPr="003B304C">
        <w:t>Nairobi</w:t>
      </w:r>
    </w:p>
    <w:p w14:paraId="7E38A965" w14:textId="77777777" w:rsidR="00C9457D" w:rsidRPr="003B304C" w:rsidRDefault="00C9457D" w:rsidP="00C9457D">
      <w:r w:rsidRPr="003B304C">
        <w:t>Kenya</w:t>
      </w:r>
    </w:p>
    <w:p w14:paraId="5EC78E7C" w14:textId="77777777" w:rsidR="00C9457D" w:rsidRPr="003B304C" w:rsidRDefault="00C9457D" w:rsidP="00C9457D"/>
    <w:p w14:paraId="28B2228F" w14:textId="77777777" w:rsidR="00C9457D" w:rsidRPr="003B304C" w:rsidRDefault="00C9457D" w:rsidP="00C9457D"/>
    <w:p w14:paraId="54E496EC" w14:textId="77777777" w:rsidR="00C9457D" w:rsidRPr="003B304C" w:rsidRDefault="00C9457D" w:rsidP="00C9457D">
      <w:r w:rsidRPr="003B304C">
        <w:t>Berna, 7 de diciembre de 2017</w:t>
      </w:r>
    </w:p>
    <w:p w14:paraId="607EC6CE" w14:textId="77777777" w:rsidR="00C9457D" w:rsidRPr="003B304C" w:rsidRDefault="00C9457D" w:rsidP="00C9457D"/>
    <w:p w14:paraId="7A9DBC53" w14:textId="5D2D0CE7" w:rsidR="00C9457D" w:rsidRPr="00C9457D" w:rsidRDefault="00C9457D" w:rsidP="00C9457D">
      <w:pPr>
        <w:rPr>
          <w:b/>
        </w:rPr>
      </w:pPr>
      <w:r w:rsidRPr="00C9457D">
        <w:rPr>
          <w:b/>
        </w:rPr>
        <w:t>Ofrecimiento de Suiza de acoger la Secretaría independiente del Convenio de Minamata sobre el Mercurio en</w:t>
      </w:r>
      <w:r>
        <w:rPr>
          <w:b/>
        </w:rPr>
        <w:t> </w:t>
      </w:r>
      <w:r w:rsidRPr="00C9457D">
        <w:rPr>
          <w:b/>
        </w:rPr>
        <w:t>Ginebra</w:t>
      </w:r>
    </w:p>
    <w:p w14:paraId="104EC726" w14:textId="77777777" w:rsidR="00C9457D" w:rsidRPr="003B304C" w:rsidRDefault="00C9457D" w:rsidP="00C9457D"/>
    <w:p w14:paraId="393AAE2F" w14:textId="11B9EBE8" w:rsidR="00C9457D" w:rsidRPr="003B304C" w:rsidRDefault="00C9457D" w:rsidP="00C9457D">
      <w:pPr>
        <w:spacing w:after="120"/>
      </w:pPr>
      <w:r w:rsidRPr="003B304C">
        <w:t>Estimado Director Ejecutivo:</w:t>
      </w:r>
      <w:r w:rsidR="006A3BFB">
        <w:t xml:space="preserve"> </w:t>
      </w:r>
      <w:r w:rsidR="006A3BFB">
        <w:rPr>
          <w:noProof/>
          <w:lang w:val="es-ES" w:eastAsia="es-ES"/>
        </w:rPr>
        <w:drawing>
          <wp:inline distT="0" distB="0" distL="0" distR="0" wp14:anchorId="249BDB7B" wp14:editId="1DD4DA83">
            <wp:extent cx="890588" cy="228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0041" cy="251561"/>
                    </a:xfrm>
                    <a:prstGeom prst="rect">
                      <a:avLst/>
                    </a:prstGeom>
                  </pic:spPr>
                </pic:pic>
              </a:graphicData>
            </a:graphic>
          </wp:inline>
        </w:drawing>
      </w:r>
    </w:p>
    <w:p w14:paraId="1B390F74" w14:textId="04827686" w:rsidR="00C9457D" w:rsidRPr="003B304C" w:rsidRDefault="00C9457D" w:rsidP="00C9457D">
      <w:pPr>
        <w:spacing w:after="120"/>
      </w:pPr>
      <w:r w:rsidRPr="003B304C">
        <w:t>La Primera Conferencia de las Partes en el Convenio de Minamata tuvo lugar en Ginebra del 24 al 28 de septiembre de 2017. Me satisfacen muchos de los resultados obtenidos en ella ya que suponen un paso adelante en nuestros esfuerzos comunes por resolver este importante desafío mundial en materia de medio ambiente y salud.</w:t>
      </w:r>
    </w:p>
    <w:p w14:paraId="77128877" w14:textId="5C958528" w:rsidR="00C9457D" w:rsidRPr="003B304C" w:rsidRDefault="00C9457D" w:rsidP="00C9457D">
      <w:pPr>
        <w:spacing w:after="120"/>
      </w:pPr>
      <w:r w:rsidRPr="003B304C">
        <w:t xml:space="preserve">Acojo con beneplácito la decisión de ubicar inicialmente la Secretaría del Convenio de Minamata como </w:t>
      </w:r>
      <w:r w:rsidR="008C3EDC">
        <w:t>S</w:t>
      </w:r>
      <w:r w:rsidRPr="003B304C">
        <w:t>ecretaría independiente en Ginebra. Más adelante</w:t>
      </w:r>
      <w:r>
        <w:t xml:space="preserve"> habremos de</w:t>
      </w:r>
      <w:r w:rsidRPr="003B304C">
        <w:t xml:space="preserve"> debatir los detalles de los arreglos de secretaría, entre otros, la posibilidad de integrar la Secretaría de Minamata en la estructura vigente de los Convenios de Basilea, Estocolmo y</w:t>
      </w:r>
      <w:r w:rsidR="00932648">
        <w:t> </w:t>
      </w:r>
      <w:r w:rsidRPr="003B304C">
        <w:t>Rotterdam.</w:t>
      </w:r>
    </w:p>
    <w:p w14:paraId="1D0A2755" w14:textId="77777777" w:rsidR="00C9457D" w:rsidRPr="003B304C" w:rsidRDefault="00C9457D" w:rsidP="00C9457D">
      <w:pPr>
        <w:spacing w:after="120"/>
      </w:pPr>
      <w:r w:rsidRPr="003B304C">
        <w:t>Durante la Primera Conferencia de las Partes, Suiza formuló el ofrecimiento de acoger la Secretaría en Ginebra. Como es de su conocimiento, el presente ofrecimiento no es idéntico al ofrecimiento presentado por Suiza en junio de 2015.</w:t>
      </w:r>
    </w:p>
    <w:p w14:paraId="2993A326" w14:textId="77777777" w:rsidR="00C9457D" w:rsidRPr="003B304C" w:rsidRDefault="00C9457D" w:rsidP="00C9457D">
      <w:pPr>
        <w:spacing w:after="120"/>
      </w:pPr>
      <w:r w:rsidRPr="003B304C">
        <w:t>Desearía confirmar el contenido del ofrecimiento formulado por Suiza en la Primera Conferencia de las Partes en cuanto a acoger la Secretaría del Convenio de Minamata en Ginebra, el cual contiene los elementos siguientes:</w:t>
      </w:r>
    </w:p>
    <w:p w14:paraId="1FE6B648" w14:textId="433E31CD" w:rsidR="00C9457D" w:rsidRPr="003B304C" w:rsidRDefault="00C9457D" w:rsidP="00C9457D">
      <w:pPr>
        <w:pStyle w:val="ListParagraph"/>
        <w:numPr>
          <w:ilvl w:val="0"/>
          <w:numId w:val="23"/>
        </w:numPr>
        <w:tabs>
          <w:tab w:val="clear" w:pos="1247"/>
          <w:tab w:val="clear" w:pos="1814"/>
          <w:tab w:val="clear" w:pos="2381"/>
          <w:tab w:val="clear" w:pos="2948"/>
          <w:tab w:val="clear" w:pos="3515"/>
        </w:tabs>
        <w:spacing w:after="120"/>
        <w:ind w:left="714" w:hanging="357"/>
      </w:pPr>
      <w:r w:rsidRPr="003B304C">
        <w:t>Una suma total de 1 millón de francos suizos anual</w:t>
      </w:r>
      <w:r>
        <w:t>es</w:t>
      </w:r>
      <w:r w:rsidRPr="003B304C">
        <w:t xml:space="preserve"> para apoyar el funcionamiento en general de la Secretaría, facilitar la implementación del Convenio y la celebración de reuniones. Esa cantidad incluye la</w:t>
      </w:r>
      <w:r w:rsidR="008C3EDC">
        <w:t> </w:t>
      </w:r>
      <w:r w:rsidRPr="003B304C">
        <w:t>cuota que ha</w:t>
      </w:r>
      <w:r>
        <w:t>bría</w:t>
      </w:r>
      <w:r w:rsidRPr="003B304C">
        <w:t xml:space="preserve"> de pagar Suiza al Fondo Fiduciario para actividades generales en su calidad de miembro del Convenio.</w:t>
      </w:r>
    </w:p>
    <w:p w14:paraId="70EBBAF3" w14:textId="27716CD7" w:rsidR="00C9457D" w:rsidRPr="003B304C" w:rsidRDefault="00C9457D" w:rsidP="00C9457D">
      <w:pPr>
        <w:pStyle w:val="ListParagraph"/>
        <w:numPr>
          <w:ilvl w:val="0"/>
          <w:numId w:val="23"/>
        </w:numPr>
        <w:tabs>
          <w:tab w:val="clear" w:pos="1247"/>
          <w:tab w:val="clear" w:pos="1814"/>
          <w:tab w:val="clear" w:pos="2381"/>
          <w:tab w:val="clear" w:pos="2948"/>
          <w:tab w:val="clear" w:pos="3515"/>
        </w:tabs>
        <w:spacing w:after="120"/>
        <w:ind w:left="714" w:hanging="357"/>
      </w:pPr>
      <w:r w:rsidRPr="003B304C">
        <w:t>El 60% de la contribución de 1 millón de francos suizos que ha</w:t>
      </w:r>
      <w:r>
        <w:t>brá</w:t>
      </w:r>
      <w:r w:rsidRPr="003B304C">
        <w:t xml:space="preserve"> de aportar Suiza como país de acogida se asignará al Fondo Fiduciario para actividades generales y el otro 40% se asignará al Fondo Fiduciario para actividades especiales con vistas a apoyar la participación de los países en desarrollo en las reuniones del</w:t>
      </w:r>
      <w:r>
        <w:t> </w:t>
      </w:r>
      <w:r w:rsidRPr="003B304C">
        <w:t>Convenio.</w:t>
      </w:r>
    </w:p>
    <w:p w14:paraId="1E6FF178" w14:textId="12FD7E9D" w:rsidR="00C9457D" w:rsidRPr="003B304C" w:rsidRDefault="00C9457D" w:rsidP="00C9457D">
      <w:pPr>
        <w:pStyle w:val="ListParagraph"/>
        <w:numPr>
          <w:ilvl w:val="0"/>
          <w:numId w:val="23"/>
        </w:numPr>
        <w:tabs>
          <w:tab w:val="clear" w:pos="1247"/>
          <w:tab w:val="clear" w:pos="1814"/>
          <w:tab w:val="clear" w:pos="2381"/>
          <w:tab w:val="clear" w:pos="2948"/>
          <w:tab w:val="clear" w:pos="3515"/>
        </w:tabs>
        <w:spacing w:after="120"/>
        <w:ind w:left="714" w:hanging="357"/>
      </w:pPr>
      <w:r w:rsidRPr="003B304C">
        <w:t xml:space="preserve">Actualmente la Secretaría del Convenio de Minamata está ubicada en la International </w:t>
      </w:r>
      <w:proofErr w:type="spellStart"/>
      <w:r w:rsidRPr="003B304C">
        <w:t>Environment</w:t>
      </w:r>
      <w:proofErr w:type="spellEnd"/>
      <w:r w:rsidRPr="003B304C">
        <w:t xml:space="preserve"> House (IEH) en Ginebra, </w:t>
      </w:r>
      <w:r>
        <w:t>en las cercanías</w:t>
      </w:r>
      <w:r w:rsidRPr="003B304C">
        <w:t xml:space="preserve"> de la sede europea de las Naciones Unidas y de muchas de las principales organizaciones intergubernamentales con </w:t>
      </w:r>
      <w:r>
        <w:t>base</w:t>
      </w:r>
      <w:r w:rsidRPr="003B304C">
        <w:t xml:space="preserve"> en la ciudad. Se destinará un espacio adecuado para las oficinas de la Secretaría permanente en la IEH a título gratuito, junto con la Secretaría conjunta de los Convenios de Basilea, Estocolmo y Rotterdam. La responsabilidad por los arreglos en materia de seguridad en la IEH recaerá plenamente en los Servicios de Seguridad de las Naciones Unidas.</w:t>
      </w:r>
    </w:p>
    <w:p w14:paraId="478F3F5E" w14:textId="61DE4E95" w:rsidR="006A3BFB" w:rsidRDefault="00C9457D" w:rsidP="00C9457D">
      <w:pPr>
        <w:pStyle w:val="ListParagraph"/>
        <w:numPr>
          <w:ilvl w:val="0"/>
          <w:numId w:val="23"/>
        </w:numPr>
        <w:tabs>
          <w:tab w:val="clear" w:pos="1247"/>
          <w:tab w:val="clear" w:pos="1814"/>
          <w:tab w:val="clear" w:pos="2381"/>
          <w:tab w:val="clear" w:pos="2948"/>
          <w:tab w:val="clear" w:pos="3515"/>
        </w:tabs>
        <w:spacing w:after="120"/>
        <w:ind w:left="714" w:hanging="357"/>
      </w:pPr>
      <w:r w:rsidRPr="003B304C">
        <w:t>Acceso a título gratuito al Centro Internacional de Conferencias de Ginebra (CICG) para las reuniones del Convenio de Minamata. El Centro Internacional de Conferencias de Ginebra fue construido específicamente para acoger conferencias diplomáticas, es propiedad de las autoridades suizas y está ubicado en las cercanías de la sede de las Naciones Unidas en Ginebra.</w:t>
      </w:r>
    </w:p>
    <w:p w14:paraId="287987CB" w14:textId="77777777" w:rsidR="006A3BFB" w:rsidRDefault="006A3BFB">
      <w:pPr>
        <w:tabs>
          <w:tab w:val="clear" w:pos="1247"/>
          <w:tab w:val="clear" w:pos="1814"/>
          <w:tab w:val="clear" w:pos="2381"/>
          <w:tab w:val="clear" w:pos="2948"/>
          <w:tab w:val="clear" w:pos="3515"/>
        </w:tabs>
      </w:pPr>
      <w:r>
        <w:br w:type="page"/>
      </w:r>
    </w:p>
    <w:p w14:paraId="47715533" w14:textId="53C0FBD4" w:rsidR="00C9457D" w:rsidRPr="003B304C" w:rsidRDefault="006A3BFB" w:rsidP="006A3BFB">
      <w:pPr>
        <w:pStyle w:val="ListParagraph"/>
        <w:tabs>
          <w:tab w:val="clear" w:pos="1247"/>
          <w:tab w:val="clear" w:pos="1814"/>
          <w:tab w:val="clear" w:pos="2381"/>
          <w:tab w:val="clear" w:pos="2948"/>
          <w:tab w:val="clear" w:pos="3515"/>
        </w:tabs>
        <w:spacing w:after="360"/>
        <w:ind w:left="714"/>
      </w:pPr>
      <w:r>
        <w:rPr>
          <w:noProof/>
          <w:lang w:val="es-ES" w:eastAsia="es-ES"/>
        </w:rPr>
        <w:lastRenderedPageBreak/>
        <w:drawing>
          <wp:inline distT="0" distB="0" distL="0" distR="0" wp14:anchorId="2D89CB15" wp14:editId="13592FA7">
            <wp:extent cx="436563" cy="4445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288" cy="449311"/>
                    </a:xfrm>
                    <a:prstGeom prst="rect">
                      <a:avLst/>
                    </a:prstGeom>
                  </pic:spPr>
                </pic:pic>
              </a:graphicData>
            </a:graphic>
          </wp:inline>
        </w:drawing>
      </w:r>
    </w:p>
    <w:p w14:paraId="6088EF07" w14:textId="77777777" w:rsidR="008C3EDC" w:rsidRDefault="00C9457D" w:rsidP="00C9457D">
      <w:pPr>
        <w:pStyle w:val="ListParagraph"/>
        <w:numPr>
          <w:ilvl w:val="0"/>
          <w:numId w:val="23"/>
        </w:numPr>
        <w:tabs>
          <w:tab w:val="clear" w:pos="1247"/>
          <w:tab w:val="clear" w:pos="1814"/>
          <w:tab w:val="clear" w:pos="2381"/>
          <w:tab w:val="clear" w:pos="2948"/>
          <w:tab w:val="clear" w:pos="3515"/>
        </w:tabs>
        <w:spacing w:after="120"/>
        <w:ind w:left="714" w:hanging="357"/>
      </w:pPr>
      <w:r w:rsidRPr="003B304C">
        <w:t xml:space="preserve">El personal de la Secretaría y sus </w:t>
      </w:r>
      <w:r>
        <w:t>familiares</w:t>
      </w:r>
      <w:r w:rsidRPr="003B304C">
        <w:t xml:space="preserve"> gozarán de todos los privilegios e inmunidades concedidos por el Gobierno de Suiza a las Naciones Unidas y </w:t>
      </w:r>
      <w:r>
        <w:t xml:space="preserve">a </w:t>
      </w:r>
      <w:r w:rsidRPr="003B304C">
        <w:t xml:space="preserve">sus funcionarios con base en ese país, entre otras, libertad de acción, inviolabilidad, inmunidad de jurisdicción, privilegios fiscales y tratamiento aduanero preferencial. </w:t>
      </w:r>
    </w:p>
    <w:p w14:paraId="5D7ECA85" w14:textId="3DAE3DE2" w:rsidR="00C9457D" w:rsidRPr="003B304C" w:rsidRDefault="00C9457D" w:rsidP="00C9457D">
      <w:pPr>
        <w:pStyle w:val="ListParagraph"/>
        <w:numPr>
          <w:ilvl w:val="0"/>
          <w:numId w:val="23"/>
        </w:numPr>
        <w:tabs>
          <w:tab w:val="clear" w:pos="1247"/>
          <w:tab w:val="clear" w:pos="1814"/>
          <w:tab w:val="clear" w:pos="2381"/>
          <w:tab w:val="clear" w:pos="2948"/>
          <w:tab w:val="clear" w:pos="3515"/>
        </w:tabs>
        <w:spacing w:after="120"/>
        <w:ind w:left="714" w:hanging="357"/>
      </w:pPr>
      <w:r w:rsidRPr="003B304C">
        <w:t>Los delegados de las conferencias del Convenio de Minamata y los expertos en comisión de servicios gozarán de los mismos privilegios e inmunidades que los delegados y expertos participantes en otras reuniones de las Naciones Unidas. Suiza es miembro pleno de la Convención de Viena sobre Relaciones Diplomáticas, de 18 de abril de 1961, y de la Convención de Viena sobre Relaciones Consulares, de 24 de abril de 1963. Como funcionarios de las Naciones Unidas en Ginebra, la Secretaría y su personal, los delegados en conferencias y los expertos en comisión de servicio seguirán disfrutando de todos los privilegios e inmunidades concedidos a las Naciones Unidas.</w:t>
      </w:r>
    </w:p>
    <w:p w14:paraId="642C3432" w14:textId="77777777" w:rsidR="00C9457D" w:rsidRPr="003B304C" w:rsidRDefault="00C9457D" w:rsidP="00C9457D">
      <w:pPr>
        <w:pStyle w:val="ListParagraph"/>
        <w:numPr>
          <w:ilvl w:val="0"/>
          <w:numId w:val="23"/>
        </w:numPr>
        <w:tabs>
          <w:tab w:val="clear" w:pos="1247"/>
          <w:tab w:val="clear" w:pos="1814"/>
          <w:tab w:val="clear" w:pos="2381"/>
          <w:tab w:val="clear" w:pos="2948"/>
          <w:tab w:val="clear" w:pos="3515"/>
        </w:tabs>
        <w:spacing w:after="120"/>
        <w:ind w:left="714" w:hanging="357"/>
      </w:pPr>
      <w:r w:rsidRPr="003B304C">
        <w:t>Suiza ofrece facilidad en el acceso al mercado laboral suizo para los cónyuges y parejas no casadas o parejas del mismo sexo del personal de la Secretaría. Siempre y cuando sean residentes en Suiza y formen parte del núcleo familiar del beneficiario, no estarán sujetos a las cuotas fijadas para extranjeros que deseen trabajar en Suiza ni a cualesquiera otras regulaciones específicas que rijan el mercado laboral. El Centro de Bienvenida de Ginebra (CAGI) ofrece asistencia en materia de empleo a los dependientes de funcionarios de las Naciones Unidas.</w:t>
      </w:r>
    </w:p>
    <w:p w14:paraId="0EDB40E0" w14:textId="77777777" w:rsidR="00C9457D" w:rsidRPr="003B304C" w:rsidRDefault="00C9457D" w:rsidP="00C9457D">
      <w:pPr>
        <w:pStyle w:val="ListParagraph"/>
        <w:numPr>
          <w:ilvl w:val="0"/>
          <w:numId w:val="23"/>
        </w:numPr>
        <w:tabs>
          <w:tab w:val="clear" w:pos="1247"/>
          <w:tab w:val="clear" w:pos="1814"/>
          <w:tab w:val="clear" w:pos="2381"/>
          <w:tab w:val="clear" w:pos="2948"/>
          <w:tab w:val="clear" w:pos="3515"/>
        </w:tabs>
        <w:spacing w:after="120"/>
        <w:ind w:left="714" w:hanging="357"/>
      </w:pPr>
      <w:r w:rsidRPr="003B304C">
        <w:t>Como parte de las Naciones Unidas, la Secretaría del Convenio de Minamata será beneficiaria del Acuerdo con el País Anfitrión celebrado entre las Naciones Unidas y el Gobierno de Suiza. Por consiguiente, no será necesario firmar un acuerdo sobre la sede.</w:t>
      </w:r>
    </w:p>
    <w:p w14:paraId="0C549BA2" w14:textId="51B6669C" w:rsidR="00C9457D" w:rsidRPr="003B304C" w:rsidRDefault="00C9457D" w:rsidP="00C9457D">
      <w:pPr>
        <w:spacing w:after="120"/>
      </w:pPr>
      <w:r w:rsidRPr="003B304C">
        <w:t>Permítame concluir reafirmando el compromiso de Suiza de trabajar con sus asociados en pro de una sólida decisión de la Conferencia de las Partes para garantizar el mejor apoyo posible a la Secretaría del Convenio de Minamata</w:t>
      </w:r>
      <w:r w:rsidR="001D51C6">
        <w:t>.</w:t>
      </w:r>
    </w:p>
    <w:p w14:paraId="3E898CCD" w14:textId="77777777" w:rsidR="00C9457D" w:rsidRPr="003B304C" w:rsidRDefault="00C9457D" w:rsidP="00C9457D">
      <w:pPr>
        <w:spacing w:after="120"/>
      </w:pPr>
      <w:r w:rsidRPr="003B304C">
        <w:t xml:space="preserve">Le saluda atentamente, </w:t>
      </w:r>
    </w:p>
    <w:p w14:paraId="3DEB6180" w14:textId="1B34A533" w:rsidR="00C9457D" w:rsidRPr="003B304C" w:rsidRDefault="006A3BFB" w:rsidP="00C9457D">
      <w:r>
        <w:rPr>
          <w:noProof/>
          <w:lang w:val="es-ES" w:eastAsia="es-ES"/>
        </w:rPr>
        <w:drawing>
          <wp:inline distT="0" distB="0" distL="0" distR="0" wp14:anchorId="4DB24B40" wp14:editId="1DC794AF">
            <wp:extent cx="1405941" cy="9398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7671" cy="947641"/>
                    </a:xfrm>
                    <a:prstGeom prst="rect">
                      <a:avLst/>
                    </a:prstGeom>
                  </pic:spPr>
                </pic:pic>
              </a:graphicData>
            </a:graphic>
          </wp:inline>
        </w:drawing>
      </w:r>
    </w:p>
    <w:p w14:paraId="78C67E61" w14:textId="77777777" w:rsidR="00C9457D" w:rsidRPr="003B304C" w:rsidRDefault="00C9457D" w:rsidP="006A3BFB">
      <w:r w:rsidRPr="003B304C">
        <w:t xml:space="preserve">Doris </w:t>
      </w:r>
      <w:proofErr w:type="spellStart"/>
      <w:r w:rsidRPr="003B304C">
        <w:t>Leuthard</w:t>
      </w:r>
      <w:proofErr w:type="spellEnd"/>
    </w:p>
    <w:p w14:paraId="71EB507D" w14:textId="1FBE0B5E" w:rsidR="00C9457D" w:rsidRPr="003B304C" w:rsidRDefault="00C9457D" w:rsidP="006A3BFB">
      <w:pPr>
        <w:spacing w:after="240"/>
      </w:pPr>
      <w:r w:rsidRPr="003B304C">
        <w:t xml:space="preserve">Presidenta de la Confederación </w:t>
      </w:r>
      <w:r w:rsidR="006A3BFB">
        <w:t xml:space="preserve">de </w:t>
      </w:r>
      <w:r w:rsidRPr="003B304C">
        <w:t>Suiza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7A289E" w14:paraId="68FEDC04" w14:textId="77777777" w:rsidTr="007A289E">
        <w:tc>
          <w:tcPr>
            <w:tcW w:w="1897" w:type="dxa"/>
          </w:tcPr>
          <w:p w14:paraId="5B9D4BAF" w14:textId="05BB3AA2" w:rsidR="007A289E" w:rsidRPr="006A3BFB" w:rsidRDefault="007A289E" w:rsidP="007A289E">
            <w:pPr>
              <w:pStyle w:val="Normal-pool"/>
              <w:spacing w:before="520"/>
              <w:rPr>
                <w:lang w:val="es-ES"/>
              </w:rPr>
            </w:pPr>
          </w:p>
        </w:tc>
        <w:tc>
          <w:tcPr>
            <w:tcW w:w="1897" w:type="dxa"/>
          </w:tcPr>
          <w:p w14:paraId="3C6D5842" w14:textId="77777777" w:rsidR="007A289E" w:rsidRPr="006A3BFB" w:rsidRDefault="007A289E" w:rsidP="007A289E">
            <w:pPr>
              <w:pStyle w:val="Normal-pool"/>
              <w:spacing w:before="520"/>
              <w:rPr>
                <w:lang w:val="es-ES"/>
              </w:rPr>
            </w:pPr>
          </w:p>
        </w:tc>
        <w:tc>
          <w:tcPr>
            <w:tcW w:w="1897" w:type="dxa"/>
            <w:tcBorders>
              <w:bottom w:val="single" w:sz="4" w:space="0" w:color="auto"/>
            </w:tcBorders>
          </w:tcPr>
          <w:p w14:paraId="49DFB418" w14:textId="77777777" w:rsidR="007A289E" w:rsidRPr="006A3BFB" w:rsidRDefault="007A289E" w:rsidP="007A289E">
            <w:pPr>
              <w:pStyle w:val="Normal-pool"/>
              <w:spacing w:before="520"/>
              <w:rPr>
                <w:lang w:val="es-ES"/>
              </w:rPr>
            </w:pPr>
          </w:p>
        </w:tc>
        <w:tc>
          <w:tcPr>
            <w:tcW w:w="1897" w:type="dxa"/>
          </w:tcPr>
          <w:p w14:paraId="260CC793" w14:textId="77777777" w:rsidR="007A289E" w:rsidRPr="006A3BFB" w:rsidRDefault="007A289E" w:rsidP="007A289E">
            <w:pPr>
              <w:pStyle w:val="Normal-pool"/>
              <w:spacing w:before="520"/>
              <w:rPr>
                <w:lang w:val="es-ES"/>
              </w:rPr>
            </w:pPr>
          </w:p>
        </w:tc>
        <w:tc>
          <w:tcPr>
            <w:tcW w:w="1898" w:type="dxa"/>
          </w:tcPr>
          <w:p w14:paraId="5351177C" w14:textId="77777777" w:rsidR="007A289E" w:rsidRPr="006A3BFB" w:rsidRDefault="007A289E" w:rsidP="007A289E">
            <w:pPr>
              <w:pStyle w:val="Normal-pool"/>
              <w:spacing w:before="520"/>
              <w:rPr>
                <w:lang w:val="es-ES"/>
              </w:rPr>
            </w:pPr>
          </w:p>
        </w:tc>
      </w:tr>
    </w:tbl>
    <w:p w14:paraId="7AC51BAF" w14:textId="77777777" w:rsidR="007A289E" w:rsidRPr="006A3BFB" w:rsidRDefault="007A289E" w:rsidP="007A289E">
      <w:pPr>
        <w:pStyle w:val="Normal-pool"/>
        <w:rPr>
          <w:lang w:val="es-ES"/>
        </w:rPr>
      </w:pPr>
    </w:p>
    <w:sectPr w:rsidR="007A289E" w:rsidRPr="006A3BFB" w:rsidSect="00F7267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1C2A" w14:textId="77777777" w:rsidR="005F254A" w:rsidRDefault="005F254A">
      <w:r>
        <w:separator/>
      </w:r>
    </w:p>
  </w:endnote>
  <w:endnote w:type="continuationSeparator" w:id="0">
    <w:p w14:paraId="279C9D6D" w14:textId="77777777" w:rsidR="005F254A" w:rsidRDefault="005F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A32D" w14:textId="4DE8F315" w:rsidR="00C9457D" w:rsidRPr="006A3BFB" w:rsidRDefault="006111FE" w:rsidP="006A3BFB">
    <w:pPr>
      <w:pStyle w:val="Footer"/>
      <w:ind w:left="3744" w:hanging="3345"/>
      <w:rPr>
        <w:lang w:val="en-US"/>
      </w:rPr>
    </w:pPr>
    <w:r>
      <w:rPr>
        <w:rStyle w:val="PageNumber"/>
      </w:rPr>
      <w:fldChar w:fldCharType="begin"/>
    </w:r>
    <w:r w:rsidRPr="006A3BFB">
      <w:rPr>
        <w:rStyle w:val="PageNumber"/>
        <w:lang w:val="en-US"/>
      </w:rPr>
      <w:instrText xml:space="preserve"> PAGE </w:instrText>
    </w:r>
    <w:r>
      <w:rPr>
        <w:rStyle w:val="PageNumber"/>
      </w:rPr>
      <w:fldChar w:fldCharType="separate"/>
    </w:r>
    <w:r w:rsidR="00932648">
      <w:rPr>
        <w:rStyle w:val="PageNumber"/>
        <w:noProof/>
        <w:lang w:val="en-US"/>
      </w:rPr>
      <w:t>2</w:t>
    </w:r>
    <w:r>
      <w:rPr>
        <w:rStyle w:val="PageNumber"/>
      </w:rPr>
      <w:fldChar w:fldCharType="end"/>
    </w:r>
    <w:r w:rsidR="00C9457D" w:rsidRPr="006A3BFB">
      <w:rPr>
        <w:rStyle w:val="PageNumber"/>
        <w:lang w:val="en-US"/>
      </w:rPr>
      <w:tab/>
    </w:r>
    <w:r w:rsidR="00C9457D" w:rsidRPr="006A3BFB">
      <w:rPr>
        <w:rStyle w:val="PageNumber"/>
        <w:lang w:val="en-US"/>
      </w:rPr>
      <w:tab/>
    </w:r>
    <w:r w:rsidR="00C9457D" w:rsidRPr="006A3BFB">
      <w:rPr>
        <w:rStyle w:val="PageNumber"/>
        <w:lang w:val="en-US"/>
      </w:rPr>
      <w:tab/>
    </w:r>
    <w:r w:rsidR="00C9457D" w:rsidRPr="006A3BFB">
      <w:rPr>
        <w:rStyle w:val="PageNumber"/>
        <w:lang w:val="en-US"/>
      </w:rPr>
      <w:tab/>
    </w:r>
    <w:r w:rsidR="006A3BFB">
      <w:rPr>
        <w:rStyle w:val="PageNumber"/>
        <w:lang w:val="en-US"/>
      </w:rPr>
      <w:tab/>
    </w:r>
    <w:r w:rsidR="006A3BFB">
      <w:rPr>
        <w:rStyle w:val="PageNumber"/>
        <w:lang w:val="en-US"/>
      </w:rPr>
      <w:tab/>
    </w:r>
    <w:proofErr w:type="spellStart"/>
    <w:r w:rsidR="00C9457D" w:rsidRPr="006A3BFB">
      <w:rPr>
        <w:rStyle w:val="PageNumber"/>
        <w:b w:val="0"/>
        <w:lang w:val="en-US"/>
      </w:rPr>
      <w:t>Kochergasse</w:t>
    </w:r>
    <w:proofErr w:type="spellEnd"/>
    <w:r w:rsidR="00C9457D" w:rsidRPr="006A3BFB">
      <w:rPr>
        <w:rStyle w:val="PageNumber"/>
        <w:b w:val="0"/>
        <w:lang w:val="en-US"/>
      </w:rPr>
      <w:t xml:space="preserve"> 6, 3003 Bern</w:t>
    </w:r>
    <w:r w:rsidR="006A3BFB" w:rsidRPr="006A3BFB">
      <w:rPr>
        <w:rStyle w:val="PageNumber"/>
        <w:b w:val="0"/>
        <w:lang w:val="en-US"/>
      </w:rPr>
      <w:br/>
    </w:r>
    <w:r w:rsidR="006A3BFB">
      <w:rPr>
        <w:lang w:val="en-US"/>
      </w:rPr>
      <w:t xml:space="preserve">   </w:t>
    </w:r>
    <w:r w:rsidR="00C9457D" w:rsidRPr="006A3BFB">
      <w:rPr>
        <w:lang w:val="en-US"/>
      </w:rPr>
      <w:t>www.</w:t>
    </w:r>
    <w:r w:rsidR="006A3BFB" w:rsidRPr="006A3BFB">
      <w:rPr>
        <w:lang w:val="en-US"/>
      </w:rPr>
      <w:t>ukev.admin.ch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4B17448"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32648">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43B9" w14:textId="0C4A141F" w:rsidR="00361D9C" w:rsidRPr="008D2F7B" w:rsidRDefault="00361D9C" w:rsidP="00361D9C">
    <w:pPr>
      <w:pStyle w:val="Footer"/>
      <w:tabs>
        <w:tab w:val="clear" w:pos="1247"/>
        <w:tab w:val="clear" w:pos="1814"/>
        <w:tab w:val="clear" w:pos="2381"/>
        <w:tab w:val="clear" w:pos="2948"/>
        <w:tab w:val="clear" w:pos="3515"/>
        <w:tab w:val="clear" w:pos="4320"/>
        <w:tab w:val="clear" w:pos="8640"/>
        <w:tab w:val="left" w:pos="624"/>
      </w:tabs>
      <w:rPr>
        <w:sz w:val="20"/>
      </w:rPr>
    </w:pPr>
    <w:r w:rsidRPr="008D2F7B">
      <w:rPr>
        <w:sz w:val="20"/>
      </w:rPr>
      <w:t>K180192</w:t>
    </w:r>
    <w:r w:rsidR="008C3EDC">
      <w:rPr>
        <w:sz w:val="20"/>
      </w:rPr>
      <w:t>8</w:t>
    </w:r>
    <w:r w:rsidRPr="008D2F7B">
      <w:rPr>
        <w:sz w:val="20"/>
      </w:rPr>
      <w:tab/>
    </w:r>
    <w:r w:rsidR="00D7431A">
      <w:rPr>
        <w:sz w:val="20"/>
      </w:rPr>
      <w:t>2809</w:t>
    </w:r>
    <w:r w:rsidRPr="008D2F7B">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74C42" w14:textId="77777777" w:rsidR="005F254A" w:rsidRPr="00932648" w:rsidRDefault="005F254A" w:rsidP="008C3EDC">
      <w:pPr>
        <w:tabs>
          <w:tab w:val="clear" w:pos="1247"/>
          <w:tab w:val="clear" w:pos="1814"/>
          <w:tab w:val="clear" w:pos="2381"/>
          <w:tab w:val="clear" w:pos="2948"/>
          <w:tab w:val="clear" w:pos="3515"/>
        </w:tabs>
        <w:spacing w:before="20" w:after="40"/>
        <w:ind w:left="624"/>
        <w:rPr>
          <w:b/>
        </w:rPr>
      </w:pPr>
      <w:r w:rsidRPr="00932648">
        <w:rPr>
          <w:b/>
        </w:rPr>
        <w:separator/>
      </w:r>
    </w:p>
  </w:footnote>
  <w:footnote w:type="continuationSeparator" w:id="0">
    <w:p w14:paraId="25EABE08" w14:textId="77777777" w:rsidR="005F254A" w:rsidRDefault="005F254A">
      <w:r>
        <w:continuationSeparator/>
      </w:r>
    </w:p>
  </w:footnote>
  <w:footnote w:id="1">
    <w:p w14:paraId="51864388" w14:textId="2C3F87F9" w:rsidR="00E54866" w:rsidRPr="008C3EDC" w:rsidRDefault="00E54866" w:rsidP="008C3EDC">
      <w:pPr>
        <w:tabs>
          <w:tab w:val="clear" w:pos="1247"/>
          <w:tab w:val="clear" w:pos="1814"/>
          <w:tab w:val="clear" w:pos="2381"/>
          <w:tab w:val="clear" w:pos="2948"/>
          <w:tab w:val="clear" w:pos="3515"/>
        </w:tabs>
        <w:spacing w:before="20" w:after="40"/>
        <w:ind w:left="1247"/>
        <w:rPr>
          <w:sz w:val="18"/>
          <w:szCs w:val="18"/>
        </w:rPr>
      </w:pPr>
      <w:r w:rsidRPr="008C3EDC">
        <w:rPr>
          <w:sz w:val="18"/>
          <w:szCs w:val="18"/>
          <w:lang w:val="es-ES"/>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3760E377" w:rsidR="006111FE" w:rsidRPr="00CA5CA9" w:rsidRDefault="006111F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001417C1">
      <w:rPr>
        <w:szCs w:val="18"/>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18BA6AB8" w:rsidR="006111FE" w:rsidRPr="00CA5CA9" w:rsidRDefault="006111F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sidR="00217EAC">
      <w:rPr>
        <w:szCs w:val="18"/>
      </w:rPr>
      <w:t>COP.2</w:t>
    </w:r>
    <w:r w:rsidRPr="00CA5CA9">
      <w:rPr>
        <w:szCs w:val="18"/>
      </w:rPr>
      <w:t>/</w:t>
    </w:r>
    <w:r w:rsidR="00217EAC">
      <w:rPr>
        <w:szCs w:val="18"/>
      </w:rPr>
      <w:t>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1B1C48F4"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A503025"/>
    <w:multiLevelType w:val="hybridMultilevel"/>
    <w:tmpl w:val="60DEA1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B22A2"/>
    <w:rsid w:val="000B541B"/>
    <w:rsid w:val="000B73F9"/>
    <w:rsid w:val="000C2A52"/>
    <w:rsid w:val="000C2A88"/>
    <w:rsid w:val="000D33C0"/>
    <w:rsid w:val="000D4CF6"/>
    <w:rsid w:val="000D6941"/>
    <w:rsid w:val="000F38EF"/>
    <w:rsid w:val="000F3DCD"/>
    <w:rsid w:val="000F4829"/>
    <w:rsid w:val="000F6B21"/>
    <w:rsid w:val="00102EFB"/>
    <w:rsid w:val="00110A5D"/>
    <w:rsid w:val="001202E3"/>
    <w:rsid w:val="00123699"/>
    <w:rsid w:val="001241FB"/>
    <w:rsid w:val="0013059D"/>
    <w:rsid w:val="00136187"/>
    <w:rsid w:val="001417C1"/>
    <w:rsid w:val="00141A55"/>
    <w:rsid w:val="0014293F"/>
    <w:rsid w:val="0014397D"/>
    <w:rsid w:val="001446A3"/>
    <w:rsid w:val="00152B6B"/>
    <w:rsid w:val="00155395"/>
    <w:rsid w:val="00155A2F"/>
    <w:rsid w:val="00156B6B"/>
    <w:rsid w:val="00160D74"/>
    <w:rsid w:val="001646EA"/>
    <w:rsid w:val="00167D02"/>
    <w:rsid w:val="001759D8"/>
    <w:rsid w:val="00175C76"/>
    <w:rsid w:val="00177D7F"/>
    <w:rsid w:val="00180C3F"/>
    <w:rsid w:val="00181EC8"/>
    <w:rsid w:val="00184349"/>
    <w:rsid w:val="00195F33"/>
    <w:rsid w:val="001A47E5"/>
    <w:rsid w:val="001B1617"/>
    <w:rsid w:val="001B4BDE"/>
    <w:rsid w:val="001B504B"/>
    <w:rsid w:val="001B6F98"/>
    <w:rsid w:val="001C191A"/>
    <w:rsid w:val="001D3874"/>
    <w:rsid w:val="001D51C6"/>
    <w:rsid w:val="001D7E75"/>
    <w:rsid w:val="001E0D73"/>
    <w:rsid w:val="001E45BD"/>
    <w:rsid w:val="001E5528"/>
    <w:rsid w:val="001E56D2"/>
    <w:rsid w:val="001E7D56"/>
    <w:rsid w:val="001F5186"/>
    <w:rsid w:val="001F75DE"/>
    <w:rsid w:val="00200D58"/>
    <w:rsid w:val="002011C1"/>
    <w:rsid w:val="002013BE"/>
    <w:rsid w:val="00201EDC"/>
    <w:rsid w:val="002063A4"/>
    <w:rsid w:val="0021145B"/>
    <w:rsid w:val="00217C59"/>
    <w:rsid w:val="00217EAC"/>
    <w:rsid w:val="00220C23"/>
    <w:rsid w:val="002247F6"/>
    <w:rsid w:val="00225E21"/>
    <w:rsid w:val="00225E44"/>
    <w:rsid w:val="00234E78"/>
    <w:rsid w:val="00243D36"/>
    <w:rsid w:val="00246151"/>
    <w:rsid w:val="00247707"/>
    <w:rsid w:val="00252456"/>
    <w:rsid w:val="0026018E"/>
    <w:rsid w:val="002859A1"/>
    <w:rsid w:val="00286740"/>
    <w:rsid w:val="00291719"/>
    <w:rsid w:val="00291EAE"/>
    <w:rsid w:val="002929D8"/>
    <w:rsid w:val="002A237D"/>
    <w:rsid w:val="002A2380"/>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42FFB"/>
    <w:rsid w:val="0035277E"/>
    <w:rsid w:val="00355EA9"/>
    <w:rsid w:val="003578DE"/>
    <w:rsid w:val="00361688"/>
    <w:rsid w:val="00361D9C"/>
    <w:rsid w:val="00367FD2"/>
    <w:rsid w:val="00380921"/>
    <w:rsid w:val="003877D5"/>
    <w:rsid w:val="003929B8"/>
    <w:rsid w:val="00393432"/>
    <w:rsid w:val="00396257"/>
    <w:rsid w:val="00397EB8"/>
    <w:rsid w:val="003A4FD0"/>
    <w:rsid w:val="003A69D1"/>
    <w:rsid w:val="003A7705"/>
    <w:rsid w:val="003A77F1"/>
    <w:rsid w:val="003B1545"/>
    <w:rsid w:val="003C09B9"/>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D9C"/>
    <w:rsid w:val="00437F26"/>
    <w:rsid w:val="00444097"/>
    <w:rsid w:val="00445487"/>
    <w:rsid w:val="00447E0D"/>
    <w:rsid w:val="00453EA8"/>
    <w:rsid w:val="00454769"/>
    <w:rsid w:val="00466991"/>
    <w:rsid w:val="0047064C"/>
    <w:rsid w:val="004822B7"/>
    <w:rsid w:val="00493CA5"/>
    <w:rsid w:val="00493E79"/>
    <w:rsid w:val="0049469E"/>
    <w:rsid w:val="004A2217"/>
    <w:rsid w:val="004A24F9"/>
    <w:rsid w:val="004A42E1"/>
    <w:rsid w:val="004B162C"/>
    <w:rsid w:val="004B2ABE"/>
    <w:rsid w:val="004C3DBE"/>
    <w:rsid w:val="004C5C96"/>
    <w:rsid w:val="004D06A4"/>
    <w:rsid w:val="004D7EE1"/>
    <w:rsid w:val="004F1A81"/>
    <w:rsid w:val="004F5D88"/>
    <w:rsid w:val="00501354"/>
    <w:rsid w:val="005050D2"/>
    <w:rsid w:val="005218D9"/>
    <w:rsid w:val="00533DF9"/>
    <w:rsid w:val="00536186"/>
    <w:rsid w:val="00544CBB"/>
    <w:rsid w:val="00551B65"/>
    <w:rsid w:val="00556704"/>
    <w:rsid w:val="005656D7"/>
    <w:rsid w:val="0057315F"/>
    <w:rsid w:val="00576104"/>
    <w:rsid w:val="00586418"/>
    <w:rsid w:val="00592B21"/>
    <w:rsid w:val="005B2DF4"/>
    <w:rsid w:val="005B44BF"/>
    <w:rsid w:val="005C656F"/>
    <w:rsid w:val="005C67C8"/>
    <w:rsid w:val="005D0249"/>
    <w:rsid w:val="005D18FA"/>
    <w:rsid w:val="005D4FD4"/>
    <w:rsid w:val="005D6E8C"/>
    <w:rsid w:val="005E3004"/>
    <w:rsid w:val="005F100C"/>
    <w:rsid w:val="005F254A"/>
    <w:rsid w:val="005F2AF3"/>
    <w:rsid w:val="005F68DA"/>
    <w:rsid w:val="005F7419"/>
    <w:rsid w:val="00601BC9"/>
    <w:rsid w:val="0060773B"/>
    <w:rsid w:val="006079EC"/>
    <w:rsid w:val="006111FE"/>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92E2A"/>
    <w:rsid w:val="0069496A"/>
    <w:rsid w:val="00696C1C"/>
    <w:rsid w:val="006A3BFB"/>
    <w:rsid w:val="006A76F2"/>
    <w:rsid w:val="006B7D29"/>
    <w:rsid w:val="006D19D4"/>
    <w:rsid w:val="006D5644"/>
    <w:rsid w:val="006D7EFB"/>
    <w:rsid w:val="006E6672"/>
    <w:rsid w:val="006E6722"/>
    <w:rsid w:val="006F3096"/>
    <w:rsid w:val="006F6136"/>
    <w:rsid w:val="006F7AFF"/>
    <w:rsid w:val="007027B9"/>
    <w:rsid w:val="007066B5"/>
    <w:rsid w:val="007145DA"/>
    <w:rsid w:val="00715E88"/>
    <w:rsid w:val="00716D8B"/>
    <w:rsid w:val="00734CAA"/>
    <w:rsid w:val="007352DC"/>
    <w:rsid w:val="00740EE2"/>
    <w:rsid w:val="00742680"/>
    <w:rsid w:val="0075533C"/>
    <w:rsid w:val="00755A18"/>
    <w:rsid w:val="00757581"/>
    <w:rsid w:val="007602F5"/>
    <w:rsid w:val="00760D36"/>
    <w:rsid w:val="007611A0"/>
    <w:rsid w:val="00772574"/>
    <w:rsid w:val="00773E54"/>
    <w:rsid w:val="00787688"/>
    <w:rsid w:val="007935E6"/>
    <w:rsid w:val="00796D3F"/>
    <w:rsid w:val="00796FAE"/>
    <w:rsid w:val="007A1683"/>
    <w:rsid w:val="007A289E"/>
    <w:rsid w:val="007A5C12"/>
    <w:rsid w:val="007A6B7D"/>
    <w:rsid w:val="007A7CB0"/>
    <w:rsid w:val="007B4637"/>
    <w:rsid w:val="007B68A3"/>
    <w:rsid w:val="007C2541"/>
    <w:rsid w:val="007D66A8"/>
    <w:rsid w:val="007E003F"/>
    <w:rsid w:val="007F0CF8"/>
    <w:rsid w:val="007F5E1B"/>
    <w:rsid w:val="007F62CB"/>
    <w:rsid w:val="008142EC"/>
    <w:rsid w:val="008164F2"/>
    <w:rsid w:val="00821395"/>
    <w:rsid w:val="00822240"/>
    <w:rsid w:val="00830E26"/>
    <w:rsid w:val="00834368"/>
    <w:rsid w:val="0083441A"/>
    <w:rsid w:val="00843576"/>
    <w:rsid w:val="00843B64"/>
    <w:rsid w:val="00845261"/>
    <w:rsid w:val="008478FC"/>
    <w:rsid w:val="00851C51"/>
    <w:rsid w:val="008538F7"/>
    <w:rsid w:val="00867BFF"/>
    <w:rsid w:val="00871542"/>
    <w:rsid w:val="00872BF6"/>
    <w:rsid w:val="0088480A"/>
    <w:rsid w:val="00884F0D"/>
    <w:rsid w:val="0088757A"/>
    <w:rsid w:val="0089431B"/>
    <w:rsid w:val="00895668"/>
    <w:rsid w:val="008957DD"/>
    <w:rsid w:val="00897D98"/>
    <w:rsid w:val="008A56F4"/>
    <w:rsid w:val="008A6DF2"/>
    <w:rsid w:val="008A7807"/>
    <w:rsid w:val="008B218B"/>
    <w:rsid w:val="008B4CC9"/>
    <w:rsid w:val="008B6C91"/>
    <w:rsid w:val="008C0B15"/>
    <w:rsid w:val="008C3EDC"/>
    <w:rsid w:val="008D2F7B"/>
    <w:rsid w:val="008D75E4"/>
    <w:rsid w:val="008D7C99"/>
    <w:rsid w:val="008E0FCB"/>
    <w:rsid w:val="008F6DFE"/>
    <w:rsid w:val="0090529F"/>
    <w:rsid w:val="00912394"/>
    <w:rsid w:val="0092178C"/>
    <w:rsid w:val="00930B88"/>
    <w:rsid w:val="00932648"/>
    <w:rsid w:val="00935376"/>
    <w:rsid w:val="009354C2"/>
    <w:rsid w:val="00940DCC"/>
    <w:rsid w:val="0094179A"/>
    <w:rsid w:val="0094459E"/>
    <w:rsid w:val="00944DBC"/>
    <w:rsid w:val="00950977"/>
    <w:rsid w:val="00951A7B"/>
    <w:rsid w:val="00955512"/>
    <w:rsid w:val="009564A6"/>
    <w:rsid w:val="00957EF8"/>
    <w:rsid w:val="0096445A"/>
    <w:rsid w:val="00966A53"/>
    <w:rsid w:val="00967621"/>
    <w:rsid w:val="00967E6A"/>
    <w:rsid w:val="009907B9"/>
    <w:rsid w:val="00990918"/>
    <w:rsid w:val="009A3A83"/>
    <w:rsid w:val="009B4A0F"/>
    <w:rsid w:val="009C11D2"/>
    <w:rsid w:val="009C6C70"/>
    <w:rsid w:val="009C7B0A"/>
    <w:rsid w:val="009D0B63"/>
    <w:rsid w:val="009D5CB8"/>
    <w:rsid w:val="009E120D"/>
    <w:rsid w:val="009E307E"/>
    <w:rsid w:val="00A06335"/>
    <w:rsid w:val="00A06B25"/>
    <w:rsid w:val="00A07870"/>
    <w:rsid w:val="00A07C54"/>
    <w:rsid w:val="00A07F19"/>
    <w:rsid w:val="00A124BB"/>
    <w:rsid w:val="00A1348D"/>
    <w:rsid w:val="00A13C99"/>
    <w:rsid w:val="00A232EE"/>
    <w:rsid w:val="00A4175F"/>
    <w:rsid w:val="00A4441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910A3"/>
    <w:rsid w:val="00AA5BF4"/>
    <w:rsid w:val="00AB5340"/>
    <w:rsid w:val="00AC0A89"/>
    <w:rsid w:val="00AC7C96"/>
    <w:rsid w:val="00AD3593"/>
    <w:rsid w:val="00AE0812"/>
    <w:rsid w:val="00AE237D"/>
    <w:rsid w:val="00AE3492"/>
    <w:rsid w:val="00AE502A"/>
    <w:rsid w:val="00AF0010"/>
    <w:rsid w:val="00AF1AA8"/>
    <w:rsid w:val="00AF2C1F"/>
    <w:rsid w:val="00AF7C07"/>
    <w:rsid w:val="00B002D6"/>
    <w:rsid w:val="00B06C64"/>
    <w:rsid w:val="00B07D8E"/>
    <w:rsid w:val="00B11CAC"/>
    <w:rsid w:val="00B15A29"/>
    <w:rsid w:val="00B22C93"/>
    <w:rsid w:val="00B27589"/>
    <w:rsid w:val="00B405B7"/>
    <w:rsid w:val="00B468C0"/>
    <w:rsid w:val="00B50FE9"/>
    <w:rsid w:val="00B52222"/>
    <w:rsid w:val="00B531DA"/>
    <w:rsid w:val="00B54895"/>
    <w:rsid w:val="00B54FE7"/>
    <w:rsid w:val="00B607AD"/>
    <w:rsid w:val="00B62B49"/>
    <w:rsid w:val="00B647C6"/>
    <w:rsid w:val="00B655F9"/>
    <w:rsid w:val="00B66901"/>
    <w:rsid w:val="00B66F60"/>
    <w:rsid w:val="00B71E6D"/>
    <w:rsid w:val="00B72070"/>
    <w:rsid w:val="00B764F0"/>
    <w:rsid w:val="00B779E1"/>
    <w:rsid w:val="00B81E3A"/>
    <w:rsid w:val="00B85CFB"/>
    <w:rsid w:val="00B914E9"/>
    <w:rsid w:val="00B91EE1"/>
    <w:rsid w:val="00B94602"/>
    <w:rsid w:val="00BA0090"/>
    <w:rsid w:val="00BA1A67"/>
    <w:rsid w:val="00BA6A80"/>
    <w:rsid w:val="00BB4ABB"/>
    <w:rsid w:val="00BC62BA"/>
    <w:rsid w:val="00BE5B5F"/>
    <w:rsid w:val="00BE7993"/>
    <w:rsid w:val="00C11971"/>
    <w:rsid w:val="00C179DE"/>
    <w:rsid w:val="00C26F55"/>
    <w:rsid w:val="00C30C63"/>
    <w:rsid w:val="00C30FF3"/>
    <w:rsid w:val="00C34D5C"/>
    <w:rsid w:val="00C36B8B"/>
    <w:rsid w:val="00C415C1"/>
    <w:rsid w:val="00C47DBF"/>
    <w:rsid w:val="00C552FF"/>
    <w:rsid w:val="00C558DA"/>
    <w:rsid w:val="00C55AF3"/>
    <w:rsid w:val="00C75229"/>
    <w:rsid w:val="00C771A9"/>
    <w:rsid w:val="00C806EA"/>
    <w:rsid w:val="00C82943"/>
    <w:rsid w:val="00C84759"/>
    <w:rsid w:val="00C93096"/>
    <w:rsid w:val="00C9457D"/>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49C8"/>
    <w:rsid w:val="00D1638E"/>
    <w:rsid w:val="00D169AF"/>
    <w:rsid w:val="00D200EF"/>
    <w:rsid w:val="00D25175"/>
    <w:rsid w:val="00D25249"/>
    <w:rsid w:val="00D26854"/>
    <w:rsid w:val="00D30820"/>
    <w:rsid w:val="00D36C41"/>
    <w:rsid w:val="00D44172"/>
    <w:rsid w:val="00D47BE3"/>
    <w:rsid w:val="00D63B8C"/>
    <w:rsid w:val="00D739CC"/>
    <w:rsid w:val="00D7431A"/>
    <w:rsid w:val="00D806F9"/>
    <w:rsid w:val="00D8093D"/>
    <w:rsid w:val="00D8108C"/>
    <w:rsid w:val="00D842AE"/>
    <w:rsid w:val="00D909EC"/>
    <w:rsid w:val="00D9211C"/>
    <w:rsid w:val="00D92DE0"/>
    <w:rsid w:val="00D92FEF"/>
    <w:rsid w:val="00D931F9"/>
    <w:rsid w:val="00D93A0F"/>
    <w:rsid w:val="00DA1BCA"/>
    <w:rsid w:val="00DA3663"/>
    <w:rsid w:val="00DC1792"/>
    <w:rsid w:val="00DC274A"/>
    <w:rsid w:val="00DC46FF"/>
    <w:rsid w:val="00DC5254"/>
    <w:rsid w:val="00DC569D"/>
    <w:rsid w:val="00DC77D3"/>
    <w:rsid w:val="00DD1A4F"/>
    <w:rsid w:val="00DD3107"/>
    <w:rsid w:val="00DD7C2C"/>
    <w:rsid w:val="00DE5BDA"/>
    <w:rsid w:val="00DF433C"/>
    <w:rsid w:val="00DF519F"/>
    <w:rsid w:val="00E0035A"/>
    <w:rsid w:val="00E06797"/>
    <w:rsid w:val="00E1265B"/>
    <w:rsid w:val="00E12736"/>
    <w:rsid w:val="00E12E09"/>
    <w:rsid w:val="00E13B48"/>
    <w:rsid w:val="00E1404F"/>
    <w:rsid w:val="00E21C83"/>
    <w:rsid w:val="00E24ADA"/>
    <w:rsid w:val="00E32F59"/>
    <w:rsid w:val="00E41908"/>
    <w:rsid w:val="00E46D9A"/>
    <w:rsid w:val="00E54866"/>
    <w:rsid w:val="00E565FF"/>
    <w:rsid w:val="00E65388"/>
    <w:rsid w:val="00E7741D"/>
    <w:rsid w:val="00E808CD"/>
    <w:rsid w:val="00E8348F"/>
    <w:rsid w:val="00E85B7D"/>
    <w:rsid w:val="00E9121B"/>
    <w:rsid w:val="00E9302E"/>
    <w:rsid w:val="00E976AB"/>
    <w:rsid w:val="00EA0AE2"/>
    <w:rsid w:val="00EA2C2E"/>
    <w:rsid w:val="00EA39E5"/>
    <w:rsid w:val="00EA57A3"/>
    <w:rsid w:val="00EB2E69"/>
    <w:rsid w:val="00EC2813"/>
    <w:rsid w:val="00EC3744"/>
    <w:rsid w:val="00EC5A46"/>
    <w:rsid w:val="00EC63E2"/>
    <w:rsid w:val="00ED0225"/>
    <w:rsid w:val="00ED366A"/>
    <w:rsid w:val="00ED6BB7"/>
    <w:rsid w:val="00EE751E"/>
    <w:rsid w:val="00EF22B3"/>
    <w:rsid w:val="00F03B69"/>
    <w:rsid w:val="00F07A50"/>
    <w:rsid w:val="00F113DA"/>
    <w:rsid w:val="00F15578"/>
    <w:rsid w:val="00F266FC"/>
    <w:rsid w:val="00F3037A"/>
    <w:rsid w:val="00F3465A"/>
    <w:rsid w:val="00F37DC8"/>
    <w:rsid w:val="00F439B3"/>
    <w:rsid w:val="00F650C3"/>
    <w:rsid w:val="00F65D85"/>
    <w:rsid w:val="00F6700B"/>
    <w:rsid w:val="00F7137B"/>
    <w:rsid w:val="00F7267C"/>
    <w:rsid w:val="00F8091E"/>
    <w:rsid w:val="00F8615C"/>
    <w:rsid w:val="00F969E5"/>
    <w:rsid w:val="00FA4972"/>
    <w:rsid w:val="00FA6BB0"/>
    <w:rsid w:val="00FB2DBD"/>
    <w:rsid w:val="00FD48DF"/>
    <w:rsid w:val="00FD5860"/>
    <w:rsid w:val="00FE00E6"/>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406B4B"/>
  <w15:docId w15:val="{90E83174-7AB6-42F1-B6C8-2FD63EDF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136B-C781-49F8-9713-F88E8108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5591</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 Montes</cp:lastModifiedBy>
  <cp:revision>2</cp:revision>
  <cp:lastPrinted>2018-09-19T01:21:00Z</cp:lastPrinted>
  <dcterms:created xsi:type="dcterms:W3CDTF">2018-09-28T20:10:00Z</dcterms:created>
  <dcterms:modified xsi:type="dcterms:W3CDTF">2018-09-28T20:10:00Z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9/10/2018 2:07:29 PM</vt:lpwstr>
  </property>
  <property fmtid="{D5CDD505-2E9C-101B-9397-08002B2CF9AE}" pid="5" name="OriginalDocID">
    <vt:lpwstr>825c079b-b346-4d9a-b186-870bf64bb346</vt:lpwstr>
  </property>
</Properties>
</file>