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4962"/>
        <w:gridCol w:w="2833"/>
      </w:tblGrid>
      <w:tr w:rsidR="00A934DD" w:rsidRPr="00A934DD" w14:paraId="6C03B339" w14:textId="77777777" w:rsidTr="00330E75">
        <w:trPr>
          <w:cantSplit/>
          <w:trHeight w:val="850"/>
          <w:jc w:val="right"/>
        </w:trPr>
        <w:tc>
          <w:tcPr>
            <w:tcW w:w="1701" w:type="dxa"/>
          </w:tcPr>
          <w:p w14:paraId="7112D735" w14:textId="77777777" w:rsidR="001F73B6" w:rsidRPr="00A934DD" w:rsidRDefault="001F73B6" w:rsidP="006D175C">
            <w:pPr>
              <w:tabs>
                <w:tab w:val="left" w:pos="624"/>
                <w:tab w:val="left" w:pos="1871"/>
                <w:tab w:val="left" w:pos="2495"/>
              </w:tabs>
              <w:rPr>
                <w:rFonts w:ascii="Univers" w:hAnsi="Univers"/>
                <w:b/>
                <w:noProof/>
                <w:sz w:val="27"/>
                <w:szCs w:val="27"/>
              </w:rPr>
            </w:pPr>
            <w:r w:rsidRPr="00A934DD">
              <w:rPr>
                <w:rFonts w:ascii="Arial" w:hAnsi="Arial" w:cs="Arial"/>
                <w:b/>
                <w:noProof/>
                <w:sz w:val="27"/>
                <w:szCs w:val="27"/>
              </w:rPr>
              <w:t>NACIONES UNIDAS</w:t>
            </w:r>
          </w:p>
        </w:tc>
        <w:tc>
          <w:tcPr>
            <w:tcW w:w="4962" w:type="dxa"/>
          </w:tcPr>
          <w:p w14:paraId="7AD70CAE" w14:textId="77777777" w:rsidR="001F73B6" w:rsidRPr="00A934DD" w:rsidRDefault="001F73B6" w:rsidP="006D175C">
            <w:pPr>
              <w:tabs>
                <w:tab w:val="left" w:pos="624"/>
                <w:tab w:val="left" w:pos="1871"/>
                <w:tab w:val="left" w:pos="2495"/>
              </w:tabs>
              <w:rPr>
                <w:rFonts w:ascii="Univers" w:hAnsi="Univers"/>
                <w:b/>
                <w:sz w:val="27"/>
                <w:szCs w:val="27"/>
              </w:rPr>
            </w:pPr>
          </w:p>
        </w:tc>
        <w:tc>
          <w:tcPr>
            <w:tcW w:w="2833" w:type="dxa"/>
          </w:tcPr>
          <w:p w14:paraId="270E55F1" w14:textId="77777777" w:rsidR="001F73B6" w:rsidRPr="00A934DD" w:rsidRDefault="001F73B6" w:rsidP="006D175C">
            <w:pPr>
              <w:tabs>
                <w:tab w:val="left" w:pos="624"/>
                <w:tab w:val="left" w:pos="1871"/>
                <w:tab w:val="left" w:pos="2495"/>
              </w:tabs>
              <w:jc w:val="right"/>
              <w:rPr>
                <w:rFonts w:ascii="Arial" w:hAnsi="Arial" w:cs="Arial"/>
                <w:b/>
                <w:sz w:val="64"/>
                <w:szCs w:val="64"/>
              </w:rPr>
            </w:pPr>
            <w:r w:rsidRPr="00A934DD">
              <w:rPr>
                <w:rFonts w:ascii="Arial" w:hAnsi="Arial" w:cs="Arial"/>
                <w:b/>
                <w:sz w:val="64"/>
                <w:szCs w:val="64"/>
              </w:rPr>
              <w:t>MC</w:t>
            </w:r>
          </w:p>
        </w:tc>
      </w:tr>
      <w:tr w:rsidR="00A934DD" w:rsidRPr="00A934DD" w14:paraId="7EF3C118" w14:textId="77777777" w:rsidTr="00330E75">
        <w:trPr>
          <w:cantSplit/>
          <w:trHeight w:val="281"/>
          <w:jc w:val="right"/>
        </w:trPr>
        <w:tc>
          <w:tcPr>
            <w:tcW w:w="1701" w:type="dxa"/>
            <w:tcBorders>
              <w:bottom w:val="single" w:sz="4" w:space="0" w:color="auto"/>
            </w:tcBorders>
          </w:tcPr>
          <w:p w14:paraId="64FF8625" w14:textId="77777777" w:rsidR="001F73B6" w:rsidRPr="00A934DD" w:rsidRDefault="001F73B6" w:rsidP="006D175C">
            <w:pPr>
              <w:tabs>
                <w:tab w:val="left" w:pos="624"/>
                <w:tab w:val="left" w:pos="1871"/>
                <w:tab w:val="left" w:pos="2495"/>
              </w:tabs>
              <w:rPr>
                <w:noProof/>
                <w:sz w:val="18"/>
                <w:szCs w:val="18"/>
              </w:rPr>
            </w:pPr>
          </w:p>
        </w:tc>
        <w:tc>
          <w:tcPr>
            <w:tcW w:w="4962" w:type="dxa"/>
            <w:tcBorders>
              <w:bottom w:val="single" w:sz="4" w:space="0" w:color="auto"/>
            </w:tcBorders>
          </w:tcPr>
          <w:p w14:paraId="39CA1DC5" w14:textId="77777777" w:rsidR="001F73B6" w:rsidRPr="00A934DD" w:rsidRDefault="001F73B6" w:rsidP="006D175C">
            <w:pPr>
              <w:tabs>
                <w:tab w:val="left" w:pos="624"/>
                <w:tab w:val="left" w:pos="1871"/>
                <w:tab w:val="left" w:pos="2495"/>
              </w:tabs>
              <w:rPr>
                <w:rFonts w:ascii="Univers" w:hAnsi="Univers"/>
                <w:b/>
                <w:sz w:val="18"/>
                <w:szCs w:val="18"/>
              </w:rPr>
            </w:pPr>
          </w:p>
        </w:tc>
        <w:tc>
          <w:tcPr>
            <w:tcW w:w="2833" w:type="dxa"/>
            <w:tcBorders>
              <w:bottom w:val="single" w:sz="4" w:space="0" w:color="auto"/>
            </w:tcBorders>
          </w:tcPr>
          <w:p w14:paraId="19E4F0BA" w14:textId="77194BD0" w:rsidR="001F73B6" w:rsidRPr="00A934DD" w:rsidRDefault="001F73B6" w:rsidP="006D175C">
            <w:pPr>
              <w:tabs>
                <w:tab w:val="left" w:pos="624"/>
                <w:tab w:val="left" w:pos="1871"/>
                <w:tab w:val="left" w:pos="2495"/>
              </w:tabs>
              <w:rPr>
                <w:noProof/>
                <w:sz w:val="18"/>
                <w:szCs w:val="18"/>
              </w:rPr>
            </w:pPr>
            <w:r w:rsidRPr="00A934DD">
              <w:rPr>
                <w:b/>
                <w:bCs/>
                <w:sz w:val="28"/>
              </w:rPr>
              <w:t>UNEP</w:t>
            </w:r>
            <w:r w:rsidRPr="00A934DD">
              <w:rPr>
                <w:b/>
                <w:bCs/>
              </w:rPr>
              <w:t>/</w:t>
            </w:r>
            <w:r w:rsidRPr="00A934DD">
              <w:t>MC/COP.2/4</w:t>
            </w:r>
            <w:r w:rsidR="00720E39" w:rsidRPr="00A934DD">
              <w:t>/Rev.1</w:t>
            </w:r>
          </w:p>
        </w:tc>
      </w:tr>
      <w:tr w:rsidR="00A934DD" w:rsidRPr="00A934DD" w14:paraId="2C098B8C" w14:textId="77777777" w:rsidTr="00330E75">
        <w:trPr>
          <w:cantSplit/>
          <w:trHeight w:val="2549"/>
          <w:jc w:val="right"/>
        </w:trPr>
        <w:tc>
          <w:tcPr>
            <w:tcW w:w="1701" w:type="dxa"/>
            <w:tcBorders>
              <w:top w:val="single" w:sz="4" w:space="0" w:color="auto"/>
              <w:bottom w:val="single" w:sz="24" w:space="0" w:color="auto"/>
            </w:tcBorders>
          </w:tcPr>
          <w:p w14:paraId="6843B864" w14:textId="77777777" w:rsidR="001F73B6" w:rsidRPr="00A934DD" w:rsidRDefault="001F73B6" w:rsidP="006D175C">
            <w:pPr>
              <w:tabs>
                <w:tab w:val="left" w:pos="624"/>
                <w:tab w:val="left" w:pos="1871"/>
                <w:tab w:val="left" w:pos="2495"/>
              </w:tabs>
              <w:rPr>
                <w:noProof/>
              </w:rPr>
            </w:pPr>
            <w:r w:rsidRPr="00A934DD">
              <w:rPr>
                <w:noProof/>
              </w:rPr>
              <w:object w:dxaOrig="1831" w:dyaOrig="1726" w14:anchorId="5F4EE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5pt" o:ole="" fillcolor="window">
                  <v:imagedata r:id="rId8" o:title=""/>
                </v:shape>
                <o:OLEObject Type="Embed" ProgID="Word.Picture.8" ShapeID="_x0000_i1025" DrawAspect="Content" ObjectID="_1600153403" r:id="rId9"/>
              </w:object>
            </w:r>
            <w:r w:rsidRPr="00A934DD">
              <w:rPr>
                <w:noProof/>
                <w:lang w:val="es-ES" w:eastAsia="es-ES"/>
              </w:rPr>
              <w:drawing>
                <wp:inline distT="0" distB="0" distL="0" distR="0" wp14:anchorId="38ABA499" wp14:editId="2BD665D6">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962" w:type="dxa"/>
            <w:tcBorders>
              <w:top w:val="single" w:sz="4" w:space="0" w:color="auto"/>
              <w:bottom w:val="single" w:sz="24" w:space="0" w:color="auto"/>
            </w:tcBorders>
          </w:tcPr>
          <w:p w14:paraId="0905CC24" w14:textId="0EC9BC7D" w:rsidR="001F73B6" w:rsidRPr="00A934DD" w:rsidRDefault="001F73B6" w:rsidP="006D175C">
            <w:pPr>
              <w:tabs>
                <w:tab w:val="left" w:pos="624"/>
                <w:tab w:val="left" w:pos="1871"/>
                <w:tab w:val="left" w:pos="2495"/>
              </w:tabs>
              <w:spacing w:before="1200"/>
              <w:rPr>
                <w:rFonts w:ascii="Arial" w:hAnsi="Arial" w:cs="Arial"/>
                <w:b/>
                <w:sz w:val="32"/>
                <w:szCs w:val="32"/>
                <w:lang w:val="es-ES"/>
              </w:rPr>
            </w:pPr>
            <w:r w:rsidRPr="00A934DD">
              <w:rPr>
                <w:rFonts w:ascii="Arial" w:hAnsi="Arial" w:cs="Arial"/>
                <w:b/>
                <w:sz w:val="32"/>
                <w:szCs w:val="32"/>
                <w:lang w:val="es-ES"/>
              </w:rPr>
              <w:t xml:space="preserve">Programa de las Naciones Unidas </w:t>
            </w:r>
            <w:r w:rsidR="00A934DD" w:rsidRPr="00A934DD">
              <w:rPr>
                <w:rFonts w:ascii="Arial" w:hAnsi="Arial" w:cs="Arial"/>
                <w:b/>
                <w:sz w:val="32"/>
                <w:szCs w:val="32"/>
                <w:lang w:val="es-ES"/>
              </w:rPr>
              <w:br/>
            </w:r>
            <w:r w:rsidRPr="00A934DD">
              <w:rPr>
                <w:rFonts w:ascii="Arial" w:hAnsi="Arial" w:cs="Arial"/>
                <w:b/>
                <w:sz w:val="32"/>
                <w:szCs w:val="32"/>
                <w:lang w:val="es-ES"/>
              </w:rPr>
              <w:t>para</w:t>
            </w:r>
            <w:r w:rsidR="00A934DD" w:rsidRPr="00A934DD">
              <w:rPr>
                <w:rFonts w:ascii="Arial" w:hAnsi="Arial" w:cs="Arial"/>
                <w:b/>
                <w:sz w:val="32"/>
                <w:szCs w:val="32"/>
                <w:lang w:val="es-ES"/>
              </w:rPr>
              <w:t xml:space="preserve"> </w:t>
            </w:r>
            <w:r w:rsidRPr="00A934DD">
              <w:rPr>
                <w:rFonts w:ascii="Arial" w:hAnsi="Arial" w:cs="Arial"/>
                <w:b/>
                <w:sz w:val="32"/>
                <w:szCs w:val="32"/>
                <w:lang w:val="es-ES"/>
              </w:rPr>
              <w:t>el Medio</w:t>
            </w:r>
            <w:r w:rsidR="00DF10E3" w:rsidRPr="00A934DD">
              <w:rPr>
                <w:rFonts w:ascii="Arial" w:hAnsi="Arial" w:cs="Arial"/>
                <w:b/>
                <w:sz w:val="32"/>
                <w:szCs w:val="32"/>
                <w:lang w:val="es-ES"/>
              </w:rPr>
              <w:t> </w:t>
            </w:r>
            <w:r w:rsidRPr="00A934DD">
              <w:rPr>
                <w:rFonts w:ascii="Arial" w:hAnsi="Arial" w:cs="Arial"/>
                <w:b/>
                <w:sz w:val="32"/>
                <w:szCs w:val="32"/>
                <w:lang w:val="es-ES"/>
              </w:rPr>
              <w:t>Ambiente</w:t>
            </w:r>
          </w:p>
        </w:tc>
        <w:tc>
          <w:tcPr>
            <w:tcW w:w="2833" w:type="dxa"/>
            <w:tcBorders>
              <w:top w:val="single" w:sz="4" w:space="0" w:color="auto"/>
              <w:bottom w:val="single" w:sz="24" w:space="0" w:color="auto"/>
            </w:tcBorders>
          </w:tcPr>
          <w:p w14:paraId="3E754590" w14:textId="118871CA" w:rsidR="001F73B6" w:rsidRPr="00A934DD" w:rsidRDefault="001F73B6" w:rsidP="006D175C">
            <w:pPr>
              <w:tabs>
                <w:tab w:val="left" w:pos="624"/>
                <w:tab w:val="left" w:pos="1871"/>
                <w:tab w:val="left" w:pos="2495"/>
              </w:tabs>
              <w:spacing w:before="120"/>
              <w:rPr>
                <w:lang w:val="es-ES"/>
              </w:rPr>
            </w:pPr>
            <w:proofErr w:type="spellStart"/>
            <w:r w:rsidRPr="00A934DD">
              <w:rPr>
                <w:lang w:val="es-ES"/>
              </w:rPr>
              <w:t>Distr</w:t>
            </w:r>
            <w:proofErr w:type="spellEnd"/>
            <w:r w:rsidRPr="00A934DD">
              <w:rPr>
                <w:lang w:val="es-ES"/>
              </w:rPr>
              <w:t>. general</w:t>
            </w:r>
            <w:r w:rsidRPr="00A934DD">
              <w:rPr>
                <w:lang w:val="es-ES"/>
              </w:rPr>
              <w:br/>
              <w:t>1</w:t>
            </w:r>
            <w:r w:rsidR="00720E39" w:rsidRPr="00A934DD">
              <w:rPr>
                <w:lang w:val="es-ES"/>
              </w:rPr>
              <w:t xml:space="preserve">0 de septiembre </w:t>
            </w:r>
            <w:r w:rsidRPr="00A934DD">
              <w:rPr>
                <w:lang w:val="es-ES"/>
              </w:rPr>
              <w:t>de 2018</w:t>
            </w:r>
          </w:p>
          <w:p w14:paraId="33FA7FE7" w14:textId="77777777" w:rsidR="001F73B6" w:rsidRPr="00A934DD" w:rsidRDefault="001F73B6" w:rsidP="006D175C">
            <w:pPr>
              <w:tabs>
                <w:tab w:val="left" w:pos="624"/>
                <w:tab w:val="left" w:pos="1871"/>
                <w:tab w:val="left" w:pos="2495"/>
              </w:tabs>
              <w:spacing w:before="240"/>
              <w:rPr>
                <w:lang w:val="es-ES"/>
              </w:rPr>
            </w:pPr>
            <w:r w:rsidRPr="00A934DD">
              <w:rPr>
                <w:lang w:val="es-ES"/>
              </w:rPr>
              <w:t>Español</w:t>
            </w:r>
            <w:r w:rsidRPr="00A934DD">
              <w:rPr>
                <w:lang w:val="es-ES"/>
              </w:rPr>
              <w:br/>
              <w:t>Original: inglés</w:t>
            </w:r>
          </w:p>
        </w:tc>
      </w:tr>
    </w:tbl>
    <w:p w14:paraId="053B5068" w14:textId="77777777" w:rsidR="001F73B6" w:rsidRPr="00A934DD" w:rsidRDefault="001F73B6" w:rsidP="001F73B6">
      <w:pPr>
        <w:pStyle w:val="AATitle"/>
        <w:keepNext w:val="0"/>
        <w:keepLines w:val="0"/>
        <w:tabs>
          <w:tab w:val="left" w:pos="624"/>
          <w:tab w:val="left" w:pos="1871"/>
          <w:tab w:val="left" w:pos="2495"/>
        </w:tabs>
        <w:rPr>
          <w:lang w:val="es-ES"/>
        </w:rPr>
      </w:pPr>
      <w:r w:rsidRPr="00A934DD">
        <w:rPr>
          <w:lang w:val="es-ES"/>
        </w:rPr>
        <w:t>Conferencia de las Partes en el Convenio de Minamata sobre el Mercurio</w:t>
      </w:r>
    </w:p>
    <w:p w14:paraId="4F885164" w14:textId="77777777" w:rsidR="001F73B6" w:rsidRPr="00A934DD" w:rsidRDefault="001F73B6" w:rsidP="001F73B6">
      <w:pPr>
        <w:pStyle w:val="AATitle"/>
        <w:keepNext w:val="0"/>
        <w:keepLines w:val="0"/>
        <w:tabs>
          <w:tab w:val="left" w:pos="624"/>
          <w:tab w:val="left" w:pos="1871"/>
          <w:tab w:val="left" w:pos="2495"/>
        </w:tabs>
        <w:rPr>
          <w:lang w:val="es-ES"/>
        </w:rPr>
      </w:pPr>
      <w:r w:rsidRPr="00A934DD">
        <w:rPr>
          <w:lang w:val="es-ES"/>
        </w:rPr>
        <w:t>Segunda reunión</w:t>
      </w:r>
    </w:p>
    <w:p w14:paraId="3BA7383A" w14:textId="77777777" w:rsidR="001F73B6" w:rsidRPr="00A934DD" w:rsidRDefault="001F73B6" w:rsidP="001F73B6">
      <w:pPr>
        <w:pStyle w:val="AATitle"/>
        <w:tabs>
          <w:tab w:val="left" w:pos="624"/>
          <w:tab w:val="left" w:pos="1871"/>
          <w:tab w:val="left" w:pos="2495"/>
        </w:tabs>
        <w:rPr>
          <w:b w:val="0"/>
          <w:lang w:val="es-ES"/>
        </w:rPr>
      </w:pPr>
      <w:r w:rsidRPr="00A934DD">
        <w:rPr>
          <w:b w:val="0"/>
          <w:lang w:val="es-ES"/>
        </w:rPr>
        <w:t>Ginebra, 19 a 23 de noviembre de 2018</w:t>
      </w:r>
    </w:p>
    <w:p w14:paraId="68A9C0C4" w14:textId="30DED724" w:rsidR="001D2D56" w:rsidRPr="00A934DD" w:rsidRDefault="001D2D56" w:rsidP="00976789">
      <w:pPr>
        <w:pStyle w:val="AATitle"/>
        <w:rPr>
          <w:b w:val="0"/>
          <w:lang w:val="es-ES_tradnl"/>
        </w:rPr>
      </w:pPr>
      <w:bookmarkStart w:id="0" w:name="_Hlk517786179"/>
      <w:r w:rsidRPr="00A934DD">
        <w:rPr>
          <w:b w:val="0"/>
          <w:lang w:val="es-ES_tradnl"/>
        </w:rPr>
        <w:t>Tema 5 a) del programa provisional</w:t>
      </w:r>
      <w:r w:rsidRPr="00A934DD">
        <w:rPr>
          <w:b w:val="0"/>
          <w:lang w:val="es-ES_tradnl"/>
        </w:rPr>
        <w:footnoteReference w:customMarkFollows="1" w:id="1"/>
        <w:t>*</w:t>
      </w:r>
    </w:p>
    <w:p w14:paraId="7EC60273" w14:textId="6C50C440" w:rsidR="001D2D56" w:rsidRPr="00A934DD" w:rsidRDefault="001D2D56" w:rsidP="00976789">
      <w:pPr>
        <w:pStyle w:val="AATitle2"/>
        <w:spacing w:before="60"/>
        <w:rPr>
          <w:lang w:val="es-ES_tradnl"/>
        </w:rPr>
      </w:pPr>
      <w:r w:rsidRPr="00A934DD">
        <w:rPr>
          <w:bCs/>
          <w:lang w:val="es-ES_tradnl"/>
        </w:rPr>
        <w:t xml:space="preserve">Cuestiones para el examen o la adopción de medidas </w:t>
      </w:r>
      <w:r w:rsidR="00A934DD" w:rsidRPr="00A934DD">
        <w:rPr>
          <w:bCs/>
          <w:lang w:val="es-ES_tradnl"/>
        </w:rPr>
        <w:br/>
      </w:r>
      <w:r w:rsidRPr="00A934DD">
        <w:rPr>
          <w:bCs/>
          <w:lang w:val="es-ES_tradnl"/>
        </w:rPr>
        <w:t>por la Conferencia de las Partes: liberaciones</w:t>
      </w:r>
    </w:p>
    <w:p w14:paraId="260470D6" w14:textId="409109A8" w:rsidR="001D2D56" w:rsidRPr="00A934DD" w:rsidRDefault="001D2D56" w:rsidP="001D2D56">
      <w:pPr>
        <w:pStyle w:val="BBTitle"/>
        <w:rPr>
          <w:lang w:val="es-ES_tradnl"/>
        </w:rPr>
      </w:pPr>
      <w:r w:rsidRPr="00A934DD">
        <w:rPr>
          <w:bCs/>
          <w:lang w:val="es-ES_tradnl"/>
        </w:rPr>
        <w:t>Directrices en relación con las liberaciones de mercurio</w:t>
      </w:r>
    </w:p>
    <w:p w14:paraId="136983D5" w14:textId="77777777" w:rsidR="001D2D56" w:rsidRPr="00A934DD" w:rsidRDefault="001D2D56" w:rsidP="00976789">
      <w:pPr>
        <w:pStyle w:val="CH2"/>
        <w:rPr>
          <w:lang w:val="es-ES_tradnl"/>
        </w:rPr>
      </w:pPr>
      <w:r w:rsidRPr="00A934DD">
        <w:rPr>
          <w:lang w:val="es-ES_tradnl"/>
        </w:rPr>
        <w:tab/>
      </w:r>
      <w:r w:rsidRPr="00A934DD">
        <w:rPr>
          <w:lang w:val="es-ES_tradnl"/>
        </w:rPr>
        <w:tab/>
      </w:r>
      <w:r w:rsidRPr="00A934DD">
        <w:rPr>
          <w:bCs/>
          <w:lang w:val="es-ES_tradnl"/>
        </w:rPr>
        <w:t>Nota de la Secretaría</w:t>
      </w:r>
    </w:p>
    <w:p w14:paraId="02449176" w14:textId="061B8D71" w:rsidR="006C2CFD" w:rsidRPr="00A934DD"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En su primera reunión, la Conferencia de las Partes en el Convenio de Minamata sobre el</w:t>
      </w:r>
      <w:r w:rsidR="00585FB3" w:rsidRPr="00A934DD">
        <w:rPr>
          <w:lang w:val="es-ES_tradnl"/>
        </w:rPr>
        <w:t> </w:t>
      </w:r>
      <w:r w:rsidRPr="00A934DD">
        <w:rPr>
          <w:lang w:val="es-ES_tradnl"/>
        </w:rPr>
        <w:t>Mercurio examinó la preparación de directrices en relación con las liberaciones de mercurio, según sea necesario, de conformidad con el párrafo 7 del artículo 9. A fin de clarificar la naturaleza de esas liberaciones, la Conferencia de las Partes, en su decisión MC-1/17, alentó a las Partes a determinar las fuentes puntuales pertinentes en el plano nacional con arreglo a los párrafos 2 b) y 3 del artículo 9 lo</w:t>
      </w:r>
      <w:r w:rsidR="00330E75" w:rsidRPr="00A934DD">
        <w:rPr>
          <w:lang w:val="es-ES_tradnl"/>
        </w:rPr>
        <w:t> </w:t>
      </w:r>
      <w:r w:rsidRPr="00A934DD">
        <w:rPr>
          <w:lang w:val="es-ES_tradnl"/>
        </w:rPr>
        <w:t xml:space="preserve">antes posible, y a que presentasen información a la Secretaría sobre las fuentes pertinentes determinadas. </w:t>
      </w:r>
    </w:p>
    <w:p w14:paraId="51F33DCC" w14:textId="5F2A5A61" w:rsidR="001D2D56" w:rsidRPr="00A934DD" w:rsidRDefault="0071426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 xml:space="preserve">En la misma decisión se solicitó a la Secretaría que compilase la información presentada por las Partes y la remitiese a la Conferencia de las Partes en su segunda reunión. </w:t>
      </w:r>
    </w:p>
    <w:p w14:paraId="7B969685" w14:textId="1B49C8CB" w:rsidR="001D2D56" w:rsidRPr="00A934DD"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La Secretaría distribuyó una solicitud de comunicaciones en noviembre de 2017, en la que se incluía una petición a las Partes para que presentasen información sobre las fuentes pertinentes determinadas. El plazo para la presentación de esa información se fijó en el 30 de junio de 2018. La petición se distribuyó a todas las Partes y o</w:t>
      </w:r>
      <w:r w:rsidR="00C375A9" w:rsidRPr="00A934DD">
        <w:rPr>
          <w:lang w:val="es-ES_tradnl"/>
        </w:rPr>
        <w:t xml:space="preserve">tros interesados, en particular </w:t>
      </w:r>
      <w:r w:rsidRPr="00A934DD">
        <w:rPr>
          <w:lang w:val="es-ES_tradnl"/>
        </w:rPr>
        <w:t xml:space="preserve">aquellos que asistieron a la primera reunión. Posteriormente, se envió un recordatorio a la misma lista de distribución. </w:t>
      </w:r>
    </w:p>
    <w:p w14:paraId="5B195D3B" w14:textId="5596CFDE" w:rsidR="001D2D56" w:rsidRPr="00A934DD"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 xml:space="preserve">Al 9 de julio de 2018, se habían recibido comunicaciones de </w:t>
      </w:r>
      <w:r w:rsidR="00720E39" w:rsidRPr="00A934DD">
        <w:rPr>
          <w:lang w:val="es-ES_tradnl"/>
        </w:rPr>
        <w:t xml:space="preserve">tres </w:t>
      </w:r>
      <w:r w:rsidRPr="00A934DD">
        <w:rPr>
          <w:lang w:val="es-ES_tradnl"/>
        </w:rPr>
        <w:t xml:space="preserve">Partes en el Convenio. </w:t>
      </w:r>
      <w:r w:rsidR="00720E39" w:rsidRPr="00A934DD">
        <w:rPr>
          <w:lang w:val="es-ES_tradnl"/>
        </w:rPr>
        <w:t xml:space="preserve">Dos de esas </w:t>
      </w:r>
      <w:r w:rsidRPr="00A934DD">
        <w:rPr>
          <w:lang w:val="es-ES_tradnl"/>
        </w:rPr>
        <w:t xml:space="preserve">Partes indicaron en sus comunicaciones que habían examinado las fuentes de liberaciones de mercurio y compuestos de mercurio en su territorio y no habían identificado fuentes que se encuadrasen en la definición que figura en el párrafo 2 b) del artículo 9 del Convenio, a saber </w:t>
      </w:r>
      <w:r w:rsidR="001F73B6" w:rsidRPr="00A934DD">
        <w:rPr>
          <w:lang w:val="es-ES_tradnl"/>
        </w:rPr>
        <w:t>“</w:t>
      </w:r>
      <w:r w:rsidRPr="00A934DD">
        <w:rPr>
          <w:lang w:val="es-ES_tradnl"/>
        </w:rPr>
        <w:t xml:space="preserve">toda fuente puntual </w:t>
      </w:r>
      <w:proofErr w:type="spellStart"/>
      <w:r w:rsidRPr="00A934DD">
        <w:rPr>
          <w:lang w:val="es-ES_tradnl"/>
        </w:rPr>
        <w:t>antropógena</w:t>
      </w:r>
      <w:proofErr w:type="spellEnd"/>
      <w:r w:rsidRPr="00A934DD">
        <w:rPr>
          <w:lang w:val="es-ES_tradnl"/>
        </w:rPr>
        <w:t xml:space="preserve"> significativa de liberaciones detectada por una Parte y no considerada en otras disposiciones</w:t>
      </w:r>
      <w:r w:rsidR="001F73B6" w:rsidRPr="00A934DD">
        <w:rPr>
          <w:lang w:val="es-ES_tradnl"/>
        </w:rPr>
        <w:t>”</w:t>
      </w:r>
      <w:r w:rsidRPr="00A934DD">
        <w:rPr>
          <w:lang w:val="es-ES_tradnl"/>
        </w:rPr>
        <w:t xml:space="preserve"> del Convenio. </w:t>
      </w:r>
      <w:r w:rsidR="00117675" w:rsidRPr="00A934DD">
        <w:rPr>
          <w:lang w:val="es-ES_tradnl"/>
        </w:rPr>
        <w:t xml:space="preserve">Una de las Partes presentó un lista de las </w:t>
      </w:r>
      <w:r w:rsidR="00FB0D2D" w:rsidRPr="00A934DD">
        <w:rPr>
          <w:lang w:val="es-ES_tradnl"/>
        </w:rPr>
        <w:t>actuales</w:t>
      </w:r>
      <w:r w:rsidR="00117675" w:rsidRPr="00A934DD">
        <w:rPr>
          <w:lang w:val="es-ES_tradnl"/>
        </w:rPr>
        <w:t xml:space="preserve"> fuentes nacionales de mercurio</w:t>
      </w:r>
      <w:r w:rsidR="00C6520C" w:rsidRPr="00A934DD">
        <w:rPr>
          <w:lang w:val="es-ES_tradnl"/>
        </w:rPr>
        <w:t xml:space="preserve">, todas las cuales han reducido drásticamente sus liberaciones a no más de </w:t>
      </w:r>
      <w:r w:rsidR="006F03B3" w:rsidRPr="00A934DD">
        <w:rPr>
          <w:rStyle w:val="DeltaViewInsertion"/>
          <w:color w:val="auto"/>
          <w:szCs w:val="24"/>
          <w:u w:val="none"/>
          <w:lang w:val="es-ES_tradnl"/>
        </w:rPr>
        <w:t>2 kg p</w:t>
      </w:r>
      <w:r w:rsidR="00C6520C" w:rsidRPr="00A934DD">
        <w:rPr>
          <w:rStyle w:val="DeltaViewInsertion"/>
          <w:color w:val="auto"/>
          <w:szCs w:val="24"/>
          <w:u w:val="none"/>
          <w:lang w:val="es-ES_tradnl"/>
        </w:rPr>
        <w:t>o</w:t>
      </w:r>
      <w:r w:rsidR="006F03B3" w:rsidRPr="00A934DD">
        <w:rPr>
          <w:rStyle w:val="DeltaViewInsertion"/>
          <w:color w:val="auto"/>
          <w:szCs w:val="24"/>
          <w:u w:val="none"/>
          <w:lang w:val="es-ES_tradnl"/>
        </w:rPr>
        <w:t xml:space="preserve">r </w:t>
      </w:r>
      <w:r w:rsidR="00C6520C" w:rsidRPr="00A934DD">
        <w:rPr>
          <w:rStyle w:val="DeltaViewInsertion"/>
          <w:color w:val="auto"/>
          <w:szCs w:val="24"/>
          <w:u w:val="none"/>
          <w:lang w:val="es-ES_tradnl"/>
        </w:rPr>
        <w:t>año por fábrica, como sigue</w:t>
      </w:r>
      <w:r w:rsidR="006F03B3" w:rsidRPr="00A934DD">
        <w:rPr>
          <w:rStyle w:val="DeltaViewInsertion"/>
          <w:color w:val="auto"/>
          <w:szCs w:val="24"/>
          <w:u w:val="none"/>
          <w:lang w:val="es-ES_tradnl"/>
        </w:rPr>
        <w:t>; produc</w:t>
      </w:r>
      <w:r w:rsidR="00C6520C" w:rsidRPr="00A934DD">
        <w:rPr>
          <w:rStyle w:val="DeltaViewInsertion"/>
          <w:color w:val="auto"/>
          <w:szCs w:val="24"/>
          <w:u w:val="none"/>
          <w:lang w:val="es-ES_tradnl"/>
        </w:rPr>
        <w:t>ción de dióxido de titanio, industria de pulpa y papel,</w:t>
      </w:r>
      <w:r w:rsidR="006F03B3" w:rsidRPr="00A934DD">
        <w:rPr>
          <w:rStyle w:val="DeltaViewInsertion"/>
          <w:color w:val="auto"/>
          <w:szCs w:val="24"/>
          <w:u w:val="none"/>
          <w:lang w:val="es-ES_tradnl"/>
        </w:rPr>
        <w:t xml:space="preserve"> </w:t>
      </w:r>
      <w:r w:rsidR="00C6520C" w:rsidRPr="00A934DD">
        <w:rPr>
          <w:rStyle w:val="DeltaViewInsertion"/>
          <w:color w:val="auto"/>
          <w:szCs w:val="24"/>
          <w:u w:val="none"/>
          <w:lang w:val="es-ES_tradnl"/>
        </w:rPr>
        <w:t>refinación de petróleo y procesamiento de gas</w:t>
      </w:r>
      <w:r w:rsidR="006F03B3" w:rsidRPr="00A934DD">
        <w:rPr>
          <w:rStyle w:val="DeltaViewInsertion"/>
          <w:color w:val="auto"/>
          <w:szCs w:val="24"/>
          <w:u w:val="none"/>
          <w:lang w:val="es-ES_tradnl"/>
        </w:rPr>
        <w:t xml:space="preserve"> natural</w:t>
      </w:r>
      <w:r w:rsidR="00C6520C" w:rsidRPr="00A934DD">
        <w:rPr>
          <w:rStyle w:val="DeltaViewInsertion"/>
          <w:color w:val="auto"/>
          <w:szCs w:val="24"/>
          <w:u w:val="none"/>
          <w:lang w:val="es-ES_tradnl"/>
        </w:rPr>
        <w:t xml:space="preserve">, </w:t>
      </w:r>
      <w:r w:rsidR="006F03B3" w:rsidRPr="00A934DD">
        <w:rPr>
          <w:rStyle w:val="DeltaViewInsertion"/>
          <w:color w:val="auto"/>
          <w:szCs w:val="24"/>
          <w:u w:val="none"/>
          <w:lang w:val="es-ES_tradnl"/>
        </w:rPr>
        <w:t>produc</w:t>
      </w:r>
      <w:r w:rsidR="00C6520C" w:rsidRPr="00A934DD">
        <w:rPr>
          <w:rStyle w:val="DeltaViewInsertion"/>
          <w:color w:val="auto"/>
          <w:szCs w:val="24"/>
          <w:u w:val="none"/>
          <w:lang w:val="es-ES_tradnl"/>
        </w:rPr>
        <w:t xml:space="preserve">ción de fluoruro de </w:t>
      </w:r>
      <w:r w:rsidR="006F03B3" w:rsidRPr="00A934DD">
        <w:rPr>
          <w:rStyle w:val="DeltaViewInsertion"/>
          <w:color w:val="auto"/>
          <w:szCs w:val="24"/>
          <w:u w:val="none"/>
          <w:lang w:val="es-ES_tradnl"/>
        </w:rPr>
        <w:t>alumini</w:t>
      </w:r>
      <w:r w:rsidR="00C6520C" w:rsidRPr="00A934DD">
        <w:rPr>
          <w:rStyle w:val="DeltaViewInsertion"/>
          <w:color w:val="auto"/>
          <w:szCs w:val="24"/>
          <w:u w:val="none"/>
          <w:lang w:val="es-ES_tradnl"/>
        </w:rPr>
        <w:t xml:space="preserve">o, </w:t>
      </w:r>
      <w:r w:rsidR="006F03B3" w:rsidRPr="00A934DD">
        <w:rPr>
          <w:rStyle w:val="DeltaViewInsertion"/>
          <w:color w:val="auto"/>
          <w:szCs w:val="24"/>
          <w:u w:val="none"/>
          <w:lang w:val="es-ES_tradnl"/>
        </w:rPr>
        <w:t>produc</w:t>
      </w:r>
      <w:r w:rsidR="00C6520C" w:rsidRPr="00A934DD">
        <w:rPr>
          <w:rStyle w:val="DeltaViewInsertion"/>
          <w:color w:val="auto"/>
          <w:szCs w:val="24"/>
          <w:u w:val="none"/>
          <w:lang w:val="es-ES_tradnl"/>
        </w:rPr>
        <w:t xml:space="preserve">ción de escoria de dióxido de titanio y arrabio, producción de </w:t>
      </w:r>
      <w:r w:rsidR="006F03B3" w:rsidRPr="00A934DD">
        <w:rPr>
          <w:rStyle w:val="DeltaViewInsertion"/>
          <w:color w:val="auto"/>
          <w:szCs w:val="24"/>
          <w:u w:val="none"/>
          <w:lang w:val="es-ES_tradnl"/>
        </w:rPr>
        <w:t xml:space="preserve">zinc </w:t>
      </w:r>
      <w:r w:rsidR="00C6520C" w:rsidRPr="00A934DD">
        <w:rPr>
          <w:rStyle w:val="DeltaViewInsertion"/>
          <w:color w:val="auto"/>
          <w:szCs w:val="24"/>
          <w:u w:val="none"/>
          <w:lang w:val="es-ES_tradnl"/>
        </w:rPr>
        <w:t>y</w:t>
      </w:r>
      <w:r w:rsidR="006F03B3" w:rsidRPr="00A934DD">
        <w:rPr>
          <w:rStyle w:val="DeltaViewInsertion"/>
          <w:color w:val="auto"/>
          <w:szCs w:val="24"/>
          <w:u w:val="none"/>
          <w:lang w:val="es-ES_tradnl"/>
        </w:rPr>
        <w:t xml:space="preserve"> cadmi</w:t>
      </w:r>
      <w:r w:rsidR="00C6520C" w:rsidRPr="00A934DD">
        <w:rPr>
          <w:rStyle w:val="DeltaViewInsertion"/>
          <w:color w:val="auto"/>
          <w:szCs w:val="24"/>
          <w:u w:val="none"/>
          <w:lang w:val="es-ES_tradnl"/>
        </w:rPr>
        <w:t xml:space="preserve">o, producción de </w:t>
      </w:r>
      <w:r w:rsidR="006F03B3" w:rsidRPr="00A934DD">
        <w:rPr>
          <w:rStyle w:val="DeltaViewInsertion"/>
          <w:color w:val="auto"/>
          <w:szCs w:val="24"/>
          <w:u w:val="none"/>
          <w:lang w:val="es-ES_tradnl"/>
        </w:rPr>
        <w:t>ferromanganes</w:t>
      </w:r>
      <w:r w:rsidR="00C6520C" w:rsidRPr="00A934DD">
        <w:rPr>
          <w:rStyle w:val="DeltaViewInsertion"/>
          <w:color w:val="auto"/>
          <w:szCs w:val="24"/>
          <w:u w:val="none"/>
          <w:lang w:val="es-ES_tradnl"/>
        </w:rPr>
        <w:t>o</w:t>
      </w:r>
      <w:r w:rsidR="006F03B3" w:rsidRPr="00A934DD">
        <w:rPr>
          <w:rStyle w:val="DeltaViewInsertion"/>
          <w:color w:val="auto"/>
          <w:szCs w:val="24"/>
          <w:u w:val="none"/>
          <w:lang w:val="es-ES_tradnl"/>
        </w:rPr>
        <w:t>/</w:t>
      </w:r>
      <w:proofErr w:type="spellStart"/>
      <w:r w:rsidR="006F03B3" w:rsidRPr="00A934DD">
        <w:rPr>
          <w:rStyle w:val="DeltaViewInsertion"/>
          <w:color w:val="auto"/>
          <w:szCs w:val="24"/>
          <w:u w:val="none"/>
          <w:lang w:val="es-ES_tradnl"/>
        </w:rPr>
        <w:t>silicomanganes</w:t>
      </w:r>
      <w:r w:rsidR="00C6520C" w:rsidRPr="00A934DD">
        <w:rPr>
          <w:rStyle w:val="DeltaViewInsertion"/>
          <w:color w:val="auto"/>
          <w:szCs w:val="24"/>
          <w:u w:val="none"/>
          <w:lang w:val="es-ES_tradnl"/>
        </w:rPr>
        <w:t>o</w:t>
      </w:r>
      <w:proofErr w:type="spellEnd"/>
      <w:r w:rsidR="00C6520C" w:rsidRPr="00A934DD">
        <w:rPr>
          <w:rStyle w:val="DeltaViewInsertion"/>
          <w:color w:val="auto"/>
          <w:szCs w:val="24"/>
          <w:u w:val="none"/>
          <w:lang w:val="es-ES_tradnl"/>
        </w:rPr>
        <w:t xml:space="preserve">, incineración de desechos, cloacas y vertederos </w:t>
      </w:r>
      <w:r w:rsidR="006F03B3" w:rsidRPr="00A934DD">
        <w:rPr>
          <w:rStyle w:val="DeltaViewInsertion"/>
          <w:color w:val="auto"/>
          <w:szCs w:val="24"/>
          <w:u w:val="none"/>
          <w:lang w:val="es-ES_tradnl"/>
        </w:rPr>
        <w:t>municipal</w:t>
      </w:r>
      <w:r w:rsidR="00C6520C" w:rsidRPr="00A934DD">
        <w:rPr>
          <w:rStyle w:val="DeltaViewInsertion"/>
          <w:color w:val="auto"/>
          <w:szCs w:val="24"/>
          <w:u w:val="none"/>
          <w:lang w:val="es-ES_tradnl"/>
        </w:rPr>
        <w:t>es</w:t>
      </w:r>
      <w:r w:rsidR="006F03B3" w:rsidRPr="00A934DD">
        <w:rPr>
          <w:rStyle w:val="DeltaViewInsertion"/>
          <w:color w:val="auto"/>
          <w:szCs w:val="24"/>
          <w:u w:val="none"/>
          <w:lang w:val="es-ES_tradnl"/>
        </w:rPr>
        <w:t xml:space="preserve">. </w:t>
      </w:r>
      <w:r w:rsidR="00C6520C" w:rsidRPr="00A934DD">
        <w:rPr>
          <w:rStyle w:val="DeltaViewInsertion"/>
          <w:color w:val="auto"/>
          <w:szCs w:val="24"/>
          <w:u w:val="none"/>
          <w:lang w:val="es-ES_tradnl"/>
        </w:rPr>
        <w:t xml:space="preserve">La misma Parte indicó que además de la información compilada sobre las fuentes nacionales de liberación de mercurio al agua, </w:t>
      </w:r>
      <w:r w:rsidR="003F6F60" w:rsidRPr="00A934DD">
        <w:rPr>
          <w:rStyle w:val="DeltaViewInsertion"/>
          <w:color w:val="auto"/>
          <w:szCs w:val="24"/>
          <w:u w:val="none"/>
          <w:lang w:val="es-ES_tradnl"/>
        </w:rPr>
        <w:t xml:space="preserve">la </w:t>
      </w:r>
      <w:r w:rsidR="00C6520C" w:rsidRPr="00A934DD">
        <w:rPr>
          <w:rStyle w:val="DeltaViewInsertion"/>
          <w:color w:val="auto"/>
          <w:szCs w:val="24"/>
          <w:u w:val="none"/>
          <w:lang w:val="es-ES_tradnl"/>
        </w:rPr>
        <w:t xml:space="preserve">Evaluación Mundial del Mercurio </w:t>
      </w:r>
      <w:r w:rsidR="006F03B3" w:rsidRPr="00A934DD">
        <w:rPr>
          <w:rStyle w:val="DeltaViewInsertion"/>
          <w:color w:val="auto"/>
          <w:szCs w:val="24"/>
          <w:u w:val="none"/>
          <w:lang w:val="es-ES_tradnl"/>
        </w:rPr>
        <w:t>2018</w:t>
      </w:r>
      <w:r w:rsidR="00C6520C" w:rsidRPr="00A934DD">
        <w:rPr>
          <w:rStyle w:val="DeltaViewInsertion"/>
          <w:color w:val="auto"/>
          <w:szCs w:val="24"/>
          <w:u w:val="none"/>
          <w:lang w:val="es-ES_tradnl"/>
        </w:rPr>
        <w:t>, que se realizará próximamente,</w:t>
      </w:r>
      <w:r w:rsidR="006F03B3" w:rsidRPr="00A934DD">
        <w:rPr>
          <w:rStyle w:val="DeltaViewInsertion"/>
          <w:color w:val="auto"/>
          <w:szCs w:val="24"/>
          <w:u w:val="none"/>
          <w:lang w:val="es-ES_tradnl"/>
        </w:rPr>
        <w:t xml:space="preserve"> </w:t>
      </w:r>
      <w:r w:rsidR="00C6520C" w:rsidRPr="00A934DD">
        <w:rPr>
          <w:rStyle w:val="DeltaViewInsertion"/>
          <w:color w:val="auto"/>
          <w:szCs w:val="24"/>
          <w:u w:val="none"/>
          <w:lang w:val="es-ES_tradnl"/>
        </w:rPr>
        <w:t>ser</w:t>
      </w:r>
      <w:r w:rsidR="00DE38BB" w:rsidRPr="00A934DD">
        <w:rPr>
          <w:rStyle w:val="DeltaViewInsertion"/>
          <w:color w:val="auto"/>
          <w:szCs w:val="24"/>
          <w:u w:val="none"/>
          <w:lang w:val="es-ES_tradnl"/>
        </w:rPr>
        <w:t>ía</w:t>
      </w:r>
      <w:r w:rsidR="00C6520C" w:rsidRPr="00A934DD">
        <w:rPr>
          <w:rStyle w:val="DeltaViewInsertion"/>
          <w:color w:val="auto"/>
          <w:szCs w:val="24"/>
          <w:u w:val="none"/>
          <w:lang w:val="es-ES_tradnl"/>
        </w:rPr>
        <w:t xml:space="preserve"> una buena fuente de información de las liberaciones al agua, </w:t>
      </w:r>
      <w:r w:rsidR="00757B77" w:rsidRPr="00A934DD">
        <w:rPr>
          <w:rStyle w:val="DeltaViewInsertion"/>
          <w:color w:val="auto"/>
          <w:szCs w:val="24"/>
          <w:u w:val="none"/>
          <w:lang w:val="es-ES_tradnl"/>
        </w:rPr>
        <w:t xml:space="preserve">en referencia a las fuentes siguientes que podrían resultar de interés: producción de metales no ferrosos, producción de mercurio metálico, </w:t>
      </w:r>
      <w:r w:rsidR="00757B77" w:rsidRPr="00A934DD">
        <w:rPr>
          <w:rStyle w:val="DeltaViewInsertion"/>
          <w:color w:val="auto"/>
          <w:szCs w:val="24"/>
          <w:u w:val="none"/>
          <w:lang w:val="es-ES_tradnl"/>
        </w:rPr>
        <w:lastRenderedPageBreak/>
        <w:t>extracc</w:t>
      </w:r>
      <w:bookmarkStart w:id="1" w:name="_GoBack"/>
      <w:bookmarkEnd w:id="1"/>
      <w:r w:rsidR="00757B77" w:rsidRPr="00A934DD">
        <w:rPr>
          <w:rStyle w:val="DeltaViewInsertion"/>
          <w:color w:val="auto"/>
          <w:szCs w:val="24"/>
          <w:u w:val="none"/>
          <w:lang w:val="es-ES_tradnl"/>
        </w:rPr>
        <w:t>ión de oro en gran escala, refinación de petróleo</w:t>
      </w:r>
      <w:r w:rsidR="00FB0D2D" w:rsidRPr="00A934DD">
        <w:rPr>
          <w:rStyle w:val="DeltaViewInsertion"/>
          <w:color w:val="auto"/>
          <w:szCs w:val="24"/>
          <w:u w:val="none"/>
          <w:lang w:val="es-ES_tradnl"/>
        </w:rPr>
        <w:t>, aguas residuales municipales, centrales eléctricas de carbón y lavado del carbón.</w:t>
      </w:r>
      <w:r w:rsidR="006F03B3" w:rsidRPr="00A934DD">
        <w:rPr>
          <w:rStyle w:val="DeltaViewInsertion"/>
          <w:color w:val="auto"/>
          <w:szCs w:val="24"/>
          <w:u w:val="none"/>
          <w:lang w:val="es-ES_tradnl"/>
        </w:rPr>
        <w:t xml:space="preserve"> </w:t>
      </w:r>
      <w:r w:rsidRPr="00A934DD">
        <w:rPr>
          <w:lang w:val="es-ES_tradnl"/>
        </w:rPr>
        <w:t>Las comunicaciones pueden consultarse en el sitio web del Convenio: http://mercuryconvention.org/Meetings/Intersessionalnbsp;work/tabid/6325/language/ en-US/Default.aspx.</w:t>
      </w:r>
    </w:p>
    <w:p w14:paraId="771A9671" w14:textId="74D545DD" w:rsidR="001D2D56" w:rsidRPr="00A934DD"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 xml:space="preserve">Si bien en su decisión la Conferencia de las Partes alentaba a las Partes a determinar las fuentes puntuales pertinentes en el plano nacional con arreglo a los párrafos 2 b) y 3 del artículo 9 lo antes posible, la obligación establecida en el artículo 9 es que las Partes deben hacerlo </w:t>
      </w:r>
      <w:r w:rsidR="001F73B6" w:rsidRPr="00A934DD">
        <w:rPr>
          <w:lang w:val="es-ES_tradnl"/>
        </w:rPr>
        <w:t>“</w:t>
      </w:r>
      <w:r w:rsidRPr="00A934DD">
        <w:rPr>
          <w:lang w:val="es-ES_tradnl"/>
        </w:rPr>
        <w:t>a más tardar tres años después de la fecha de entrada en vigor del presente Convenio para [la Parte de que se trate] y periódicamente a partir de entonces</w:t>
      </w:r>
      <w:r w:rsidR="001F73B6" w:rsidRPr="00A934DD">
        <w:rPr>
          <w:lang w:val="es-ES_tradnl"/>
        </w:rPr>
        <w:t>”</w:t>
      </w:r>
      <w:r w:rsidRPr="00A934DD">
        <w:rPr>
          <w:lang w:val="es-ES_tradnl"/>
        </w:rPr>
        <w:t xml:space="preserve">. Además, las Partes deben incluir información sobre la aplicación de este artículo en los informes que presente de conformidad con el artículo 21. En su decisión MC-1/8, la Conferencia de las Partes decidió que los primeros informes completos deberán presentarse a más tardar el 31 de diciembre de 2021. Para entonces, el alcance y la naturaleza de las liberaciones serán más claros, y la Conferencia de las Partes estará en mejores condiciones de elaborar </w:t>
      </w:r>
      <w:r w:rsidR="00C375A9" w:rsidRPr="00A934DD">
        <w:rPr>
          <w:lang w:val="es-ES_tradnl"/>
        </w:rPr>
        <w:t>directrices</w:t>
      </w:r>
      <w:r w:rsidRPr="00A934DD">
        <w:rPr>
          <w:lang w:val="es-ES_tradnl"/>
        </w:rPr>
        <w:t xml:space="preserve"> pertinentes sobre su gestión. </w:t>
      </w:r>
    </w:p>
    <w:p w14:paraId="520A7079" w14:textId="77777777" w:rsidR="001D2D56" w:rsidRPr="00A934DD" w:rsidRDefault="001D2D56" w:rsidP="00976789">
      <w:pPr>
        <w:pStyle w:val="CH2"/>
        <w:rPr>
          <w:b w:val="0"/>
          <w:lang w:val="es-ES_tradnl"/>
        </w:rPr>
      </w:pPr>
      <w:r w:rsidRPr="00A934DD">
        <w:rPr>
          <w:lang w:val="es-ES_tradnl"/>
        </w:rPr>
        <w:tab/>
      </w:r>
      <w:r w:rsidRPr="00A934DD">
        <w:rPr>
          <w:lang w:val="es-ES_tradnl"/>
        </w:rPr>
        <w:tab/>
        <w:t>Medida que podría adoptar la Conferencia de las Partes</w:t>
      </w:r>
    </w:p>
    <w:p w14:paraId="7589C2DF" w14:textId="4E50BCED" w:rsidR="001D2D56" w:rsidRPr="00A934DD" w:rsidRDefault="00FB0D2D"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_tradnl"/>
        </w:rPr>
      </w:pPr>
      <w:r w:rsidRPr="00A934DD">
        <w:rPr>
          <w:lang w:val="es-ES_tradnl"/>
        </w:rPr>
        <w:t xml:space="preserve">Habida cuenta de que solo una Parte ha determinado posibles </w:t>
      </w:r>
      <w:r w:rsidR="001D2D56" w:rsidRPr="00A934DD">
        <w:rPr>
          <w:lang w:val="es-ES_tradnl"/>
        </w:rPr>
        <w:t xml:space="preserve">fuentes de liberaciones pertinentes, de conformidad con el artículo 9 del Convenio, la Conferencia de las Partes tal vez desee aplazar la labor sobre la elaboración de directrices sobre las mejores técnicas disponibles y las mejores prácticas ambientales hasta después de haberse recibido los primeros informes completos de las Partes al 31 de diciembre de 2021. Las Partes tal vez deseen proporcionar a la Secretaría la información pertinente a medida que dispongan de ella, y la Conferencia de las Partes tal vez desee volver a examinar la cuestión en su primera reunión tras la presentación de los informes completos. </w:t>
      </w:r>
      <w:r w:rsidR="00C375A9" w:rsidRPr="00A934DD">
        <w:rPr>
          <w:lang w:val="es-ES_tradnl"/>
        </w:rPr>
        <w:t>En el anexo</w:t>
      </w:r>
      <w:r w:rsidR="003F6F60" w:rsidRPr="00A934DD">
        <w:rPr>
          <w:lang w:val="es-ES_tradnl"/>
        </w:rPr>
        <w:t> </w:t>
      </w:r>
      <w:r w:rsidR="00C375A9" w:rsidRPr="00A934DD">
        <w:rPr>
          <w:lang w:val="es-ES_tradnl"/>
        </w:rPr>
        <w:t>de la presente nota figura un proyecto de decisión</w:t>
      </w:r>
      <w:r w:rsidR="001D2D56" w:rsidRPr="00A934DD">
        <w:rPr>
          <w:lang w:val="es-ES_tradnl"/>
        </w:rPr>
        <w:t>.</w:t>
      </w:r>
    </w:p>
    <w:p w14:paraId="7AD6ED40" w14:textId="2DF607BB" w:rsidR="00E34F4B" w:rsidRPr="00A934DD" w:rsidRDefault="00E34F4B" w:rsidP="00E34F4B">
      <w:pPr>
        <w:pStyle w:val="Normal-pool"/>
        <w:rPr>
          <w:lang w:val="es-ES_tradnl"/>
        </w:rPr>
      </w:pPr>
      <w:r w:rsidRPr="00A934DD">
        <w:rPr>
          <w:lang w:val="es-ES_tradnl"/>
        </w:rPr>
        <w:br w:type="page"/>
      </w:r>
    </w:p>
    <w:p w14:paraId="1C5546C9" w14:textId="3BEF9892" w:rsidR="001D2D56" w:rsidRPr="00A934DD" w:rsidRDefault="001D2D56" w:rsidP="00976789">
      <w:pPr>
        <w:pStyle w:val="ZZAnxheader"/>
        <w:rPr>
          <w:lang w:val="es-ES_tradnl"/>
        </w:rPr>
      </w:pPr>
      <w:r w:rsidRPr="00A934DD">
        <w:rPr>
          <w:lang w:val="es-ES_tradnl"/>
        </w:rPr>
        <w:lastRenderedPageBreak/>
        <w:t>Anexo</w:t>
      </w:r>
    </w:p>
    <w:p w14:paraId="0E8958A0" w14:textId="1A224B76" w:rsidR="001D2D56" w:rsidRPr="00A934DD" w:rsidRDefault="001D2D56" w:rsidP="001D2D56">
      <w:pPr>
        <w:pStyle w:val="ZZAnxtitle"/>
        <w:rPr>
          <w:lang w:val="es-ES_tradnl"/>
        </w:rPr>
      </w:pPr>
      <w:r w:rsidRPr="00A934DD">
        <w:rPr>
          <w:lang w:val="es-ES_tradnl"/>
        </w:rPr>
        <w:t xml:space="preserve">Proyecto de decisión MC-2[XX]: liberaciones </w:t>
      </w:r>
    </w:p>
    <w:p w14:paraId="4619B02A" w14:textId="77777777" w:rsidR="001D2D56" w:rsidRPr="00A934DD"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A934DD">
        <w:rPr>
          <w:i/>
          <w:iCs/>
          <w:lang w:val="es-ES_tradnl"/>
        </w:rPr>
        <w:t>La Conferencia de las Partes,</w:t>
      </w:r>
    </w:p>
    <w:p w14:paraId="62882461" w14:textId="71BCEB28" w:rsidR="001D2D56" w:rsidRPr="00A934DD"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Cs/>
          <w:lang w:val="es-ES_tradnl"/>
        </w:rPr>
      </w:pPr>
      <w:r w:rsidRPr="00A934DD">
        <w:rPr>
          <w:i/>
          <w:iCs/>
          <w:lang w:val="es-ES_tradnl"/>
        </w:rPr>
        <w:t xml:space="preserve">Reconociendo </w:t>
      </w:r>
      <w:r w:rsidRPr="00A934DD">
        <w:rPr>
          <w:lang w:val="es-ES_tradnl"/>
        </w:rPr>
        <w:t>el requisito de que la Conferencia de las Partes, tan pronto como sea factible, debe aprobar directrices sobre las mejores técnicas disponibles y las mejores prácticas ambientales para el control de las liberaciones procedentes de fuentes pertinentes, así como la metodología para la preparación de inventarios de liberaciones de esas fuentes,</w:t>
      </w:r>
    </w:p>
    <w:p w14:paraId="1BE89760" w14:textId="422E9EA2" w:rsidR="001D2D56" w:rsidRPr="00A934DD"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Cs/>
          <w:lang w:val="es-ES_tradnl"/>
        </w:rPr>
      </w:pPr>
      <w:r w:rsidRPr="00A934DD">
        <w:rPr>
          <w:i/>
          <w:iCs/>
          <w:lang w:val="es-ES_tradnl"/>
        </w:rPr>
        <w:t xml:space="preserve">Observando </w:t>
      </w:r>
      <w:r w:rsidRPr="00A934DD">
        <w:rPr>
          <w:lang w:val="es-ES_tradnl"/>
        </w:rPr>
        <w:t xml:space="preserve">que, hasta la fecha, </w:t>
      </w:r>
      <w:r w:rsidR="00DE38BB" w:rsidRPr="00A934DD">
        <w:rPr>
          <w:lang w:val="es-ES_tradnl"/>
        </w:rPr>
        <w:t xml:space="preserve">solo una Parte </w:t>
      </w:r>
      <w:r w:rsidRPr="00A934DD">
        <w:rPr>
          <w:lang w:val="es-ES_tradnl"/>
        </w:rPr>
        <w:t xml:space="preserve">ha presentado información que </w:t>
      </w:r>
      <w:r w:rsidR="00DE38BB" w:rsidRPr="00A934DD">
        <w:rPr>
          <w:lang w:val="es-ES_tradnl"/>
        </w:rPr>
        <w:t xml:space="preserve">permita </w:t>
      </w:r>
      <w:r w:rsidRPr="00A934DD">
        <w:rPr>
          <w:lang w:val="es-ES_tradnl"/>
        </w:rPr>
        <w:t>determin</w:t>
      </w:r>
      <w:r w:rsidR="00DE38BB" w:rsidRPr="00A934DD">
        <w:rPr>
          <w:lang w:val="es-ES_tradnl"/>
        </w:rPr>
        <w:t>ar posibles</w:t>
      </w:r>
      <w:r w:rsidRPr="00A934DD">
        <w:rPr>
          <w:lang w:val="es-ES_tradnl"/>
        </w:rPr>
        <w:t xml:space="preserve"> fuentes </w:t>
      </w:r>
      <w:r w:rsidR="00DE38BB" w:rsidRPr="00A934DD">
        <w:rPr>
          <w:lang w:val="es-ES_tradnl"/>
        </w:rPr>
        <w:t>localizadas de liberaciones</w:t>
      </w:r>
      <w:r w:rsidRPr="00A934DD">
        <w:rPr>
          <w:lang w:val="es-ES_tradnl"/>
        </w:rPr>
        <w:t xml:space="preserve"> pertinentes en el ámbito de aplicación del artículo 9,</w:t>
      </w:r>
    </w:p>
    <w:p w14:paraId="43BC1674" w14:textId="7201DA08" w:rsidR="001D2D56" w:rsidRPr="00A934DD"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A934DD">
        <w:rPr>
          <w:i/>
          <w:iCs/>
          <w:lang w:val="es-ES_tradnl"/>
        </w:rPr>
        <w:t xml:space="preserve">Reconociendo </w:t>
      </w:r>
      <w:r w:rsidRPr="00A934DD">
        <w:rPr>
          <w:lang w:val="es-ES_tradnl"/>
        </w:rPr>
        <w:t xml:space="preserve">que las Partes informarán sobre sus fuentes de liberaciones pertinentes, así como sobre las medidas adoptadas para controlarlas, mediante informes presentados de conformidad con el artículo 21, </w:t>
      </w:r>
    </w:p>
    <w:p w14:paraId="21B63663" w14:textId="4C1667E1" w:rsidR="001D2D56" w:rsidRPr="00A934DD"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A934DD">
        <w:rPr>
          <w:i/>
          <w:iCs/>
          <w:lang w:val="es-ES_tradnl"/>
        </w:rPr>
        <w:t xml:space="preserve">Decide </w:t>
      </w:r>
      <w:r w:rsidRPr="00A934DD">
        <w:rPr>
          <w:lang w:val="es-ES_tradnl"/>
        </w:rPr>
        <w:t xml:space="preserve">adoptar una decisión sobre la elaboración de directrices sobre las mejores técnicas disponibles y las mejores prácticas ambientales para controlar las liberaciones procedentes de las fuentes pertinentes, tras el examen de los informes de las Partes con arreglo al artículo 21; </w:t>
      </w:r>
    </w:p>
    <w:p w14:paraId="66512A10" w14:textId="129C1010" w:rsidR="001D2D56" w:rsidRPr="00A934DD"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A934DD">
        <w:rPr>
          <w:i/>
          <w:iCs/>
          <w:lang w:val="es-ES_tradnl"/>
        </w:rPr>
        <w:t xml:space="preserve">Alienta </w:t>
      </w:r>
      <w:r w:rsidRPr="00A934DD">
        <w:rPr>
          <w:lang w:val="es-ES_tradnl"/>
        </w:rPr>
        <w:t xml:space="preserve">a la presentación de la información disponible sobre las fuentes puntuales pertinentes a la Secretaría en el período provisional a la espera de la presentación de los informes completos de conformidad con el artículo 21; </w:t>
      </w:r>
    </w:p>
    <w:p w14:paraId="52C78732" w14:textId="080A3F37" w:rsidR="001D2D56" w:rsidRPr="00A934DD"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A934DD">
        <w:rPr>
          <w:i/>
          <w:lang w:val="es-ES_tradnl"/>
        </w:rPr>
        <w:t>Pide</w:t>
      </w:r>
      <w:r w:rsidRPr="00A934DD">
        <w:rPr>
          <w:lang w:val="es-ES_tradnl"/>
        </w:rPr>
        <w:t xml:space="preserve"> a la Secretaría que recopile la información de los informes de las Partes y de otras fuentes, y que proporcione esa información a la Conferencia de las Partes en su primera reunión tras la presentación de informes completos.</w:t>
      </w:r>
    </w:p>
    <w:tbl>
      <w:tblPr>
        <w:tblW w:w="9712" w:type="dxa"/>
        <w:tblLayout w:type="fixed"/>
        <w:tblLook w:val="04A0" w:firstRow="1" w:lastRow="0" w:firstColumn="1" w:lastColumn="0" w:noHBand="0" w:noVBand="1"/>
      </w:tblPr>
      <w:tblGrid>
        <w:gridCol w:w="1942"/>
        <w:gridCol w:w="1942"/>
        <w:gridCol w:w="1942"/>
        <w:gridCol w:w="1943"/>
        <w:gridCol w:w="1943"/>
      </w:tblGrid>
      <w:tr w:rsidR="00A934DD" w:rsidRPr="00395F87" w14:paraId="6DB0CABC" w14:textId="77777777" w:rsidTr="00585FB3">
        <w:tc>
          <w:tcPr>
            <w:tcW w:w="1942" w:type="dxa"/>
            <w:shd w:val="clear" w:color="auto" w:fill="auto"/>
          </w:tcPr>
          <w:p w14:paraId="6D3F7C2C" w14:textId="77777777" w:rsidR="00E976AB" w:rsidRPr="00A934DD" w:rsidRDefault="00E976AB" w:rsidP="004455F3">
            <w:pPr>
              <w:pStyle w:val="Normal-pool"/>
              <w:tabs>
                <w:tab w:val="left" w:pos="624"/>
                <w:tab w:val="left" w:pos="1871"/>
                <w:tab w:val="left" w:pos="2495"/>
              </w:tabs>
              <w:spacing w:before="520"/>
              <w:rPr>
                <w:lang w:val="es-ES_tradnl"/>
              </w:rPr>
            </w:pPr>
          </w:p>
        </w:tc>
        <w:tc>
          <w:tcPr>
            <w:tcW w:w="1942" w:type="dxa"/>
            <w:shd w:val="clear" w:color="auto" w:fill="auto"/>
          </w:tcPr>
          <w:p w14:paraId="378BA037" w14:textId="77777777" w:rsidR="00E976AB" w:rsidRPr="00A934DD" w:rsidRDefault="00E976AB" w:rsidP="004455F3">
            <w:pPr>
              <w:pStyle w:val="Normal-pool"/>
              <w:tabs>
                <w:tab w:val="left" w:pos="624"/>
                <w:tab w:val="left" w:pos="1871"/>
                <w:tab w:val="left" w:pos="2495"/>
              </w:tabs>
              <w:spacing w:before="520"/>
              <w:rPr>
                <w:lang w:val="es-ES_tradnl"/>
              </w:rPr>
            </w:pPr>
          </w:p>
        </w:tc>
        <w:tc>
          <w:tcPr>
            <w:tcW w:w="1942" w:type="dxa"/>
            <w:tcBorders>
              <w:bottom w:val="single" w:sz="4" w:space="0" w:color="auto"/>
            </w:tcBorders>
            <w:shd w:val="clear" w:color="auto" w:fill="auto"/>
          </w:tcPr>
          <w:p w14:paraId="028E3E1E" w14:textId="77777777" w:rsidR="00E976AB" w:rsidRPr="00A934DD" w:rsidRDefault="00E976AB" w:rsidP="004455F3">
            <w:pPr>
              <w:pStyle w:val="Normal-pool"/>
              <w:tabs>
                <w:tab w:val="left" w:pos="624"/>
                <w:tab w:val="left" w:pos="1871"/>
                <w:tab w:val="left" w:pos="2495"/>
              </w:tabs>
              <w:spacing w:before="520"/>
              <w:rPr>
                <w:lang w:val="es-ES_tradnl"/>
              </w:rPr>
            </w:pPr>
          </w:p>
        </w:tc>
        <w:tc>
          <w:tcPr>
            <w:tcW w:w="1943" w:type="dxa"/>
            <w:shd w:val="clear" w:color="auto" w:fill="auto"/>
          </w:tcPr>
          <w:p w14:paraId="25F1BA19" w14:textId="77777777" w:rsidR="00E976AB" w:rsidRPr="00A934DD" w:rsidRDefault="00E976AB" w:rsidP="004455F3">
            <w:pPr>
              <w:pStyle w:val="Normal-pool"/>
              <w:tabs>
                <w:tab w:val="left" w:pos="624"/>
                <w:tab w:val="left" w:pos="1871"/>
                <w:tab w:val="left" w:pos="2495"/>
              </w:tabs>
              <w:spacing w:before="520"/>
              <w:rPr>
                <w:lang w:val="es-ES_tradnl"/>
              </w:rPr>
            </w:pPr>
          </w:p>
        </w:tc>
        <w:tc>
          <w:tcPr>
            <w:tcW w:w="1943" w:type="dxa"/>
            <w:shd w:val="clear" w:color="auto" w:fill="auto"/>
          </w:tcPr>
          <w:p w14:paraId="457D2993" w14:textId="77777777" w:rsidR="00E976AB" w:rsidRPr="00A934DD" w:rsidRDefault="00E976AB" w:rsidP="004455F3">
            <w:pPr>
              <w:pStyle w:val="Normal-pool"/>
              <w:tabs>
                <w:tab w:val="left" w:pos="624"/>
                <w:tab w:val="left" w:pos="1871"/>
                <w:tab w:val="left" w:pos="2495"/>
              </w:tabs>
              <w:spacing w:before="520"/>
              <w:rPr>
                <w:lang w:val="es-ES_tradnl"/>
              </w:rPr>
            </w:pPr>
          </w:p>
        </w:tc>
      </w:tr>
      <w:bookmarkEnd w:id="0"/>
    </w:tbl>
    <w:p w14:paraId="325E8270" w14:textId="77777777" w:rsidR="00032E4E" w:rsidRPr="00A934DD" w:rsidRDefault="00032E4E" w:rsidP="004455F3">
      <w:pPr>
        <w:pStyle w:val="Normal-pool"/>
        <w:tabs>
          <w:tab w:val="left" w:pos="624"/>
          <w:tab w:val="left" w:pos="1871"/>
          <w:tab w:val="left" w:pos="2495"/>
        </w:tabs>
        <w:rPr>
          <w:lang w:val="es-ES_tradnl"/>
        </w:rPr>
      </w:pPr>
    </w:p>
    <w:sectPr w:rsidR="00032E4E" w:rsidRPr="00A934DD"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CC91" w14:textId="77777777" w:rsidR="00064FBA" w:rsidRDefault="00064FBA">
      <w:r>
        <w:separator/>
      </w:r>
    </w:p>
  </w:endnote>
  <w:endnote w:type="continuationSeparator" w:id="0">
    <w:p w14:paraId="22A054C0" w14:textId="77777777" w:rsidR="00064FBA" w:rsidRDefault="0006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6BA23867"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3541C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55A75110"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541C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13FF" w14:textId="28647CE6" w:rsidR="004455F3" w:rsidRPr="00DF10E3" w:rsidRDefault="004455F3" w:rsidP="00B848A1">
    <w:pPr>
      <w:pStyle w:val="Footer"/>
      <w:tabs>
        <w:tab w:val="clear" w:pos="1247"/>
        <w:tab w:val="clear" w:pos="1814"/>
        <w:tab w:val="clear" w:pos="2381"/>
        <w:tab w:val="clear" w:pos="2948"/>
        <w:tab w:val="clear" w:pos="3515"/>
        <w:tab w:val="clear" w:pos="4320"/>
        <w:tab w:val="clear" w:pos="8640"/>
        <w:tab w:val="left" w:pos="624"/>
      </w:tabs>
      <w:rPr>
        <w:sz w:val="20"/>
      </w:rPr>
    </w:pPr>
    <w:r w:rsidRPr="00DF10E3">
      <w:rPr>
        <w:sz w:val="20"/>
        <w:lang w:val="es-ES"/>
      </w:rPr>
      <w:t>K180</w:t>
    </w:r>
    <w:r w:rsidR="00A934DD">
      <w:rPr>
        <w:sz w:val="20"/>
        <w:lang w:val="es-ES"/>
      </w:rPr>
      <w:t>2317</w:t>
    </w:r>
    <w:r w:rsidRPr="00DF10E3">
      <w:rPr>
        <w:sz w:val="20"/>
        <w:lang w:val="es-ES"/>
      </w:rPr>
      <w:tab/>
    </w:r>
    <w:r w:rsidR="00A934DD">
      <w:rPr>
        <w:sz w:val="20"/>
        <w:lang w:val="es-ES"/>
      </w:rPr>
      <w:t>0</w:t>
    </w:r>
    <w:r w:rsidR="00395F87">
      <w:rPr>
        <w:sz w:val="20"/>
        <w:lang w:val="es-ES"/>
      </w:rPr>
      <w:t>4</w:t>
    </w:r>
    <w:r w:rsidR="00A934DD">
      <w:rPr>
        <w:sz w:val="20"/>
        <w:lang w:val="es-ES"/>
      </w:rPr>
      <w:t>10</w:t>
    </w:r>
    <w:r w:rsidRPr="00DF10E3">
      <w:rPr>
        <w:sz w:val="20"/>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D725" w14:textId="77777777" w:rsidR="00064FBA" w:rsidRDefault="00064FBA" w:rsidP="00A934DD">
      <w:pPr>
        <w:tabs>
          <w:tab w:val="clear" w:pos="1247"/>
          <w:tab w:val="clear" w:pos="1814"/>
          <w:tab w:val="clear" w:pos="2381"/>
          <w:tab w:val="clear" w:pos="2948"/>
          <w:tab w:val="clear" w:pos="3515"/>
        </w:tabs>
        <w:spacing w:before="20" w:after="40"/>
        <w:ind w:left="624"/>
      </w:pPr>
      <w:r>
        <w:separator/>
      </w:r>
    </w:p>
  </w:footnote>
  <w:footnote w:type="continuationSeparator" w:id="0">
    <w:p w14:paraId="7425E921" w14:textId="77777777" w:rsidR="00064FBA" w:rsidRDefault="00064FBA">
      <w:r>
        <w:continuationSeparator/>
      </w:r>
    </w:p>
  </w:footnote>
  <w:footnote w:id="1">
    <w:p w14:paraId="4105DAF3" w14:textId="77777777" w:rsidR="001D2D56" w:rsidRPr="00DF10E3" w:rsidRDefault="001D2D56" w:rsidP="00A934DD">
      <w:pPr>
        <w:tabs>
          <w:tab w:val="clear" w:pos="1247"/>
          <w:tab w:val="clear" w:pos="1814"/>
          <w:tab w:val="clear" w:pos="2381"/>
          <w:tab w:val="clear" w:pos="2948"/>
          <w:tab w:val="clear" w:pos="3515"/>
        </w:tabs>
        <w:spacing w:before="20" w:after="40"/>
        <w:ind w:left="1247"/>
        <w:rPr>
          <w:sz w:val="18"/>
          <w:szCs w:val="18"/>
        </w:rPr>
      </w:pPr>
      <w:r w:rsidRPr="00DF10E3">
        <w:rPr>
          <w:sz w:val="18"/>
          <w:szCs w:val="18"/>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7A6A9DC1"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1D2D56">
      <w:rPr>
        <w:szCs w:val="18"/>
      </w:rPr>
      <w:t>4</w:t>
    </w:r>
    <w:r w:rsidR="00395F87">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B5C113F"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1F73B6">
      <w:rPr>
        <w:szCs w:val="18"/>
      </w:rPr>
      <w:t>2</w:t>
    </w:r>
    <w:r w:rsidRPr="00CA5CA9">
      <w:rPr>
        <w:szCs w:val="18"/>
      </w:rPr>
      <w:t>/</w:t>
    </w:r>
    <w:r w:rsidR="001D2D56">
      <w:rPr>
        <w:szCs w:val="18"/>
      </w:rPr>
      <w:t>4</w:t>
    </w:r>
    <w:r w:rsidR="00DE38BB">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3E507A6B"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 w:numId="38">
    <w:abstractNumId w:val="5"/>
    <w:lvlOverride w:ilvl="0">
      <w:lvl w:ilvl="0" w:tplc="B724672E">
        <w:start w:val="1"/>
        <w:numFmt w:val="decimal"/>
        <w:lvlText w:val="%1."/>
        <w:lvlJc w:val="left"/>
        <w:pPr>
          <w:ind w:left="720" w:hanging="360"/>
        </w:pPr>
        <w:rPr>
          <w:b w:val="0"/>
          <w:i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15ADE"/>
    <w:rsid w:val="00023DA9"/>
    <w:rsid w:val="000247B0"/>
    <w:rsid w:val="00026997"/>
    <w:rsid w:val="00026A08"/>
    <w:rsid w:val="00032E4E"/>
    <w:rsid w:val="00033E0B"/>
    <w:rsid w:val="00035EDE"/>
    <w:rsid w:val="000509B4"/>
    <w:rsid w:val="0006035B"/>
    <w:rsid w:val="0006096F"/>
    <w:rsid w:val="000649C5"/>
    <w:rsid w:val="00064FBA"/>
    <w:rsid w:val="00071886"/>
    <w:rsid w:val="000742BC"/>
    <w:rsid w:val="00076CC6"/>
    <w:rsid w:val="00082A0C"/>
    <w:rsid w:val="00083504"/>
    <w:rsid w:val="0009125A"/>
    <w:rsid w:val="0009640C"/>
    <w:rsid w:val="000A34F8"/>
    <w:rsid w:val="000B22A2"/>
    <w:rsid w:val="000B2815"/>
    <w:rsid w:val="000B541B"/>
    <w:rsid w:val="000B73F9"/>
    <w:rsid w:val="000C2A52"/>
    <w:rsid w:val="000C2A88"/>
    <w:rsid w:val="000D33C0"/>
    <w:rsid w:val="000D4CF6"/>
    <w:rsid w:val="000D6941"/>
    <w:rsid w:val="000F3DCD"/>
    <w:rsid w:val="000F4829"/>
    <w:rsid w:val="000F6B21"/>
    <w:rsid w:val="00102EFB"/>
    <w:rsid w:val="00117675"/>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2D56"/>
    <w:rsid w:val="001D2E42"/>
    <w:rsid w:val="001D3874"/>
    <w:rsid w:val="001D7E75"/>
    <w:rsid w:val="001E0D73"/>
    <w:rsid w:val="001E45BD"/>
    <w:rsid w:val="001E56D2"/>
    <w:rsid w:val="001E7D56"/>
    <w:rsid w:val="001F5186"/>
    <w:rsid w:val="001F73B6"/>
    <w:rsid w:val="001F75DE"/>
    <w:rsid w:val="00200D58"/>
    <w:rsid w:val="002011C1"/>
    <w:rsid w:val="002013BE"/>
    <w:rsid w:val="00201EDC"/>
    <w:rsid w:val="002063A4"/>
    <w:rsid w:val="0021145B"/>
    <w:rsid w:val="00220C23"/>
    <w:rsid w:val="002247F6"/>
    <w:rsid w:val="00225520"/>
    <w:rsid w:val="00225E21"/>
    <w:rsid w:val="00225E44"/>
    <w:rsid w:val="00234E78"/>
    <w:rsid w:val="00243D36"/>
    <w:rsid w:val="00246151"/>
    <w:rsid w:val="00247707"/>
    <w:rsid w:val="00252456"/>
    <w:rsid w:val="0026018E"/>
    <w:rsid w:val="00267570"/>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15A5"/>
    <w:rsid w:val="002F38EF"/>
    <w:rsid w:val="002F4761"/>
    <w:rsid w:val="002F5C79"/>
    <w:rsid w:val="002F68EE"/>
    <w:rsid w:val="003019E2"/>
    <w:rsid w:val="00310BEB"/>
    <w:rsid w:val="0031413F"/>
    <w:rsid w:val="00314854"/>
    <w:rsid w:val="003148BB"/>
    <w:rsid w:val="00317976"/>
    <w:rsid w:val="00320F2F"/>
    <w:rsid w:val="0032457E"/>
    <w:rsid w:val="00325D38"/>
    <w:rsid w:val="00330E75"/>
    <w:rsid w:val="003436EE"/>
    <w:rsid w:val="0035277E"/>
    <w:rsid w:val="003541C0"/>
    <w:rsid w:val="00355EA9"/>
    <w:rsid w:val="003578DE"/>
    <w:rsid w:val="00361688"/>
    <w:rsid w:val="00367FD2"/>
    <w:rsid w:val="00380921"/>
    <w:rsid w:val="003877D5"/>
    <w:rsid w:val="003929B8"/>
    <w:rsid w:val="00393432"/>
    <w:rsid w:val="00395F87"/>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3F6F60"/>
    <w:rsid w:val="00400697"/>
    <w:rsid w:val="00401406"/>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71EFD"/>
    <w:rsid w:val="004822B7"/>
    <w:rsid w:val="0048795D"/>
    <w:rsid w:val="0049469E"/>
    <w:rsid w:val="004A2217"/>
    <w:rsid w:val="004A24F9"/>
    <w:rsid w:val="004A42E1"/>
    <w:rsid w:val="004B162C"/>
    <w:rsid w:val="004B2ABE"/>
    <w:rsid w:val="004C3DBE"/>
    <w:rsid w:val="004C5C96"/>
    <w:rsid w:val="004D06A4"/>
    <w:rsid w:val="004E7605"/>
    <w:rsid w:val="004F1A81"/>
    <w:rsid w:val="004F5D88"/>
    <w:rsid w:val="00501354"/>
    <w:rsid w:val="005050D2"/>
    <w:rsid w:val="005218D9"/>
    <w:rsid w:val="00536186"/>
    <w:rsid w:val="00544CBB"/>
    <w:rsid w:val="00547C8E"/>
    <w:rsid w:val="00551B65"/>
    <w:rsid w:val="00556704"/>
    <w:rsid w:val="005656D7"/>
    <w:rsid w:val="0057315F"/>
    <w:rsid w:val="0057433C"/>
    <w:rsid w:val="00576104"/>
    <w:rsid w:val="00585FB3"/>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57B5"/>
    <w:rsid w:val="00617224"/>
    <w:rsid w:val="00624870"/>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7848"/>
    <w:rsid w:val="00692E2A"/>
    <w:rsid w:val="0069496A"/>
    <w:rsid w:val="00696C1C"/>
    <w:rsid w:val="006A76F2"/>
    <w:rsid w:val="006B7D29"/>
    <w:rsid w:val="006C2CFD"/>
    <w:rsid w:val="006D19D4"/>
    <w:rsid w:val="006D5644"/>
    <w:rsid w:val="006D7EFB"/>
    <w:rsid w:val="006E6672"/>
    <w:rsid w:val="006E6722"/>
    <w:rsid w:val="006F03B3"/>
    <w:rsid w:val="006F7AFF"/>
    <w:rsid w:val="007027B9"/>
    <w:rsid w:val="007066B5"/>
    <w:rsid w:val="00714266"/>
    <w:rsid w:val="007145DA"/>
    <w:rsid w:val="00715E88"/>
    <w:rsid w:val="00716D8B"/>
    <w:rsid w:val="00720E39"/>
    <w:rsid w:val="00734CAA"/>
    <w:rsid w:val="00740EE2"/>
    <w:rsid w:val="00742680"/>
    <w:rsid w:val="0074592E"/>
    <w:rsid w:val="0075533C"/>
    <w:rsid w:val="00755A18"/>
    <w:rsid w:val="00757581"/>
    <w:rsid w:val="00757B77"/>
    <w:rsid w:val="007602F5"/>
    <w:rsid w:val="00760D36"/>
    <w:rsid w:val="007611A0"/>
    <w:rsid w:val="00772574"/>
    <w:rsid w:val="00773E54"/>
    <w:rsid w:val="00787688"/>
    <w:rsid w:val="007935E6"/>
    <w:rsid w:val="00796D3F"/>
    <w:rsid w:val="007A1683"/>
    <w:rsid w:val="007A5C12"/>
    <w:rsid w:val="007A7CB0"/>
    <w:rsid w:val="007B142C"/>
    <w:rsid w:val="007B68A3"/>
    <w:rsid w:val="007C2541"/>
    <w:rsid w:val="007D66A8"/>
    <w:rsid w:val="007E003F"/>
    <w:rsid w:val="007E0C10"/>
    <w:rsid w:val="007F0CF8"/>
    <w:rsid w:val="007F5E1B"/>
    <w:rsid w:val="007F62CB"/>
    <w:rsid w:val="008142EC"/>
    <w:rsid w:val="008164F2"/>
    <w:rsid w:val="00821395"/>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76789"/>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934DD"/>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373A5"/>
    <w:rsid w:val="00B405B7"/>
    <w:rsid w:val="00B446F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2C5E"/>
    <w:rsid w:val="00BC62BA"/>
    <w:rsid w:val="00BE5B5F"/>
    <w:rsid w:val="00BE7993"/>
    <w:rsid w:val="00C11971"/>
    <w:rsid w:val="00C179DE"/>
    <w:rsid w:val="00C26F55"/>
    <w:rsid w:val="00C30C63"/>
    <w:rsid w:val="00C30FF3"/>
    <w:rsid w:val="00C34D5C"/>
    <w:rsid w:val="00C3554B"/>
    <w:rsid w:val="00C36B8B"/>
    <w:rsid w:val="00C375A9"/>
    <w:rsid w:val="00C415C1"/>
    <w:rsid w:val="00C47DBF"/>
    <w:rsid w:val="00C53BD5"/>
    <w:rsid w:val="00C552FF"/>
    <w:rsid w:val="00C558DA"/>
    <w:rsid w:val="00C55AF3"/>
    <w:rsid w:val="00C6520C"/>
    <w:rsid w:val="00C771A9"/>
    <w:rsid w:val="00C82943"/>
    <w:rsid w:val="00C84759"/>
    <w:rsid w:val="00C84EF8"/>
    <w:rsid w:val="00C923BB"/>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C1792"/>
    <w:rsid w:val="00DC274A"/>
    <w:rsid w:val="00DC46FF"/>
    <w:rsid w:val="00DC5254"/>
    <w:rsid w:val="00DC569D"/>
    <w:rsid w:val="00DD1A4F"/>
    <w:rsid w:val="00DD3107"/>
    <w:rsid w:val="00DD7C2C"/>
    <w:rsid w:val="00DE38BB"/>
    <w:rsid w:val="00DE5BDA"/>
    <w:rsid w:val="00DF10E3"/>
    <w:rsid w:val="00DF433C"/>
    <w:rsid w:val="00DF519F"/>
    <w:rsid w:val="00E0035A"/>
    <w:rsid w:val="00E06797"/>
    <w:rsid w:val="00E1265B"/>
    <w:rsid w:val="00E12E09"/>
    <w:rsid w:val="00E13B48"/>
    <w:rsid w:val="00E1404F"/>
    <w:rsid w:val="00E21C83"/>
    <w:rsid w:val="00E24ADA"/>
    <w:rsid w:val="00E32F59"/>
    <w:rsid w:val="00E34F4B"/>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71DBF"/>
    <w:rsid w:val="00F8091E"/>
    <w:rsid w:val="00F8615C"/>
    <w:rsid w:val="00F969E5"/>
    <w:rsid w:val="00FA4972"/>
    <w:rsid w:val="00FA6BB0"/>
    <w:rsid w:val="00FB0D2D"/>
    <w:rsid w:val="00FB2DBD"/>
    <w:rsid w:val="00FB67F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character" w:customStyle="1" w:styleId="DeltaViewInsertion">
    <w:name w:val="DeltaView Insertion"/>
    <w:uiPriority w:val="99"/>
    <w:rsid w:val="006F03B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089B-AABF-49B6-B6BC-1480B2C0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 Montes</cp:lastModifiedBy>
  <cp:revision>2</cp:revision>
  <cp:lastPrinted>2018-08-22T08:19:00Z</cp:lastPrinted>
  <dcterms:created xsi:type="dcterms:W3CDTF">2018-10-04T18:17:00Z</dcterms:created>
  <dcterms:modified xsi:type="dcterms:W3CDTF">2018-10-04T18:17:00Z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7/31/2018 12:18:06 PM</vt:lpwstr>
  </property>
  <property fmtid="{D5CDD505-2E9C-101B-9397-08002B2CF9AE}" pid="5" name="OriginalDocID">
    <vt:lpwstr>74322381-0f1d-4ff2-bbd1-3a477b5167d7</vt:lpwstr>
  </property>
</Properties>
</file>