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01"/>
        <w:gridCol w:w="5103"/>
        <w:gridCol w:w="2692"/>
      </w:tblGrid>
      <w:tr w:rsidR="00032E4E" w:rsidRPr="00D25175" w14:paraId="4B9F0F9B" w14:textId="77777777" w:rsidTr="003F3831">
        <w:trPr>
          <w:cantSplit/>
          <w:trHeight w:val="850"/>
          <w:jc w:val="right"/>
        </w:trPr>
        <w:tc>
          <w:tcPr>
            <w:tcW w:w="1701" w:type="dxa"/>
          </w:tcPr>
          <w:p w14:paraId="2A9B9F9D" w14:textId="145D6999" w:rsidR="00032E4E" w:rsidRPr="00D25175" w:rsidRDefault="009B2F7E" w:rsidP="004455F3">
            <w:pPr>
              <w:tabs>
                <w:tab w:val="left" w:pos="624"/>
                <w:tab w:val="left" w:pos="1871"/>
                <w:tab w:val="left" w:pos="2495"/>
              </w:tabs>
              <w:rPr>
                <w:rFonts w:ascii="Univers" w:hAnsi="Univers"/>
                <w:b/>
                <w:noProof/>
                <w:sz w:val="27"/>
                <w:szCs w:val="27"/>
              </w:rPr>
            </w:pPr>
            <w:bookmarkStart w:id="0" w:name="_GoBack"/>
            <w:bookmarkEnd w:id="0"/>
            <w:r>
              <w:rPr>
                <w:rFonts w:ascii="Arial" w:hAnsi="Arial" w:cs="Arial"/>
                <w:b/>
                <w:noProof/>
                <w:sz w:val="27"/>
                <w:szCs w:val="27"/>
              </w:rPr>
              <w:t>NACIONES UNIDAS</w:t>
            </w:r>
          </w:p>
        </w:tc>
        <w:tc>
          <w:tcPr>
            <w:tcW w:w="5103" w:type="dxa"/>
          </w:tcPr>
          <w:p w14:paraId="2F47229A" w14:textId="77777777" w:rsidR="00032E4E" w:rsidRPr="00D25175" w:rsidRDefault="00032E4E" w:rsidP="004455F3">
            <w:pPr>
              <w:tabs>
                <w:tab w:val="left" w:pos="624"/>
                <w:tab w:val="left" w:pos="1871"/>
                <w:tab w:val="left" w:pos="2495"/>
              </w:tabs>
              <w:rPr>
                <w:rFonts w:ascii="Univers" w:hAnsi="Univers"/>
                <w:b/>
                <w:sz w:val="27"/>
                <w:szCs w:val="27"/>
              </w:rPr>
            </w:pPr>
          </w:p>
        </w:tc>
        <w:tc>
          <w:tcPr>
            <w:tcW w:w="2692" w:type="dxa"/>
          </w:tcPr>
          <w:p w14:paraId="57073C3F" w14:textId="77777777" w:rsidR="00032E4E" w:rsidRPr="00D25175" w:rsidRDefault="00787688" w:rsidP="004455F3">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3F3831">
        <w:trPr>
          <w:cantSplit/>
          <w:trHeight w:val="281"/>
          <w:jc w:val="right"/>
        </w:trPr>
        <w:tc>
          <w:tcPr>
            <w:tcW w:w="1701" w:type="dxa"/>
            <w:tcBorders>
              <w:bottom w:val="single" w:sz="4" w:space="0" w:color="auto"/>
            </w:tcBorders>
          </w:tcPr>
          <w:p w14:paraId="30269B88" w14:textId="77777777" w:rsidR="00032E4E" w:rsidRPr="00D25175" w:rsidRDefault="00032E4E" w:rsidP="004455F3">
            <w:pPr>
              <w:tabs>
                <w:tab w:val="left" w:pos="624"/>
                <w:tab w:val="left" w:pos="1871"/>
                <w:tab w:val="left" w:pos="2495"/>
              </w:tabs>
              <w:rPr>
                <w:noProof/>
                <w:sz w:val="18"/>
                <w:szCs w:val="18"/>
              </w:rPr>
            </w:pPr>
          </w:p>
        </w:tc>
        <w:tc>
          <w:tcPr>
            <w:tcW w:w="5103" w:type="dxa"/>
            <w:tcBorders>
              <w:bottom w:val="single" w:sz="4" w:space="0" w:color="auto"/>
            </w:tcBorders>
          </w:tcPr>
          <w:p w14:paraId="54296B4D" w14:textId="77777777" w:rsidR="00032E4E" w:rsidRPr="00D25175" w:rsidRDefault="00032E4E" w:rsidP="004455F3">
            <w:pPr>
              <w:tabs>
                <w:tab w:val="left" w:pos="624"/>
                <w:tab w:val="left" w:pos="1871"/>
                <w:tab w:val="left" w:pos="2495"/>
              </w:tabs>
              <w:rPr>
                <w:rFonts w:ascii="Univers" w:hAnsi="Univers"/>
                <w:b/>
                <w:sz w:val="18"/>
                <w:szCs w:val="18"/>
              </w:rPr>
            </w:pPr>
          </w:p>
        </w:tc>
        <w:tc>
          <w:tcPr>
            <w:tcW w:w="2692" w:type="dxa"/>
            <w:tcBorders>
              <w:bottom w:val="single" w:sz="4" w:space="0" w:color="auto"/>
            </w:tcBorders>
          </w:tcPr>
          <w:p w14:paraId="540639F8" w14:textId="5CFA7687" w:rsidR="00032E4E" w:rsidRPr="00D25175" w:rsidRDefault="006E0F79" w:rsidP="004455F3">
            <w:pPr>
              <w:tabs>
                <w:tab w:val="left" w:pos="624"/>
                <w:tab w:val="left" w:pos="1871"/>
                <w:tab w:val="left" w:pos="2495"/>
              </w:tabs>
              <w:rPr>
                <w:noProof/>
                <w:sz w:val="18"/>
                <w:szCs w:val="18"/>
              </w:rPr>
            </w:pPr>
            <w:r w:rsidRPr="00D25175">
              <w:rPr>
                <w:b/>
                <w:bCs/>
                <w:sz w:val="28"/>
              </w:rPr>
              <w:t>UNEP</w:t>
            </w:r>
            <w:r w:rsidRPr="00F67DC3">
              <w:rPr>
                <w:b/>
                <w:bCs/>
              </w:rPr>
              <w:t>/</w:t>
            </w:r>
            <w:r w:rsidRPr="00D25175">
              <w:t>MC/COP.</w:t>
            </w:r>
            <w:r>
              <w:t>2</w:t>
            </w:r>
            <w:r w:rsidRPr="00D25175">
              <w:t>/</w:t>
            </w:r>
            <w:r w:rsidR="00032E4E">
              <w:rPr>
                <w:lang w:val="es-ES"/>
              </w:rPr>
              <w:t>3</w:t>
            </w:r>
            <w:bookmarkStart w:id="1" w:name="OLE_LINK1"/>
            <w:bookmarkStart w:id="2" w:name="OLE_LINK2"/>
            <w:bookmarkEnd w:id="1"/>
            <w:bookmarkEnd w:id="2"/>
          </w:p>
        </w:tc>
      </w:tr>
      <w:bookmarkStart w:id="3" w:name="_MON_1021710482"/>
      <w:bookmarkEnd w:id="3"/>
      <w:bookmarkStart w:id="4" w:name="_MON_1021710510"/>
      <w:bookmarkEnd w:id="4"/>
      <w:tr w:rsidR="00032E4E" w:rsidRPr="009B2F7E" w14:paraId="34AA74B4" w14:textId="77777777" w:rsidTr="003F3831">
        <w:trPr>
          <w:cantSplit/>
          <w:trHeight w:val="2549"/>
          <w:jc w:val="right"/>
        </w:trPr>
        <w:tc>
          <w:tcPr>
            <w:tcW w:w="1701" w:type="dxa"/>
            <w:tcBorders>
              <w:top w:val="single" w:sz="4" w:space="0" w:color="auto"/>
              <w:bottom w:val="single" w:sz="24" w:space="0" w:color="auto"/>
            </w:tcBorders>
          </w:tcPr>
          <w:p w14:paraId="02CDC318" w14:textId="77777777" w:rsidR="00032E4E" w:rsidRPr="00D25175" w:rsidRDefault="00032E4E" w:rsidP="004455F3">
            <w:pPr>
              <w:tabs>
                <w:tab w:val="left" w:pos="624"/>
                <w:tab w:val="left" w:pos="1871"/>
                <w:tab w:val="left" w:pos="2495"/>
              </w:tabs>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597132789"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5103" w:type="dxa"/>
            <w:tcBorders>
              <w:top w:val="single" w:sz="4" w:space="0" w:color="auto"/>
              <w:bottom w:val="single" w:sz="24" w:space="0" w:color="auto"/>
            </w:tcBorders>
          </w:tcPr>
          <w:p w14:paraId="2AC211BD" w14:textId="000ECEE1" w:rsidR="00032E4E" w:rsidRPr="009B2F7E" w:rsidRDefault="00032E4E" w:rsidP="004455F3">
            <w:pPr>
              <w:tabs>
                <w:tab w:val="left" w:pos="624"/>
                <w:tab w:val="left" w:pos="1871"/>
                <w:tab w:val="left" w:pos="2495"/>
              </w:tabs>
              <w:spacing w:before="1200"/>
              <w:rPr>
                <w:rFonts w:ascii="Arial" w:hAnsi="Arial" w:cs="Arial"/>
                <w:b/>
                <w:sz w:val="32"/>
                <w:szCs w:val="32"/>
                <w:lang w:val="es-ES"/>
              </w:rPr>
            </w:pPr>
            <w:r w:rsidRPr="009B2F7E">
              <w:rPr>
                <w:rFonts w:ascii="Arial" w:hAnsi="Arial" w:cs="Arial"/>
                <w:b/>
                <w:sz w:val="32"/>
                <w:szCs w:val="32"/>
                <w:lang w:val="es-ES"/>
              </w:rPr>
              <w:t>Programa de las Naciones</w:t>
            </w:r>
            <w:r w:rsidR="006E0F79">
              <w:rPr>
                <w:rFonts w:ascii="Arial" w:hAnsi="Arial" w:cs="Arial"/>
                <w:b/>
                <w:sz w:val="32"/>
                <w:szCs w:val="32"/>
                <w:lang w:val="es-ES"/>
              </w:rPr>
              <w:t> </w:t>
            </w:r>
            <w:r w:rsidRPr="009B2F7E">
              <w:rPr>
                <w:rFonts w:ascii="Arial" w:hAnsi="Arial" w:cs="Arial"/>
                <w:b/>
                <w:sz w:val="32"/>
                <w:szCs w:val="32"/>
                <w:lang w:val="es-ES"/>
              </w:rPr>
              <w:t xml:space="preserve">Unidas </w:t>
            </w:r>
            <w:r w:rsidR="009028F4">
              <w:rPr>
                <w:rFonts w:ascii="Arial" w:hAnsi="Arial" w:cs="Arial"/>
                <w:b/>
                <w:sz w:val="32"/>
                <w:szCs w:val="32"/>
                <w:lang w:val="es-ES"/>
              </w:rPr>
              <w:br/>
            </w:r>
            <w:r w:rsidRPr="009B2F7E">
              <w:rPr>
                <w:rFonts w:ascii="Arial" w:hAnsi="Arial" w:cs="Arial"/>
                <w:b/>
                <w:sz w:val="32"/>
                <w:szCs w:val="32"/>
                <w:lang w:val="es-ES"/>
              </w:rPr>
              <w:t>para el</w:t>
            </w:r>
            <w:r w:rsidR="006E0F79">
              <w:rPr>
                <w:rFonts w:ascii="Arial" w:hAnsi="Arial" w:cs="Arial"/>
                <w:b/>
                <w:sz w:val="32"/>
                <w:szCs w:val="32"/>
                <w:lang w:val="es-ES"/>
              </w:rPr>
              <w:t> </w:t>
            </w:r>
            <w:r w:rsidRPr="009B2F7E">
              <w:rPr>
                <w:rFonts w:ascii="Arial" w:hAnsi="Arial" w:cs="Arial"/>
                <w:b/>
                <w:sz w:val="32"/>
                <w:szCs w:val="32"/>
                <w:lang w:val="es-ES"/>
              </w:rPr>
              <w:t>Medio</w:t>
            </w:r>
            <w:r w:rsidR="00820B14">
              <w:rPr>
                <w:rFonts w:ascii="Arial" w:hAnsi="Arial" w:cs="Arial"/>
                <w:b/>
                <w:sz w:val="32"/>
                <w:szCs w:val="32"/>
                <w:lang w:val="es-ES"/>
              </w:rPr>
              <w:t> </w:t>
            </w:r>
            <w:r w:rsidRPr="009B2F7E">
              <w:rPr>
                <w:rFonts w:ascii="Arial" w:hAnsi="Arial" w:cs="Arial"/>
                <w:b/>
                <w:sz w:val="32"/>
                <w:szCs w:val="32"/>
                <w:lang w:val="es-ES"/>
              </w:rPr>
              <w:t>Ambiente</w:t>
            </w:r>
          </w:p>
        </w:tc>
        <w:tc>
          <w:tcPr>
            <w:tcW w:w="2692" w:type="dxa"/>
            <w:tcBorders>
              <w:top w:val="single" w:sz="4" w:space="0" w:color="auto"/>
              <w:bottom w:val="single" w:sz="24" w:space="0" w:color="auto"/>
            </w:tcBorders>
          </w:tcPr>
          <w:p w14:paraId="722F44F8" w14:textId="12784F0A" w:rsidR="00032E4E" w:rsidRPr="009B2F7E" w:rsidRDefault="00032E4E" w:rsidP="004455F3">
            <w:pPr>
              <w:tabs>
                <w:tab w:val="left" w:pos="624"/>
                <w:tab w:val="left" w:pos="1871"/>
                <w:tab w:val="left" w:pos="2495"/>
              </w:tabs>
              <w:spacing w:before="120"/>
              <w:rPr>
                <w:lang w:val="es-ES"/>
              </w:rPr>
            </w:pPr>
            <w:r>
              <w:rPr>
                <w:lang w:val="es-ES"/>
              </w:rPr>
              <w:t>Distr. general</w:t>
            </w:r>
            <w:r w:rsidR="009B2F7E">
              <w:rPr>
                <w:lang w:val="es-ES"/>
              </w:rPr>
              <w:br/>
            </w:r>
            <w:r>
              <w:rPr>
                <w:lang w:val="es-ES"/>
              </w:rPr>
              <w:t>11 de julio de 2018</w:t>
            </w:r>
          </w:p>
          <w:p w14:paraId="1A75CF9D" w14:textId="2C7CE450" w:rsidR="00032E4E" w:rsidRPr="009B2F7E" w:rsidRDefault="00032E4E" w:rsidP="004455F3">
            <w:pPr>
              <w:tabs>
                <w:tab w:val="left" w:pos="624"/>
                <w:tab w:val="left" w:pos="1871"/>
                <w:tab w:val="left" w:pos="2495"/>
              </w:tabs>
              <w:spacing w:before="240"/>
              <w:rPr>
                <w:lang w:val="es-ES"/>
              </w:rPr>
            </w:pPr>
            <w:r>
              <w:rPr>
                <w:lang w:val="es-ES"/>
              </w:rPr>
              <w:t>Español</w:t>
            </w:r>
            <w:r w:rsidR="009B2F7E">
              <w:rPr>
                <w:lang w:val="es-ES"/>
              </w:rPr>
              <w:br/>
            </w:r>
            <w:r>
              <w:rPr>
                <w:lang w:val="es-ES"/>
              </w:rPr>
              <w:t>Original: inglés</w:t>
            </w:r>
          </w:p>
        </w:tc>
      </w:tr>
    </w:tbl>
    <w:p w14:paraId="0A4BFFDA" w14:textId="30575E0E" w:rsidR="00E976AB" w:rsidRPr="009B2F7E" w:rsidRDefault="00CB007D" w:rsidP="004455F3">
      <w:pPr>
        <w:pStyle w:val="AATitle"/>
        <w:keepNext w:val="0"/>
        <w:keepLines w:val="0"/>
        <w:tabs>
          <w:tab w:val="left" w:pos="624"/>
          <w:tab w:val="left" w:pos="1871"/>
          <w:tab w:val="left" w:pos="2495"/>
        </w:tabs>
        <w:rPr>
          <w:lang w:val="es-ES"/>
        </w:rPr>
      </w:pPr>
      <w:r>
        <w:rPr>
          <w:lang w:val="es-ES"/>
        </w:rPr>
        <w:t>Conferencia de las Partes en el Convenio de Minamata sobre el Mercurio</w:t>
      </w:r>
    </w:p>
    <w:p w14:paraId="26A6CAA0" w14:textId="77194A37" w:rsidR="00E976AB" w:rsidRPr="009B2F7E" w:rsidRDefault="00434321" w:rsidP="004455F3">
      <w:pPr>
        <w:pStyle w:val="AATitle"/>
        <w:keepNext w:val="0"/>
        <w:keepLines w:val="0"/>
        <w:tabs>
          <w:tab w:val="left" w:pos="624"/>
          <w:tab w:val="left" w:pos="1871"/>
          <w:tab w:val="left" w:pos="2495"/>
        </w:tabs>
        <w:rPr>
          <w:lang w:val="es-ES"/>
        </w:rPr>
      </w:pPr>
      <w:r>
        <w:rPr>
          <w:lang w:val="es-ES"/>
        </w:rPr>
        <w:t>Segunda reunión</w:t>
      </w:r>
    </w:p>
    <w:p w14:paraId="67B82F12" w14:textId="44A10B65" w:rsidR="00787688" w:rsidRPr="009B2F7E" w:rsidRDefault="00787688" w:rsidP="004455F3">
      <w:pPr>
        <w:pStyle w:val="AATitle"/>
        <w:tabs>
          <w:tab w:val="left" w:pos="624"/>
          <w:tab w:val="left" w:pos="1871"/>
          <w:tab w:val="left" w:pos="2495"/>
        </w:tabs>
        <w:rPr>
          <w:b w:val="0"/>
          <w:lang w:val="es-ES"/>
        </w:rPr>
      </w:pPr>
      <w:r w:rsidRPr="009B2F7E">
        <w:rPr>
          <w:b w:val="0"/>
          <w:lang w:val="es-ES"/>
        </w:rPr>
        <w:t>Ginebra, 19 a 23 de noviembre de 2018</w:t>
      </w:r>
    </w:p>
    <w:p w14:paraId="4015FC05" w14:textId="77777777" w:rsidR="00E34F4B" w:rsidRPr="009B2F7E" w:rsidRDefault="00E34F4B" w:rsidP="00B848A1">
      <w:pPr>
        <w:pStyle w:val="AATitle"/>
        <w:rPr>
          <w:b w:val="0"/>
          <w:lang w:val="es-ES"/>
        </w:rPr>
      </w:pPr>
      <w:bookmarkStart w:id="5" w:name="_Hlk517786179"/>
      <w:r w:rsidRPr="009B2F7E">
        <w:rPr>
          <w:b w:val="0"/>
          <w:lang w:val="es-ES"/>
        </w:rPr>
        <w:t>Tema 3 del programa provisional</w:t>
      </w:r>
      <w:r w:rsidRPr="009B2F7E">
        <w:rPr>
          <w:b w:val="0"/>
          <w:lang w:val="es-ES"/>
        </w:rPr>
        <w:footnoteReference w:customMarkFollows="1" w:id="1"/>
        <w:t>*</w:t>
      </w:r>
    </w:p>
    <w:p w14:paraId="0144306D" w14:textId="176CD1E5" w:rsidR="00E34F4B" w:rsidRPr="009B2F7E" w:rsidRDefault="00E34F4B" w:rsidP="00B848A1">
      <w:pPr>
        <w:pStyle w:val="AATitle2"/>
        <w:spacing w:before="60"/>
        <w:rPr>
          <w:lang w:val="es-ES"/>
        </w:rPr>
      </w:pPr>
      <w:r>
        <w:rPr>
          <w:lang w:val="es-ES"/>
        </w:rPr>
        <w:t>Reglamento de la Conferencia de las Partes</w:t>
      </w:r>
    </w:p>
    <w:p w14:paraId="30027F72" w14:textId="356D8CBC" w:rsidR="00E34F4B" w:rsidRPr="009B2F7E" w:rsidRDefault="00E34F4B" w:rsidP="00E34F4B">
      <w:pPr>
        <w:pStyle w:val="BBTitle"/>
        <w:rPr>
          <w:lang w:val="es-ES"/>
        </w:rPr>
      </w:pPr>
      <w:r>
        <w:rPr>
          <w:lang w:val="es-ES"/>
        </w:rPr>
        <w:t>Reglamento de la Conferencia de las Partes en el Convenio de Minamata sobre el Mercurio</w:t>
      </w:r>
    </w:p>
    <w:p w14:paraId="6ADFF495" w14:textId="77777777" w:rsidR="00E34F4B" w:rsidRDefault="00E34F4B" w:rsidP="00B848A1">
      <w:pPr>
        <w:pStyle w:val="CH2"/>
      </w:pPr>
      <w:r>
        <w:rPr>
          <w:lang w:val="es-ES"/>
        </w:rPr>
        <w:tab/>
      </w:r>
      <w:r>
        <w:rPr>
          <w:lang w:val="es-ES"/>
        </w:rPr>
        <w:tab/>
        <w:t>Nota de la Secretaría</w:t>
      </w:r>
    </w:p>
    <w:p w14:paraId="2CB6D800" w14:textId="269ED502" w:rsidR="00E34F4B" w:rsidRPr="009B2F7E" w:rsidRDefault="00E34F4B" w:rsidP="00DC2701">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b/>
          <w:lang w:val="es-ES"/>
        </w:rPr>
      </w:pPr>
      <w:r>
        <w:rPr>
          <w:lang w:val="es-ES"/>
        </w:rPr>
        <w:t>En su primera reunión, la Conferencia de las Partes en el Convenio de Minamata sobre el Mercurio aprobó, en la decisión MC-1/1, el reglamento de la Conferencia, a excepción de la segunda oración del párrafo 1 del artículo 45 y el párrafo 3 del artículo 45.</w:t>
      </w:r>
    </w:p>
    <w:p w14:paraId="7D894E64" w14:textId="365E6566" w:rsidR="00E34F4B" w:rsidRPr="009B2F7E" w:rsidRDefault="00E34F4B" w:rsidP="00B848A1">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b/>
          <w:lang w:val="es-ES"/>
        </w:rPr>
      </w:pPr>
      <w:r>
        <w:rPr>
          <w:lang w:val="es-ES"/>
        </w:rPr>
        <w:t>La Secretaría presenta el texto del artículo 45, que figura en la decisión MC-1/1, para su examen por la Conferencia de las Partes en su segunda reunión. El texto figura en el anexo I de la presente nota. El texto que figura entre corchetes en el artículo 45 se refiere, en el párrafo 1, a la opción de adoptar mediante votación una decisión sobre cuestiones de fondo, en caso de que no den fruto los esfuerzos por alcanzar un consenso. El texto que figura entre corchetes en el párrafo 3 se refiere al mecanismo utilizado para decidir si un asunto que la Conferencia tenga ante sí deberá considerarse una cuestión de fondo o una cuestión de procedimiento.</w:t>
      </w:r>
    </w:p>
    <w:p w14:paraId="17913CBB" w14:textId="6BBCD8F7" w:rsidR="00E34F4B" w:rsidRPr="009B2F7E" w:rsidRDefault="00E34F4B" w:rsidP="00B848A1">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b/>
          <w:lang w:val="es-ES"/>
        </w:rPr>
      </w:pPr>
      <w:r>
        <w:rPr>
          <w:lang w:val="es-ES"/>
        </w:rPr>
        <w:t>En el anexo II de la presente nota figura un proyecto de decisión relativo a la adopción de este artículo que quedó pendiente de aprobación.</w:t>
      </w:r>
    </w:p>
    <w:p w14:paraId="39D382B6" w14:textId="77777777" w:rsidR="00E34F4B" w:rsidRPr="009B2F7E" w:rsidRDefault="00E34F4B" w:rsidP="00B848A1">
      <w:pPr>
        <w:pStyle w:val="CH2"/>
        <w:rPr>
          <w:lang w:val="es-ES"/>
        </w:rPr>
      </w:pPr>
      <w:r>
        <w:rPr>
          <w:lang w:val="es-ES"/>
        </w:rPr>
        <w:tab/>
      </w:r>
      <w:r>
        <w:rPr>
          <w:lang w:val="es-ES"/>
        </w:rPr>
        <w:tab/>
        <w:t>Medida que podría adoptar la Conferencia de las Partes</w:t>
      </w:r>
    </w:p>
    <w:p w14:paraId="024A637A" w14:textId="43A556FD" w:rsidR="00E34F4B" w:rsidRPr="009B2F7E" w:rsidRDefault="00E34F4B" w:rsidP="00B848A1">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lang w:val="es-ES"/>
        </w:rPr>
      </w:pPr>
      <w:r>
        <w:rPr>
          <w:lang w:val="es-ES"/>
        </w:rPr>
        <w:t xml:space="preserve">La Conferencia tal vez deseará examinar y aprobar el artículo </w:t>
      </w:r>
      <w:r w:rsidR="009B2F7E">
        <w:rPr>
          <w:lang w:val="es-ES"/>
        </w:rPr>
        <w:t xml:space="preserve">del reglamento </w:t>
      </w:r>
      <w:r>
        <w:rPr>
          <w:lang w:val="es-ES"/>
        </w:rPr>
        <w:t>cuya adopción quedó pendiente.</w:t>
      </w:r>
    </w:p>
    <w:p w14:paraId="7AD6ED40" w14:textId="77777777" w:rsidR="00E34F4B" w:rsidRPr="009B2F7E" w:rsidRDefault="00E34F4B" w:rsidP="00E34F4B">
      <w:pPr>
        <w:pStyle w:val="Normal-pool"/>
        <w:rPr>
          <w:lang w:val="es-ES"/>
        </w:rPr>
      </w:pPr>
      <w:r w:rsidRPr="009B2F7E">
        <w:rPr>
          <w:lang w:val="es-ES"/>
        </w:rPr>
        <w:br w:type="page"/>
      </w:r>
    </w:p>
    <w:p w14:paraId="2258975B" w14:textId="77777777" w:rsidR="00E34F4B" w:rsidRPr="009B2F7E" w:rsidRDefault="00E34F4B" w:rsidP="00B848A1">
      <w:pPr>
        <w:pStyle w:val="ZZAnxheader"/>
        <w:rPr>
          <w:lang w:val="es-ES"/>
        </w:rPr>
      </w:pPr>
      <w:r>
        <w:rPr>
          <w:lang w:val="es-ES"/>
        </w:rPr>
        <w:lastRenderedPageBreak/>
        <w:t>Anexo I</w:t>
      </w:r>
    </w:p>
    <w:p w14:paraId="3BB34637" w14:textId="4F42379D" w:rsidR="00E34F4B" w:rsidRPr="009B2F7E" w:rsidRDefault="00E34F4B" w:rsidP="00B848A1">
      <w:pPr>
        <w:pStyle w:val="ZZAnxtitle"/>
        <w:rPr>
          <w:bCs w:val="0"/>
          <w:lang w:val="es-ES"/>
        </w:rPr>
      </w:pPr>
      <w:r>
        <w:rPr>
          <w:lang w:val="es-ES"/>
        </w:rPr>
        <w:t>Artículo 45 del reglamento de la Conferencia de las Partes en el Convenio de Minamata sobre el Mercurio</w:t>
      </w:r>
    </w:p>
    <w:p w14:paraId="679982BF" w14:textId="77777777" w:rsidR="00E34F4B" w:rsidRPr="009B2F7E" w:rsidRDefault="00E34F4B" w:rsidP="00B848A1">
      <w:pPr>
        <w:pStyle w:val="CH2"/>
        <w:rPr>
          <w:lang w:val="es-ES"/>
        </w:rPr>
      </w:pPr>
      <w:r>
        <w:rPr>
          <w:lang w:val="es-ES"/>
        </w:rPr>
        <w:tab/>
      </w:r>
      <w:r>
        <w:rPr>
          <w:lang w:val="es-ES"/>
        </w:rPr>
        <w:tab/>
        <w:t>Artículo 45</w:t>
      </w:r>
    </w:p>
    <w:p w14:paraId="0739C044" w14:textId="0A85563D" w:rsidR="00E34F4B" w:rsidRPr="009B2F7E" w:rsidRDefault="00E34F4B" w:rsidP="00B848A1">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r>
        <w:rPr>
          <w:lang w:val="es-ES"/>
        </w:rPr>
        <w:t>1.</w:t>
      </w:r>
      <w:r>
        <w:rPr>
          <w:lang w:val="es-ES"/>
        </w:rPr>
        <w:tab/>
        <w:t>Las Partes harán todo lo posible para llegar a un acuerdo por consenso respecto de todas las cuestiones de fondo. [Si se agotan todos los esfuerzos por lograr consenso y no se ha llegado a un acuerdo, la decisión, en última instancia, se tomará por una mayoría de dos tercios de las Partes presentes y votantes, a menos que se disponga otra cosa en el Convenio, en el reglamento financiero a que se refiere el párrafo 4 del artículo 23 del Convenio, o en el presente reglamento.]</w:t>
      </w:r>
    </w:p>
    <w:p w14:paraId="4D91B33D" w14:textId="5E64D252" w:rsidR="00E34F4B" w:rsidRPr="009B2F7E" w:rsidRDefault="00E34F4B" w:rsidP="00B848A1">
      <w:pPr>
        <w:pStyle w:val="Normal-pool"/>
        <w:spacing w:after="120"/>
        <w:ind w:left="1247" w:firstLine="624"/>
        <w:rPr>
          <w:lang w:val="es-ES"/>
        </w:rPr>
      </w:pPr>
      <w:r>
        <w:rPr>
          <w:lang w:val="es-ES"/>
        </w:rPr>
        <w:t>2.</w:t>
      </w:r>
      <w:r>
        <w:rPr>
          <w:lang w:val="es-ES"/>
        </w:rPr>
        <w:tab/>
        <w:t>Las decisiones de la Conferencia de las Partes sobre cuestiones de procedimiento se adoptarán por una mayoría de las Partes presentes y votantes.</w:t>
      </w:r>
    </w:p>
    <w:p w14:paraId="69961063" w14:textId="0DA87A54" w:rsidR="00E34F4B" w:rsidRPr="009B2F7E" w:rsidRDefault="00E34F4B" w:rsidP="00B848A1">
      <w:pPr>
        <w:pStyle w:val="Normal-pool"/>
        <w:spacing w:after="120"/>
        <w:ind w:left="1247" w:firstLine="624"/>
        <w:rPr>
          <w:lang w:val="es-ES"/>
        </w:rPr>
      </w:pPr>
      <w:r>
        <w:rPr>
          <w:lang w:val="es-ES"/>
        </w:rPr>
        <w:t>[3.</w:t>
      </w:r>
      <w:r>
        <w:rPr>
          <w:lang w:val="es-ES"/>
        </w:rPr>
        <w:tab/>
        <w:t>Cuando haya que determinar si una cuestión es de procedimiento o de fondo, [esa cuestión se considerará como cuestión de fondo.] [el Presidente decidirá sobre la cuestión. Cualquier apelación a esta decisión se someterá inmediatamente a votación [y la decisión del Presidente prevalecerá a menos que sea revocada por una mayoría de las Partes presentes y votantes.]] [y la cuestión se tratará como cuestión de fondo a menos que una mayoría de dos terceras partes de las Partes presentes y votantes determine que es una cuestión de procedimiento.]]</w:t>
      </w:r>
    </w:p>
    <w:p w14:paraId="3CFF8F04" w14:textId="07074B5B" w:rsidR="00E34F4B" w:rsidRPr="009B2F7E" w:rsidRDefault="00E34F4B" w:rsidP="00B848A1">
      <w:pPr>
        <w:pStyle w:val="Normal-pool"/>
        <w:spacing w:after="120"/>
        <w:ind w:left="1247" w:firstLine="624"/>
        <w:rPr>
          <w:b/>
          <w:lang w:val="es-ES"/>
        </w:rPr>
      </w:pPr>
      <w:r>
        <w:rPr>
          <w:lang w:val="es-ES"/>
        </w:rPr>
        <w:t>4.</w:t>
      </w:r>
      <w:r>
        <w:rPr>
          <w:lang w:val="es-ES"/>
        </w:rPr>
        <w:tab/>
        <w:t>En caso de empate en una votación cuyo objeto no sea una elección, se procederá a una segunda votación. Si también se produce empate en esta, se considerará rechazada la propuesta.</w:t>
      </w:r>
    </w:p>
    <w:p w14:paraId="6E34E772" w14:textId="77777777" w:rsidR="00DC2701" w:rsidRDefault="00DC2701">
      <w:pPr>
        <w:tabs>
          <w:tab w:val="clear" w:pos="1247"/>
          <w:tab w:val="clear" w:pos="1814"/>
          <w:tab w:val="clear" w:pos="2381"/>
          <w:tab w:val="clear" w:pos="2948"/>
          <w:tab w:val="clear" w:pos="3515"/>
        </w:tabs>
        <w:rPr>
          <w:b/>
          <w:bCs/>
          <w:sz w:val="28"/>
          <w:szCs w:val="22"/>
          <w:lang w:val="es-ES"/>
        </w:rPr>
      </w:pPr>
      <w:r>
        <w:rPr>
          <w:lang w:val="es-ES"/>
        </w:rPr>
        <w:br w:type="page"/>
      </w:r>
    </w:p>
    <w:p w14:paraId="331E5941" w14:textId="726029EA" w:rsidR="00E34F4B" w:rsidRPr="009B2F7E" w:rsidRDefault="00E34F4B" w:rsidP="00B848A1">
      <w:pPr>
        <w:pStyle w:val="ZZAnxheader"/>
        <w:rPr>
          <w:lang w:val="es-ES"/>
        </w:rPr>
      </w:pPr>
      <w:r>
        <w:rPr>
          <w:lang w:val="es-ES"/>
        </w:rPr>
        <w:lastRenderedPageBreak/>
        <w:t>Anexo II</w:t>
      </w:r>
    </w:p>
    <w:p w14:paraId="2E52F36C" w14:textId="77777777" w:rsidR="00E34F4B" w:rsidRPr="009B2F7E" w:rsidRDefault="00E34F4B">
      <w:pPr>
        <w:pStyle w:val="ZZAnxtitle"/>
        <w:rPr>
          <w:lang w:val="es-ES"/>
        </w:rPr>
      </w:pPr>
      <w:r>
        <w:rPr>
          <w:lang w:val="es-ES"/>
        </w:rPr>
        <w:t xml:space="preserve">Proyecto de decisión MC-2/[XX]: Reglamento </w:t>
      </w:r>
    </w:p>
    <w:p w14:paraId="3F5143C9" w14:textId="77777777" w:rsidR="00E34F4B" w:rsidRPr="009B2F7E" w:rsidRDefault="00E34F4B" w:rsidP="00B848A1">
      <w:pPr>
        <w:pStyle w:val="Normal-pool"/>
        <w:spacing w:after="120"/>
        <w:ind w:left="1247" w:firstLine="624"/>
        <w:rPr>
          <w:i/>
          <w:lang w:val="es-ES"/>
        </w:rPr>
      </w:pPr>
      <w:r>
        <w:rPr>
          <w:i/>
          <w:iCs/>
          <w:lang w:val="es-ES"/>
        </w:rPr>
        <w:t>La Conferencia de las Partes,</w:t>
      </w:r>
    </w:p>
    <w:p w14:paraId="2BA24FC9" w14:textId="77777777" w:rsidR="00E34F4B" w:rsidRPr="009B2F7E" w:rsidRDefault="00E34F4B" w:rsidP="00E34F4B">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r>
        <w:rPr>
          <w:i/>
          <w:iCs/>
          <w:lang w:val="es-ES"/>
        </w:rPr>
        <w:t xml:space="preserve">Recordando </w:t>
      </w:r>
      <w:r>
        <w:rPr>
          <w:lang w:val="es-ES"/>
        </w:rPr>
        <w:t>el párrafo 4 del artículo 23 del Convenio de Minamata sobre el Mercurio,</w:t>
      </w:r>
    </w:p>
    <w:p w14:paraId="0CDB9CBA" w14:textId="1369AA28" w:rsidR="00E34F4B" w:rsidRPr="009B2F7E" w:rsidRDefault="00E34F4B" w:rsidP="00E34F4B">
      <w:pPr>
        <w:pStyle w:val="Normal-pool"/>
        <w:tabs>
          <w:tab w:val="clear" w:pos="1247"/>
          <w:tab w:val="clear" w:pos="1814"/>
          <w:tab w:val="clear" w:pos="2381"/>
          <w:tab w:val="clear" w:pos="2948"/>
          <w:tab w:val="clear" w:pos="3515"/>
          <w:tab w:val="clear" w:pos="4082"/>
          <w:tab w:val="left" w:pos="624"/>
        </w:tabs>
        <w:spacing w:after="120"/>
        <w:ind w:left="1247" w:firstLine="624"/>
        <w:rPr>
          <w:i/>
          <w:lang w:val="es-ES"/>
        </w:rPr>
      </w:pPr>
      <w:r>
        <w:rPr>
          <w:i/>
          <w:iCs/>
          <w:lang w:val="es-ES"/>
        </w:rPr>
        <w:t xml:space="preserve">Habiendo resuelto </w:t>
      </w:r>
      <w:r>
        <w:rPr>
          <w:lang w:val="es-ES"/>
        </w:rPr>
        <w:t>las cuestiones pendientes relativas al artículo 45,</w:t>
      </w:r>
    </w:p>
    <w:p w14:paraId="601842B7" w14:textId="57B17880" w:rsidR="00E34F4B" w:rsidRPr="009B2F7E" w:rsidRDefault="00E34F4B" w:rsidP="00E34F4B">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r>
        <w:rPr>
          <w:i/>
          <w:iCs/>
          <w:lang w:val="es-ES"/>
        </w:rPr>
        <w:t xml:space="preserve">Decide </w:t>
      </w:r>
      <w:r>
        <w:rPr>
          <w:lang w:val="es-ES"/>
        </w:rPr>
        <w:t>aprobar el artículo 45 del reglamento de la Conferencia de las Partes, que figura en el anexo de la presente decisión.</w:t>
      </w:r>
    </w:p>
    <w:tbl>
      <w:tblPr>
        <w:tblW w:w="0" w:type="auto"/>
        <w:tblLayout w:type="fixed"/>
        <w:tblLook w:val="04A0" w:firstRow="1" w:lastRow="0" w:firstColumn="1" w:lastColumn="0" w:noHBand="0" w:noVBand="1"/>
      </w:tblPr>
      <w:tblGrid>
        <w:gridCol w:w="1942"/>
        <w:gridCol w:w="1942"/>
        <w:gridCol w:w="1942"/>
        <w:gridCol w:w="1943"/>
        <w:gridCol w:w="1943"/>
      </w:tblGrid>
      <w:tr w:rsidR="00E976AB" w:rsidRPr="009028F4" w14:paraId="6DB0CABC" w14:textId="77777777" w:rsidTr="00990918">
        <w:tc>
          <w:tcPr>
            <w:tcW w:w="1942" w:type="dxa"/>
            <w:shd w:val="clear" w:color="auto" w:fill="auto"/>
          </w:tcPr>
          <w:p w14:paraId="6D3F7C2C" w14:textId="77777777" w:rsidR="00E976AB" w:rsidRPr="009B2F7E" w:rsidRDefault="00E976AB" w:rsidP="004455F3">
            <w:pPr>
              <w:pStyle w:val="Normal-pool"/>
              <w:tabs>
                <w:tab w:val="left" w:pos="624"/>
                <w:tab w:val="left" w:pos="1871"/>
                <w:tab w:val="left" w:pos="2495"/>
              </w:tabs>
              <w:spacing w:before="520"/>
              <w:rPr>
                <w:lang w:val="es-ES"/>
              </w:rPr>
            </w:pPr>
          </w:p>
        </w:tc>
        <w:tc>
          <w:tcPr>
            <w:tcW w:w="1942" w:type="dxa"/>
            <w:shd w:val="clear" w:color="auto" w:fill="auto"/>
          </w:tcPr>
          <w:p w14:paraId="378BA037" w14:textId="77777777" w:rsidR="00E976AB" w:rsidRPr="009B2F7E" w:rsidRDefault="00E976AB" w:rsidP="004455F3">
            <w:pPr>
              <w:pStyle w:val="Normal-pool"/>
              <w:tabs>
                <w:tab w:val="left" w:pos="624"/>
                <w:tab w:val="left" w:pos="1871"/>
                <w:tab w:val="left" w:pos="2495"/>
              </w:tabs>
              <w:spacing w:before="520"/>
              <w:rPr>
                <w:lang w:val="es-ES"/>
              </w:rPr>
            </w:pPr>
          </w:p>
        </w:tc>
        <w:tc>
          <w:tcPr>
            <w:tcW w:w="1942" w:type="dxa"/>
            <w:tcBorders>
              <w:bottom w:val="single" w:sz="4" w:space="0" w:color="auto"/>
            </w:tcBorders>
            <w:shd w:val="clear" w:color="auto" w:fill="auto"/>
          </w:tcPr>
          <w:p w14:paraId="028E3E1E" w14:textId="77777777" w:rsidR="00E976AB" w:rsidRPr="009B2F7E" w:rsidRDefault="00E976AB" w:rsidP="004455F3">
            <w:pPr>
              <w:pStyle w:val="Normal-pool"/>
              <w:tabs>
                <w:tab w:val="left" w:pos="624"/>
                <w:tab w:val="left" w:pos="1871"/>
                <w:tab w:val="left" w:pos="2495"/>
              </w:tabs>
              <w:spacing w:before="520"/>
              <w:rPr>
                <w:lang w:val="es-ES"/>
              </w:rPr>
            </w:pPr>
          </w:p>
        </w:tc>
        <w:tc>
          <w:tcPr>
            <w:tcW w:w="1943" w:type="dxa"/>
            <w:shd w:val="clear" w:color="auto" w:fill="auto"/>
          </w:tcPr>
          <w:p w14:paraId="25F1BA19" w14:textId="77777777" w:rsidR="00E976AB" w:rsidRPr="009B2F7E" w:rsidRDefault="00E976AB" w:rsidP="004455F3">
            <w:pPr>
              <w:pStyle w:val="Normal-pool"/>
              <w:tabs>
                <w:tab w:val="left" w:pos="624"/>
                <w:tab w:val="left" w:pos="1871"/>
                <w:tab w:val="left" w:pos="2495"/>
              </w:tabs>
              <w:spacing w:before="520"/>
              <w:rPr>
                <w:lang w:val="es-ES"/>
              </w:rPr>
            </w:pPr>
          </w:p>
        </w:tc>
        <w:tc>
          <w:tcPr>
            <w:tcW w:w="1943" w:type="dxa"/>
            <w:shd w:val="clear" w:color="auto" w:fill="auto"/>
          </w:tcPr>
          <w:p w14:paraId="457D2993" w14:textId="77777777" w:rsidR="00E976AB" w:rsidRPr="009B2F7E" w:rsidRDefault="00E976AB" w:rsidP="004455F3">
            <w:pPr>
              <w:pStyle w:val="Normal-pool"/>
              <w:tabs>
                <w:tab w:val="left" w:pos="624"/>
                <w:tab w:val="left" w:pos="1871"/>
                <w:tab w:val="left" w:pos="2495"/>
              </w:tabs>
              <w:spacing w:before="520"/>
              <w:rPr>
                <w:lang w:val="es-ES"/>
              </w:rPr>
            </w:pPr>
          </w:p>
        </w:tc>
      </w:tr>
      <w:bookmarkEnd w:id="5"/>
    </w:tbl>
    <w:p w14:paraId="325E8270" w14:textId="77777777" w:rsidR="00032E4E" w:rsidRPr="009B2F7E" w:rsidRDefault="00032E4E" w:rsidP="00820B14">
      <w:pPr>
        <w:pStyle w:val="Normal-pool"/>
        <w:tabs>
          <w:tab w:val="left" w:pos="624"/>
          <w:tab w:val="left" w:pos="1871"/>
          <w:tab w:val="left" w:pos="2495"/>
        </w:tabs>
        <w:rPr>
          <w:lang w:val="es-ES"/>
        </w:rPr>
      </w:pPr>
    </w:p>
    <w:sectPr w:rsidR="00032E4E" w:rsidRPr="009B2F7E"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CAD5A" w14:textId="77777777" w:rsidR="008A27F7" w:rsidRDefault="008A27F7">
      <w:r>
        <w:separator/>
      </w:r>
    </w:p>
  </w:endnote>
  <w:endnote w:type="continuationSeparator" w:id="0">
    <w:p w14:paraId="4CCDCDCF" w14:textId="77777777" w:rsidR="008A27F7" w:rsidRDefault="008A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5AB443D2" w:rsidR="006111FE" w:rsidRDefault="006111FE">
    <w:pPr>
      <w:pStyle w:val="Pieddepage"/>
    </w:pPr>
    <w:r>
      <w:rPr>
        <w:rStyle w:val="Numrodepage"/>
      </w:rPr>
      <w:fldChar w:fldCharType="begin"/>
    </w:r>
    <w:r>
      <w:rPr>
        <w:rStyle w:val="Numrodepage"/>
      </w:rPr>
      <w:instrText xml:space="preserve"> PAGE </w:instrText>
    </w:r>
    <w:r>
      <w:rPr>
        <w:rStyle w:val="Numrodepage"/>
      </w:rPr>
      <w:fldChar w:fldCharType="separate"/>
    </w:r>
    <w:r w:rsidR="00006D1D">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5B73A047" w:rsidR="006111FE" w:rsidRDefault="006111F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06D1D">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6C43CCA5" w:rsidR="004455F3" w:rsidRPr="006E0F79" w:rsidRDefault="004455F3" w:rsidP="00B848A1">
    <w:pPr>
      <w:pStyle w:val="Pieddepage"/>
      <w:tabs>
        <w:tab w:val="clear" w:pos="1247"/>
        <w:tab w:val="clear" w:pos="1814"/>
        <w:tab w:val="clear" w:pos="2381"/>
        <w:tab w:val="clear" w:pos="2948"/>
        <w:tab w:val="clear" w:pos="3515"/>
        <w:tab w:val="clear" w:pos="4320"/>
        <w:tab w:val="clear" w:pos="8640"/>
        <w:tab w:val="left" w:pos="624"/>
      </w:tabs>
      <w:rPr>
        <w:sz w:val="20"/>
      </w:rPr>
    </w:pPr>
    <w:r w:rsidRPr="006E0F79">
      <w:rPr>
        <w:sz w:val="20"/>
        <w:lang w:val="es-ES"/>
      </w:rPr>
      <w:t>K180168</w:t>
    </w:r>
    <w:r w:rsidR="009B2F7E" w:rsidRPr="006E0F79">
      <w:rPr>
        <w:sz w:val="20"/>
        <w:lang w:val="es-ES"/>
      </w:rPr>
      <w:t>3</w:t>
    </w:r>
    <w:r w:rsidRPr="006E0F79">
      <w:rPr>
        <w:sz w:val="20"/>
        <w:lang w:val="es-ES"/>
      </w:rPr>
      <w:tab/>
    </w:r>
    <w:r w:rsidR="009028F4">
      <w:rPr>
        <w:sz w:val="20"/>
        <w:lang w:val="es-ES"/>
      </w:rPr>
      <w:t>220</w:t>
    </w:r>
    <w:r w:rsidR="006E0F79" w:rsidRPr="006E0F79">
      <w:rPr>
        <w:sz w:val="20"/>
        <w:lang w:val="es-ES"/>
      </w:rPr>
      <w:t>8</w:t>
    </w:r>
    <w:r w:rsidRPr="006E0F79">
      <w:rPr>
        <w:sz w:val="20"/>
        <w:lang w:val="es-E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CFBE3" w14:textId="77777777" w:rsidR="008A27F7" w:rsidRDefault="008A27F7" w:rsidP="003F3831">
      <w:pPr>
        <w:spacing w:before="20" w:after="40"/>
        <w:ind w:left="624"/>
      </w:pPr>
      <w:r>
        <w:separator/>
      </w:r>
    </w:p>
  </w:footnote>
  <w:footnote w:type="continuationSeparator" w:id="0">
    <w:p w14:paraId="0A5DE718" w14:textId="77777777" w:rsidR="008A27F7" w:rsidRDefault="008A27F7">
      <w:r>
        <w:continuationSeparator/>
      </w:r>
    </w:p>
  </w:footnote>
  <w:footnote w:id="1">
    <w:p w14:paraId="506730C5" w14:textId="77777777" w:rsidR="00E34F4B" w:rsidRPr="006E0F79" w:rsidRDefault="00E34F4B" w:rsidP="00E34F4B">
      <w:pPr>
        <w:tabs>
          <w:tab w:val="left" w:pos="624"/>
        </w:tabs>
        <w:spacing w:before="20" w:after="40"/>
        <w:ind w:left="1247"/>
        <w:rPr>
          <w:sz w:val="18"/>
          <w:szCs w:val="18"/>
        </w:rPr>
      </w:pPr>
      <w:r w:rsidRPr="006E0F79">
        <w:rPr>
          <w:sz w:val="18"/>
          <w:szCs w:val="18"/>
          <w:lang w:val="es-ES"/>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50D2D17E" w:rsidR="006111FE" w:rsidRPr="00CA5CA9" w:rsidRDefault="006111FE"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E34F4B">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377D5FCE" w:rsidR="006111FE" w:rsidRPr="00CA5CA9" w:rsidRDefault="006111FE"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0F2B1D">
      <w:rPr>
        <w:szCs w:val="18"/>
      </w:rPr>
      <w:t>2</w:t>
    </w:r>
    <w:r w:rsidRPr="00CA5CA9">
      <w:rPr>
        <w:szCs w:val="18"/>
      </w:rPr>
      <w:t>/</w:t>
    </w:r>
    <w:r w:rsidR="00E34F4B">
      <w:rPr>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3E27721C" w:rsidR="006111FE" w:rsidRDefault="006111F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6D1D"/>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A34F8"/>
    <w:rsid w:val="000B22A2"/>
    <w:rsid w:val="000B2815"/>
    <w:rsid w:val="000B541B"/>
    <w:rsid w:val="000B73F9"/>
    <w:rsid w:val="000C2A52"/>
    <w:rsid w:val="000C2A88"/>
    <w:rsid w:val="000D33C0"/>
    <w:rsid w:val="000D4CF6"/>
    <w:rsid w:val="000D6941"/>
    <w:rsid w:val="000F2B1D"/>
    <w:rsid w:val="000F3DCD"/>
    <w:rsid w:val="000F4829"/>
    <w:rsid w:val="000F6B21"/>
    <w:rsid w:val="00102EFB"/>
    <w:rsid w:val="001202E3"/>
    <w:rsid w:val="00123699"/>
    <w:rsid w:val="001241FB"/>
    <w:rsid w:val="0013059D"/>
    <w:rsid w:val="00136187"/>
    <w:rsid w:val="00141A55"/>
    <w:rsid w:val="0014293F"/>
    <w:rsid w:val="0014397D"/>
    <w:rsid w:val="001446A3"/>
    <w:rsid w:val="00152B6B"/>
    <w:rsid w:val="00155395"/>
    <w:rsid w:val="00155A2F"/>
    <w:rsid w:val="00156B6B"/>
    <w:rsid w:val="001571D5"/>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2E42"/>
    <w:rsid w:val="001D3874"/>
    <w:rsid w:val="001D7E75"/>
    <w:rsid w:val="001E0D73"/>
    <w:rsid w:val="001E45BD"/>
    <w:rsid w:val="001E56D2"/>
    <w:rsid w:val="001E7D56"/>
    <w:rsid w:val="001F5186"/>
    <w:rsid w:val="001F75DE"/>
    <w:rsid w:val="00200D58"/>
    <w:rsid w:val="002011C1"/>
    <w:rsid w:val="002013BE"/>
    <w:rsid w:val="00201EDC"/>
    <w:rsid w:val="0020523F"/>
    <w:rsid w:val="002063A4"/>
    <w:rsid w:val="0021145B"/>
    <w:rsid w:val="00220C23"/>
    <w:rsid w:val="002247F6"/>
    <w:rsid w:val="00225520"/>
    <w:rsid w:val="00225E21"/>
    <w:rsid w:val="00225E44"/>
    <w:rsid w:val="00234E78"/>
    <w:rsid w:val="00243D36"/>
    <w:rsid w:val="00246151"/>
    <w:rsid w:val="00247707"/>
    <w:rsid w:val="00252456"/>
    <w:rsid w:val="0026018E"/>
    <w:rsid w:val="00267570"/>
    <w:rsid w:val="00286740"/>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67FD2"/>
    <w:rsid w:val="00380921"/>
    <w:rsid w:val="003877D5"/>
    <w:rsid w:val="003929B8"/>
    <w:rsid w:val="00393432"/>
    <w:rsid w:val="00396257"/>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3F3831"/>
    <w:rsid w:val="00405DE0"/>
    <w:rsid w:val="00410C55"/>
    <w:rsid w:val="00416854"/>
    <w:rsid w:val="00417725"/>
    <w:rsid w:val="0042266F"/>
    <w:rsid w:val="00434321"/>
    <w:rsid w:val="00437F26"/>
    <w:rsid w:val="00444097"/>
    <w:rsid w:val="00445487"/>
    <w:rsid w:val="004455F3"/>
    <w:rsid w:val="00447E0D"/>
    <w:rsid w:val="00453EA8"/>
    <w:rsid w:val="00454769"/>
    <w:rsid w:val="00466991"/>
    <w:rsid w:val="0047064C"/>
    <w:rsid w:val="004822B7"/>
    <w:rsid w:val="0049469E"/>
    <w:rsid w:val="004A2217"/>
    <w:rsid w:val="004A24F9"/>
    <w:rsid w:val="004A42E1"/>
    <w:rsid w:val="004B162C"/>
    <w:rsid w:val="004B2ABE"/>
    <w:rsid w:val="004C3DBE"/>
    <w:rsid w:val="004C5C96"/>
    <w:rsid w:val="004D06A4"/>
    <w:rsid w:val="004E7605"/>
    <w:rsid w:val="004F1A81"/>
    <w:rsid w:val="004F5D88"/>
    <w:rsid w:val="00501354"/>
    <w:rsid w:val="005050D2"/>
    <w:rsid w:val="005218D9"/>
    <w:rsid w:val="00536186"/>
    <w:rsid w:val="00544CBB"/>
    <w:rsid w:val="00551B65"/>
    <w:rsid w:val="00556704"/>
    <w:rsid w:val="005656D7"/>
    <w:rsid w:val="0057315F"/>
    <w:rsid w:val="0057433C"/>
    <w:rsid w:val="00576104"/>
    <w:rsid w:val="00586418"/>
    <w:rsid w:val="00592B21"/>
    <w:rsid w:val="005B2DF4"/>
    <w:rsid w:val="005B44BF"/>
    <w:rsid w:val="005C67C8"/>
    <w:rsid w:val="005D0249"/>
    <w:rsid w:val="005D18FA"/>
    <w:rsid w:val="005D4FD4"/>
    <w:rsid w:val="005D6E8C"/>
    <w:rsid w:val="005E3004"/>
    <w:rsid w:val="005F100C"/>
    <w:rsid w:val="005F68DA"/>
    <w:rsid w:val="005F7419"/>
    <w:rsid w:val="00601BC9"/>
    <w:rsid w:val="0060773B"/>
    <w:rsid w:val="006111FE"/>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77848"/>
    <w:rsid w:val="00692E2A"/>
    <w:rsid w:val="0069496A"/>
    <w:rsid w:val="00696C1C"/>
    <w:rsid w:val="006A76F2"/>
    <w:rsid w:val="006B7D29"/>
    <w:rsid w:val="006D19D4"/>
    <w:rsid w:val="006D5644"/>
    <w:rsid w:val="006D7EFB"/>
    <w:rsid w:val="006E0F79"/>
    <w:rsid w:val="006E6672"/>
    <w:rsid w:val="006E6722"/>
    <w:rsid w:val="006F7AFF"/>
    <w:rsid w:val="007027B9"/>
    <w:rsid w:val="007066B5"/>
    <w:rsid w:val="007145DA"/>
    <w:rsid w:val="00715E88"/>
    <w:rsid w:val="00716D8B"/>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5E1B"/>
    <w:rsid w:val="007F62CB"/>
    <w:rsid w:val="00804943"/>
    <w:rsid w:val="008142EC"/>
    <w:rsid w:val="008164F2"/>
    <w:rsid w:val="00820B14"/>
    <w:rsid w:val="00821395"/>
    <w:rsid w:val="00830E26"/>
    <w:rsid w:val="00834368"/>
    <w:rsid w:val="0083441A"/>
    <w:rsid w:val="00843576"/>
    <w:rsid w:val="00843B64"/>
    <w:rsid w:val="00845261"/>
    <w:rsid w:val="008478FC"/>
    <w:rsid w:val="00851C51"/>
    <w:rsid w:val="008538F7"/>
    <w:rsid w:val="00867BFF"/>
    <w:rsid w:val="00871542"/>
    <w:rsid w:val="00872BF6"/>
    <w:rsid w:val="00874046"/>
    <w:rsid w:val="0088480A"/>
    <w:rsid w:val="0088757A"/>
    <w:rsid w:val="0089431B"/>
    <w:rsid w:val="00894CA8"/>
    <w:rsid w:val="00895668"/>
    <w:rsid w:val="008957DD"/>
    <w:rsid w:val="00897D98"/>
    <w:rsid w:val="008A27F7"/>
    <w:rsid w:val="008A6DF2"/>
    <w:rsid w:val="008A7807"/>
    <w:rsid w:val="008B4CC9"/>
    <w:rsid w:val="008C0B15"/>
    <w:rsid w:val="008D75E4"/>
    <w:rsid w:val="008D7C99"/>
    <w:rsid w:val="008E0FCB"/>
    <w:rsid w:val="008F6DFE"/>
    <w:rsid w:val="009028F4"/>
    <w:rsid w:val="0090529F"/>
    <w:rsid w:val="0092178C"/>
    <w:rsid w:val="00930B88"/>
    <w:rsid w:val="00935376"/>
    <w:rsid w:val="00940DCC"/>
    <w:rsid w:val="0094179A"/>
    <w:rsid w:val="0094459E"/>
    <w:rsid w:val="00944DBC"/>
    <w:rsid w:val="00947C60"/>
    <w:rsid w:val="00950977"/>
    <w:rsid w:val="00951A7B"/>
    <w:rsid w:val="00955512"/>
    <w:rsid w:val="009564A6"/>
    <w:rsid w:val="00957EF8"/>
    <w:rsid w:val="00966A53"/>
    <w:rsid w:val="00967621"/>
    <w:rsid w:val="00967E6A"/>
    <w:rsid w:val="009907B9"/>
    <w:rsid w:val="00990918"/>
    <w:rsid w:val="009A3A83"/>
    <w:rsid w:val="009B2F7E"/>
    <w:rsid w:val="009B4A0F"/>
    <w:rsid w:val="009C11D2"/>
    <w:rsid w:val="009C6C70"/>
    <w:rsid w:val="009C7B0A"/>
    <w:rsid w:val="009D0B63"/>
    <w:rsid w:val="009D5CB8"/>
    <w:rsid w:val="009D5FAF"/>
    <w:rsid w:val="009D6368"/>
    <w:rsid w:val="009E307E"/>
    <w:rsid w:val="00A07870"/>
    <w:rsid w:val="00A07C54"/>
    <w:rsid w:val="00A07F19"/>
    <w:rsid w:val="00A1348D"/>
    <w:rsid w:val="00A13C99"/>
    <w:rsid w:val="00A232EE"/>
    <w:rsid w:val="00A4175F"/>
    <w:rsid w:val="00A4441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46F7"/>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48A1"/>
    <w:rsid w:val="00B85CFB"/>
    <w:rsid w:val="00B914E9"/>
    <w:rsid w:val="00B91EE1"/>
    <w:rsid w:val="00B94602"/>
    <w:rsid w:val="00BA0090"/>
    <w:rsid w:val="00BA1A67"/>
    <w:rsid w:val="00BA6A80"/>
    <w:rsid w:val="00BB4ABB"/>
    <w:rsid w:val="00BC2C5E"/>
    <w:rsid w:val="00BC62BA"/>
    <w:rsid w:val="00BE5B5F"/>
    <w:rsid w:val="00BE7993"/>
    <w:rsid w:val="00C11971"/>
    <w:rsid w:val="00C179DE"/>
    <w:rsid w:val="00C26F55"/>
    <w:rsid w:val="00C30C63"/>
    <w:rsid w:val="00C30FF3"/>
    <w:rsid w:val="00C34D5C"/>
    <w:rsid w:val="00C3554B"/>
    <w:rsid w:val="00C36B8B"/>
    <w:rsid w:val="00C415C1"/>
    <w:rsid w:val="00C47DBF"/>
    <w:rsid w:val="00C552FF"/>
    <w:rsid w:val="00C558DA"/>
    <w:rsid w:val="00C55AF3"/>
    <w:rsid w:val="00C771A9"/>
    <w:rsid w:val="00C82943"/>
    <w:rsid w:val="00C84759"/>
    <w:rsid w:val="00C93096"/>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0BD5"/>
    <w:rsid w:val="00D739CC"/>
    <w:rsid w:val="00D806F9"/>
    <w:rsid w:val="00D8093D"/>
    <w:rsid w:val="00D8108C"/>
    <w:rsid w:val="00D83208"/>
    <w:rsid w:val="00D842AE"/>
    <w:rsid w:val="00D9211C"/>
    <w:rsid w:val="00D92DE0"/>
    <w:rsid w:val="00D92FEF"/>
    <w:rsid w:val="00D931F9"/>
    <w:rsid w:val="00D93A0F"/>
    <w:rsid w:val="00DA1BCA"/>
    <w:rsid w:val="00DA3663"/>
    <w:rsid w:val="00DA5DCD"/>
    <w:rsid w:val="00DC1792"/>
    <w:rsid w:val="00DC2701"/>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34F4B"/>
    <w:rsid w:val="00E41908"/>
    <w:rsid w:val="00E46D9A"/>
    <w:rsid w:val="00E50E7E"/>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50C3"/>
    <w:rsid w:val="00F65D85"/>
    <w:rsid w:val="00F6700B"/>
    <w:rsid w:val="00F7137B"/>
    <w:rsid w:val="00F71DBF"/>
    <w:rsid w:val="00F8091E"/>
    <w:rsid w:val="00F8615C"/>
    <w:rsid w:val="00F969E5"/>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B3E054A2-B1F4-4EA8-A0F2-3B34553B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rsid w:val="00E34F4B"/>
    <w:rPr>
      <w:lang w:eastAsia="en-US"/>
    </w:rPr>
  </w:style>
  <w:style w:type="character" w:customStyle="1" w:styleId="NormalnumberChar">
    <w:name w:val="Normal_number Char"/>
    <w:link w:val="Normalnumber"/>
    <w:locked/>
    <w:rsid w:val="00E34F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FBFC-55CF-44BD-BA69-20E76398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3035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2018-08-01T06:13:00Z</cp:lastPrinted>
  <dcterms:created xsi:type="dcterms:W3CDTF">2018-08-30T09:13:00Z</dcterms:created>
  <dcterms:modified xsi:type="dcterms:W3CDTF">2018-08-30T09:13:00Z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7/26/2018 2:15:07 PM</vt:lpwstr>
  </property>
  <property fmtid="{D5CDD505-2E9C-101B-9397-08002B2CF9AE}" pid="5" name="OriginalDocID">
    <vt:lpwstr>4b44f200-0912-41c0-be43-3702b67dcab7</vt:lpwstr>
  </property>
</Properties>
</file>