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Borders>
          <w:bottom w:val="single" w:sz="24" w:space="0" w:color="auto"/>
        </w:tblBorders>
        <w:tblLayout w:type="fixed"/>
        <w:tblLook w:val="0000" w:firstRow="0" w:lastRow="0" w:firstColumn="0" w:lastColumn="0" w:noHBand="0" w:noVBand="0"/>
      </w:tblPr>
      <w:tblGrid>
        <w:gridCol w:w="1858"/>
        <w:gridCol w:w="4626"/>
        <w:gridCol w:w="3373"/>
      </w:tblGrid>
      <w:tr w:rsidR="008E4356" w:rsidRPr="00581D40" w14:paraId="3347D85B" w14:textId="77777777" w:rsidTr="00C412CF">
        <w:trPr>
          <w:cantSplit/>
          <w:trHeight w:val="850"/>
        </w:trPr>
        <w:tc>
          <w:tcPr>
            <w:tcW w:w="1858" w:type="dxa"/>
            <w:shd w:val="clear" w:color="auto" w:fill="auto"/>
          </w:tcPr>
          <w:p w14:paraId="4EE2C981" w14:textId="77777777" w:rsidR="008E4356" w:rsidRPr="00581D40" w:rsidRDefault="00B82C45">
            <w:pPr>
              <w:tabs>
                <w:tab w:val="clear" w:pos="1247"/>
                <w:tab w:val="left" w:pos="1560"/>
                <w:tab w:val="left" w:pos="3744"/>
                <w:tab w:val="left" w:pos="4368"/>
                <w:tab w:val="left" w:pos="4992"/>
                <w:tab w:val="left" w:pos="5616"/>
                <w:tab w:val="left" w:pos="6240"/>
                <w:tab w:val="left" w:pos="6864"/>
                <w:tab w:val="left" w:pos="7488"/>
                <w:tab w:val="left" w:pos="8112"/>
                <w:tab w:val="left" w:pos="8736"/>
              </w:tabs>
              <w:rPr>
                <w:rFonts w:ascii="Arial" w:eastAsia="Arial" w:hAnsi="Arial"/>
                <w:b/>
                <w:sz w:val="27"/>
              </w:rPr>
            </w:pPr>
            <w:bookmarkStart w:id="0" w:name="_GoBack"/>
            <w:bookmarkEnd w:id="0"/>
            <w:r w:rsidRPr="00581D40">
              <w:rPr>
                <w:rFonts w:ascii="Arial" w:eastAsia="Arial" w:hAnsi="Arial"/>
                <w:b/>
                <w:sz w:val="27"/>
              </w:rPr>
              <w:t>NACIONES UNIDAS</w:t>
            </w:r>
          </w:p>
        </w:tc>
        <w:tc>
          <w:tcPr>
            <w:tcW w:w="4626" w:type="dxa"/>
            <w:shd w:val="clear" w:color="auto" w:fill="auto"/>
          </w:tcPr>
          <w:p w14:paraId="6D592C0F" w14:textId="77777777" w:rsidR="008E4356" w:rsidRPr="00581D40" w:rsidRDefault="008E4356">
            <w:pPr>
              <w:tabs>
                <w:tab w:val="left" w:pos="3744"/>
                <w:tab w:val="left" w:pos="4368"/>
                <w:tab w:val="left" w:pos="4992"/>
                <w:tab w:val="left" w:pos="5616"/>
                <w:tab w:val="left" w:pos="6240"/>
                <w:tab w:val="left" w:pos="6864"/>
                <w:tab w:val="left" w:pos="7488"/>
                <w:tab w:val="left" w:pos="8112"/>
                <w:tab w:val="left" w:pos="8736"/>
              </w:tabs>
              <w:rPr>
                <w:rFonts w:ascii="Arial" w:eastAsia="Arial" w:hAnsi="Arial"/>
                <w:b/>
                <w:sz w:val="27"/>
              </w:rPr>
            </w:pPr>
          </w:p>
        </w:tc>
        <w:tc>
          <w:tcPr>
            <w:tcW w:w="3373" w:type="dxa"/>
            <w:shd w:val="clear" w:color="auto" w:fill="auto"/>
          </w:tcPr>
          <w:p w14:paraId="10FC1F42" w14:textId="77777777" w:rsidR="008E4356" w:rsidRPr="00581D40" w:rsidRDefault="00B82C45">
            <w:pPr>
              <w:tabs>
                <w:tab w:val="left" w:pos="3744"/>
                <w:tab w:val="left" w:pos="4368"/>
                <w:tab w:val="left" w:pos="4992"/>
                <w:tab w:val="left" w:pos="5616"/>
                <w:tab w:val="left" w:pos="6240"/>
                <w:tab w:val="left" w:pos="6864"/>
                <w:tab w:val="left" w:pos="7488"/>
                <w:tab w:val="left" w:pos="8112"/>
                <w:tab w:val="left" w:pos="8736"/>
              </w:tabs>
              <w:jc w:val="right"/>
              <w:rPr>
                <w:rFonts w:ascii="Arial" w:eastAsia="Arial" w:hAnsi="Arial"/>
                <w:b/>
                <w:sz w:val="64"/>
              </w:rPr>
            </w:pPr>
            <w:r w:rsidRPr="00581D40">
              <w:rPr>
                <w:rFonts w:ascii="Arial" w:eastAsia="Arial" w:hAnsi="Arial"/>
                <w:b/>
                <w:sz w:val="64"/>
              </w:rPr>
              <w:t>MC</w:t>
            </w:r>
          </w:p>
        </w:tc>
      </w:tr>
      <w:tr w:rsidR="008E4356" w:rsidRPr="00581D40" w14:paraId="15CAC512" w14:textId="77777777" w:rsidTr="00C412CF">
        <w:trPr>
          <w:cantSplit/>
          <w:trHeight w:val="281"/>
        </w:trPr>
        <w:tc>
          <w:tcPr>
            <w:tcW w:w="1858" w:type="dxa"/>
            <w:tcBorders>
              <w:bottom w:val="single" w:sz="4" w:space="0" w:color="auto"/>
            </w:tcBorders>
            <w:shd w:val="clear" w:color="auto" w:fill="auto"/>
          </w:tcPr>
          <w:p w14:paraId="6643E96E" w14:textId="77777777" w:rsidR="008E4356" w:rsidRPr="00581D40" w:rsidRDefault="008E4356">
            <w:pPr>
              <w:tabs>
                <w:tab w:val="left" w:pos="3744"/>
                <w:tab w:val="left" w:pos="4368"/>
                <w:tab w:val="left" w:pos="4992"/>
                <w:tab w:val="left" w:pos="5616"/>
                <w:tab w:val="left" w:pos="6240"/>
                <w:tab w:val="left" w:pos="6864"/>
                <w:tab w:val="left" w:pos="7488"/>
                <w:tab w:val="left" w:pos="8112"/>
                <w:tab w:val="left" w:pos="8736"/>
              </w:tabs>
              <w:rPr>
                <w:sz w:val="18"/>
              </w:rPr>
            </w:pPr>
          </w:p>
        </w:tc>
        <w:tc>
          <w:tcPr>
            <w:tcW w:w="4626" w:type="dxa"/>
            <w:tcBorders>
              <w:bottom w:val="single" w:sz="4" w:space="0" w:color="auto"/>
            </w:tcBorders>
            <w:shd w:val="clear" w:color="auto" w:fill="auto"/>
          </w:tcPr>
          <w:p w14:paraId="565F2103" w14:textId="77777777" w:rsidR="008E4356" w:rsidRPr="00581D40" w:rsidRDefault="008E4356">
            <w:pPr>
              <w:tabs>
                <w:tab w:val="left" w:pos="3744"/>
                <w:tab w:val="left" w:pos="4368"/>
                <w:tab w:val="left" w:pos="4992"/>
                <w:tab w:val="left" w:pos="5616"/>
                <w:tab w:val="left" w:pos="6240"/>
                <w:tab w:val="left" w:pos="6864"/>
                <w:tab w:val="left" w:pos="7488"/>
                <w:tab w:val="left" w:pos="8112"/>
                <w:tab w:val="left" w:pos="8736"/>
              </w:tabs>
              <w:rPr>
                <w:rFonts w:ascii="Arial" w:eastAsia="Arial" w:hAnsi="Arial"/>
                <w:b/>
                <w:sz w:val="18"/>
              </w:rPr>
            </w:pPr>
          </w:p>
        </w:tc>
        <w:tc>
          <w:tcPr>
            <w:tcW w:w="3373" w:type="dxa"/>
            <w:tcBorders>
              <w:bottom w:val="single" w:sz="4" w:space="0" w:color="auto"/>
            </w:tcBorders>
            <w:shd w:val="clear" w:color="auto" w:fill="auto"/>
          </w:tcPr>
          <w:p w14:paraId="1A825A31" w14:textId="77777777" w:rsidR="008E4356" w:rsidRPr="00581D40" w:rsidRDefault="00B82C45">
            <w:pPr>
              <w:tabs>
                <w:tab w:val="left" w:pos="3744"/>
                <w:tab w:val="left" w:pos="4368"/>
                <w:tab w:val="left" w:pos="4992"/>
                <w:tab w:val="left" w:pos="5616"/>
                <w:tab w:val="left" w:pos="6240"/>
                <w:tab w:val="left" w:pos="6864"/>
                <w:tab w:val="left" w:pos="7488"/>
                <w:tab w:val="left" w:pos="8112"/>
                <w:tab w:val="left" w:pos="8736"/>
              </w:tabs>
              <w:rPr>
                <w:sz w:val="18"/>
              </w:rPr>
            </w:pPr>
            <w:r w:rsidRPr="00581D40">
              <w:rPr>
                <w:b/>
                <w:sz w:val="28"/>
              </w:rPr>
              <w:t>UNEP</w:t>
            </w:r>
            <w:r w:rsidRPr="00581D40">
              <w:t>/MC/COP.2/18</w:t>
            </w:r>
            <w:bookmarkStart w:id="1" w:name="OLE_LINK1"/>
            <w:bookmarkEnd w:id="1"/>
          </w:p>
        </w:tc>
      </w:tr>
      <w:tr w:rsidR="008E4356" w:rsidRPr="00581D40" w14:paraId="03DA8202" w14:textId="77777777" w:rsidTr="00C412CF">
        <w:trPr>
          <w:cantSplit/>
          <w:trHeight w:val="2549"/>
        </w:trPr>
        <w:tc>
          <w:tcPr>
            <w:tcW w:w="1858" w:type="dxa"/>
            <w:tcBorders>
              <w:top w:val="single" w:sz="4" w:space="0" w:color="auto"/>
            </w:tcBorders>
            <w:shd w:val="clear" w:color="auto" w:fill="auto"/>
          </w:tcPr>
          <w:p w14:paraId="1EF71104" w14:textId="77777777" w:rsidR="008E4356" w:rsidRPr="00581D40" w:rsidRDefault="00B82C45">
            <w:pPr>
              <w:tabs>
                <w:tab w:val="left" w:pos="3744"/>
                <w:tab w:val="left" w:pos="4368"/>
                <w:tab w:val="left" w:pos="4992"/>
                <w:tab w:val="left" w:pos="5616"/>
                <w:tab w:val="left" w:pos="6240"/>
                <w:tab w:val="left" w:pos="6864"/>
                <w:tab w:val="left" w:pos="7488"/>
                <w:tab w:val="left" w:pos="8112"/>
                <w:tab w:val="left" w:pos="8736"/>
              </w:tabs>
            </w:pPr>
            <w:bookmarkStart w:id="2" w:name="_MON_1021710510"/>
            <w:bookmarkEnd w:id="2"/>
            <w:r w:rsidRPr="00581D40">
              <w:rPr>
                <w:noProof/>
                <w:lang w:val="fr-FR" w:eastAsia="zh-CN"/>
              </w:rPr>
              <w:drawing>
                <wp:inline distT="0" distB="0" distL="0" distR="0" wp14:anchorId="782E7E5B" wp14:editId="2AB259D4">
                  <wp:extent cx="824865" cy="777875"/>
                  <wp:effectExtent l="0" t="0" r="0" b="0"/>
                  <wp:docPr id="1" name="_x0000_i1025"/>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stretch>
                            <a:fillRect/>
                          </a:stretch>
                        </pic:blipFill>
                        <pic:spPr>
                          <a:xfrm>
                            <a:off x="0" y="0"/>
                            <a:ext cx="824865" cy="777875"/>
                          </a:xfrm>
                          <a:prstGeom prst="rect">
                            <a:avLst/>
                          </a:prstGeom>
                        </pic:spPr>
                      </pic:pic>
                    </a:graphicData>
                  </a:graphic>
                </wp:inline>
              </w:drawing>
            </w:r>
            <w:r w:rsidRPr="00581D40">
              <w:rPr>
                <w:noProof/>
                <w:lang w:val="fr-FR" w:eastAsia="zh-CN"/>
              </w:rPr>
              <w:drawing>
                <wp:inline distT="0" distB="0" distL="0" distR="0" wp14:anchorId="172CDBBB" wp14:editId="2EF653E0">
                  <wp:extent cx="723900" cy="7715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stretch>
                            <a:fillRect/>
                          </a:stretch>
                        </pic:blipFill>
                        <pic:spPr>
                          <a:xfrm>
                            <a:off x="0" y="0"/>
                            <a:ext cx="723900" cy="771525"/>
                          </a:xfrm>
                          <a:prstGeom prst="rect">
                            <a:avLst/>
                          </a:prstGeom>
                        </pic:spPr>
                      </pic:pic>
                    </a:graphicData>
                  </a:graphic>
                </wp:inline>
              </w:drawing>
            </w:r>
          </w:p>
        </w:tc>
        <w:tc>
          <w:tcPr>
            <w:tcW w:w="4626" w:type="dxa"/>
            <w:tcBorders>
              <w:top w:val="single" w:sz="4" w:space="0" w:color="auto"/>
            </w:tcBorders>
            <w:shd w:val="clear" w:color="auto" w:fill="auto"/>
          </w:tcPr>
          <w:p w14:paraId="07549941" w14:textId="77777777" w:rsidR="008E4356" w:rsidRPr="00581D40" w:rsidRDefault="00B82C45">
            <w:pPr>
              <w:tabs>
                <w:tab w:val="left" w:pos="3744"/>
                <w:tab w:val="left" w:pos="4368"/>
                <w:tab w:val="left" w:pos="4992"/>
                <w:tab w:val="left" w:pos="5616"/>
                <w:tab w:val="left" w:pos="6240"/>
                <w:tab w:val="left" w:pos="6864"/>
                <w:tab w:val="left" w:pos="7488"/>
                <w:tab w:val="left" w:pos="8112"/>
                <w:tab w:val="left" w:pos="8736"/>
              </w:tabs>
              <w:spacing w:before="1200"/>
              <w:rPr>
                <w:rFonts w:ascii="Arial" w:eastAsia="Arial" w:hAnsi="Arial"/>
                <w:b/>
                <w:sz w:val="32"/>
              </w:rPr>
            </w:pPr>
            <w:r w:rsidRPr="00581D40">
              <w:rPr>
                <w:rFonts w:ascii="Arial" w:eastAsia="Arial" w:hAnsi="Arial"/>
                <w:b/>
                <w:sz w:val="32"/>
              </w:rPr>
              <w:t xml:space="preserve">Programa de las </w:t>
            </w:r>
            <w:r w:rsidRPr="00581D40">
              <w:rPr>
                <w:rFonts w:ascii="Arial" w:eastAsia="Arial" w:hAnsi="Arial"/>
                <w:b/>
                <w:sz w:val="32"/>
              </w:rPr>
              <w:br/>
              <w:t>Naciones Unidas</w:t>
            </w:r>
            <w:r w:rsidR="005A3F86" w:rsidRPr="00581D40">
              <w:rPr>
                <w:rFonts w:ascii="Arial" w:eastAsia="Arial" w:hAnsi="Arial"/>
                <w:b/>
                <w:sz w:val="32"/>
              </w:rPr>
              <w:br/>
            </w:r>
            <w:r w:rsidRPr="00581D40">
              <w:rPr>
                <w:rFonts w:ascii="Arial" w:eastAsia="Arial" w:hAnsi="Arial"/>
                <w:b/>
                <w:sz w:val="32"/>
              </w:rPr>
              <w:t>para el Medio Ambiente</w:t>
            </w:r>
          </w:p>
        </w:tc>
        <w:tc>
          <w:tcPr>
            <w:tcW w:w="3373" w:type="dxa"/>
            <w:tcBorders>
              <w:top w:val="single" w:sz="4" w:space="0" w:color="auto"/>
            </w:tcBorders>
            <w:shd w:val="clear" w:color="auto" w:fill="auto"/>
          </w:tcPr>
          <w:p w14:paraId="5387FB13" w14:textId="77777777" w:rsidR="008E4356" w:rsidRPr="00581D40" w:rsidRDefault="00B82C45">
            <w:pPr>
              <w:tabs>
                <w:tab w:val="left" w:pos="3744"/>
                <w:tab w:val="left" w:pos="4368"/>
                <w:tab w:val="left" w:pos="4992"/>
                <w:tab w:val="left" w:pos="5616"/>
                <w:tab w:val="left" w:pos="6240"/>
                <w:tab w:val="left" w:pos="6864"/>
                <w:tab w:val="left" w:pos="7488"/>
                <w:tab w:val="left" w:pos="8112"/>
                <w:tab w:val="left" w:pos="8736"/>
              </w:tabs>
              <w:spacing w:before="120"/>
            </w:pPr>
            <w:r w:rsidRPr="00581D40">
              <w:t>Distr. general</w:t>
            </w:r>
            <w:r w:rsidRPr="00581D40">
              <w:br/>
              <w:t>28 de septiembre de 2018</w:t>
            </w:r>
          </w:p>
          <w:p w14:paraId="22B7E50A" w14:textId="77777777" w:rsidR="008E4356" w:rsidRPr="00581D40" w:rsidRDefault="00B82C45">
            <w:pPr>
              <w:tabs>
                <w:tab w:val="left" w:pos="3744"/>
                <w:tab w:val="left" w:pos="4368"/>
                <w:tab w:val="left" w:pos="4992"/>
                <w:tab w:val="left" w:pos="5616"/>
                <w:tab w:val="left" w:pos="6240"/>
                <w:tab w:val="left" w:pos="6864"/>
                <w:tab w:val="left" w:pos="7488"/>
                <w:tab w:val="left" w:pos="8112"/>
                <w:tab w:val="left" w:pos="8736"/>
              </w:tabs>
              <w:spacing w:before="120"/>
            </w:pPr>
            <w:r w:rsidRPr="00581D40">
              <w:t>Español</w:t>
            </w:r>
            <w:r w:rsidRPr="00581D40">
              <w:br/>
              <w:t>Original: inglés</w:t>
            </w:r>
          </w:p>
        </w:tc>
      </w:tr>
    </w:tbl>
    <w:p w14:paraId="70BA443D" w14:textId="77777777" w:rsidR="008E4356" w:rsidRPr="00581D40" w:rsidRDefault="00B82C45">
      <w:pPr>
        <w:pStyle w:val="AATitle"/>
        <w:keepNext w:val="0"/>
        <w:keepLines w:val="0"/>
        <w:tabs>
          <w:tab w:val="left" w:pos="4368"/>
          <w:tab w:val="left" w:pos="4992"/>
          <w:tab w:val="left" w:pos="5616"/>
          <w:tab w:val="left" w:pos="6240"/>
          <w:tab w:val="left" w:pos="6864"/>
          <w:tab w:val="left" w:pos="7488"/>
          <w:tab w:val="left" w:pos="8112"/>
          <w:tab w:val="left" w:pos="8736"/>
        </w:tabs>
      </w:pPr>
      <w:r w:rsidRPr="00581D40">
        <w:t xml:space="preserve">Conferencia de las Partes en el Convenio </w:t>
      </w:r>
      <w:r w:rsidR="00C412CF" w:rsidRPr="00581D40">
        <w:br/>
      </w:r>
      <w:r w:rsidRPr="00581D40">
        <w:t>de Minamata sobre el Mercurio</w:t>
      </w:r>
    </w:p>
    <w:p w14:paraId="34D8DD3C" w14:textId="77777777" w:rsidR="008E4356" w:rsidRPr="00581D40" w:rsidRDefault="00B82C45">
      <w:pPr>
        <w:pStyle w:val="AATitle"/>
        <w:keepNext w:val="0"/>
        <w:keepLines w:val="0"/>
        <w:tabs>
          <w:tab w:val="left" w:pos="4368"/>
          <w:tab w:val="left" w:pos="4992"/>
          <w:tab w:val="left" w:pos="5616"/>
          <w:tab w:val="left" w:pos="6240"/>
          <w:tab w:val="left" w:pos="6864"/>
          <w:tab w:val="left" w:pos="7488"/>
          <w:tab w:val="left" w:pos="8112"/>
          <w:tab w:val="left" w:pos="8736"/>
        </w:tabs>
      </w:pPr>
      <w:r w:rsidRPr="00581D40">
        <w:t>Segunda reunión</w:t>
      </w:r>
    </w:p>
    <w:p w14:paraId="7EAC110C" w14:textId="77777777" w:rsidR="008E4356" w:rsidRPr="00581D40" w:rsidRDefault="00B82C45">
      <w:pPr>
        <w:pStyle w:val="AATitle"/>
        <w:tabs>
          <w:tab w:val="left" w:pos="4368"/>
          <w:tab w:val="left" w:pos="4992"/>
          <w:tab w:val="left" w:pos="5616"/>
          <w:tab w:val="left" w:pos="6240"/>
          <w:tab w:val="left" w:pos="6864"/>
          <w:tab w:val="left" w:pos="7488"/>
          <w:tab w:val="left" w:pos="8112"/>
          <w:tab w:val="left" w:pos="8736"/>
        </w:tabs>
        <w:rPr>
          <w:b w:val="0"/>
        </w:rPr>
      </w:pPr>
      <w:r w:rsidRPr="00581D40">
        <w:rPr>
          <w:b w:val="0"/>
        </w:rPr>
        <w:t>Ginebra, 19 a 23 de noviembre de 2018</w:t>
      </w:r>
    </w:p>
    <w:p w14:paraId="2A16F9CA" w14:textId="77777777" w:rsidR="00B82C45" w:rsidRPr="00581D40" w:rsidRDefault="00B82C45" w:rsidP="00B82C45">
      <w:pPr>
        <w:tabs>
          <w:tab w:val="left" w:pos="4082"/>
          <w:tab w:val="left" w:pos="4368"/>
          <w:tab w:val="left" w:pos="4992"/>
          <w:tab w:val="left" w:pos="5616"/>
          <w:tab w:val="left" w:pos="6240"/>
          <w:tab w:val="left" w:pos="6864"/>
          <w:tab w:val="left" w:pos="7488"/>
          <w:tab w:val="left" w:pos="8112"/>
          <w:tab w:val="left" w:pos="8736"/>
        </w:tabs>
        <w:autoSpaceDE w:val="0"/>
        <w:autoSpaceDN w:val="0"/>
        <w:adjustRightInd w:val="0"/>
        <w:ind w:right="5103"/>
        <w:rPr>
          <w:lang w:eastAsia="zh-CN"/>
        </w:rPr>
      </w:pPr>
      <w:r w:rsidRPr="00581D40">
        <w:rPr>
          <w:lang w:eastAsia="zh-CN"/>
        </w:rPr>
        <w:t>Tema 6 del programa provisional</w:t>
      </w:r>
      <w:r w:rsidR="006F3E4C" w:rsidRPr="00581D40">
        <w:footnoteReference w:customMarkFollows="1" w:id="1"/>
        <w:t>*</w:t>
      </w:r>
    </w:p>
    <w:p w14:paraId="4E797ABF" w14:textId="77777777" w:rsidR="00B82C45" w:rsidRPr="00581D40" w:rsidRDefault="00B82C45" w:rsidP="00B82C45">
      <w:pPr>
        <w:keepNext/>
        <w:keepLines/>
        <w:tabs>
          <w:tab w:val="left" w:pos="4082"/>
          <w:tab w:val="left" w:pos="4368"/>
          <w:tab w:val="left" w:pos="4992"/>
          <w:tab w:val="left" w:pos="5616"/>
          <w:tab w:val="left" w:pos="6240"/>
          <w:tab w:val="left" w:pos="6864"/>
          <w:tab w:val="left" w:pos="7488"/>
          <w:tab w:val="left" w:pos="8112"/>
          <w:tab w:val="left" w:pos="8736"/>
        </w:tabs>
        <w:autoSpaceDE w:val="0"/>
        <w:autoSpaceDN w:val="0"/>
        <w:adjustRightInd w:val="0"/>
        <w:spacing w:before="60" w:after="120"/>
        <w:ind w:right="5103"/>
        <w:rPr>
          <w:b/>
          <w:bCs/>
          <w:lang w:eastAsia="zh-CN"/>
        </w:rPr>
      </w:pPr>
      <w:r w:rsidRPr="00581D40">
        <w:rPr>
          <w:b/>
          <w:bCs/>
          <w:lang w:eastAsia="zh-CN"/>
        </w:rPr>
        <w:t>Programa de trabajo y presupuesto</w:t>
      </w:r>
    </w:p>
    <w:p w14:paraId="2566CC5A" w14:textId="77777777" w:rsidR="00B82C45" w:rsidRPr="00581D40" w:rsidRDefault="00B82C45" w:rsidP="00B82C45">
      <w:pPr>
        <w:pStyle w:val="BBTitle"/>
      </w:pPr>
      <w:r w:rsidRPr="00581D40">
        <w:rPr>
          <w:bCs/>
        </w:rPr>
        <w:t>Actualización sobre el programa de trabajo y presupuesto para el bienio 2018-2019</w:t>
      </w:r>
    </w:p>
    <w:p w14:paraId="73BA5FCD" w14:textId="77777777" w:rsidR="00B82C45" w:rsidRPr="00581D40" w:rsidRDefault="00B82C45" w:rsidP="00B82C45">
      <w:pPr>
        <w:pStyle w:val="CH2"/>
      </w:pPr>
      <w:r w:rsidRPr="00581D40">
        <w:tab/>
      </w:r>
      <w:r w:rsidRPr="00581D40">
        <w:tab/>
      </w:r>
      <w:r w:rsidRPr="00581D40">
        <w:rPr>
          <w:bCs/>
        </w:rPr>
        <w:t>Nota de la Secretaría</w:t>
      </w:r>
    </w:p>
    <w:p w14:paraId="4FFA23C6" w14:textId="77777777" w:rsidR="00B82C45" w:rsidRPr="00581D40" w:rsidRDefault="00B82C45" w:rsidP="00B82C45">
      <w:pPr>
        <w:pStyle w:val="CH1"/>
      </w:pPr>
      <w:r w:rsidRPr="00581D40">
        <w:tab/>
      </w:r>
      <w:r w:rsidR="005A3F86" w:rsidRPr="00581D40">
        <w:t>I</w:t>
      </w:r>
      <w:r w:rsidRPr="00581D40">
        <w:t>.</w:t>
      </w:r>
      <w:r w:rsidRPr="00581D40">
        <w:tab/>
      </w:r>
      <w:r w:rsidRPr="00581D40">
        <w:rPr>
          <w:bCs/>
        </w:rPr>
        <w:t>Introducción</w:t>
      </w:r>
    </w:p>
    <w:p w14:paraId="4A3B36C6" w14:textId="77777777" w:rsidR="00B82C45" w:rsidRPr="00581D40" w:rsidRDefault="00B82C45" w:rsidP="0066788F">
      <w:pPr>
        <w:pStyle w:val="Normalnumber"/>
        <w:numPr>
          <w:ilvl w:val="0"/>
          <w:numId w:val="6"/>
        </w:numPr>
        <w:tabs>
          <w:tab w:val="clear" w:pos="1134"/>
        </w:tabs>
        <w:spacing w:before="120"/>
      </w:pPr>
      <w:r w:rsidRPr="00581D40">
        <w:t>El período 2018-2019 será el primer bienio de la labor del Convenio de Minamata sobre el Mercurio. En la decisión MC-1/15, sobre el programa de trabajo de la Secretaría y el proyecto de presupuesto para el bienio 2018</w:t>
      </w:r>
      <w:r w:rsidR="005A3F86" w:rsidRPr="00581D40">
        <w:t>-</w:t>
      </w:r>
      <w:r w:rsidRPr="00581D40">
        <w:t>2019, la Conferencia de las Partes estableció el mandato para la ejecución del programa de trabajo. En la decisión MC-1/11, sobre la Secretaría, la Conferencia de las Partes solicitó al Director Ejecutivo del Programa de las Naciones Unidas para el Medio Ambiente que desempeñase las funciones de secretaría inicialmente a través de una secretaría del Convenio de Minamata ubicada en</w:t>
      </w:r>
      <w:r w:rsidR="00C412CF" w:rsidRPr="00581D40">
        <w:t> </w:t>
      </w:r>
      <w:r w:rsidRPr="00581D40">
        <w:t>Ginebra.</w:t>
      </w:r>
    </w:p>
    <w:p w14:paraId="5CB12D95" w14:textId="77777777" w:rsidR="00B82C45" w:rsidRPr="00581D40" w:rsidRDefault="00B82C45" w:rsidP="00582959">
      <w:pPr>
        <w:pStyle w:val="Normalnumber"/>
        <w:numPr>
          <w:ilvl w:val="0"/>
          <w:numId w:val="6"/>
        </w:numPr>
        <w:tabs>
          <w:tab w:val="clear" w:pos="1134"/>
        </w:tabs>
        <w:spacing w:before="120"/>
      </w:pPr>
      <w:r w:rsidRPr="00581D40">
        <w:t>En la decisión MC-1/15, la Conferencia de las Partes solicitó también a la Secretaria Ejecutiva que, en la segunda reunión de la Conferencia de las Partes, proporcionase información actualizada sobre la aplicación del programa de trabajo y, cuando correspondiese, estimaciones de los costos de las medidas que tengan consecuencias presupuestarias y que no se hayan previsto en el primer programa de trabajo, aunque s</w:t>
      </w:r>
      <w:r w:rsidR="005A3F86" w:rsidRPr="00581D40">
        <w:t>í</w:t>
      </w:r>
      <w:r w:rsidRPr="00581D40">
        <w:t xml:space="preserve"> lo hayan estado en los proyectos de decisión y por ende hayan tenido repercusiones presupuestarias en el primer bienio,</w:t>
      </w:r>
      <w:r w:rsidR="00B25375" w:rsidRPr="00581D40">
        <w:t xml:space="preserve"> </w:t>
      </w:r>
      <w:r w:rsidRPr="00581D40">
        <w:t>antes de que la Conferencia de las Partes haya adoptado esas</w:t>
      </w:r>
      <w:r w:rsidR="00C412CF" w:rsidRPr="00581D40">
        <w:t> </w:t>
      </w:r>
      <w:r w:rsidRPr="00581D40">
        <w:t xml:space="preserve">decisiones. </w:t>
      </w:r>
    </w:p>
    <w:p w14:paraId="142E9D4D" w14:textId="77777777" w:rsidR="00B82C45" w:rsidRPr="00581D40" w:rsidRDefault="00B82C45" w:rsidP="00582959">
      <w:pPr>
        <w:pStyle w:val="Normalnumber"/>
        <w:numPr>
          <w:ilvl w:val="0"/>
          <w:numId w:val="6"/>
        </w:numPr>
        <w:tabs>
          <w:tab w:val="clear" w:pos="1134"/>
        </w:tabs>
        <w:spacing w:before="120"/>
      </w:pPr>
      <w:r w:rsidRPr="00581D40">
        <w:t>Por consiguiente, en la sección II de la presente nota se describe la ejecución del presupuesto del Convenio de Minamata durante 2018; en la sección III se proporciona información actualizada sobre el presupuesto aprobado para 2019; en la sección IV se describen las cuestiones financieras relacionadas con la aplicación efectiva del Convenio; y en la sección V se presentan las medidas que podría adoptar la Conferencia de las Partes. En el anexo I de la presente nota figura un proyecto de decisión sobre una actualización sobre el programa de trabajo y presupuesto para el bienio 2018</w:t>
      </w:r>
      <w:r w:rsidR="005A3F86" w:rsidRPr="00581D40">
        <w:t>-</w:t>
      </w:r>
      <w:r w:rsidRPr="00581D40">
        <w:t xml:space="preserve">2019, en el anexo II figura la escala indicativa de contribuciones al Fondo Fiduciario General para 2019 y en el anexo III figura el organigrama de la Secretaría. </w:t>
      </w:r>
    </w:p>
    <w:p w14:paraId="5B55433A" w14:textId="77777777" w:rsidR="00B82C45" w:rsidRPr="00581D40" w:rsidRDefault="00B82C45" w:rsidP="00582959">
      <w:pPr>
        <w:pStyle w:val="Normalnumber"/>
        <w:numPr>
          <w:ilvl w:val="0"/>
          <w:numId w:val="6"/>
        </w:numPr>
        <w:tabs>
          <w:tab w:val="clear" w:pos="1134"/>
        </w:tabs>
        <w:spacing w:before="120"/>
      </w:pPr>
      <w:r w:rsidRPr="00581D40">
        <w:t>La presente nota debe leerse junto con el informe sobre las actividades de la Secretaría en 2018 (UNEP/MC/COP.2/17, anexo) y la ficha descriptiva del programa de trabajo y presupuesto (UNEP/MC/COP.2/INF/9, anexo), en la que se exponen los detalles del presupuesto revisado propuesto</w:t>
      </w:r>
      <w:r w:rsidR="005A3F86" w:rsidRPr="00581D40">
        <w:t> </w:t>
      </w:r>
      <w:r w:rsidRPr="00581D40">
        <w:t xml:space="preserve">para 2019. </w:t>
      </w:r>
    </w:p>
    <w:p w14:paraId="7100E102" w14:textId="77777777" w:rsidR="00B82C45" w:rsidRPr="00581D40" w:rsidRDefault="00B82C45" w:rsidP="00B82C45">
      <w:pPr>
        <w:pStyle w:val="CH1"/>
      </w:pPr>
      <w:r w:rsidRPr="00581D40">
        <w:lastRenderedPageBreak/>
        <w:tab/>
        <w:t>II.</w:t>
      </w:r>
      <w:r w:rsidRPr="00581D40">
        <w:tab/>
      </w:r>
      <w:r w:rsidRPr="00581D40">
        <w:rPr>
          <w:bCs/>
        </w:rPr>
        <w:t>Ejecución del presupuesto del Convenio de Minamata durante 2018</w:t>
      </w:r>
    </w:p>
    <w:p w14:paraId="49C4FADE" w14:textId="77777777" w:rsidR="00B82C45" w:rsidRPr="00581D40" w:rsidRDefault="00B82C45" w:rsidP="00B82C45">
      <w:pPr>
        <w:pStyle w:val="CH2"/>
      </w:pPr>
      <w:r w:rsidRPr="00581D40">
        <w:tab/>
        <w:t>A.</w:t>
      </w:r>
      <w:r w:rsidRPr="00581D40">
        <w:tab/>
      </w:r>
      <w:r w:rsidRPr="00581D40">
        <w:rPr>
          <w:bCs/>
        </w:rPr>
        <w:t>Reseña del seguimiento del presupuesto después de la primera reunión de la Conferencia de las Partes</w:t>
      </w:r>
    </w:p>
    <w:p w14:paraId="24D8FB47" w14:textId="77777777" w:rsidR="00B82C45" w:rsidRPr="00581D40" w:rsidRDefault="00B82C45" w:rsidP="00582959">
      <w:pPr>
        <w:pStyle w:val="Normalnumber"/>
        <w:numPr>
          <w:ilvl w:val="0"/>
          <w:numId w:val="6"/>
        </w:numPr>
        <w:tabs>
          <w:tab w:val="clear" w:pos="1134"/>
        </w:tabs>
        <w:spacing w:before="120"/>
      </w:pPr>
      <w:r w:rsidRPr="00581D40">
        <w:t>De conformidad con la decisión MC-1/15, el Director Ejecutivo del Programa de las Naciones</w:t>
      </w:r>
      <w:r w:rsidR="005A3F86" w:rsidRPr="00581D40">
        <w:t> </w:t>
      </w:r>
      <w:r w:rsidRPr="00581D40">
        <w:t>Unidas para el Medio Ambiente estableció tres fondos fiduciarios en apoyo de la labor del</w:t>
      </w:r>
      <w:r w:rsidR="005A3F86" w:rsidRPr="00581D40">
        <w:t> </w:t>
      </w:r>
      <w:r w:rsidRPr="00581D40">
        <w:t xml:space="preserve">Convenio: </w:t>
      </w:r>
    </w:p>
    <w:p w14:paraId="332CAA76" w14:textId="77777777" w:rsidR="00B82C45" w:rsidRPr="00581D40" w:rsidRDefault="00024037" w:rsidP="00024037">
      <w:pPr>
        <w:pStyle w:val="Normalnumber"/>
        <w:numPr>
          <w:ilvl w:val="0"/>
          <w:numId w:val="0"/>
        </w:numPr>
        <w:tabs>
          <w:tab w:val="left" w:pos="1247"/>
          <w:tab w:val="left" w:pos="1814"/>
          <w:tab w:val="left" w:pos="2381"/>
          <w:tab w:val="left" w:pos="2948"/>
          <w:tab w:val="left" w:pos="3515"/>
          <w:tab w:val="left" w:pos="4082"/>
        </w:tabs>
        <w:ind w:left="1247" w:firstLine="624"/>
      </w:pPr>
      <w:r w:rsidRPr="00581D40">
        <w:t>a)</w:t>
      </w:r>
      <w:r w:rsidRPr="00581D40">
        <w:tab/>
      </w:r>
      <w:r w:rsidR="00B82C45" w:rsidRPr="00581D40">
        <w:t xml:space="preserve">El Fondo Fiduciario General del Convenio de Minamata sobre el Mercurio, encargado de prestar apoyo financiero a la labor de la Secretaría del Convenio, </w:t>
      </w:r>
      <w:r w:rsidR="00B6447D" w:rsidRPr="00581D40">
        <w:t>con fecha de vencimiento</w:t>
      </w:r>
      <w:r w:rsidR="00B82C45" w:rsidRPr="00581D40">
        <w:t xml:space="preserve"> el 31 de diciembre de 2035; </w:t>
      </w:r>
    </w:p>
    <w:p w14:paraId="53943846" w14:textId="77777777" w:rsidR="00B82C45" w:rsidRPr="00581D40" w:rsidRDefault="00024037" w:rsidP="00024037">
      <w:pPr>
        <w:pStyle w:val="Normalnumber"/>
        <w:numPr>
          <w:ilvl w:val="0"/>
          <w:numId w:val="0"/>
        </w:numPr>
        <w:tabs>
          <w:tab w:val="left" w:pos="1247"/>
          <w:tab w:val="left" w:pos="1814"/>
          <w:tab w:val="left" w:pos="2381"/>
          <w:tab w:val="left" w:pos="2948"/>
          <w:tab w:val="left" w:pos="3515"/>
          <w:tab w:val="left" w:pos="4082"/>
        </w:tabs>
        <w:ind w:left="1247" w:firstLine="624"/>
      </w:pPr>
      <w:r w:rsidRPr="00581D40">
        <w:t>b)</w:t>
      </w:r>
      <w:r w:rsidRPr="00581D40">
        <w:tab/>
      </w:r>
      <w:r w:rsidR="00B82C45" w:rsidRPr="00581D40">
        <w:t xml:space="preserve">El Fondo </w:t>
      </w:r>
      <w:r w:rsidR="005A3F86" w:rsidRPr="00581D40">
        <w:t>F</w:t>
      </w:r>
      <w:r w:rsidR="00B82C45" w:rsidRPr="00581D40">
        <w:t xml:space="preserve">iduciario </w:t>
      </w:r>
      <w:r w:rsidR="005A3F86" w:rsidRPr="00581D40">
        <w:t>E</w:t>
      </w:r>
      <w:r w:rsidR="00B82C45" w:rsidRPr="00581D40">
        <w:t>special del Convenio de Minamata sobre el Mercurio para apoyar las actividades de creación de capacidad y asistencia técnica de la Secretaría, de conformidad con el artículo</w:t>
      </w:r>
      <w:r w:rsidRPr="00581D40">
        <w:t> </w:t>
      </w:r>
      <w:r w:rsidR="00B82C45" w:rsidRPr="00581D40">
        <w:t xml:space="preserve">14, con fecha de vencimiento el 31 de diciembre de 2035; </w:t>
      </w:r>
    </w:p>
    <w:p w14:paraId="783FB33D" w14:textId="77777777" w:rsidR="00B82C45" w:rsidRPr="00581D40" w:rsidRDefault="00024037" w:rsidP="00024037">
      <w:pPr>
        <w:pStyle w:val="Normalnumber"/>
        <w:numPr>
          <w:ilvl w:val="0"/>
          <w:numId w:val="0"/>
        </w:numPr>
        <w:tabs>
          <w:tab w:val="left" w:pos="1247"/>
          <w:tab w:val="left" w:pos="1814"/>
          <w:tab w:val="left" w:pos="2381"/>
          <w:tab w:val="left" w:pos="2948"/>
          <w:tab w:val="left" w:pos="3515"/>
          <w:tab w:val="left" w:pos="4082"/>
        </w:tabs>
        <w:ind w:left="1247" w:firstLine="624"/>
      </w:pPr>
      <w:r w:rsidRPr="00581D40">
        <w:t>c)</w:t>
      </w:r>
      <w:r w:rsidRPr="00581D40">
        <w:tab/>
      </w:r>
      <w:r w:rsidR="00B82C45" w:rsidRPr="00581D40">
        <w:t xml:space="preserve">El Fondo Fiduciario Específico del Convenio de Minamata sobre el Mercurio para el Programa </w:t>
      </w:r>
      <w:r w:rsidR="005A3F86" w:rsidRPr="00581D40">
        <w:t>I</w:t>
      </w:r>
      <w:r w:rsidR="00B82C45" w:rsidRPr="00581D40">
        <w:t xml:space="preserve">nternacional </w:t>
      </w:r>
      <w:r w:rsidR="005A3F86" w:rsidRPr="00581D40">
        <w:t>E</w:t>
      </w:r>
      <w:r w:rsidR="00B82C45" w:rsidRPr="00581D40">
        <w:t xml:space="preserve">specífico para apoyar la creación de capacidad y la asistencia técnica de conformidad con el artículo 13. Habida cuenta de que el Programa </w:t>
      </w:r>
      <w:r w:rsidR="005A3F86" w:rsidRPr="00581D40">
        <w:t>I</w:t>
      </w:r>
      <w:r w:rsidR="00B82C45" w:rsidRPr="00581D40">
        <w:t xml:space="preserve">nternacional </w:t>
      </w:r>
      <w:r w:rsidR="005A3F86" w:rsidRPr="00581D40">
        <w:t>E</w:t>
      </w:r>
      <w:r w:rsidR="00B82C45" w:rsidRPr="00581D40">
        <w:t xml:space="preserve">specífico tiene duración limitada, se ha fijado la fecha de vencimiento de este </w:t>
      </w:r>
      <w:r w:rsidR="005A3F86" w:rsidRPr="00581D40">
        <w:t>F</w:t>
      </w:r>
      <w:r w:rsidR="00B82C45" w:rsidRPr="00581D40">
        <w:t xml:space="preserve">ondo </w:t>
      </w:r>
      <w:r w:rsidR="005A3F86" w:rsidRPr="00581D40">
        <w:t>F</w:t>
      </w:r>
      <w:r w:rsidR="00B82C45" w:rsidRPr="00581D40">
        <w:t xml:space="preserve">iduciario para el 31 de diciembre de 2028. </w:t>
      </w:r>
    </w:p>
    <w:p w14:paraId="3ECC14E2" w14:textId="33747884" w:rsidR="00B82C45" w:rsidRPr="00581D40" w:rsidRDefault="00B82C45" w:rsidP="00582959">
      <w:pPr>
        <w:pStyle w:val="Normalnumber"/>
        <w:numPr>
          <w:ilvl w:val="0"/>
          <w:numId w:val="6"/>
        </w:numPr>
        <w:tabs>
          <w:tab w:val="clear" w:pos="1134"/>
        </w:tabs>
        <w:spacing w:before="120"/>
      </w:pPr>
      <w:r w:rsidRPr="00581D40">
        <w:t xml:space="preserve">En su primera reunión, la Conferencia de las Partes aprobó un presupuesto para el Fondo Fiduciario General de 3.916.524 dólares </w:t>
      </w:r>
      <w:r w:rsidR="00024037" w:rsidRPr="00581D40">
        <w:t xml:space="preserve">de los Estados Unidos </w:t>
      </w:r>
      <w:r w:rsidRPr="00581D40">
        <w:t>para 2018 y 3.843.074 dólares para 2019 y</w:t>
      </w:r>
      <w:r w:rsidR="00B63D26">
        <w:t> </w:t>
      </w:r>
      <w:r w:rsidRPr="00581D40">
        <w:t>autorizó a la Secretaria Ejecutiva del Convenio de Minamata a contraer compromisos hasta el nivel del</w:t>
      </w:r>
      <w:r w:rsidR="00B63D26">
        <w:t> </w:t>
      </w:r>
      <w:r w:rsidRPr="00581D40">
        <w:t>presupuesto operacional aprobado, sobre la base de los recursos disponibles en efectivo. También se</w:t>
      </w:r>
      <w:r w:rsidR="00B63D26">
        <w:t> </w:t>
      </w:r>
      <w:r w:rsidRPr="00581D40">
        <w:t>mostró de acuerdo con las estimaciones de fondos de 3.192.250 para 2018 y 3.565.150 para 2019 del</w:t>
      </w:r>
      <w:r w:rsidR="00B63D26">
        <w:t> </w:t>
      </w:r>
      <w:r w:rsidRPr="00581D40">
        <w:t xml:space="preserve">Fondo Fiduciario Especial. Además, acogió con beneplácito la contribución anual del Gobierno de Suiza </w:t>
      </w:r>
      <w:r w:rsidR="00C412CF" w:rsidRPr="00581D40">
        <w:t>–</w:t>
      </w:r>
      <w:r w:rsidRPr="00581D40">
        <w:t>país anfitrión de la</w:t>
      </w:r>
      <w:r w:rsidR="005A3F86" w:rsidRPr="00581D40">
        <w:t> </w:t>
      </w:r>
      <w:r w:rsidRPr="00581D40">
        <w:t>Secretaría</w:t>
      </w:r>
      <w:r w:rsidR="00C412CF" w:rsidRPr="00581D40">
        <w:t>–</w:t>
      </w:r>
      <w:r w:rsidRPr="00581D40">
        <w:t xml:space="preserve"> por un millón de francos suizo</w:t>
      </w:r>
      <w:r w:rsidR="005A3F86" w:rsidRPr="00581D40">
        <w:t>s</w:t>
      </w:r>
      <w:r w:rsidRPr="00581D40">
        <w:t>, de la cual se asignará el 60% al Fondo Fiduciario General y</w:t>
      </w:r>
      <w:r w:rsidR="005A3F86" w:rsidRPr="00581D40">
        <w:t> </w:t>
      </w:r>
      <w:r w:rsidRPr="00581D40">
        <w:t xml:space="preserve">el 40% al Fondo Fiduciario Especial para 2018, 2019 y años posteriores. </w:t>
      </w:r>
    </w:p>
    <w:p w14:paraId="364A0755" w14:textId="77777777" w:rsidR="00B82C45" w:rsidRPr="00581D40" w:rsidRDefault="00B82C45" w:rsidP="00582959">
      <w:pPr>
        <w:pStyle w:val="Normalnumber"/>
        <w:numPr>
          <w:ilvl w:val="0"/>
          <w:numId w:val="6"/>
        </w:numPr>
        <w:tabs>
          <w:tab w:val="clear" w:pos="1134"/>
        </w:tabs>
        <w:spacing w:before="120"/>
      </w:pPr>
      <w:r w:rsidRPr="00581D40">
        <w:t xml:space="preserve">En el artículo 6 del Reglamento Financiero de la Conferencia de las Partes en el Convenio de Minamata sobre el Mercurio, sus órganos subsidiarios y la Secretaría del Convenio (en adelante, Reglamento Financiero), adoptado por la Conferencia de las Partes en su decisión MC-1/10, se establece que se presentará a la Conferencia de las Partes un estado de cuentas provisional para el ejercicio financiero y, tan pronto como sea posible una vez que se haya cerrado la contabilidad del ejercicio financiero, se presentará a la Conferencia de las Partes un estado de cuentas definitivo verificado correspondiente a la totalidad del ejercicio financiero. Habida cuenta de que los fondos fiduciarios del Convenio de Minamata se crearon a partir del 1 de enero de 2018 y el presupuesto entró en vigor el 1 de enero de 2018, no hay transacciones que reflejar del año anterior. </w:t>
      </w:r>
    </w:p>
    <w:p w14:paraId="51080A90" w14:textId="77777777" w:rsidR="00B82C45" w:rsidRPr="00581D40" w:rsidRDefault="00B82C45" w:rsidP="00B82C45">
      <w:pPr>
        <w:pStyle w:val="CH2"/>
      </w:pPr>
      <w:r w:rsidRPr="00581D40">
        <w:tab/>
        <w:t>B.</w:t>
      </w:r>
      <w:r w:rsidRPr="00581D40">
        <w:tab/>
      </w:r>
      <w:r w:rsidRPr="00581D40">
        <w:rPr>
          <w:bCs/>
        </w:rPr>
        <w:t>Estado del Fondo Fiduciario General al 31 de agosto de 2018</w:t>
      </w:r>
    </w:p>
    <w:p w14:paraId="3C8A297A" w14:textId="77777777" w:rsidR="00B82C45" w:rsidRPr="00581D40" w:rsidRDefault="00B82C45" w:rsidP="00582959">
      <w:pPr>
        <w:pStyle w:val="Normalnumber"/>
        <w:numPr>
          <w:ilvl w:val="0"/>
          <w:numId w:val="6"/>
        </w:numPr>
        <w:tabs>
          <w:tab w:val="clear" w:pos="1134"/>
        </w:tabs>
        <w:spacing w:before="120"/>
      </w:pPr>
      <w:r w:rsidRPr="00581D40">
        <w:t xml:space="preserve">Todas las </w:t>
      </w:r>
      <w:r w:rsidR="005A3F86" w:rsidRPr="00581D40">
        <w:t>P</w:t>
      </w:r>
      <w:r w:rsidRPr="00581D40">
        <w:t>artes en el Convenio de Minamata sobre el Mercurio realizan contribuciones al Fondo Fiduciario General sobre la base de una escala indicativa aprobada por consenso por la Conferencia de las Partes. La escala indicativa se basa en la escala de cuotas de las Naciones Unidas, aprobada por la Asamblea General. Como se estipula en el Reglamento Financiero, ninguna Parte contribuye menos del</w:t>
      </w:r>
      <w:r w:rsidR="00024037" w:rsidRPr="00581D40">
        <w:t> </w:t>
      </w:r>
      <w:r w:rsidRPr="00581D40">
        <w:t>0</w:t>
      </w:r>
      <w:r w:rsidR="005A3F86" w:rsidRPr="00581D40">
        <w:t>,</w:t>
      </w:r>
      <w:r w:rsidRPr="00581D40">
        <w:t>01% del total, ninguna contribución debe superar el 22% del total y ninguna contribución de una Parte que sea un país menos adelantado superará 0</w:t>
      </w:r>
      <w:r w:rsidR="005A3F86" w:rsidRPr="00581D40">
        <w:t>,</w:t>
      </w:r>
      <w:r w:rsidRPr="00581D40">
        <w:t xml:space="preserve">01% del total. </w:t>
      </w:r>
    </w:p>
    <w:p w14:paraId="1B660E21" w14:textId="77777777" w:rsidR="00B82C45" w:rsidRPr="00581D40" w:rsidRDefault="00B82C45" w:rsidP="00582959">
      <w:pPr>
        <w:pStyle w:val="Normalnumber"/>
        <w:numPr>
          <w:ilvl w:val="0"/>
          <w:numId w:val="6"/>
        </w:numPr>
        <w:tabs>
          <w:tab w:val="clear" w:pos="1134"/>
        </w:tabs>
        <w:spacing w:before="120"/>
      </w:pPr>
      <w:r w:rsidRPr="00581D40">
        <w:t>Tras la atribución de un 60% de la contribución del país anfitrión al Fondo Fiduciario General, el</w:t>
      </w:r>
      <w:r w:rsidR="00024037" w:rsidRPr="00581D40">
        <w:t> </w:t>
      </w:r>
      <w:r w:rsidRPr="00581D40">
        <w:t>saldo restante se prorrateó en función de la escala indicativa de contribuciones para la distribución de</w:t>
      </w:r>
      <w:r w:rsidR="00024037" w:rsidRPr="00581D40">
        <w:t> </w:t>
      </w:r>
      <w:r w:rsidRPr="00581D40">
        <w:t>gastos del Convenio de Minamata en 2018 entre los 83 Estados Partes en el Convenio al 1 de enero</w:t>
      </w:r>
      <w:r w:rsidR="00024037" w:rsidRPr="00581D40">
        <w:t> </w:t>
      </w:r>
      <w:r w:rsidRPr="00581D40">
        <w:t>de</w:t>
      </w:r>
      <w:r w:rsidR="00024037" w:rsidRPr="00581D40">
        <w:t> </w:t>
      </w:r>
      <w:r w:rsidRPr="00581D40">
        <w:t>2018.</w:t>
      </w:r>
    </w:p>
    <w:p w14:paraId="3538D58A" w14:textId="77777777" w:rsidR="00B82C45" w:rsidRPr="00581D40" w:rsidRDefault="00B82C45" w:rsidP="00582959">
      <w:pPr>
        <w:pStyle w:val="Normalnumber"/>
        <w:numPr>
          <w:ilvl w:val="0"/>
          <w:numId w:val="6"/>
        </w:numPr>
        <w:tabs>
          <w:tab w:val="clear" w:pos="1134"/>
        </w:tabs>
        <w:spacing w:before="120"/>
      </w:pPr>
      <w:r w:rsidRPr="00581D40">
        <w:t xml:space="preserve">De conformidad con el Reglamento Financiero y la Reglamentación Financiera Detallada de las Naciones Unidas, en la decisión MC-1/15, la Conferencia de las Partes autorizó a la Secretaria Ejecutiva a ajustar la escala para incluir a todas las Partes para las que el Convenio entró en vigor antes del 1 de enero de 2018 para 2018 y antes del 1 de enero de 2019 para 2019. </w:t>
      </w:r>
    </w:p>
    <w:p w14:paraId="6064E8E5" w14:textId="77777777" w:rsidR="00B82C45" w:rsidRPr="00581D40" w:rsidRDefault="00B82C45" w:rsidP="00582959">
      <w:pPr>
        <w:pStyle w:val="Normalnumber"/>
        <w:numPr>
          <w:ilvl w:val="0"/>
          <w:numId w:val="6"/>
        </w:numPr>
        <w:tabs>
          <w:tab w:val="clear" w:pos="1134"/>
        </w:tabs>
        <w:spacing w:before="120"/>
      </w:pPr>
      <w:r w:rsidRPr="00581D40">
        <w:t xml:space="preserve">De conformidad con el párrafo 5 del artículo 5 del Reglamento Financiero, las contribuciones de los Estados que pasen a ser Partes en el Convenio después de iniciado un ejercicio financiero se prorratearán para el resto de ese ejercicio financiero, con los consiguientes ajustes introducidos al final de cada ejercicio económico para las demás Partes. </w:t>
      </w:r>
    </w:p>
    <w:p w14:paraId="1A478A43" w14:textId="77777777" w:rsidR="00B82C45" w:rsidRPr="00581D40" w:rsidRDefault="00B82C45" w:rsidP="00582959">
      <w:pPr>
        <w:pStyle w:val="Normalnumber"/>
        <w:numPr>
          <w:ilvl w:val="0"/>
          <w:numId w:val="6"/>
        </w:numPr>
        <w:tabs>
          <w:tab w:val="clear" w:pos="1134"/>
        </w:tabs>
        <w:spacing w:before="120"/>
      </w:pPr>
      <w:r w:rsidRPr="00581D40">
        <w:t xml:space="preserve">Al 31 de agosto de 2018, el total de contribuciones al Fondo Fiduciario General era de 2.768.264 dólares, lo que representaba las contribuciones recibidas de 32 Partes y 72% del total de contribuciones previstas. Esa cifra incluye la contribución de Suiza del 60% de un millón de francos, o 599.640 dólares. </w:t>
      </w:r>
    </w:p>
    <w:p w14:paraId="458FE37D" w14:textId="520CD237" w:rsidR="00B82C45" w:rsidRPr="00581D40" w:rsidRDefault="00B6447D" w:rsidP="00582959">
      <w:pPr>
        <w:pStyle w:val="Normalnumber"/>
        <w:numPr>
          <w:ilvl w:val="0"/>
          <w:numId w:val="6"/>
        </w:numPr>
        <w:tabs>
          <w:tab w:val="clear" w:pos="1134"/>
        </w:tabs>
        <w:spacing w:before="120"/>
      </w:pPr>
      <w:r w:rsidRPr="00581D40">
        <w:lastRenderedPageBreak/>
        <w:t>Se esperaba que l</w:t>
      </w:r>
      <w:r w:rsidR="00B82C45" w:rsidRPr="00581D40">
        <w:t xml:space="preserve">as contribuciones al Fondo Fiduciario General </w:t>
      </w:r>
      <w:r w:rsidRPr="00581D40">
        <w:t xml:space="preserve">se hubiesen hecho efectivas </w:t>
      </w:r>
      <w:r w:rsidR="00B82C45" w:rsidRPr="00581D40">
        <w:t>al 1 de enero de 2018, con prontitud y en su totalidad, de conformidad con lo dispuesto en el párrafo 3 del artículo</w:t>
      </w:r>
      <w:r w:rsidR="00BD79CB" w:rsidRPr="00581D40">
        <w:t> </w:t>
      </w:r>
      <w:r w:rsidR="00B82C45" w:rsidRPr="00581D40">
        <w:t xml:space="preserve">5 del Reglamento Financiero. Las contribuciones pendientes de pago deberán recibirse a más tardar el 31 de diciembre de 2018. </w:t>
      </w:r>
    </w:p>
    <w:p w14:paraId="3C170043" w14:textId="77777777" w:rsidR="00B82C45" w:rsidRPr="00581D40" w:rsidRDefault="00B82C45" w:rsidP="00582959">
      <w:pPr>
        <w:pStyle w:val="Normalnumber"/>
        <w:numPr>
          <w:ilvl w:val="0"/>
          <w:numId w:val="6"/>
        </w:numPr>
        <w:tabs>
          <w:tab w:val="clear" w:pos="1134"/>
        </w:tabs>
        <w:spacing w:before="120"/>
      </w:pPr>
      <w:r w:rsidRPr="00581D40">
        <w:t>No se han recibido contribuciones al Fondo Fiduciario General de Estados que no son Partes en el Convenio ni de otras organizaciones gubernamentales, intergubernamentales o no gubernamentales u otras</w:t>
      </w:r>
      <w:r w:rsidR="00C412CF" w:rsidRPr="00581D40">
        <w:t> </w:t>
      </w:r>
      <w:r w:rsidRPr="00581D40">
        <w:t xml:space="preserve">fuentes. </w:t>
      </w:r>
    </w:p>
    <w:p w14:paraId="5971D99D" w14:textId="77777777" w:rsidR="00B82C45" w:rsidRPr="00581D40" w:rsidRDefault="00B82C45" w:rsidP="00582959">
      <w:pPr>
        <w:pStyle w:val="Normalnumber"/>
        <w:numPr>
          <w:ilvl w:val="0"/>
          <w:numId w:val="6"/>
        </w:numPr>
        <w:tabs>
          <w:tab w:val="clear" w:pos="1134"/>
        </w:tabs>
        <w:spacing w:before="120"/>
      </w:pPr>
      <w:r w:rsidRPr="00581D40">
        <w:t xml:space="preserve">Al cierre del ejercicio económico de 2018 se publicará un cuadro detallado del estado de las contribuciones al Fondo Fiduciario Especial para 2018, el cual formará parte de los documentos presupuestarios para </w:t>
      </w:r>
      <w:r w:rsidR="003B6040" w:rsidRPr="00581D40">
        <w:t xml:space="preserve">la </w:t>
      </w:r>
      <w:r w:rsidRPr="00581D40">
        <w:t xml:space="preserve">tercera reunión de la Conferencia de las Partes. </w:t>
      </w:r>
    </w:p>
    <w:p w14:paraId="7FB63C9D" w14:textId="77777777" w:rsidR="00B82C45" w:rsidRPr="00581D40" w:rsidRDefault="00B82C45" w:rsidP="00B82C45">
      <w:pPr>
        <w:pStyle w:val="CH2"/>
      </w:pPr>
      <w:r w:rsidRPr="00581D40">
        <w:tab/>
        <w:t>C.</w:t>
      </w:r>
      <w:r w:rsidRPr="00581D40">
        <w:tab/>
      </w:r>
      <w:r w:rsidRPr="00581D40">
        <w:rPr>
          <w:bCs/>
        </w:rPr>
        <w:t>Estado del Fondo Fiduciario Especial al 31 de agosto de 2018</w:t>
      </w:r>
    </w:p>
    <w:p w14:paraId="0D405869" w14:textId="77777777" w:rsidR="00B82C45" w:rsidRPr="00581D40" w:rsidRDefault="00B82C45" w:rsidP="00582959">
      <w:pPr>
        <w:pStyle w:val="Normalnumber"/>
        <w:numPr>
          <w:ilvl w:val="0"/>
          <w:numId w:val="6"/>
        </w:numPr>
        <w:tabs>
          <w:tab w:val="clear" w:pos="1134"/>
        </w:tabs>
        <w:spacing w:before="120"/>
      </w:pPr>
      <w:r w:rsidRPr="00581D40">
        <w:t xml:space="preserve">De conformidad con el artículo 4 del Reglamento Financiero, el Fondo Fiduciario Especial recibe contribuciones de las Partes y los Estados que no son </w:t>
      </w:r>
      <w:r w:rsidR="003B6040" w:rsidRPr="00581D40">
        <w:t>P</w:t>
      </w:r>
      <w:r w:rsidRPr="00581D40">
        <w:t xml:space="preserve">artes en el Convenio y a otras entidades con capacidad para hacerlo con vistas a apoyar las actividades de la Secretaría del Convenio de Minamata de conformidad con el artículo 14 del Convenio, así como para respaldar la participación de representantes de los países en desarrollo, en particular los países menos adelantados y los pequeños Estados insulares en desarrollo, y de representantes de las Partes con economías en transición, en las reuniones de la Conferencia de las Partes y sus órganos subsidiarios. </w:t>
      </w:r>
    </w:p>
    <w:p w14:paraId="788C73E8" w14:textId="77777777" w:rsidR="00B82C45" w:rsidRPr="00581D40" w:rsidRDefault="00B82C45" w:rsidP="00582959">
      <w:pPr>
        <w:pStyle w:val="Normalnumber"/>
        <w:numPr>
          <w:ilvl w:val="0"/>
          <w:numId w:val="6"/>
        </w:numPr>
        <w:tabs>
          <w:tab w:val="clear" w:pos="1134"/>
        </w:tabs>
        <w:spacing w:before="120"/>
      </w:pPr>
      <w:r w:rsidRPr="00581D40">
        <w:t xml:space="preserve">Cabe señalar que en el anexo del Reglamento Financiero se invita al jefe de la Secretaría a que mantenga contactos con el Director Ejecutivo del Programa de las Naciones Unidas para el Medio Ambiente con miras a conseguir una derogación del cargo en concepto de gastos de apoyo a los programas con respecto a las contribuciones al Fondo Fiduciario Especial para la participación de representantes de países en desarrollo y países con economías en transición, en el entendimiento de que las sumas así economizadas se utilizarán para potenciar la representación de las Partes elegibles. </w:t>
      </w:r>
    </w:p>
    <w:p w14:paraId="3F477B39" w14:textId="77777777" w:rsidR="00B82C45" w:rsidRPr="00581D40" w:rsidRDefault="00B82C45" w:rsidP="00582959">
      <w:pPr>
        <w:pStyle w:val="Normalnumber"/>
        <w:numPr>
          <w:ilvl w:val="0"/>
          <w:numId w:val="6"/>
        </w:numPr>
        <w:tabs>
          <w:tab w:val="clear" w:pos="1134"/>
        </w:tabs>
        <w:spacing w:before="120"/>
      </w:pPr>
      <w:r w:rsidRPr="00581D40">
        <w:t xml:space="preserve">Además, de conformidad con los artículos 4 y 5 del Reglamento Financiero, se ha de priorizar la contribución de Suiza como país anfitrión al Fondo Fiduciario Especial para facilitar la participación de representantes de Partes que son países en desarrollo, en particular a los países menos adelantados y los pequeños Estados insulares en desarrollo, y representantes de las Partes con economías en transición, en las reuniones de la Conferencia de las Partes y sus órganos subsidiarios. </w:t>
      </w:r>
    </w:p>
    <w:p w14:paraId="344F21EF" w14:textId="77777777" w:rsidR="00B82C45" w:rsidRPr="00581D40" w:rsidRDefault="00B82C45" w:rsidP="00582959">
      <w:pPr>
        <w:pStyle w:val="Normalnumber"/>
        <w:numPr>
          <w:ilvl w:val="0"/>
          <w:numId w:val="6"/>
        </w:numPr>
        <w:tabs>
          <w:tab w:val="clear" w:pos="1134"/>
        </w:tabs>
        <w:spacing w:before="120"/>
      </w:pPr>
      <w:r w:rsidRPr="00581D40">
        <w:t xml:space="preserve">La contribución de Suiza al Fondo Fiduciario Especial, que representa el 40% de la contribución del país anfitrión, fue recibida y ascendió a 399.760 dólares. </w:t>
      </w:r>
    </w:p>
    <w:p w14:paraId="5AD59AB3" w14:textId="77777777" w:rsidR="00B82C45" w:rsidRPr="00581D40" w:rsidRDefault="00B82C45" w:rsidP="00582959">
      <w:pPr>
        <w:pStyle w:val="Normalnumber"/>
        <w:numPr>
          <w:ilvl w:val="0"/>
          <w:numId w:val="6"/>
        </w:numPr>
        <w:tabs>
          <w:tab w:val="clear" w:pos="1134"/>
        </w:tabs>
        <w:spacing w:before="120"/>
      </w:pPr>
      <w:r w:rsidRPr="00581D40">
        <w:t>Al 31 de agosto de 2018, las promesas de contribución al Fondo Fiduciario Especial ascendían a</w:t>
      </w:r>
      <w:r w:rsidR="00024037" w:rsidRPr="00581D40">
        <w:t> </w:t>
      </w:r>
      <w:r w:rsidRPr="00581D40">
        <w:t>1.851.156 dólares. Además de la contribución del país anfitrión, se recibieron promesas de contribución de Austria, Filipinas, Finlandia, Francia, el Japón, Noruega, Suecia</w:t>
      </w:r>
      <w:r w:rsidR="003B6040" w:rsidRPr="00581D40">
        <w:t>,</w:t>
      </w:r>
      <w:r w:rsidRPr="00581D40">
        <w:t xml:space="preserve"> Suiza</w:t>
      </w:r>
      <w:r w:rsidR="003B6040" w:rsidRPr="00581D40">
        <w:t xml:space="preserve"> y la Unión Europea</w:t>
      </w:r>
      <w:r w:rsidRPr="00581D40">
        <w:t>.</w:t>
      </w:r>
    </w:p>
    <w:p w14:paraId="4F9CACCD" w14:textId="77777777" w:rsidR="00737F2E" w:rsidRPr="00581D40" w:rsidRDefault="00B82C45" w:rsidP="00582959">
      <w:pPr>
        <w:pStyle w:val="Normalnumber"/>
        <w:numPr>
          <w:ilvl w:val="0"/>
          <w:numId w:val="6"/>
        </w:numPr>
        <w:tabs>
          <w:tab w:val="clear" w:pos="1134"/>
        </w:tabs>
        <w:spacing w:before="120"/>
      </w:pPr>
      <w:r w:rsidRPr="00581D40">
        <w:t xml:space="preserve">Al cierre del ejercicio económico de 2018 se publicará un cuadro detallado del estado de las contribuciones al Fondo Fiduciario Especial para 2018, el cual formará parte de los documentos presupuestarios para </w:t>
      </w:r>
      <w:r w:rsidR="003B6040" w:rsidRPr="00581D40">
        <w:t xml:space="preserve">la </w:t>
      </w:r>
      <w:r w:rsidRPr="00581D40">
        <w:t xml:space="preserve">tercera reunión de la Conferencia de las Partes. </w:t>
      </w:r>
    </w:p>
    <w:p w14:paraId="489E2444" w14:textId="77777777" w:rsidR="00B82C45" w:rsidRPr="00581D40" w:rsidRDefault="00B82C45" w:rsidP="00B82C45">
      <w:pPr>
        <w:pStyle w:val="CH2"/>
      </w:pPr>
      <w:r w:rsidRPr="00581D40">
        <w:tab/>
        <w:t>D.</w:t>
      </w:r>
      <w:r w:rsidRPr="00581D40">
        <w:tab/>
      </w:r>
      <w:r w:rsidRPr="00581D40">
        <w:rPr>
          <w:bCs/>
        </w:rPr>
        <w:t>Estado del Fondo Fiduciario Específico al 31 de agosto de 2018</w:t>
      </w:r>
    </w:p>
    <w:p w14:paraId="75E21ED7" w14:textId="77777777" w:rsidR="00B82C45" w:rsidRPr="00581D40" w:rsidRDefault="00B82C45" w:rsidP="00582959">
      <w:pPr>
        <w:pStyle w:val="Normalnumber"/>
        <w:numPr>
          <w:ilvl w:val="0"/>
          <w:numId w:val="6"/>
        </w:numPr>
        <w:tabs>
          <w:tab w:val="clear" w:pos="1134"/>
        </w:tabs>
        <w:spacing w:before="120"/>
      </w:pPr>
      <w:r w:rsidRPr="00581D40">
        <w:t xml:space="preserve">Como se afirma en el anexo I de la decisión MC-1/6, se alienta a un amplio espectro de fuentes, esto es, todas las Partes en el Convenio de Minamata que estén en condiciones de hacer contribuciones, y otros interesados pertinentes, como Gobiernos, empresas privadas, fundaciones, organizaciones no gubernamentales, organizaciones intergubernamentales, el mundo académico y otros agentes de la sociedad civil, a que hagan contribuciones al Fondo Fiduciario Específico. </w:t>
      </w:r>
    </w:p>
    <w:p w14:paraId="7EC60BA6" w14:textId="77777777" w:rsidR="00B82C45" w:rsidRPr="00581D40" w:rsidRDefault="00B82C45" w:rsidP="00582959">
      <w:pPr>
        <w:pStyle w:val="Normalnumber"/>
        <w:numPr>
          <w:ilvl w:val="0"/>
          <w:numId w:val="6"/>
        </w:numPr>
        <w:tabs>
          <w:tab w:val="clear" w:pos="1134"/>
        </w:tabs>
        <w:spacing w:before="120"/>
      </w:pPr>
      <w:r w:rsidRPr="00581D40">
        <w:t>Al 31 de agosto de 2018, las promesas de contribución al Fondo Fiduciario Específico ascendían a</w:t>
      </w:r>
      <w:r w:rsidR="00024037" w:rsidRPr="00581D40">
        <w:t> </w:t>
      </w:r>
      <w:r w:rsidRPr="00581D40">
        <w:t xml:space="preserve">1.281.448 dólares. Prometieron hacer contribuciones los países siguientes: Alemania, Austria, Dinamarca, los Estados Unidos de América, Noruega, los Países Bajos, el Reino Unido de Gran Bretaña e Irlanda del Norte, y Suecia. </w:t>
      </w:r>
    </w:p>
    <w:p w14:paraId="0EB9CEBA" w14:textId="77777777" w:rsidR="00B82C45" w:rsidRPr="00581D40" w:rsidRDefault="00B82C45" w:rsidP="00582959">
      <w:pPr>
        <w:pStyle w:val="Normalnumber"/>
        <w:numPr>
          <w:ilvl w:val="0"/>
          <w:numId w:val="6"/>
        </w:numPr>
        <w:tabs>
          <w:tab w:val="clear" w:pos="1134"/>
        </w:tabs>
        <w:spacing w:before="120"/>
      </w:pPr>
      <w:r w:rsidRPr="00581D40">
        <w:t>Al 31 de agosto de 2018 se ha recibido de Suiza una contribución de un millón de francos suizos para el Programa internacional específico, cantidad que se mantiene en custodia a la espera del resultado de la segunda reunión de la Conferencia de las Partes relativo a las disposiciones para la Secretaría del Convenio de Minamata.</w:t>
      </w:r>
    </w:p>
    <w:p w14:paraId="093C6CF2" w14:textId="77777777" w:rsidR="00B82C45" w:rsidRPr="00581D40" w:rsidRDefault="00B82C45" w:rsidP="00582959">
      <w:pPr>
        <w:pStyle w:val="Normalnumber"/>
        <w:numPr>
          <w:ilvl w:val="0"/>
          <w:numId w:val="6"/>
        </w:numPr>
        <w:tabs>
          <w:tab w:val="clear" w:pos="1134"/>
        </w:tabs>
        <w:spacing w:before="120"/>
      </w:pPr>
      <w:r w:rsidRPr="00581D40">
        <w:t xml:space="preserve">Las contribuciones al Fondo Fiduciario Específico se destinarán a proyectos dirigidos por los países tras la selección de los proyectos por la Junta Directiva del Programa internacional específico. El Fondo Fiduciario Específico también sufraga todos los costos relacionados con las reuniones y la labor de la Junta Directiva y el Programa internacional específico (excepto los gastos de personal). </w:t>
      </w:r>
    </w:p>
    <w:p w14:paraId="6E2C3C4E" w14:textId="77777777" w:rsidR="00B82C45" w:rsidRPr="00581D40" w:rsidRDefault="00B82C45" w:rsidP="00582959">
      <w:pPr>
        <w:pStyle w:val="Normalnumber"/>
        <w:numPr>
          <w:ilvl w:val="0"/>
          <w:numId w:val="6"/>
        </w:numPr>
        <w:tabs>
          <w:tab w:val="clear" w:pos="1134"/>
        </w:tabs>
        <w:spacing w:before="120"/>
      </w:pPr>
      <w:r w:rsidRPr="00581D40">
        <w:lastRenderedPageBreak/>
        <w:t>Para más información sobre el Programa internacional específico, véase UNEP/MC/COP.2/9.</w:t>
      </w:r>
    </w:p>
    <w:p w14:paraId="3212659D" w14:textId="77777777" w:rsidR="00B82C45" w:rsidRPr="00581D40" w:rsidRDefault="00B82C45" w:rsidP="00B82C45">
      <w:pPr>
        <w:pStyle w:val="CH2"/>
      </w:pPr>
      <w:r w:rsidRPr="00581D40">
        <w:tab/>
        <w:t>E.</w:t>
      </w:r>
      <w:r w:rsidRPr="00581D40">
        <w:tab/>
      </w:r>
      <w:r w:rsidRPr="00581D40">
        <w:rPr>
          <w:bCs/>
        </w:rPr>
        <w:t>Ejecución del programa de trabajo y presupuesto de 2018</w:t>
      </w:r>
    </w:p>
    <w:p w14:paraId="06D0F375" w14:textId="50E96185" w:rsidR="00B82C45" w:rsidRPr="00581D40" w:rsidRDefault="00B82C45" w:rsidP="00582959">
      <w:pPr>
        <w:pStyle w:val="Normalnumber"/>
        <w:numPr>
          <w:ilvl w:val="0"/>
          <w:numId w:val="6"/>
        </w:numPr>
        <w:tabs>
          <w:tab w:val="clear" w:pos="1134"/>
        </w:tabs>
        <w:spacing w:before="120"/>
      </w:pPr>
      <w:r w:rsidRPr="00581D40">
        <w:t xml:space="preserve">De conformidad con las decisiones MC-1/15 y MC-1/11, la Secretaría procedió a ejecutar el programa de trabajo y el presupuesto del Convenio de Minamata correspondientes a 2018, que figuran a continuación. Conviene señalar que la presente nota se preparó </w:t>
      </w:r>
      <w:r w:rsidR="00960C45" w:rsidRPr="00581D40">
        <w:t xml:space="preserve">a finales de </w:t>
      </w:r>
      <w:r w:rsidRPr="00581D40">
        <w:t xml:space="preserve">agosto de 2018, tan solo ocho meses después de la puesta en marcha del primer programa de trabajo del Convenio. </w:t>
      </w:r>
    </w:p>
    <w:p w14:paraId="1918848E" w14:textId="77777777" w:rsidR="00B82C45" w:rsidRPr="00581D40" w:rsidRDefault="00B82C45" w:rsidP="00B82C45">
      <w:pPr>
        <w:pStyle w:val="CH3"/>
      </w:pPr>
      <w:r w:rsidRPr="00581D40">
        <w:tab/>
        <w:t>1.</w:t>
      </w:r>
      <w:r w:rsidRPr="00581D40">
        <w:tab/>
      </w:r>
      <w:r w:rsidRPr="00581D40">
        <w:rPr>
          <w:bCs/>
        </w:rPr>
        <w:t>Dotación de personal de la Secretaría del Convenio de Minamata en 2018</w:t>
      </w:r>
    </w:p>
    <w:p w14:paraId="5CA20623" w14:textId="77777777" w:rsidR="00B82C45" w:rsidRPr="00581D40" w:rsidRDefault="00B82C45" w:rsidP="00582959">
      <w:pPr>
        <w:pStyle w:val="Normalnumber"/>
        <w:numPr>
          <w:ilvl w:val="0"/>
          <w:numId w:val="6"/>
        </w:numPr>
        <w:tabs>
          <w:tab w:val="clear" w:pos="1134"/>
        </w:tabs>
        <w:spacing w:before="120"/>
      </w:pPr>
      <w:r w:rsidRPr="00581D40">
        <w:t>En la decisión MC-1/15, la Conferencia de las Partes aprobó la siguiente plantilla indicativa para el bienio 2018-2019 a partir de los costos estándar de los puestos en Ginebra:</w:t>
      </w:r>
    </w:p>
    <w:p w14:paraId="4ED262A7" w14:textId="77777777" w:rsidR="00B82C45" w:rsidRPr="00581D40" w:rsidRDefault="00B82C45" w:rsidP="00B82C45">
      <w:pPr>
        <w:pStyle w:val="Titlefigure"/>
      </w:pPr>
      <w:r w:rsidRPr="00581D40">
        <w:rPr>
          <w:b w:val="0"/>
        </w:rPr>
        <w:t>Cuadro 1</w:t>
      </w:r>
      <w:r w:rsidR="002C0FDD" w:rsidRPr="00581D40">
        <w:rPr>
          <w:b w:val="0"/>
        </w:rPr>
        <w:br/>
      </w:r>
      <w:r w:rsidRPr="00581D40">
        <w:rPr>
          <w:bCs/>
        </w:rPr>
        <w:t>Necesidades orientativas de personal para la Secretaría del Convenio de Minamata en Ginebra</w:t>
      </w:r>
    </w:p>
    <w:p w14:paraId="781F76C2" w14:textId="77777777" w:rsidR="00B82C45" w:rsidRPr="00581D40" w:rsidRDefault="00B82C45" w:rsidP="00B82C45">
      <w:pPr>
        <w:pStyle w:val="Titlefigure"/>
        <w:rPr>
          <w:b w:val="0"/>
          <w:sz w:val="18"/>
          <w:szCs w:val="18"/>
        </w:rPr>
      </w:pPr>
      <w:r w:rsidRPr="00581D40">
        <w:rPr>
          <w:b w:val="0"/>
          <w:sz w:val="18"/>
          <w:szCs w:val="18"/>
        </w:rPr>
        <w:t xml:space="preserve">(en dólares de los Estados Unidos) </w:t>
      </w:r>
    </w:p>
    <w:tbl>
      <w:tblPr>
        <w:tblW w:w="0" w:type="auto"/>
        <w:tblInd w:w="1247" w:type="dxa"/>
        <w:tblLayout w:type="fixed"/>
        <w:tblLook w:val="04A0" w:firstRow="1" w:lastRow="0" w:firstColumn="1" w:lastColumn="0" w:noHBand="0" w:noVBand="1"/>
      </w:tblPr>
      <w:tblGrid>
        <w:gridCol w:w="3998"/>
        <w:gridCol w:w="846"/>
        <w:gridCol w:w="430"/>
        <w:gridCol w:w="1875"/>
        <w:gridCol w:w="1186"/>
      </w:tblGrid>
      <w:tr w:rsidR="00B82C45" w:rsidRPr="00581D40" w14:paraId="52279061" w14:textId="77777777" w:rsidTr="00637F9F">
        <w:tc>
          <w:tcPr>
            <w:tcW w:w="4844" w:type="dxa"/>
            <w:gridSpan w:val="2"/>
            <w:tcBorders>
              <w:top w:val="single" w:sz="4" w:space="0" w:color="auto"/>
              <w:bottom w:val="single" w:sz="12" w:space="0" w:color="auto"/>
            </w:tcBorders>
            <w:shd w:val="clear" w:color="auto" w:fill="auto"/>
            <w:noWrap/>
            <w:vAlign w:val="bottom"/>
          </w:tcPr>
          <w:p w14:paraId="6A1BE55D" w14:textId="77777777" w:rsidR="00B82C45" w:rsidRPr="00581D40" w:rsidRDefault="00B82C45" w:rsidP="00B82C45">
            <w:pPr>
              <w:spacing w:before="40" w:after="40"/>
              <w:rPr>
                <w:bCs/>
                <w:i/>
                <w:color w:val="000000"/>
                <w:sz w:val="18"/>
                <w:szCs w:val="18"/>
              </w:rPr>
            </w:pPr>
            <w:r w:rsidRPr="00581D40">
              <w:rPr>
                <w:i/>
                <w:iCs/>
                <w:sz w:val="18"/>
                <w:szCs w:val="18"/>
              </w:rPr>
              <w:t>Secretaría del Convenio de Minamata (Ginebra)</w:t>
            </w:r>
          </w:p>
        </w:tc>
        <w:tc>
          <w:tcPr>
            <w:tcW w:w="2305" w:type="dxa"/>
            <w:gridSpan w:val="2"/>
            <w:tcBorders>
              <w:top w:val="single" w:sz="4" w:space="0" w:color="auto"/>
              <w:bottom w:val="single" w:sz="12" w:space="0" w:color="auto"/>
            </w:tcBorders>
            <w:shd w:val="clear" w:color="auto" w:fill="auto"/>
            <w:noWrap/>
            <w:vAlign w:val="bottom"/>
            <w:hideMark/>
          </w:tcPr>
          <w:p w14:paraId="4B3B0869" w14:textId="77777777" w:rsidR="00B82C45" w:rsidRPr="00581D40" w:rsidRDefault="00B82C45" w:rsidP="00B82C45">
            <w:pPr>
              <w:spacing w:before="40" w:after="40"/>
              <w:rPr>
                <w:b/>
                <w:bCs/>
                <w:color w:val="000000"/>
                <w:sz w:val="18"/>
                <w:szCs w:val="18"/>
                <w:lang w:eastAsia="zh-TW"/>
              </w:rPr>
            </w:pPr>
          </w:p>
        </w:tc>
        <w:tc>
          <w:tcPr>
            <w:tcW w:w="1186" w:type="dxa"/>
            <w:tcBorders>
              <w:top w:val="single" w:sz="4" w:space="0" w:color="auto"/>
              <w:bottom w:val="single" w:sz="12" w:space="0" w:color="auto"/>
            </w:tcBorders>
            <w:shd w:val="clear" w:color="auto" w:fill="auto"/>
            <w:noWrap/>
            <w:vAlign w:val="bottom"/>
            <w:hideMark/>
          </w:tcPr>
          <w:p w14:paraId="32BE8601" w14:textId="77777777" w:rsidR="00B82C45" w:rsidRPr="00581D40" w:rsidRDefault="00B82C45" w:rsidP="00B82C45">
            <w:pPr>
              <w:spacing w:before="40" w:after="40"/>
              <w:rPr>
                <w:sz w:val="18"/>
                <w:szCs w:val="18"/>
                <w:lang w:eastAsia="zh-TW"/>
              </w:rPr>
            </w:pPr>
          </w:p>
        </w:tc>
      </w:tr>
      <w:tr w:rsidR="00B82C45" w:rsidRPr="00581D40" w14:paraId="1C626662" w14:textId="77777777" w:rsidTr="00637F9F">
        <w:tc>
          <w:tcPr>
            <w:tcW w:w="3998" w:type="dxa"/>
            <w:tcBorders>
              <w:top w:val="single" w:sz="12" w:space="0" w:color="auto"/>
              <w:bottom w:val="single" w:sz="4" w:space="0" w:color="auto"/>
            </w:tcBorders>
            <w:shd w:val="clear" w:color="auto" w:fill="auto"/>
            <w:noWrap/>
            <w:vAlign w:val="bottom"/>
            <w:hideMark/>
          </w:tcPr>
          <w:p w14:paraId="52DAC609" w14:textId="77777777" w:rsidR="00B82C45" w:rsidRPr="00581D40" w:rsidRDefault="00B82C45" w:rsidP="00B82C45">
            <w:pPr>
              <w:spacing w:before="40" w:after="40"/>
              <w:jc w:val="center"/>
              <w:rPr>
                <w:b/>
                <w:bCs/>
                <w:color w:val="000000"/>
                <w:sz w:val="18"/>
                <w:szCs w:val="18"/>
              </w:rPr>
            </w:pPr>
            <w:r w:rsidRPr="00581D40">
              <w:rPr>
                <w:b/>
                <w:bCs/>
                <w:sz w:val="18"/>
                <w:szCs w:val="18"/>
              </w:rPr>
              <w:t>Puestos de plantilla</w:t>
            </w:r>
          </w:p>
        </w:tc>
        <w:tc>
          <w:tcPr>
            <w:tcW w:w="1276" w:type="dxa"/>
            <w:gridSpan w:val="2"/>
            <w:tcBorders>
              <w:top w:val="single" w:sz="12" w:space="0" w:color="auto"/>
              <w:bottom w:val="single" w:sz="4" w:space="0" w:color="auto"/>
            </w:tcBorders>
            <w:shd w:val="clear" w:color="auto" w:fill="auto"/>
            <w:noWrap/>
            <w:vAlign w:val="bottom"/>
            <w:hideMark/>
          </w:tcPr>
          <w:p w14:paraId="2DEC1738" w14:textId="77777777" w:rsidR="00B82C45" w:rsidRPr="00581D40" w:rsidRDefault="00B82C45" w:rsidP="00B82C45">
            <w:pPr>
              <w:spacing w:before="40" w:after="40"/>
              <w:jc w:val="right"/>
              <w:rPr>
                <w:b/>
                <w:bCs/>
                <w:color w:val="000000"/>
                <w:sz w:val="18"/>
                <w:szCs w:val="18"/>
              </w:rPr>
            </w:pPr>
            <w:r w:rsidRPr="00581D40">
              <w:rPr>
                <w:b/>
                <w:bCs/>
                <w:sz w:val="18"/>
                <w:szCs w:val="18"/>
              </w:rPr>
              <w:t>Número de puestos</w:t>
            </w:r>
          </w:p>
        </w:tc>
        <w:tc>
          <w:tcPr>
            <w:tcW w:w="1875" w:type="dxa"/>
            <w:tcBorders>
              <w:top w:val="single" w:sz="12" w:space="0" w:color="auto"/>
              <w:bottom w:val="single" w:sz="4" w:space="0" w:color="auto"/>
            </w:tcBorders>
            <w:shd w:val="clear" w:color="auto" w:fill="auto"/>
            <w:noWrap/>
            <w:vAlign w:val="bottom"/>
            <w:hideMark/>
          </w:tcPr>
          <w:p w14:paraId="554391EA" w14:textId="77777777" w:rsidR="00B82C45" w:rsidRPr="00581D40" w:rsidRDefault="00B82C45" w:rsidP="00B82C45">
            <w:pPr>
              <w:spacing w:before="40" w:after="40"/>
              <w:jc w:val="right"/>
              <w:rPr>
                <w:b/>
                <w:bCs/>
                <w:color w:val="000000"/>
                <w:sz w:val="18"/>
                <w:szCs w:val="18"/>
              </w:rPr>
            </w:pPr>
            <w:r w:rsidRPr="00581D40">
              <w:rPr>
                <w:b/>
                <w:bCs/>
                <w:sz w:val="18"/>
                <w:szCs w:val="18"/>
              </w:rPr>
              <w:t xml:space="preserve">Costo estándar del </w:t>
            </w:r>
            <w:r w:rsidR="00637F9F" w:rsidRPr="00581D40">
              <w:rPr>
                <w:b/>
                <w:bCs/>
                <w:sz w:val="18"/>
                <w:szCs w:val="18"/>
              </w:rPr>
              <w:br/>
            </w:r>
            <w:r w:rsidRPr="00581D40">
              <w:rPr>
                <w:b/>
                <w:bCs/>
                <w:sz w:val="18"/>
                <w:szCs w:val="18"/>
              </w:rPr>
              <w:t>puesto en Ginebra</w:t>
            </w:r>
          </w:p>
        </w:tc>
        <w:tc>
          <w:tcPr>
            <w:tcW w:w="1186" w:type="dxa"/>
            <w:tcBorders>
              <w:top w:val="single" w:sz="12" w:space="0" w:color="auto"/>
              <w:bottom w:val="single" w:sz="4" w:space="0" w:color="auto"/>
            </w:tcBorders>
            <w:shd w:val="clear" w:color="auto" w:fill="auto"/>
            <w:noWrap/>
            <w:vAlign w:val="bottom"/>
            <w:hideMark/>
          </w:tcPr>
          <w:p w14:paraId="1C419E4B" w14:textId="77777777" w:rsidR="00B82C45" w:rsidRPr="00581D40" w:rsidRDefault="00B82C45" w:rsidP="00B82C45">
            <w:pPr>
              <w:spacing w:before="40" w:after="40"/>
              <w:jc w:val="right"/>
              <w:rPr>
                <w:b/>
                <w:bCs/>
                <w:color w:val="000000"/>
                <w:sz w:val="18"/>
                <w:szCs w:val="18"/>
              </w:rPr>
            </w:pPr>
            <w:r w:rsidRPr="00581D40">
              <w:rPr>
                <w:b/>
                <w:bCs/>
                <w:sz w:val="18"/>
                <w:szCs w:val="18"/>
              </w:rPr>
              <w:t>Total</w:t>
            </w:r>
          </w:p>
        </w:tc>
      </w:tr>
      <w:tr w:rsidR="00B82C45" w:rsidRPr="00581D40" w14:paraId="6250B9B8" w14:textId="77777777" w:rsidTr="00637F9F">
        <w:tc>
          <w:tcPr>
            <w:tcW w:w="3998" w:type="dxa"/>
            <w:tcBorders>
              <w:top w:val="single" w:sz="4" w:space="0" w:color="auto"/>
            </w:tcBorders>
            <w:shd w:val="clear" w:color="auto" w:fill="auto"/>
            <w:noWrap/>
            <w:vAlign w:val="bottom"/>
            <w:hideMark/>
          </w:tcPr>
          <w:p w14:paraId="05FE8DDB" w14:textId="77777777" w:rsidR="00B82C45" w:rsidRPr="00581D40" w:rsidRDefault="00B82C45" w:rsidP="00B82C45">
            <w:pPr>
              <w:spacing w:before="40" w:after="40"/>
              <w:rPr>
                <w:color w:val="000000"/>
                <w:sz w:val="18"/>
                <w:szCs w:val="18"/>
              </w:rPr>
            </w:pPr>
            <w:r w:rsidRPr="00581D40">
              <w:rPr>
                <w:sz w:val="18"/>
                <w:szCs w:val="18"/>
              </w:rPr>
              <w:t>D-1 Secretaria Ejecutiva</w:t>
            </w:r>
          </w:p>
        </w:tc>
        <w:tc>
          <w:tcPr>
            <w:tcW w:w="1276" w:type="dxa"/>
            <w:gridSpan w:val="2"/>
            <w:tcBorders>
              <w:top w:val="single" w:sz="4" w:space="0" w:color="auto"/>
            </w:tcBorders>
            <w:shd w:val="clear" w:color="auto" w:fill="auto"/>
            <w:noWrap/>
            <w:vAlign w:val="bottom"/>
            <w:hideMark/>
          </w:tcPr>
          <w:p w14:paraId="1194AC48" w14:textId="77777777" w:rsidR="00B82C45" w:rsidRPr="00581D40" w:rsidRDefault="00B82C45" w:rsidP="00B82C45">
            <w:pPr>
              <w:spacing w:before="40" w:after="40"/>
              <w:jc w:val="right"/>
              <w:rPr>
                <w:color w:val="000000"/>
                <w:sz w:val="18"/>
                <w:szCs w:val="18"/>
              </w:rPr>
            </w:pPr>
            <w:r w:rsidRPr="00581D40">
              <w:rPr>
                <w:sz w:val="18"/>
                <w:szCs w:val="18"/>
              </w:rPr>
              <w:t>1</w:t>
            </w:r>
          </w:p>
        </w:tc>
        <w:tc>
          <w:tcPr>
            <w:tcW w:w="1875" w:type="dxa"/>
            <w:tcBorders>
              <w:top w:val="single" w:sz="4" w:space="0" w:color="auto"/>
            </w:tcBorders>
            <w:shd w:val="clear" w:color="auto" w:fill="auto"/>
            <w:noWrap/>
            <w:vAlign w:val="bottom"/>
            <w:hideMark/>
          </w:tcPr>
          <w:p w14:paraId="0FA1EF98" w14:textId="77777777" w:rsidR="00B82C45" w:rsidRPr="00581D40" w:rsidRDefault="00B82C45" w:rsidP="00B82C45">
            <w:pPr>
              <w:spacing w:before="40" w:after="40"/>
              <w:jc w:val="right"/>
              <w:rPr>
                <w:color w:val="000000"/>
                <w:sz w:val="18"/>
                <w:szCs w:val="18"/>
              </w:rPr>
            </w:pPr>
            <w:r w:rsidRPr="00581D40">
              <w:rPr>
                <w:sz w:val="18"/>
                <w:szCs w:val="18"/>
              </w:rPr>
              <w:t>290 100</w:t>
            </w:r>
          </w:p>
        </w:tc>
        <w:tc>
          <w:tcPr>
            <w:tcW w:w="1186" w:type="dxa"/>
            <w:tcBorders>
              <w:top w:val="single" w:sz="4" w:space="0" w:color="auto"/>
            </w:tcBorders>
            <w:shd w:val="clear" w:color="auto" w:fill="auto"/>
            <w:noWrap/>
            <w:vAlign w:val="bottom"/>
            <w:hideMark/>
          </w:tcPr>
          <w:p w14:paraId="52715EDA" w14:textId="77777777" w:rsidR="00B82C45" w:rsidRPr="00581D40" w:rsidRDefault="00B82C45" w:rsidP="00B82C45">
            <w:pPr>
              <w:spacing w:before="40" w:after="40"/>
              <w:jc w:val="right"/>
              <w:rPr>
                <w:color w:val="000000"/>
                <w:sz w:val="18"/>
                <w:szCs w:val="18"/>
              </w:rPr>
            </w:pPr>
            <w:r w:rsidRPr="00581D40">
              <w:rPr>
                <w:sz w:val="18"/>
                <w:szCs w:val="18"/>
              </w:rPr>
              <w:t>290 100</w:t>
            </w:r>
          </w:p>
        </w:tc>
      </w:tr>
      <w:tr w:rsidR="00B82C45" w:rsidRPr="00581D40" w14:paraId="170E2200" w14:textId="77777777" w:rsidTr="00637F9F">
        <w:tc>
          <w:tcPr>
            <w:tcW w:w="3998" w:type="dxa"/>
            <w:shd w:val="clear" w:color="auto" w:fill="auto"/>
            <w:noWrap/>
            <w:vAlign w:val="bottom"/>
            <w:hideMark/>
          </w:tcPr>
          <w:p w14:paraId="4DF1B098" w14:textId="77777777" w:rsidR="00B82C45" w:rsidRPr="00581D40" w:rsidRDefault="00B82C45" w:rsidP="00B82C45">
            <w:pPr>
              <w:spacing w:before="40" w:after="40"/>
              <w:rPr>
                <w:color w:val="000000"/>
                <w:sz w:val="18"/>
                <w:szCs w:val="18"/>
              </w:rPr>
            </w:pPr>
            <w:r w:rsidRPr="00581D40">
              <w:rPr>
                <w:sz w:val="18"/>
                <w:szCs w:val="18"/>
              </w:rPr>
              <w:t>P-5 Coordinación y políticas</w:t>
            </w:r>
          </w:p>
        </w:tc>
        <w:tc>
          <w:tcPr>
            <w:tcW w:w="1276" w:type="dxa"/>
            <w:gridSpan w:val="2"/>
            <w:shd w:val="clear" w:color="auto" w:fill="auto"/>
            <w:noWrap/>
            <w:vAlign w:val="bottom"/>
            <w:hideMark/>
          </w:tcPr>
          <w:p w14:paraId="4C108E83" w14:textId="77777777" w:rsidR="00B82C45" w:rsidRPr="00581D40" w:rsidRDefault="00B82C45" w:rsidP="00B82C45">
            <w:pPr>
              <w:spacing w:before="40" w:after="40"/>
              <w:jc w:val="right"/>
              <w:rPr>
                <w:color w:val="000000"/>
                <w:sz w:val="18"/>
                <w:szCs w:val="18"/>
              </w:rPr>
            </w:pPr>
            <w:r w:rsidRPr="00581D40">
              <w:rPr>
                <w:sz w:val="18"/>
                <w:szCs w:val="18"/>
              </w:rPr>
              <w:t>1</w:t>
            </w:r>
          </w:p>
        </w:tc>
        <w:tc>
          <w:tcPr>
            <w:tcW w:w="1875" w:type="dxa"/>
            <w:shd w:val="clear" w:color="auto" w:fill="auto"/>
            <w:noWrap/>
            <w:vAlign w:val="bottom"/>
            <w:hideMark/>
          </w:tcPr>
          <w:p w14:paraId="32380285" w14:textId="77777777" w:rsidR="00B82C45" w:rsidRPr="00581D40" w:rsidRDefault="00B82C45" w:rsidP="00B82C45">
            <w:pPr>
              <w:spacing w:before="40" w:after="40"/>
              <w:jc w:val="right"/>
              <w:rPr>
                <w:color w:val="000000"/>
                <w:sz w:val="18"/>
                <w:szCs w:val="18"/>
              </w:rPr>
            </w:pPr>
            <w:r w:rsidRPr="00581D40">
              <w:rPr>
                <w:sz w:val="18"/>
                <w:szCs w:val="18"/>
              </w:rPr>
              <w:t>257 150</w:t>
            </w:r>
          </w:p>
        </w:tc>
        <w:tc>
          <w:tcPr>
            <w:tcW w:w="1186" w:type="dxa"/>
            <w:shd w:val="clear" w:color="auto" w:fill="auto"/>
            <w:noWrap/>
            <w:vAlign w:val="bottom"/>
            <w:hideMark/>
          </w:tcPr>
          <w:p w14:paraId="29C5745F" w14:textId="77777777" w:rsidR="00B82C45" w:rsidRPr="00581D40" w:rsidRDefault="00B82C45" w:rsidP="00B82C45">
            <w:pPr>
              <w:spacing w:before="40" w:after="40"/>
              <w:jc w:val="right"/>
              <w:rPr>
                <w:color w:val="000000"/>
                <w:sz w:val="18"/>
                <w:szCs w:val="18"/>
              </w:rPr>
            </w:pPr>
            <w:r w:rsidRPr="00581D40">
              <w:rPr>
                <w:sz w:val="18"/>
                <w:szCs w:val="18"/>
              </w:rPr>
              <w:t>257 150</w:t>
            </w:r>
          </w:p>
        </w:tc>
      </w:tr>
      <w:tr w:rsidR="00B82C45" w:rsidRPr="00581D40" w14:paraId="41BB21BB" w14:textId="77777777" w:rsidTr="00637F9F">
        <w:tc>
          <w:tcPr>
            <w:tcW w:w="3998" w:type="dxa"/>
            <w:shd w:val="clear" w:color="auto" w:fill="auto"/>
            <w:noWrap/>
            <w:vAlign w:val="bottom"/>
            <w:hideMark/>
          </w:tcPr>
          <w:p w14:paraId="143B2A67" w14:textId="77777777" w:rsidR="00B82C45" w:rsidRPr="00581D40" w:rsidRDefault="00B82C45" w:rsidP="00B82C45">
            <w:pPr>
              <w:spacing w:before="40" w:after="40"/>
              <w:rPr>
                <w:color w:val="000000"/>
                <w:sz w:val="18"/>
                <w:szCs w:val="18"/>
              </w:rPr>
            </w:pPr>
            <w:r w:rsidRPr="00581D40">
              <w:rPr>
                <w:sz w:val="18"/>
                <w:szCs w:val="18"/>
              </w:rPr>
              <w:t>P-4 Ciencia y tecnología</w:t>
            </w:r>
          </w:p>
        </w:tc>
        <w:tc>
          <w:tcPr>
            <w:tcW w:w="1276" w:type="dxa"/>
            <w:gridSpan w:val="2"/>
            <w:shd w:val="clear" w:color="auto" w:fill="auto"/>
            <w:noWrap/>
            <w:vAlign w:val="bottom"/>
            <w:hideMark/>
          </w:tcPr>
          <w:p w14:paraId="3CD66113" w14:textId="77777777" w:rsidR="00B82C45" w:rsidRPr="00581D40" w:rsidRDefault="00B82C45" w:rsidP="00B82C45">
            <w:pPr>
              <w:spacing w:before="40" w:after="40"/>
              <w:jc w:val="right"/>
              <w:rPr>
                <w:color w:val="000000"/>
                <w:sz w:val="18"/>
                <w:szCs w:val="18"/>
              </w:rPr>
            </w:pPr>
            <w:r w:rsidRPr="00581D40">
              <w:rPr>
                <w:sz w:val="18"/>
                <w:szCs w:val="18"/>
              </w:rPr>
              <w:t>1</w:t>
            </w:r>
          </w:p>
        </w:tc>
        <w:tc>
          <w:tcPr>
            <w:tcW w:w="1875" w:type="dxa"/>
            <w:shd w:val="clear" w:color="auto" w:fill="auto"/>
            <w:noWrap/>
            <w:vAlign w:val="bottom"/>
            <w:hideMark/>
          </w:tcPr>
          <w:p w14:paraId="0756DD76" w14:textId="77777777" w:rsidR="00B82C45" w:rsidRPr="00581D40" w:rsidRDefault="00B82C45" w:rsidP="00B82C45">
            <w:pPr>
              <w:spacing w:before="40" w:after="40"/>
              <w:jc w:val="right"/>
              <w:rPr>
                <w:color w:val="000000"/>
                <w:sz w:val="18"/>
                <w:szCs w:val="18"/>
              </w:rPr>
            </w:pPr>
            <w:r w:rsidRPr="00581D40">
              <w:rPr>
                <w:sz w:val="18"/>
                <w:szCs w:val="18"/>
              </w:rPr>
              <w:t>221 150</w:t>
            </w:r>
          </w:p>
        </w:tc>
        <w:tc>
          <w:tcPr>
            <w:tcW w:w="1186" w:type="dxa"/>
            <w:shd w:val="clear" w:color="auto" w:fill="auto"/>
            <w:noWrap/>
            <w:vAlign w:val="bottom"/>
            <w:hideMark/>
          </w:tcPr>
          <w:p w14:paraId="2A7ABD41" w14:textId="77777777" w:rsidR="00B82C45" w:rsidRPr="00581D40" w:rsidRDefault="00B82C45" w:rsidP="00B82C45">
            <w:pPr>
              <w:spacing w:before="40" w:after="40"/>
              <w:jc w:val="right"/>
              <w:rPr>
                <w:color w:val="000000"/>
                <w:sz w:val="18"/>
                <w:szCs w:val="18"/>
              </w:rPr>
            </w:pPr>
            <w:r w:rsidRPr="00581D40">
              <w:rPr>
                <w:sz w:val="18"/>
                <w:szCs w:val="18"/>
              </w:rPr>
              <w:t>221 150</w:t>
            </w:r>
          </w:p>
        </w:tc>
      </w:tr>
      <w:tr w:rsidR="00B82C45" w:rsidRPr="00581D40" w14:paraId="0A226880" w14:textId="77777777" w:rsidTr="00637F9F">
        <w:tc>
          <w:tcPr>
            <w:tcW w:w="3998" w:type="dxa"/>
            <w:shd w:val="clear" w:color="auto" w:fill="auto"/>
            <w:noWrap/>
            <w:vAlign w:val="bottom"/>
            <w:hideMark/>
          </w:tcPr>
          <w:p w14:paraId="4309E8D6" w14:textId="77777777" w:rsidR="00B82C45" w:rsidRPr="00581D40" w:rsidRDefault="00B82C45" w:rsidP="00B82C45">
            <w:pPr>
              <w:spacing w:before="40" w:after="40"/>
              <w:rPr>
                <w:color w:val="000000"/>
                <w:sz w:val="18"/>
                <w:szCs w:val="18"/>
              </w:rPr>
            </w:pPr>
            <w:r w:rsidRPr="00581D40">
              <w:rPr>
                <w:sz w:val="18"/>
                <w:szCs w:val="18"/>
              </w:rPr>
              <w:t xml:space="preserve">P-4 Creación de capacidad y asistencia técnica </w:t>
            </w:r>
          </w:p>
        </w:tc>
        <w:tc>
          <w:tcPr>
            <w:tcW w:w="1276" w:type="dxa"/>
            <w:gridSpan w:val="2"/>
            <w:shd w:val="clear" w:color="auto" w:fill="auto"/>
            <w:noWrap/>
            <w:vAlign w:val="bottom"/>
            <w:hideMark/>
          </w:tcPr>
          <w:p w14:paraId="6E3634C7" w14:textId="77777777" w:rsidR="00B82C45" w:rsidRPr="00581D40" w:rsidRDefault="00B82C45" w:rsidP="00B82C45">
            <w:pPr>
              <w:spacing w:before="40" w:after="40"/>
              <w:jc w:val="right"/>
              <w:rPr>
                <w:color w:val="000000"/>
                <w:sz w:val="18"/>
                <w:szCs w:val="18"/>
              </w:rPr>
            </w:pPr>
            <w:r w:rsidRPr="00581D40">
              <w:rPr>
                <w:sz w:val="18"/>
                <w:szCs w:val="18"/>
              </w:rPr>
              <w:t>1</w:t>
            </w:r>
          </w:p>
        </w:tc>
        <w:tc>
          <w:tcPr>
            <w:tcW w:w="1875" w:type="dxa"/>
            <w:shd w:val="clear" w:color="auto" w:fill="auto"/>
            <w:noWrap/>
            <w:vAlign w:val="bottom"/>
            <w:hideMark/>
          </w:tcPr>
          <w:p w14:paraId="3093AABC" w14:textId="77777777" w:rsidR="00B82C45" w:rsidRPr="00581D40" w:rsidRDefault="00B82C45" w:rsidP="00B82C45">
            <w:pPr>
              <w:spacing w:before="40" w:after="40"/>
              <w:jc w:val="right"/>
              <w:rPr>
                <w:color w:val="000000"/>
                <w:sz w:val="18"/>
                <w:szCs w:val="18"/>
              </w:rPr>
            </w:pPr>
            <w:r w:rsidRPr="00581D40">
              <w:rPr>
                <w:sz w:val="18"/>
                <w:szCs w:val="18"/>
              </w:rPr>
              <w:t>221 150</w:t>
            </w:r>
          </w:p>
        </w:tc>
        <w:tc>
          <w:tcPr>
            <w:tcW w:w="1186" w:type="dxa"/>
            <w:shd w:val="clear" w:color="auto" w:fill="auto"/>
            <w:noWrap/>
            <w:vAlign w:val="bottom"/>
            <w:hideMark/>
          </w:tcPr>
          <w:p w14:paraId="2C09AC44" w14:textId="77777777" w:rsidR="00B82C45" w:rsidRPr="00581D40" w:rsidRDefault="00B82C45" w:rsidP="00B82C45">
            <w:pPr>
              <w:spacing w:before="40" w:after="40"/>
              <w:jc w:val="right"/>
              <w:rPr>
                <w:color w:val="000000"/>
                <w:sz w:val="18"/>
                <w:szCs w:val="18"/>
              </w:rPr>
            </w:pPr>
            <w:r w:rsidRPr="00581D40">
              <w:rPr>
                <w:sz w:val="18"/>
                <w:szCs w:val="18"/>
              </w:rPr>
              <w:t>221 150</w:t>
            </w:r>
          </w:p>
        </w:tc>
      </w:tr>
      <w:tr w:rsidR="00B82C45" w:rsidRPr="00581D40" w14:paraId="6F6BCA34" w14:textId="77777777" w:rsidTr="00637F9F">
        <w:tc>
          <w:tcPr>
            <w:tcW w:w="3998" w:type="dxa"/>
            <w:shd w:val="clear" w:color="auto" w:fill="auto"/>
            <w:noWrap/>
            <w:vAlign w:val="bottom"/>
            <w:hideMark/>
          </w:tcPr>
          <w:p w14:paraId="650FA807" w14:textId="77777777" w:rsidR="00B82C45" w:rsidRPr="00581D40" w:rsidRDefault="00B82C45" w:rsidP="00B82C45">
            <w:pPr>
              <w:spacing w:before="40" w:after="40"/>
              <w:rPr>
                <w:color w:val="000000"/>
                <w:sz w:val="18"/>
                <w:szCs w:val="18"/>
              </w:rPr>
            </w:pPr>
            <w:r w:rsidRPr="00581D40">
              <w:rPr>
                <w:sz w:val="18"/>
                <w:szCs w:val="18"/>
              </w:rPr>
              <w:t>P-3 Comunicación y gestión de los conocimientos</w:t>
            </w:r>
          </w:p>
        </w:tc>
        <w:tc>
          <w:tcPr>
            <w:tcW w:w="1276" w:type="dxa"/>
            <w:gridSpan w:val="2"/>
            <w:shd w:val="clear" w:color="auto" w:fill="auto"/>
            <w:noWrap/>
            <w:vAlign w:val="bottom"/>
            <w:hideMark/>
          </w:tcPr>
          <w:p w14:paraId="24ADF0DB" w14:textId="77777777" w:rsidR="00B82C45" w:rsidRPr="00581D40" w:rsidRDefault="00B82C45" w:rsidP="00B82C45">
            <w:pPr>
              <w:spacing w:before="40" w:after="40"/>
              <w:jc w:val="right"/>
              <w:rPr>
                <w:color w:val="000000"/>
                <w:sz w:val="18"/>
                <w:szCs w:val="18"/>
              </w:rPr>
            </w:pPr>
            <w:r w:rsidRPr="00581D40">
              <w:rPr>
                <w:sz w:val="18"/>
                <w:szCs w:val="18"/>
              </w:rPr>
              <w:t>1</w:t>
            </w:r>
          </w:p>
        </w:tc>
        <w:tc>
          <w:tcPr>
            <w:tcW w:w="1875" w:type="dxa"/>
            <w:shd w:val="clear" w:color="auto" w:fill="auto"/>
            <w:noWrap/>
            <w:vAlign w:val="bottom"/>
            <w:hideMark/>
          </w:tcPr>
          <w:p w14:paraId="3FFDD302" w14:textId="77777777" w:rsidR="00B82C45" w:rsidRPr="00581D40" w:rsidRDefault="00B82C45" w:rsidP="00B82C45">
            <w:pPr>
              <w:spacing w:before="40" w:after="40"/>
              <w:jc w:val="right"/>
              <w:rPr>
                <w:color w:val="000000"/>
                <w:sz w:val="18"/>
                <w:szCs w:val="18"/>
              </w:rPr>
            </w:pPr>
            <w:r w:rsidRPr="00581D40">
              <w:rPr>
                <w:sz w:val="18"/>
                <w:szCs w:val="18"/>
              </w:rPr>
              <w:t>182 900</w:t>
            </w:r>
          </w:p>
        </w:tc>
        <w:tc>
          <w:tcPr>
            <w:tcW w:w="1186" w:type="dxa"/>
            <w:shd w:val="clear" w:color="auto" w:fill="auto"/>
            <w:noWrap/>
            <w:vAlign w:val="bottom"/>
            <w:hideMark/>
          </w:tcPr>
          <w:p w14:paraId="0794B837" w14:textId="77777777" w:rsidR="00B82C45" w:rsidRPr="00581D40" w:rsidRDefault="00B82C45" w:rsidP="00B82C45">
            <w:pPr>
              <w:spacing w:before="40" w:after="40"/>
              <w:jc w:val="right"/>
              <w:rPr>
                <w:color w:val="000000"/>
                <w:sz w:val="18"/>
                <w:szCs w:val="18"/>
              </w:rPr>
            </w:pPr>
            <w:r w:rsidRPr="00581D40">
              <w:rPr>
                <w:sz w:val="18"/>
                <w:szCs w:val="18"/>
              </w:rPr>
              <w:t>182 900</w:t>
            </w:r>
          </w:p>
        </w:tc>
      </w:tr>
      <w:tr w:rsidR="00B82C45" w:rsidRPr="00581D40" w14:paraId="229BFF63" w14:textId="77777777" w:rsidTr="00637F9F">
        <w:tc>
          <w:tcPr>
            <w:tcW w:w="3998" w:type="dxa"/>
            <w:shd w:val="clear" w:color="auto" w:fill="auto"/>
            <w:noWrap/>
            <w:vAlign w:val="bottom"/>
            <w:hideMark/>
          </w:tcPr>
          <w:p w14:paraId="15391DE3" w14:textId="77777777" w:rsidR="00B82C45" w:rsidRPr="00581D40" w:rsidRDefault="00B82C45" w:rsidP="00B82C45">
            <w:pPr>
              <w:spacing w:before="40" w:after="40"/>
              <w:rPr>
                <w:color w:val="000000"/>
                <w:sz w:val="18"/>
                <w:szCs w:val="18"/>
              </w:rPr>
            </w:pPr>
            <w:r w:rsidRPr="00581D40">
              <w:rPr>
                <w:sz w:val="18"/>
                <w:szCs w:val="18"/>
              </w:rPr>
              <w:t>P-3 Oficial jurídico/de programas</w:t>
            </w:r>
          </w:p>
        </w:tc>
        <w:tc>
          <w:tcPr>
            <w:tcW w:w="1276" w:type="dxa"/>
            <w:gridSpan w:val="2"/>
            <w:shd w:val="clear" w:color="auto" w:fill="auto"/>
            <w:noWrap/>
            <w:vAlign w:val="bottom"/>
            <w:hideMark/>
          </w:tcPr>
          <w:p w14:paraId="4B3C3DA5" w14:textId="77777777" w:rsidR="00B82C45" w:rsidRPr="00581D40" w:rsidRDefault="00B82C45" w:rsidP="00B82C45">
            <w:pPr>
              <w:spacing w:before="40" w:after="40"/>
              <w:jc w:val="right"/>
              <w:rPr>
                <w:color w:val="000000"/>
                <w:sz w:val="18"/>
                <w:szCs w:val="18"/>
              </w:rPr>
            </w:pPr>
            <w:r w:rsidRPr="00581D40">
              <w:rPr>
                <w:sz w:val="18"/>
                <w:szCs w:val="18"/>
              </w:rPr>
              <w:t>1</w:t>
            </w:r>
          </w:p>
        </w:tc>
        <w:tc>
          <w:tcPr>
            <w:tcW w:w="1875" w:type="dxa"/>
            <w:shd w:val="clear" w:color="auto" w:fill="auto"/>
            <w:noWrap/>
            <w:vAlign w:val="bottom"/>
            <w:hideMark/>
          </w:tcPr>
          <w:p w14:paraId="6115B4E9" w14:textId="77777777" w:rsidR="00B82C45" w:rsidRPr="00581D40" w:rsidRDefault="00B82C45" w:rsidP="00B82C45">
            <w:pPr>
              <w:spacing w:before="40" w:after="40"/>
              <w:jc w:val="right"/>
              <w:rPr>
                <w:color w:val="000000"/>
                <w:sz w:val="18"/>
                <w:szCs w:val="18"/>
              </w:rPr>
            </w:pPr>
            <w:r w:rsidRPr="00581D40">
              <w:rPr>
                <w:sz w:val="18"/>
                <w:szCs w:val="18"/>
              </w:rPr>
              <w:t>182 900</w:t>
            </w:r>
          </w:p>
        </w:tc>
        <w:tc>
          <w:tcPr>
            <w:tcW w:w="1186" w:type="dxa"/>
            <w:shd w:val="clear" w:color="auto" w:fill="auto"/>
            <w:noWrap/>
            <w:vAlign w:val="bottom"/>
            <w:hideMark/>
          </w:tcPr>
          <w:p w14:paraId="18CA43E9" w14:textId="77777777" w:rsidR="00B82C45" w:rsidRPr="00581D40" w:rsidRDefault="00B82C45" w:rsidP="00B82C45">
            <w:pPr>
              <w:spacing w:before="40" w:after="40"/>
              <w:jc w:val="right"/>
              <w:rPr>
                <w:color w:val="000000"/>
                <w:sz w:val="18"/>
                <w:szCs w:val="18"/>
              </w:rPr>
            </w:pPr>
            <w:r w:rsidRPr="00581D40">
              <w:rPr>
                <w:sz w:val="18"/>
                <w:szCs w:val="18"/>
              </w:rPr>
              <w:t>182 900</w:t>
            </w:r>
          </w:p>
        </w:tc>
      </w:tr>
      <w:tr w:rsidR="00B82C45" w:rsidRPr="00581D40" w14:paraId="288C74E3" w14:textId="77777777" w:rsidTr="00637F9F">
        <w:tc>
          <w:tcPr>
            <w:tcW w:w="3998" w:type="dxa"/>
            <w:tcBorders>
              <w:bottom w:val="single" w:sz="4" w:space="0" w:color="auto"/>
            </w:tcBorders>
            <w:shd w:val="clear" w:color="auto" w:fill="auto"/>
            <w:noWrap/>
            <w:vAlign w:val="bottom"/>
            <w:hideMark/>
          </w:tcPr>
          <w:p w14:paraId="55A14637" w14:textId="77777777" w:rsidR="00B82C45" w:rsidRPr="00581D40" w:rsidRDefault="00B82C45" w:rsidP="00B82C45">
            <w:pPr>
              <w:spacing w:before="40" w:after="40"/>
              <w:rPr>
                <w:color w:val="000000"/>
                <w:sz w:val="18"/>
                <w:szCs w:val="18"/>
              </w:rPr>
            </w:pPr>
            <w:r w:rsidRPr="00581D40">
              <w:rPr>
                <w:sz w:val="18"/>
                <w:szCs w:val="18"/>
              </w:rPr>
              <w:t>SG Asistencia a los programas</w:t>
            </w:r>
          </w:p>
        </w:tc>
        <w:tc>
          <w:tcPr>
            <w:tcW w:w="1276" w:type="dxa"/>
            <w:gridSpan w:val="2"/>
            <w:tcBorders>
              <w:bottom w:val="single" w:sz="4" w:space="0" w:color="auto"/>
            </w:tcBorders>
            <w:shd w:val="clear" w:color="auto" w:fill="auto"/>
            <w:noWrap/>
            <w:vAlign w:val="bottom"/>
            <w:hideMark/>
          </w:tcPr>
          <w:p w14:paraId="270F903D" w14:textId="77777777" w:rsidR="00B82C45" w:rsidRPr="00581D40" w:rsidRDefault="00B82C45" w:rsidP="00B82C45">
            <w:pPr>
              <w:spacing w:before="40" w:after="40"/>
              <w:jc w:val="right"/>
              <w:rPr>
                <w:color w:val="000000"/>
                <w:sz w:val="18"/>
                <w:szCs w:val="18"/>
              </w:rPr>
            </w:pPr>
            <w:r w:rsidRPr="00581D40">
              <w:rPr>
                <w:sz w:val="18"/>
                <w:szCs w:val="18"/>
              </w:rPr>
              <w:t>4</w:t>
            </w:r>
          </w:p>
        </w:tc>
        <w:tc>
          <w:tcPr>
            <w:tcW w:w="1875" w:type="dxa"/>
            <w:tcBorders>
              <w:bottom w:val="single" w:sz="4" w:space="0" w:color="auto"/>
            </w:tcBorders>
            <w:shd w:val="clear" w:color="auto" w:fill="auto"/>
            <w:noWrap/>
            <w:vAlign w:val="bottom"/>
            <w:hideMark/>
          </w:tcPr>
          <w:p w14:paraId="1B1D28FD" w14:textId="77777777" w:rsidR="00B82C45" w:rsidRPr="00581D40" w:rsidRDefault="00B82C45" w:rsidP="00B82C45">
            <w:pPr>
              <w:spacing w:before="40" w:after="40"/>
              <w:jc w:val="right"/>
              <w:rPr>
                <w:color w:val="000000"/>
                <w:sz w:val="18"/>
                <w:szCs w:val="18"/>
              </w:rPr>
            </w:pPr>
            <w:r w:rsidRPr="00581D40">
              <w:rPr>
                <w:sz w:val="18"/>
                <w:szCs w:val="18"/>
              </w:rPr>
              <w:t>143 900</w:t>
            </w:r>
          </w:p>
        </w:tc>
        <w:tc>
          <w:tcPr>
            <w:tcW w:w="1186" w:type="dxa"/>
            <w:tcBorders>
              <w:bottom w:val="single" w:sz="4" w:space="0" w:color="auto"/>
            </w:tcBorders>
            <w:shd w:val="clear" w:color="auto" w:fill="auto"/>
            <w:noWrap/>
            <w:vAlign w:val="bottom"/>
            <w:hideMark/>
          </w:tcPr>
          <w:p w14:paraId="48BA278F" w14:textId="77777777" w:rsidR="00B82C45" w:rsidRPr="00581D40" w:rsidRDefault="00B82C45" w:rsidP="00B82C45">
            <w:pPr>
              <w:spacing w:before="40" w:after="40"/>
              <w:jc w:val="right"/>
              <w:rPr>
                <w:color w:val="000000"/>
                <w:sz w:val="18"/>
                <w:szCs w:val="18"/>
              </w:rPr>
            </w:pPr>
            <w:r w:rsidRPr="00581D40">
              <w:rPr>
                <w:sz w:val="18"/>
                <w:szCs w:val="18"/>
              </w:rPr>
              <w:t>575 600</w:t>
            </w:r>
          </w:p>
        </w:tc>
      </w:tr>
      <w:tr w:rsidR="00B82C45" w:rsidRPr="00581D40" w14:paraId="4629FA65" w14:textId="77777777" w:rsidTr="00637F9F">
        <w:tc>
          <w:tcPr>
            <w:tcW w:w="3998" w:type="dxa"/>
            <w:tcBorders>
              <w:top w:val="single" w:sz="4" w:space="0" w:color="auto"/>
              <w:bottom w:val="single" w:sz="12" w:space="0" w:color="auto"/>
            </w:tcBorders>
            <w:shd w:val="clear" w:color="auto" w:fill="auto"/>
            <w:noWrap/>
            <w:vAlign w:val="bottom"/>
            <w:hideMark/>
          </w:tcPr>
          <w:p w14:paraId="2F6CFD6F" w14:textId="77777777" w:rsidR="00B82C45" w:rsidRPr="00581D40" w:rsidRDefault="00B82C45" w:rsidP="00B82C45">
            <w:pPr>
              <w:spacing w:before="40" w:after="40"/>
              <w:rPr>
                <w:b/>
                <w:bCs/>
                <w:color w:val="000000"/>
                <w:sz w:val="18"/>
                <w:szCs w:val="18"/>
              </w:rPr>
            </w:pPr>
            <w:r w:rsidRPr="00581D40">
              <w:rPr>
                <w:b/>
                <w:bCs/>
                <w:sz w:val="18"/>
                <w:szCs w:val="18"/>
              </w:rPr>
              <w:t>Total</w:t>
            </w:r>
          </w:p>
        </w:tc>
        <w:tc>
          <w:tcPr>
            <w:tcW w:w="1276" w:type="dxa"/>
            <w:gridSpan w:val="2"/>
            <w:tcBorders>
              <w:top w:val="single" w:sz="4" w:space="0" w:color="auto"/>
              <w:bottom w:val="single" w:sz="12" w:space="0" w:color="auto"/>
            </w:tcBorders>
            <w:shd w:val="clear" w:color="auto" w:fill="auto"/>
            <w:noWrap/>
            <w:vAlign w:val="bottom"/>
            <w:hideMark/>
          </w:tcPr>
          <w:p w14:paraId="0343646B" w14:textId="77777777" w:rsidR="00B82C45" w:rsidRPr="00581D40" w:rsidRDefault="00B82C45" w:rsidP="00B82C45">
            <w:pPr>
              <w:spacing w:before="40" w:after="40"/>
              <w:jc w:val="right"/>
              <w:rPr>
                <w:b/>
                <w:bCs/>
                <w:color w:val="000000"/>
                <w:sz w:val="18"/>
                <w:szCs w:val="18"/>
              </w:rPr>
            </w:pPr>
            <w:r w:rsidRPr="00581D40">
              <w:rPr>
                <w:b/>
                <w:bCs/>
                <w:sz w:val="18"/>
                <w:szCs w:val="18"/>
              </w:rPr>
              <w:t>10</w:t>
            </w:r>
          </w:p>
        </w:tc>
        <w:tc>
          <w:tcPr>
            <w:tcW w:w="1875" w:type="dxa"/>
            <w:tcBorders>
              <w:top w:val="single" w:sz="4" w:space="0" w:color="auto"/>
              <w:bottom w:val="single" w:sz="12" w:space="0" w:color="auto"/>
            </w:tcBorders>
            <w:shd w:val="clear" w:color="auto" w:fill="auto"/>
            <w:noWrap/>
            <w:vAlign w:val="bottom"/>
            <w:hideMark/>
          </w:tcPr>
          <w:p w14:paraId="4B700F39" w14:textId="77777777" w:rsidR="00B82C45" w:rsidRPr="00581D40" w:rsidRDefault="00B82C45" w:rsidP="00B82C45">
            <w:pPr>
              <w:spacing w:before="40" w:after="40"/>
              <w:rPr>
                <w:color w:val="000000"/>
                <w:sz w:val="18"/>
                <w:szCs w:val="18"/>
                <w:lang w:eastAsia="zh-TW"/>
              </w:rPr>
            </w:pPr>
            <w:r w:rsidRPr="00581D40">
              <w:rPr>
                <w:color w:val="000000"/>
                <w:sz w:val="18"/>
                <w:szCs w:val="18"/>
                <w:lang w:eastAsia="zh-TW"/>
              </w:rPr>
              <w:t> </w:t>
            </w:r>
          </w:p>
        </w:tc>
        <w:tc>
          <w:tcPr>
            <w:tcW w:w="1186" w:type="dxa"/>
            <w:tcBorders>
              <w:top w:val="single" w:sz="4" w:space="0" w:color="auto"/>
              <w:bottom w:val="single" w:sz="12" w:space="0" w:color="auto"/>
            </w:tcBorders>
            <w:shd w:val="clear" w:color="auto" w:fill="auto"/>
            <w:noWrap/>
            <w:vAlign w:val="bottom"/>
            <w:hideMark/>
          </w:tcPr>
          <w:p w14:paraId="2504D9F3" w14:textId="77777777" w:rsidR="00B82C45" w:rsidRPr="00581D40" w:rsidRDefault="00B82C45" w:rsidP="00B82C45">
            <w:pPr>
              <w:spacing w:before="40" w:after="40"/>
              <w:jc w:val="right"/>
              <w:rPr>
                <w:b/>
                <w:bCs/>
                <w:color w:val="000000"/>
                <w:sz w:val="18"/>
                <w:szCs w:val="18"/>
              </w:rPr>
            </w:pPr>
            <w:r w:rsidRPr="00581D40">
              <w:rPr>
                <w:b/>
                <w:bCs/>
                <w:sz w:val="18"/>
                <w:szCs w:val="18"/>
              </w:rPr>
              <w:t>1 930 950</w:t>
            </w:r>
          </w:p>
        </w:tc>
      </w:tr>
    </w:tbl>
    <w:p w14:paraId="5377DA98" w14:textId="77777777" w:rsidR="00B82C45" w:rsidRPr="00581D40" w:rsidRDefault="00B82C45" w:rsidP="002C0FDD">
      <w:pPr>
        <w:spacing w:before="40"/>
        <w:ind w:left="1247"/>
        <w:rPr>
          <w:sz w:val="16"/>
          <w:szCs w:val="16"/>
        </w:rPr>
      </w:pPr>
      <w:r w:rsidRPr="00581D40">
        <w:rPr>
          <w:i/>
          <w:iCs/>
          <w:sz w:val="16"/>
          <w:szCs w:val="16"/>
        </w:rPr>
        <w:t>Nota:</w:t>
      </w:r>
      <w:r w:rsidRPr="00581D40">
        <w:rPr>
          <w:sz w:val="16"/>
          <w:szCs w:val="16"/>
        </w:rPr>
        <w:t xml:space="preserve"> Además del personal indicado en el cuadro, un puesto de categoría P-3 y un funcionario del cuadro de servicios generales se financiarán con cargo a los gastos de apoyo a los programas. </w:t>
      </w:r>
    </w:p>
    <w:p w14:paraId="3809D442" w14:textId="77777777" w:rsidR="00B82C45" w:rsidRPr="00581D40" w:rsidRDefault="00B82C45" w:rsidP="00582959">
      <w:pPr>
        <w:pStyle w:val="Normalnumber"/>
        <w:numPr>
          <w:ilvl w:val="0"/>
          <w:numId w:val="6"/>
        </w:numPr>
        <w:tabs>
          <w:tab w:val="clear" w:pos="1134"/>
        </w:tabs>
        <w:spacing w:before="120"/>
      </w:pPr>
      <w:r w:rsidRPr="00581D40">
        <w:t>Al 31 de agosto de 2018, se habían cubierto los puestos siguientes: Secretaria Ejecutiva (D-1), Coordinación y elaboración de políticas (P-5), Oficial jurídico/de programas (P-3) y un funcionario del Cuadro de Servicios Generales para asistencia a los programas. El puesto de Ciencia y tecnología (P-4) estuvo cubierto hasta principios de agosto. Faltan por cubrir los puestos de Creación de capacidad y asistencia técnica (P-4), Comunicación y gestión de los conocimientos (P-3) y tres puestos del Cuadro de Servicios Generales para asistencia a los programas, así como el puesto de Ciencia y tecnología (P-4) desde principios de agosto. Ya está en marcha el proceso de contratación para cubrir esos puestos vacantes.</w:t>
      </w:r>
    </w:p>
    <w:p w14:paraId="6C20B60D" w14:textId="77777777" w:rsidR="00B82C45" w:rsidRPr="00581D40" w:rsidRDefault="00B82C45" w:rsidP="00582959">
      <w:pPr>
        <w:pStyle w:val="Normalnumber"/>
        <w:numPr>
          <w:ilvl w:val="0"/>
          <w:numId w:val="6"/>
        </w:numPr>
        <w:tabs>
          <w:tab w:val="clear" w:pos="1134"/>
        </w:tabs>
        <w:spacing w:before="120"/>
      </w:pPr>
      <w:r w:rsidRPr="00581D40">
        <w:t xml:space="preserve">También está en marcha la contratación de los dos puestos que se financiarán con cargo a los gastos de apoyo a los programas para prestar apoyo administrativo (un Oficial Administrativo (P-3) y un Auxiliar de Finanzas (G-5)). </w:t>
      </w:r>
    </w:p>
    <w:p w14:paraId="3DF4F4E7" w14:textId="77777777" w:rsidR="00B82C45" w:rsidRPr="00581D40" w:rsidRDefault="00B82C45" w:rsidP="00582959">
      <w:pPr>
        <w:pStyle w:val="Normalnumber"/>
        <w:numPr>
          <w:ilvl w:val="0"/>
          <w:numId w:val="6"/>
        </w:numPr>
        <w:tabs>
          <w:tab w:val="clear" w:pos="1134"/>
        </w:tabs>
        <w:spacing w:before="120"/>
      </w:pPr>
      <w:r w:rsidRPr="00581D40">
        <w:t>A fin de subsanar las insuficiencias en materia de asistencia administrativa en el período previo a la segunda reunión de la Conferencia de las Partes, la Secretaría se valió del apoyo de la División de Servicios Corporativos del PNUMA, contrató asistencia temporal y recibe apoyo administrativo, con carácter reembolsable, de la Secretaría de los Convenios de Basilea, Estocolmo y Rotterdam para la organización de los viajes de los participantes en la segunda reunión de la Conferencia de las Partes procedentes de determinadas regiones de las Naciones Unidas.</w:t>
      </w:r>
    </w:p>
    <w:p w14:paraId="79641636" w14:textId="77777777" w:rsidR="00B82C45" w:rsidRPr="00581D40" w:rsidRDefault="00B82C45" w:rsidP="00582959">
      <w:pPr>
        <w:pStyle w:val="Normalnumber"/>
        <w:numPr>
          <w:ilvl w:val="0"/>
          <w:numId w:val="6"/>
        </w:numPr>
        <w:tabs>
          <w:tab w:val="clear" w:pos="1134"/>
        </w:tabs>
        <w:spacing w:before="120"/>
      </w:pPr>
      <w:r w:rsidRPr="00581D40">
        <w:t>Además de los puestos de la plantilla indicativa aprobada por la Conferencia de las Partes, se ha cubierto un puesto de Oficial Superior de Programas (P-5) para apoyo científico, financiado mediante una contribución para fines específicos al Fondo Fiduciario Especial hecha por el Japón.</w:t>
      </w:r>
    </w:p>
    <w:p w14:paraId="0FB4FCB9" w14:textId="77777777" w:rsidR="00B82C45" w:rsidRPr="00581D40" w:rsidRDefault="00B82C45" w:rsidP="00582959">
      <w:pPr>
        <w:pStyle w:val="Normalnumber"/>
        <w:numPr>
          <w:ilvl w:val="0"/>
          <w:numId w:val="6"/>
        </w:numPr>
        <w:tabs>
          <w:tab w:val="clear" w:pos="1134"/>
        </w:tabs>
        <w:spacing w:before="120"/>
      </w:pPr>
      <w:r w:rsidRPr="00581D40">
        <w:t>En el anexo III de la presente nota se expone el organigrama de la Secretaría del Convenio de</w:t>
      </w:r>
      <w:r w:rsidR="002C0FDD" w:rsidRPr="00581D40">
        <w:t> </w:t>
      </w:r>
      <w:r w:rsidRPr="00581D40">
        <w:t xml:space="preserve">Minamata. </w:t>
      </w:r>
    </w:p>
    <w:p w14:paraId="2D4FF649" w14:textId="77777777" w:rsidR="00B82C45" w:rsidRPr="00581D40" w:rsidRDefault="00B82C45" w:rsidP="00B82C45">
      <w:pPr>
        <w:pStyle w:val="CH3"/>
      </w:pPr>
      <w:r w:rsidRPr="00581D40">
        <w:tab/>
        <w:t>2.</w:t>
      </w:r>
      <w:r w:rsidRPr="00581D40">
        <w:tab/>
      </w:r>
      <w:r w:rsidRPr="00581D40">
        <w:rPr>
          <w:bCs/>
        </w:rPr>
        <w:t>Actividades de la Secretaría del Convenio de Minamata en 2018</w:t>
      </w:r>
    </w:p>
    <w:p w14:paraId="6FA82762" w14:textId="77777777" w:rsidR="00B82C45" w:rsidRPr="00581D40" w:rsidRDefault="00B82C45" w:rsidP="00582959">
      <w:pPr>
        <w:pStyle w:val="Normalnumber"/>
        <w:numPr>
          <w:ilvl w:val="0"/>
          <w:numId w:val="6"/>
        </w:numPr>
        <w:tabs>
          <w:tab w:val="clear" w:pos="1134"/>
        </w:tabs>
        <w:spacing w:before="120"/>
      </w:pPr>
      <w:r w:rsidRPr="00581D40">
        <w:t>En el cuadro 2 se muestran el presupuesto aprobado por la Conferencia de las Partes para las actividades de la Secretaría en 2018 y los gastos previstos para ese año. El informe sobre las actividades realizadas por la Secretaría en 2018 figura en el documento UNEP/MC/COP.2/17.</w:t>
      </w:r>
      <w:r w:rsidR="00B25375" w:rsidRPr="00581D40">
        <w:t xml:space="preserve"> </w:t>
      </w:r>
    </w:p>
    <w:p w14:paraId="20FBC4C7" w14:textId="77777777" w:rsidR="00B82C45" w:rsidRPr="00581D40" w:rsidRDefault="00B82C45" w:rsidP="00B82C45">
      <w:pPr>
        <w:pStyle w:val="Titlefigure"/>
      </w:pPr>
      <w:r w:rsidRPr="00581D40">
        <w:rPr>
          <w:b w:val="0"/>
        </w:rPr>
        <w:lastRenderedPageBreak/>
        <w:t>Cuadro 2</w:t>
      </w:r>
      <w:r w:rsidRPr="00581D40">
        <w:t xml:space="preserve"> </w:t>
      </w:r>
    </w:p>
    <w:p w14:paraId="75B8C89A" w14:textId="77777777" w:rsidR="00B82C45" w:rsidRPr="00581D40" w:rsidRDefault="00B82C45" w:rsidP="00B82C45">
      <w:pPr>
        <w:pStyle w:val="Titlefigure"/>
      </w:pPr>
      <w:r w:rsidRPr="00581D40">
        <w:rPr>
          <w:bCs/>
        </w:rPr>
        <w:t>Presupuesto aprobado por la Conferencia de las Partes para las actividades de 2018 incluidas en el programa de trabajo del Convenio de Minamata para el bienio 2018-2019 y previsión de gastos correspondiente a 2018, para el Fondo Fiduciario General y el Fondo Fiduciario Especial</w:t>
      </w:r>
    </w:p>
    <w:p w14:paraId="4CF4B2A2" w14:textId="77777777" w:rsidR="00B82C45" w:rsidRPr="00581D40" w:rsidRDefault="00B82C45" w:rsidP="00B82C45">
      <w:pPr>
        <w:pStyle w:val="NormalNonumber"/>
        <w:keepNext/>
        <w:keepLines/>
        <w:rPr>
          <w:sz w:val="18"/>
          <w:szCs w:val="18"/>
        </w:rPr>
      </w:pPr>
      <w:r w:rsidRPr="00581D40">
        <w:rPr>
          <w:sz w:val="18"/>
          <w:szCs w:val="18"/>
        </w:rPr>
        <w:t>(en dólares de los E</w:t>
      </w:r>
      <w:r w:rsidR="00C412CF" w:rsidRPr="00581D40">
        <w:rPr>
          <w:sz w:val="18"/>
          <w:szCs w:val="18"/>
        </w:rPr>
        <w:t>stados Unidos</w:t>
      </w:r>
      <w:r w:rsidRPr="00581D40">
        <w:rPr>
          <w:sz w:val="18"/>
          <w:szCs w:val="18"/>
        </w:rPr>
        <w:t>)</w:t>
      </w:r>
    </w:p>
    <w:tbl>
      <w:tblPr>
        <w:tblW w:w="4932" w:type="pct"/>
        <w:tblInd w:w="494" w:type="dxa"/>
        <w:tblLayout w:type="fixed"/>
        <w:tblLook w:val="04A0" w:firstRow="1" w:lastRow="0" w:firstColumn="1" w:lastColumn="0" w:noHBand="0" w:noVBand="1"/>
      </w:tblPr>
      <w:tblGrid>
        <w:gridCol w:w="248"/>
        <w:gridCol w:w="861"/>
        <w:gridCol w:w="3913"/>
        <w:gridCol w:w="1199"/>
        <w:gridCol w:w="1110"/>
        <w:gridCol w:w="1190"/>
        <w:gridCol w:w="1144"/>
        <w:gridCol w:w="6"/>
        <w:gridCol w:w="10"/>
      </w:tblGrid>
      <w:tr w:rsidR="00B82C45" w:rsidRPr="00581D40" w14:paraId="7332DB10" w14:textId="77777777" w:rsidTr="00581D40">
        <w:trPr>
          <w:gridAfter w:val="2"/>
          <w:wAfter w:w="7" w:type="pct"/>
          <w:trHeight w:val="315"/>
          <w:tblHeader/>
        </w:trPr>
        <w:tc>
          <w:tcPr>
            <w:tcW w:w="24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75BFE6" w14:textId="77777777" w:rsidR="00B82C45" w:rsidRPr="00581D40" w:rsidRDefault="00B82C45" w:rsidP="0090211F">
            <w:pPr>
              <w:keepNext/>
              <w:keepLines/>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vAlign w:val="center"/>
            <w:hideMark/>
          </w:tcPr>
          <w:p w14:paraId="5A4FCC98" w14:textId="77777777" w:rsidR="00B82C45" w:rsidRPr="00581D40" w:rsidRDefault="00B82C45" w:rsidP="0090211F">
            <w:pPr>
              <w:keepNext/>
              <w:keepLines/>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311" w:type="dxa"/>
            <w:gridSpan w:val="2"/>
            <w:tcBorders>
              <w:top w:val="single" w:sz="8" w:space="0" w:color="auto"/>
              <w:left w:val="nil"/>
              <w:bottom w:val="single" w:sz="8" w:space="0" w:color="auto"/>
              <w:right w:val="single" w:sz="8" w:space="0" w:color="000000"/>
            </w:tcBorders>
            <w:shd w:val="clear" w:color="000000" w:fill="FFFFFF"/>
            <w:vAlign w:val="center"/>
            <w:hideMark/>
          </w:tcPr>
          <w:p w14:paraId="4268CE97" w14:textId="77777777" w:rsidR="00B82C45" w:rsidRPr="00581D40" w:rsidRDefault="00B82C45" w:rsidP="0090211F">
            <w:pPr>
              <w:keepNext/>
              <w:keepLines/>
              <w:tabs>
                <w:tab w:val="clear" w:pos="1247"/>
                <w:tab w:val="clear" w:pos="1814"/>
                <w:tab w:val="clear" w:pos="2381"/>
                <w:tab w:val="clear" w:pos="2948"/>
                <w:tab w:val="clear" w:pos="3515"/>
              </w:tabs>
              <w:jc w:val="center"/>
              <w:rPr>
                <w:i/>
                <w:iCs/>
                <w:color w:val="000000"/>
                <w:sz w:val="14"/>
                <w:szCs w:val="14"/>
              </w:rPr>
            </w:pPr>
            <w:r w:rsidRPr="00581D40">
              <w:rPr>
                <w:i/>
                <w:iCs/>
                <w:sz w:val="14"/>
                <w:szCs w:val="14"/>
              </w:rPr>
              <w:t>Presupuesto aprobado para 2018</w:t>
            </w:r>
          </w:p>
        </w:tc>
        <w:tc>
          <w:tcPr>
            <w:tcW w:w="233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CA5BDC" w14:textId="77777777" w:rsidR="00B82C45" w:rsidRPr="00581D40" w:rsidRDefault="00B82C45" w:rsidP="0090211F">
            <w:pPr>
              <w:keepNext/>
              <w:keepLines/>
              <w:tabs>
                <w:tab w:val="clear" w:pos="1247"/>
                <w:tab w:val="clear" w:pos="1814"/>
                <w:tab w:val="clear" w:pos="2381"/>
                <w:tab w:val="clear" w:pos="2948"/>
                <w:tab w:val="clear" w:pos="3515"/>
              </w:tabs>
              <w:jc w:val="center"/>
              <w:rPr>
                <w:i/>
                <w:iCs/>
                <w:color w:val="000000"/>
                <w:sz w:val="14"/>
                <w:szCs w:val="14"/>
              </w:rPr>
            </w:pPr>
            <w:bookmarkStart w:id="3" w:name="RANGE!G1"/>
            <w:r w:rsidRPr="00581D40">
              <w:rPr>
                <w:i/>
                <w:iCs/>
                <w:sz w:val="14"/>
                <w:szCs w:val="14"/>
              </w:rPr>
              <w:t>Gastos previstos para 2018</w:t>
            </w:r>
            <w:bookmarkEnd w:id="3"/>
          </w:p>
        </w:tc>
      </w:tr>
      <w:tr w:rsidR="00B25375" w:rsidRPr="00581D40" w14:paraId="56834621" w14:textId="77777777" w:rsidTr="00581D40">
        <w:trPr>
          <w:gridAfter w:val="2"/>
          <w:wAfter w:w="7" w:type="pct"/>
          <w:tblHeader/>
        </w:trPr>
        <w:tc>
          <w:tcPr>
            <w:tcW w:w="247" w:type="dxa"/>
            <w:tcBorders>
              <w:top w:val="nil"/>
              <w:left w:val="single" w:sz="8" w:space="0" w:color="auto"/>
              <w:bottom w:val="single" w:sz="8" w:space="0" w:color="000000"/>
              <w:right w:val="single" w:sz="8" w:space="0" w:color="auto"/>
            </w:tcBorders>
            <w:shd w:val="clear" w:color="000000" w:fill="FFFFFF"/>
            <w:noWrap/>
            <w:vAlign w:val="center"/>
            <w:hideMark/>
          </w:tcPr>
          <w:p w14:paraId="010AF458" w14:textId="77777777" w:rsidR="00B25375" w:rsidRPr="00581D40" w:rsidRDefault="00B25375" w:rsidP="0090211F">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C4C8D71" w14:textId="77777777" w:rsidR="00B25375" w:rsidRPr="00581D40" w:rsidRDefault="00B25375" w:rsidP="0090211F">
            <w:pPr>
              <w:keepNext/>
              <w:keepLines/>
              <w:tabs>
                <w:tab w:val="clear" w:pos="1247"/>
                <w:tab w:val="clear" w:pos="1814"/>
                <w:tab w:val="clear" w:pos="2381"/>
                <w:tab w:val="clear" w:pos="2948"/>
                <w:tab w:val="clear" w:pos="3515"/>
              </w:tabs>
              <w:ind w:firstLineChars="100" w:firstLine="170"/>
              <w:jc w:val="right"/>
              <w:rPr>
                <w:color w:val="000000"/>
                <w:sz w:val="17"/>
                <w:szCs w:val="17"/>
                <w:lang w:eastAsia="zh-CN"/>
              </w:rPr>
            </w:pPr>
            <w:r w:rsidRPr="00581D40">
              <w:rPr>
                <w:color w:val="000000"/>
                <w:sz w:val="17"/>
                <w:szCs w:val="17"/>
                <w:lang w:eastAsia="zh-CN"/>
              </w:rPr>
              <w:t> </w:t>
            </w:r>
          </w:p>
        </w:tc>
        <w:tc>
          <w:tcPr>
            <w:tcW w:w="1200" w:type="dxa"/>
            <w:tcBorders>
              <w:top w:val="nil"/>
              <w:left w:val="nil"/>
              <w:right w:val="single" w:sz="8" w:space="0" w:color="auto"/>
            </w:tcBorders>
            <w:shd w:val="clear" w:color="auto" w:fill="auto"/>
            <w:noWrap/>
            <w:vAlign w:val="bottom"/>
            <w:hideMark/>
          </w:tcPr>
          <w:p w14:paraId="3FDAE7BE" w14:textId="77777777" w:rsidR="00B25375" w:rsidRPr="00581D40" w:rsidRDefault="00B25375" w:rsidP="0090211F">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General</w:t>
            </w:r>
          </w:p>
        </w:tc>
        <w:tc>
          <w:tcPr>
            <w:tcW w:w="1111" w:type="dxa"/>
            <w:tcBorders>
              <w:top w:val="nil"/>
              <w:left w:val="nil"/>
              <w:right w:val="single" w:sz="8" w:space="0" w:color="auto"/>
            </w:tcBorders>
            <w:shd w:val="clear" w:color="000000" w:fill="FFFFFF"/>
            <w:noWrap/>
            <w:vAlign w:val="bottom"/>
            <w:hideMark/>
          </w:tcPr>
          <w:p w14:paraId="4BF93223" w14:textId="77777777" w:rsidR="00B25375" w:rsidRPr="00581D40" w:rsidRDefault="00B25375" w:rsidP="0090211F">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Especial</w:t>
            </w:r>
          </w:p>
        </w:tc>
        <w:tc>
          <w:tcPr>
            <w:tcW w:w="1191" w:type="dxa"/>
            <w:tcBorders>
              <w:top w:val="nil"/>
              <w:left w:val="nil"/>
              <w:right w:val="single" w:sz="8" w:space="0" w:color="auto"/>
            </w:tcBorders>
            <w:shd w:val="clear" w:color="auto" w:fill="auto"/>
            <w:noWrap/>
            <w:vAlign w:val="bottom"/>
            <w:hideMark/>
          </w:tcPr>
          <w:p w14:paraId="32053D3C" w14:textId="77777777" w:rsidR="00B25375" w:rsidRPr="00581D40" w:rsidRDefault="00B25375" w:rsidP="0090211F">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General</w:t>
            </w:r>
          </w:p>
        </w:tc>
        <w:tc>
          <w:tcPr>
            <w:tcW w:w="1140" w:type="dxa"/>
            <w:tcBorders>
              <w:top w:val="nil"/>
              <w:left w:val="nil"/>
              <w:right w:val="single" w:sz="8" w:space="0" w:color="auto"/>
            </w:tcBorders>
            <w:shd w:val="clear" w:color="auto" w:fill="auto"/>
            <w:noWrap/>
            <w:vAlign w:val="bottom"/>
            <w:hideMark/>
          </w:tcPr>
          <w:p w14:paraId="0E0AFC71" w14:textId="77777777" w:rsidR="00B25375" w:rsidRPr="00581D40" w:rsidRDefault="00B25375" w:rsidP="0090211F">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Especial</w:t>
            </w:r>
          </w:p>
        </w:tc>
      </w:tr>
      <w:tr w:rsidR="00B82C45" w:rsidRPr="00581D40" w14:paraId="268B0B6E"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2639FB"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A. </w:t>
            </w:r>
            <w:r w:rsidRPr="00581D40">
              <w:rPr>
                <w:b/>
                <w:bCs/>
                <w:sz w:val="17"/>
                <w:szCs w:val="17"/>
              </w:rPr>
              <w:t>Conferencias y reuniones</w:t>
            </w:r>
          </w:p>
        </w:tc>
      </w:tr>
      <w:tr w:rsidR="00B82C45" w:rsidRPr="00581D40" w14:paraId="6D6E9D25" w14:textId="77777777" w:rsidTr="00581D40">
        <w:trPr>
          <w:gridAfter w:val="1"/>
          <w:wAfter w:w="5" w:type="pct"/>
          <w:trHeight w:val="287"/>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424C1C"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 </w:t>
            </w:r>
            <w:r w:rsidRPr="00581D40">
              <w:rPr>
                <w:b/>
                <w:bCs/>
                <w:sz w:val="17"/>
                <w:szCs w:val="17"/>
              </w:rPr>
              <w:t>Segunda reunión de la Conferencia de las Partes</w:t>
            </w:r>
          </w:p>
        </w:tc>
      </w:tr>
      <w:tr w:rsidR="00B82C45" w:rsidRPr="00581D40" w14:paraId="3AE7F373"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tcPr>
          <w:p w14:paraId="478F7F84"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tcPr>
          <w:p w14:paraId="671BB428"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1.1. Segunda reunión</w:t>
            </w:r>
          </w:p>
        </w:tc>
        <w:tc>
          <w:tcPr>
            <w:tcW w:w="1200" w:type="dxa"/>
            <w:tcBorders>
              <w:top w:val="nil"/>
              <w:left w:val="nil"/>
              <w:bottom w:val="single" w:sz="8" w:space="0" w:color="auto"/>
              <w:right w:val="single" w:sz="8" w:space="0" w:color="auto"/>
            </w:tcBorders>
            <w:shd w:val="clear" w:color="000000" w:fill="FFFFFF"/>
            <w:noWrap/>
            <w:vAlign w:val="center"/>
          </w:tcPr>
          <w:p w14:paraId="2CDB4E21"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sz w:val="14"/>
                <w:szCs w:val="14"/>
              </w:rPr>
              <w:t xml:space="preserve">840 000 </w:t>
            </w:r>
          </w:p>
        </w:tc>
        <w:tc>
          <w:tcPr>
            <w:tcW w:w="1111" w:type="dxa"/>
            <w:tcBorders>
              <w:top w:val="nil"/>
              <w:left w:val="nil"/>
              <w:bottom w:val="single" w:sz="8" w:space="0" w:color="auto"/>
              <w:right w:val="single" w:sz="8" w:space="0" w:color="auto"/>
            </w:tcBorders>
            <w:shd w:val="clear" w:color="000000" w:fill="FFFFFF"/>
            <w:noWrap/>
            <w:vAlign w:val="center"/>
          </w:tcPr>
          <w:p w14:paraId="74511B88"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640 000 </w:t>
            </w:r>
          </w:p>
        </w:tc>
        <w:tc>
          <w:tcPr>
            <w:tcW w:w="1191" w:type="dxa"/>
            <w:tcBorders>
              <w:top w:val="nil"/>
              <w:left w:val="nil"/>
              <w:bottom w:val="single" w:sz="8" w:space="0" w:color="auto"/>
              <w:right w:val="single" w:sz="8" w:space="0" w:color="auto"/>
            </w:tcBorders>
            <w:shd w:val="clear" w:color="auto" w:fill="auto"/>
            <w:noWrap/>
            <w:vAlign w:val="center"/>
          </w:tcPr>
          <w:p w14:paraId="669A1E8C"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840 000 </w:t>
            </w:r>
          </w:p>
        </w:tc>
        <w:tc>
          <w:tcPr>
            <w:tcW w:w="1140" w:type="dxa"/>
            <w:tcBorders>
              <w:top w:val="nil"/>
              <w:left w:val="nil"/>
              <w:bottom w:val="single" w:sz="8" w:space="0" w:color="auto"/>
              <w:right w:val="single" w:sz="8" w:space="0" w:color="auto"/>
            </w:tcBorders>
            <w:shd w:val="clear" w:color="auto" w:fill="auto"/>
            <w:noWrap/>
            <w:vAlign w:val="center"/>
          </w:tcPr>
          <w:p w14:paraId="4192E1A9"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414 760 </w:t>
            </w:r>
          </w:p>
        </w:tc>
      </w:tr>
      <w:tr w:rsidR="00B82C45" w:rsidRPr="00581D40" w14:paraId="0AC6FDDF"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6F73618F"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872A289"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1.2. Reuniones preparatorias regionales</w:t>
            </w:r>
          </w:p>
        </w:tc>
        <w:tc>
          <w:tcPr>
            <w:tcW w:w="1200" w:type="dxa"/>
            <w:tcBorders>
              <w:top w:val="nil"/>
              <w:left w:val="nil"/>
              <w:bottom w:val="single" w:sz="8" w:space="0" w:color="auto"/>
              <w:right w:val="single" w:sz="8" w:space="0" w:color="auto"/>
            </w:tcBorders>
            <w:shd w:val="clear" w:color="000000" w:fill="FFFFFF"/>
            <w:noWrap/>
            <w:vAlign w:val="center"/>
            <w:hideMark/>
          </w:tcPr>
          <w:p w14:paraId="20D237B7"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3BB02812"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535 000 </w:t>
            </w:r>
          </w:p>
        </w:tc>
        <w:tc>
          <w:tcPr>
            <w:tcW w:w="1191" w:type="dxa"/>
            <w:tcBorders>
              <w:top w:val="nil"/>
              <w:left w:val="nil"/>
              <w:bottom w:val="single" w:sz="8" w:space="0" w:color="auto"/>
              <w:right w:val="single" w:sz="8" w:space="0" w:color="auto"/>
            </w:tcBorders>
            <w:shd w:val="clear" w:color="auto" w:fill="auto"/>
            <w:noWrap/>
            <w:vAlign w:val="center"/>
            <w:hideMark/>
          </w:tcPr>
          <w:p w14:paraId="6FFE040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7EEDFB1A"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431 178 </w:t>
            </w:r>
          </w:p>
        </w:tc>
      </w:tr>
      <w:tr w:rsidR="00B82C45" w:rsidRPr="00581D40" w14:paraId="7067D0C1" w14:textId="77777777" w:rsidTr="00581D40">
        <w:trPr>
          <w:gridAfter w:val="2"/>
          <w:wAfter w:w="7" w:type="pct"/>
          <w:trHeight w:val="555"/>
        </w:trPr>
        <w:tc>
          <w:tcPr>
            <w:tcW w:w="247" w:type="dxa"/>
            <w:tcBorders>
              <w:top w:val="nil"/>
              <w:left w:val="single" w:sz="8" w:space="0" w:color="auto"/>
              <w:bottom w:val="single" w:sz="8" w:space="0" w:color="auto"/>
              <w:right w:val="single" w:sz="8" w:space="0" w:color="auto"/>
            </w:tcBorders>
            <w:shd w:val="clear" w:color="000000" w:fill="FFFFFF"/>
            <w:noWrap/>
            <w:vAlign w:val="center"/>
            <w:hideMark/>
          </w:tcPr>
          <w:p w14:paraId="0F061D5F"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vAlign w:val="center"/>
            <w:hideMark/>
          </w:tcPr>
          <w:p w14:paraId="78A17251"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1.3. Grupos de expertos entre reuniones, de duración determinada, establecidos por la Conferencia de las Partes en sus reuniones primera y segunda</w:t>
            </w:r>
          </w:p>
        </w:tc>
        <w:tc>
          <w:tcPr>
            <w:tcW w:w="1200" w:type="dxa"/>
            <w:tcBorders>
              <w:top w:val="nil"/>
              <w:left w:val="nil"/>
              <w:bottom w:val="single" w:sz="8" w:space="0" w:color="auto"/>
              <w:right w:val="single" w:sz="8" w:space="0" w:color="auto"/>
            </w:tcBorders>
            <w:shd w:val="clear" w:color="000000" w:fill="FFFFFF"/>
            <w:noWrap/>
            <w:vAlign w:val="center"/>
            <w:hideMark/>
          </w:tcPr>
          <w:p w14:paraId="64AB7F17"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105 000 </w:t>
            </w:r>
          </w:p>
        </w:tc>
        <w:tc>
          <w:tcPr>
            <w:tcW w:w="1111" w:type="dxa"/>
            <w:tcBorders>
              <w:top w:val="nil"/>
              <w:left w:val="nil"/>
              <w:bottom w:val="single" w:sz="8" w:space="0" w:color="auto"/>
              <w:right w:val="single" w:sz="8" w:space="0" w:color="auto"/>
            </w:tcBorders>
            <w:shd w:val="clear" w:color="000000" w:fill="FFFFFF"/>
            <w:noWrap/>
            <w:vAlign w:val="center"/>
            <w:hideMark/>
          </w:tcPr>
          <w:p w14:paraId="22378454"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46DC3E5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75 000 </w:t>
            </w:r>
          </w:p>
        </w:tc>
        <w:tc>
          <w:tcPr>
            <w:tcW w:w="1140" w:type="dxa"/>
            <w:tcBorders>
              <w:top w:val="nil"/>
              <w:left w:val="nil"/>
              <w:bottom w:val="single" w:sz="8" w:space="0" w:color="auto"/>
              <w:right w:val="single" w:sz="8" w:space="0" w:color="auto"/>
            </w:tcBorders>
            <w:shd w:val="clear" w:color="auto" w:fill="auto"/>
            <w:noWrap/>
            <w:vAlign w:val="center"/>
            <w:hideMark/>
          </w:tcPr>
          <w:p w14:paraId="0A516A4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229B65AD"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9C07293" w14:textId="77777777" w:rsidR="00B82C45" w:rsidRPr="00581D40" w:rsidRDefault="00B82C45" w:rsidP="001A1C78">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46F851FC" w14:textId="77777777" w:rsidR="00B82C45" w:rsidRPr="00581D40" w:rsidRDefault="00B82C45" w:rsidP="001A1C78">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945 000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3F6E0F8E" w14:textId="77777777" w:rsidR="00B82C45" w:rsidRPr="00581D40" w:rsidRDefault="00B82C45" w:rsidP="001A1C78">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1 175 000</w:t>
            </w:r>
            <w:r w:rsidRPr="00581D40">
              <w:rPr>
                <w:sz w:val="14"/>
                <w:szCs w:val="14"/>
              </w:rPr>
              <w:t xml:space="preserve"> </w:t>
            </w:r>
          </w:p>
        </w:tc>
        <w:tc>
          <w:tcPr>
            <w:tcW w:w="1191" w:type="dxa"/>
            <w:tcBorders>
              <w:top w:val="nil"/>
              <w:left w:val="nil"/>
              <w:bottom w:val="single" w:sz="8" w:space="0" w:color="auto"/>
              <w:right w:val="single" w:sz="8" w:space="0" w:color="auto"/>
            </w:tcBorders>
            <w:shd w:val="clear" w:color="auto" w:fill="auto"/>
            <w:noWrap/>
            <w:vAlign w:val="center"/>
            <w:hideMark/>
          </w:tcPr>
          <w:p w14:paraId="7C57A0B6" w14:textId="77777777" w:rsidR="00B82C45" w:rsidRPr="00581D40" w:rsidRDefault="00B82C45" w:rsidP="001A1C78">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915 000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48BD560F" w14:textId="77777777" w:rsidR="00B82C45" w:rsidRPr="00581D40" w:rsidRDefault="00B82C45" w:rsidP="001A1C78">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845 938</w:t>
            </w:r>
            <w:r w:rsidRPr="00581D40">
              <w:rPr>
                <w:sz w:val="14"/>
                <w:szCs w:val="14"/>
              </w:rPr>
              <w:t xml:space="preserve"> </w:t>
            </w:r>
          </w:p>
        </w:tc>
      </w:tr>
      <w:tr w:rsidR="00B82C45" w:rsidRPr="00581D40" w14:paraId="784322FB"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986AB9"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2. </w:t>
            </w:r>
            <w:r w:rsidRPr="00581D40">
              <w:rPr>
                <w:b/>
                <w:bCs/>
                <w:sz w:val="17"/>
                <w:szCs w:val="17"/>
              </w:rPr>
              <w:t>Tercera reunión de la Conferencia de las Partes</w:t>
            </w:r>
          </w:p>
        </w:tc>
      </w:tr>
      <w:tr w:rsidR="00B82C45" w:rsidRPr="00581D40" w14:paraId="66533F29"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42A1E6FA"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5826DEF5"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2.1. Tercera reunión</w:t>
            </w:r>
          </w:p>
        </w:tc>
        <w:tc>
          <w:tcPr>
            <w:tcW w:w="1200" w:type="dxa"/>
            <w:tcBorders>
              <w:top w:val="nil"/>
              <w:left w:val="nil"/>
              <w:bottom w:val="single" w:sz="8" w:space="0" w:color="auto"/>
              <w:right w:val="single" w:sz="8" w:space="0" w:color="auto"/>
            </w:tcBorders>
            <w:shd w:val="clear" w:color="000000" w:fill="FFFFFF"/>
            <w:noWrap/>
            <w:vAlign w:val="center"/>
            <w:hideMark/>
          </w:tcPr>
          <w:p w14:paraId="66444A8C"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64ECCC20"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6B5FDDB6"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57C97325"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6721A9D3"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22AAF73D"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3DBB5DB"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2.2. Reuniones preparatorias regionales</w:t>
            </w:r>
          </w:p>
        </w:tc>
        <w:tc>
          <w:tcPr>
            <w:tcW w:w="1200" w:type="dxa"/>
            <w:tcBorders>
              <w:top w:val="nil"/>
              <w:left w:val="nil"/>
              <w:bottom w:val="single" w:sz="8" w:space="0" w:color="auto"/>
              <w:right w:val="single" w:sz="8" w:space="0" w:color="auto"/>
            </w:tcBorders>
            <w:shd w:val="clear" w:color="000000" w:fill="FFFFFF"/>
            <w:noWrap/>
            <w:vAlign w:val="center"/>
            <w:hideMark/>
          </w:tcPr>
          <w:p w14:paraId="6EDC4C1A"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14606E7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527AB02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47C4E212"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4BF7729B"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17CE2F7"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7F1BD300"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697AACD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244DE04"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4705FE3E"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334238DE"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F4753B"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3. </w:t>
            </w:r>
            <w:r w:rsidRPr="00581D40">
              <w:rPr>
                <w:b/>
                <w:bCs/>
                <w:sz w:val="17"/>
                <w:szCs w:val="17"/>
              </w:rPr>
              <w:t>Mesa de la Conferencia de las Partes</w:t>
            </w:r>
          </w:p>
        </w:tc>
      </w:tr>
      <w:tr w:rsidR="00B82C45" w:rsidRPr="00581D40" w14:paraId="1D5A188A"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0E8C6DCD"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C5CFA16"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3.1. Reuniones de la Mesa</w:t>
            </w:r>
          </w:p>
        </w:tc>
        <w:tc>
          <w:tcPr>
            <w:tcW w:w="1200" w:type="dxa"/>
            <w:tcBorders>
              <w:top w:val="nil"/>
              <w:left w:val="nil"/>
              <w:bottom w:val="single" w:sz="8" w:space="0" w:color="auto"/>
              <w:right w:val="single" w:sz="8" w:space="0" w:color="auto"/>
            </w:tcBorders>
            <w:shd w:val="clear" w:color="000000" w:fill="FFFFFF"/>
            <w:noWrap/>
            <w:vAlign w:val="center"/>
            <w:hideMark/>
          </w:tcPr>
          <w:p w14:paraId="55F2E2B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25 000 </w:t>
            </w:r>
          </w:p>
        </w:tc>
        <w:tc>
          <w:tcPr>
            <w:tcW w:w="1111" w:type="dxa"/>
            <w:tcBorders>
              <w:top w:val="nil"/>
              <w:left w:val="nil"/>
              <w:bottom w:val="single" w:sz="8" w:space="0" w:color="auto"/>
              <w:right w:val="single" w:sz="8" w:space="0" w:color="auto"/>
            </w:tcBorders>
            <w:shd w:val="clear" w:color="000000" w:fill="FFFFFF"/>
            <w:noWrap/>
            <w:vAlign w:val="center"/>
            <w:hideMark/>
          </w:tcPr>
          <w:p w14:paraId="61EFDC85"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49EBBEF2"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25 000 </w:t>
            </w:r>
          </w:p>
        </w:tc>
        <w:tc>
          <w:tcPr>
            <w:tcW w:w="1140" w:type="dxa"/>
            <w:tcBorders>
              <w:top w:val="nil"/>
              <w:left w:val="nil"/>
              <w:bottom w:val="single" w:sz="8" w:space="0" w:color="auto"/>
              <w:right w:val="single" w:sz="8" w:space="0" w:color="auto"/>
            </w:tcBorders>
            <w:shd w:val="clear" w:color="auto" w:fill="auto"/>
            <w:noWrap/>
            <w:vAlign w:val="center"/>
            <w:hideMark/>
          </w:tcPr>
          <w:p w14:paraId="74092194"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w:t>
            </w:r>
          </w:p>
        </w:tc>
      </w:tr>
      <w:tr w:rsidR="00B82C45" w:rsidRPr="00581D40" w14:paraId="41D85760"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46C1DA8"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62BA805C"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25 000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27DB2A75"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w:t>
            </w:r>
          </w:p>
        </w:tc>
        <w:tc>
          <w:tcPr>
            <w:tcW w:w="1191" w:type="dxa"/>
            <w:tcBorders>
              <w:top w:val="nil"/>
              <w:left w:val="nil"/>
              <w:bottom w:val="single" w:sz="8" w:space="0" w:color="auto"/>
              <w:right w:val="single" w:sz="8" w:space="0" w:color="auto"/>
            </w:tcBorders>
            <w:shd w:val="clear" w:color="auto" w:fill="auto"/>
            <w:noWrap/>
            <w:vAlign w:val="center"/>
            <w:hideMark/>
          </w:tcPr>
          <w:p w14:paraId="1DF88699"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25 000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625068FB"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vertAlign w:val="subscript"/>
              </w:rPr>
            </w:pPr>
            <w:r w:rsidRPr="00581D40">
              <w:rPr>
                <w:sz w:val="14"/>
                <w:szCs w:val="14"/>
              </w:rPr>
              <w:t>–</w:t>
            </w:r>
          </w:p>
        </w:tc>
      </w:tr>
      <w:tr w:rsidR="00B82C45" w:rsidRPr="00581D40" w14:paraId="5203E50D"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9CD0D3"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4. </w:t>
            </w:r>
            <w:r w:rsidRPr="00581D40">
              <w:rPr>
                <w:b/>
                <w:bCs/>
                <w:sz w:val="17"/>
                <w:szCs w:val="17"/>
              </w:rPr>
              <w:t>Comité de Aplicación y Cumplimiento</w:t>
            </w:r>
          </w:p>
        </w:tc>
      </w:tr>
      <w:tr w:rsidR="00B82C45" w:rsidRPr="00581D40" w14:paraId="0FED411E"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auto" w:fill="auto"/>
            <w:noWrap/>
            <w:hideMark/>
          </w:tcPr>
          <w:p w14:paraId="7A76F89D"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2C9785"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4.1. Reunión del Comité</w:t>
            </w:r>
          </w:p>
        </w:tc>
        <w:tc>
          <w:tcPr>
            <w:tcW w:w="1200" w:type="dxa"/>
            <w:tcBorders>
              <w:top w:val="nil"/>
              <w:left w:val="nil"/>
              <w:bottom w:val="single" w:sz="8" w:space="0" w:color="auto"/>
              <w:right w:val="single" w:sz="8" w:space="0" w:color="auto"/>
            </w:tcBorders>
            <w:shd w:val="clear" w:color="auto" w:fill="auto"/>
            <w:noWrap/>
            <w:vAlign w:val="center"/>
            <w:hideMark/>
          </w:tcPr>
          <w:p w14:paraId="66BDA627"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30 000</w:t>
            </w:r>
          </w:p>
        </w:tc>
        <w:tc>
          <w:tcPr>
            <w:tcW w:w="1111" w:type="dxa"/>
            <w:tcBorders>
              <w:top w:val="nil"/>
              <w:left w:val="nil"/>
              <w:bottom w:val="single" w:sz="8" w:space="0" w:color="auto"/>
              <w:right w:val="single" w:sz="8" w:space="0" w:color="auto"/>
            </w:tcBorders>
            <w:shd w:val="clear" w:color="auto" w:fill="auto"/>
            <w:noWrap/>
            <w:vAlign w:val="center"/>
            <w:hideMark/>
          </w:tcPr>
          <w:p w14:paraId="149C0208"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4006BAE8"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1140" w:type="dxa"/>
            <w:tcBorders>
              <w:top w:val="nil"/>
              <w:left w:val="nil"/>
              <w:bottom w:val="single" w:sz="8" w:space="0" w:color="auto"/>
              <w:right w:val="single" w:sz="8" w:space="0" w:color="auto"/>
            </w:tcBorders>
            <w:shd w:val="clear" w:color="auto" w:fill="auto"/>
            <w:noWrap/>
            <w:vAlign w:val="center"/>
            <w:hideMark/>
          </w:tcPr>
          <w:p w14:paraId="5D3D337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1A102D92"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BE7D54C"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27EE7D55"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p>
        </w:tc>
        <w:tc>
          <w:tcPr>
            <w:tcW w:w="1111" w:type="dxa"/>
            <w:tcBorders>
              <w:top w:val="nil"/>
              <w:left w:val="nil"/>
              <w:bottom w:val="single" w:sz="8" w:space="0" w:color="auto"/>
              <w:right w:val="single" w:sz="8" w:space="0" w:color="auto"/>
            </w:tcBorders>
            <w:shd w:val="clear" w:color="000000" w:fill="FFFFFF"/>
            <w:noWrap/>
            <w:vAlign w:val="center"/>
            <w:hideMark/>
          </w:tcPr>
          <w:p w14:paraId="034AEC9E"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6C64087E"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54A6B23A"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70CD4410"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9B0ECFD"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(A)</w:t>
            </w:r>
          </w:p>
        </w:tc>
        <w:tc>
          <w:tcPr>
            <w:tcW w:w="1200" w:type="dxa"/>
            <w:tcBorders>
              <w:top w:val="nil"/>
              <w:left w:val="nil"/>
              <w:bottom w:val="single" w:sz="8" w:space="0" w:color="auto"/>
              <w:right w:val="single" w:sz="8" w:space="0" w:color="auto"/>
            </w:tcBorders>
            <w:shd w:val="clear" w:color="000000" w:fill="FFFFFF"/>
            <w:noWrap/>
            <w:vAlign w:val="center"/>
            <w:hideMark/>
          </w:tcPr>
          <w:p w14:paraId="13809389"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1 000 000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46A8985B"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1 175 000</w:t>
            </w:r>
            <w:r w:rsidRPr="00581D40">
              <w:rPr>
                <w:sz w:val="14"/>
                <w:szCs w:val="14"/>
              </w:rPr>
              <w:t xml:space="preserve"> </w:t>
            </w:r>
          </w:p>
        </w:tc>
        <w:tc>
          <w:tcPr>
            <w:tcW w:w="1191" w:type="dxa"/>
            <w:tcBorders>
              <w:top w:val="nil"/>
              <w:left w:val="nil"/>
              <w:bottom w:val="single" w:sz="8" w:space="0" w:color="auto"/>
              <w:right w:val="single" w:sz="8" w:space="0" w:color="auto"/>
            </w:tcBorders>
            <w:shd w:val="clear" w:color="auto" w:fill="auto"/>
            <w:noWrap/>
            <w:vAlign w:val="center"/>
            <w:hideMark/>
          </w:tcPr>
          <w:p w14:paraId="4CE9ADA1"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970 000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3BB6D9C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845 938</w:t>
            </w:r>
            <w:r w:rsidRPr="00581D40">
              <w:rPr>
                <w:sz w:val="14"/>
                <w:szCs w:val="14"/>
              </w:rPr>
              <w:t xml:space="preserve"> </w:t>
            </w:r>
          </w:p>
        </w:tc>
      </w:tr>
      <w:tr w:rsidR="00B82C45" w:rsidRPr="00581D40" w14:paraId="0FB7EDC2"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B9106D"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B. </w:t>
            </w:r>
            <w:r w:rsidRPr="00581D40">
              <w:rPr>
                <w:b/>
                <w:bCs/>
                <w:sz w:val="17"/>
                <w:szCs w:val="17"/>
              </w:rPr>
              <w:t>Creación de capacidad y asistencia técnica</w:t>
            </w:r>
          </w:p>
        </w:tc>
      </w:tr>
      <w:tr w:rsidR="00B82C45" w:rsidRPr="00581D40" w14:paraId="20882D9E"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28DBE2"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5. </w:t>
            </w:r>
            <w:r w:rsidRPr="00581D40">
              <w:rPr>
                <w:b/>
                <w:bCs/>
                <w:sz w:val="17"/>
                <w:szCs w:val="17"/>
              </w:rPr>
              <w:t>Programa de creación de capacidad y asistencia técnica del Convenio de Minamata</w:t>
            </w:r>
          </w:p>
        </w:tc>
      </w:tr>
      <w:tr w:rsidR="00B82C45" w:rsidRPr="00581D40" w14:paraId="09D00E2C" w14:textId="77777777" w:rsidTr="00581D40">
        <w:trPr>
          <w:gridAfter w:val="2"/>
          <w:wAfter w:w="7" w:type="pct"/>
          <w:trHeight w:val="375"/>
        </w:trPr>
        <w:tc>
          <w:tcPr>
            <w:tcW w:w="247" w:type="dxa"/>
            <w:tcBorders>
              <w:top w:val="nil"/>
              <w:left w:val="single" w:sz="8" w:space="0" w:color="auto"/>
              <w:bottom w:val="single" w:sz="8" w:space="0" w:color="auto"/>
              <w:right w:val="single" w:sz="8" w:space="0" w:color="auto"/>
            </w:tcBorders>
            <w:shd w:val="clear" w:color="000000" w:fill="FFFFFF"/>
            <w:noWrap/>
            <w:hideMark/>
          </w:tcPr>
          <w:p w14:paraId="234AC8F0"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70B5E0E"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5.1. Cuestiones transversales</w:t>
            </w:r>
          </w:p>
        </w:tc>
        <w:tc>
          <w:tcPr>
            <w:tcW w:w="1200" w:type="dxa"/>
            <w:tcBorders>
              <w:top w:val="nil"/>
              <w:left w:val="nil"/>
              <w:bottom w:val="single" w:sz="8" w:space="0" w:color="auto"/>
              <w:right w:val="single" w:sz="8" w:space="0" w:color="auto"/>
            </w:tcBorders>
            <w:shd w:val="clear" w:color="000000" w:fill="FFFFFF"/>
            <w:noWrap/>
            <w:vAlign w:val="center"/>
            <w:hideMark/>
          </w:tcPr>
          <w:p w14:paraId="5A2401C5"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3264D5B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300 000 </w:t>
            </w:r>
          </w:p>
        </w:tc>
        <w:tc>
          <w:tcPr>
            <w:tcW w:w="1191" w:type="dxa"/>
            <w:tcBorders>
              <w:top w:val="nil"/>
              <w:left w:val="nil"/>
              <w:bottom w:val="single" w:sz="8" w:space="0" w:color="auto"/>
              <w:right w:val="single" w:sz="8" w:space="0" w:color="auto"/>
            </w:tcBorders>
            <w:shd w:val="clear" w:color="auto" w:fill="auto"/>
            <w:noWrap/>
            <w:vAlign w:val="center"/>
            <w:hideMark/>
          </w:tcPr>
          <w:p w14:paraId="616847B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78951192"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14804E08"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0DBC527A"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CB4D768"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5.2. Análisis de los efectos</w:t>
            </w:r>
          </w:p>
        </w:tc>
        <w:tc>
          <w:tcPr>
            <w:tcW w:w="1200" w:type="dxa"/>
            <w:tcBorders>
              <w:top w:val="nil"/>
              <w:left w:val="nil"/>
              <w:bottom w:val="single" w:sz="8" w:space="0" w:color="auto"/>
              <w:right w:val="single" w:sz="8" w:space="0" w:color="auto"/>
            </w:tcBorders>
            <w:shd w:val="clear" w:color="000000" w:fill="FFFFFF"/>
            <w:noWrap/>
            <w:vAlign w:val="center"/>
            <w:hideMark/>
          </w:tcPr>
          <w:p w14:paraId="10B87665"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0FA2AA5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6E6E183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10A491F6"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74CA8F54"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193E3D35"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3BEEBDB"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5.3. Instrumentos y metodologías</w:t>
            </w:r>
          </w:p>
        </w:tc>
        <w:tc>
          <w:tcPr>
            <w:tcW w:w="1200" w:type="dxa"/>
            <w:tcBorders>
              <w:top w:val="nil"/>
              <w:left w:val="nil"/>
              <w:bottom w:val="single" w:sz="8" w:space="0" w:color="auto"/>
              <w:right w:val="single" w:sz="8" w:space="0" w:color="auto"/>
            </w:tcBorders>
            <w:shd w:val="clear" w:color="000000" w:fill="FFFFFF"/>
            <w:noWrap/>
            <w:vAlign w:val="center"/>
            <w:hideMark/>
          </w:tcPr>
          <w:p w14:paraId="4E6ADC9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749E6BB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1191" w:type="dxa"/>
            <w:tcBorders>
              <w:top w:val="nil"/>
              <w:left w:val="nil"/>
              <w:bottom w:val="single" w:sz="8" w:space="0" w:color="auto"/>
              <w:right w:val="single" w:sz="8" w:space="0" w:color="auto"/>
            </w:tcBorders>
            <w:shd w:val="clear" w:color="auto" w:fill="auto"/>
            <w:noWrap/>
            <w:vAlign w:val="center"/>
            <w:hideMark/>
          </w:tcPr>
          <w:p w14:paraId="7C9849C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7952B3D9"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0F712CD3"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19E98154"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2E133814"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5.4. Evaluación de las necesidades</w:t>
            </w:r>
          </w:p>
        </w:tc>
        <w:tc>
          <w:tcPr>
            <w:tcW w:w="1200" w:type="dxa"/>
            <w:tcBorders>
              <w:top w:val="nil"/>
              <w:left w:val="nil"/>
              <w:bottom w:val="single" w:sz="8" w:space="0" w:color="auto"/>
              <w:right w:val="single" w:sz="8" w:space="0" w:color="auto"/>
            </w:tcBorders>
            <w:shd w:val="clear" w:color="000000" w:fill="FFFFFF"/>
            <w:noWrap/>
            <w:vAlign w:val="center"/>
            <w:hideMark/>
          </w:tcPr>
          <w:p w14:paraId="325B1276"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hideMark/>
          </w:tcPr>
          <w:p w14:paraId="6ADFFF5F" w14:textId="77777777" w:rsidR="00B82C45" w:rsidRPr="00581D40" w:rsidRDefault="00B82C45" w:rsidP="005A5834">
            <w:pPr>
              <w:tabs>
                <w:tab w:val="clear" w:pos="1247"/>
                <w:tab w:val="clear" w:pos="1814"/>
                <w:tab w:val="clear" w:pos="2381"/>
                <w:tab w:val="clear" w:pos="2948"/>
                <w:tab w:val="clear" w:pos="3515"/>
              </w:tabs>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E54DCC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08A7263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6107F25C"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03D15A45"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180C4B6"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 xml:space="preserve">5.5. Actividades específicas de desarrollo de la capacidad </w:t>
            </w:r>
          </w:p>
        </w:tc>
        <w:tc>
          <w:tcPr>
            <w:tcW w:w="1200" w:type="dxa"/>
            <w:tcBorders>
              <w:top w:val="nil"/>
              <w:left w:val="nil"/>
              <w:bottom w:val="single" w:sz="8" w:space="0" w:color="auto"/>
              <w:right w:val="single" w:sz="8" w:space="0" w:color="auto"/>
            </w:tcBorders>
            <w:shd w:val="clear" w:color="000000" w:fill="FFFFFF"/>
            <w:noWrap/>
            <w:vAlign w:val="center"/>
            <w:hideMark/>
          </w:tcPr>
          <w:p w14:paraId="1407441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75CB4B17"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500 000 </w:t>
            </w:r>
          </w:p>
        </w:tc>
        <w:tc>
          <w:tcPr>
            <w:tcW w:w="1191" w:type="dxa"/>
            <w:tcBorders>
              <w:top w:val="nil"/>
              <w:left w:val="nil"/>
              <w:bottom w:val="single" w:sz="8" w:space="0" w:color="auto"/>
              <w:right w:val="single" w:sz="8" w:space="0" w:color="auto"/>
            </w:tcBorders>
            <w:shd w:val="clear" w:color="auto" w:fill="auto"/>
            <w:noWrap/>
            <w:vAlign w:val="center"/>
            <w:hideMark/>
          </w:tcPr>
          <w:p w14:paraId="130CA86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67A5DC79"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29C0634D"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hideMark/>
          </w:tcPr>
          <w:p w14:paraId="08E99C8D"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05277AA2"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5.6. Actividades solicitadas de creación de capacidad</w:t>
            </w:r>
          </w:p>
        </w:tc>
        <w:tc>
          <w:tcPr>
            <w:tcW w:w="1200" w:type="dxa"/>
            <w:tcBorders>
              <w:top w:val="nil"/>
              <w:left w:val="nil"/>
              <w:bottom w:val="single" w:sz="8" w:space="0" w:color="auto"/>
              <w:right w:val="single" w:sz="8" w:space="0" w:color="auto"/>
            </w:tcBorders>
            <w:shd w:val="clear" w:color="000000" w:fill="FFFFFF"/>
            <w:noWrap/>
            <w:vAlign w:val="center"/>
            <w:hideMark/>
          </w:tcPr>
          <w:p w14:paraId="56984F2C"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2C223F46"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800 000 </w:t>
            </w:r>
          </w:p>
        </w:tc>
        <w:tc>
          <w:tcPr>
            <w:tcW w:w="1191" w:type="dxa"/>
            <w:tcBorders>
              <w:top w:val="nil"/>
              <w:left w:val="nil"/>
              <w:bottom w:val="single" w:sz="8" w:space="0" w:color="auto"/>
              <w:right w:val="single" w:sz="8" w:space="0" w:color="auto"/>
            </w:tcBorders>
            <w:shd w:val="clear" w:color="auto" w:fill="auto"/>
            <w:noWrap/>
            <w:vAlign w:val="center"/>
            <w:hideMark/>
          </w:tcPr>
          <w:p w14:paraId="38E236AC"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595840F2"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11 640 </w:t>
            </w:r>
          </w:p>
        </w:tc>
      </w:tr>
      <w:tr w:rsidR="00B82C45" w:rsidRPr="00581D40" w14:paraId="210D8B86"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4AE3D37"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(B)</w:t>
            </w:r>
          </w:p>
        </w:tc>
        <w:tc>
          <w:tcPr>
            <w:tcW w:w="1200" w:type="dxa"/>
            <w:tcBorders>
              <w:top w:val="nil"/>
              <w:left w:val="nil"/>
              <w:bottom w:val="single" w:sz="8" w:space="0" w:color="auto"/>
              <w:right w:val="single" w:sz="8" w:space="0" w:color="auto"/>
            </w:tcBorders>
            <w:shd w:val="clear" w:color="000000" w:fill="FFFFFF"/>
            <w:noWrap/>
            <w:vAlign w:val="center"/>
            <w:hideMark/>
          </w:tcPr>
          <w:p w14:paraId="3B6F425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w:t>
            </w:r>
          </w:p>
        </w:tc>
        <w:tc>
          <w:tcPr>
            <w:tcW w:w="1111" w:type="dxa"/>
            <w:tcBorders>
              <w:top w:val="nil"/>
              <w:left w:val="nil"/>
              <w:bottom w:val="single" w:sz="8" w:space="0" w:color="auto"/>
              <w:right w:val="single" w:sz="8" w:space="0" w:color="auto"/>
            </w:tcBorders>
            <w:shd w:val="clear" w:color="000000" w:fill="FFFFFF"/>
            <w:noWrap/>
            <w:vAlign w:val="center"/>
            <w:hideMark/>
          </w:tcPr>
          <w:p w14:paraId="36500760"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1 650 000</w:t>
            </w:r>
            <w:r w:rsidRPr="00581D40">
              <w:rPr>
                <w:sz w:val="14"/>
                <w:szCs w:val="14"/>
              </w:rPr>
              <w:t xml:space="preserve"> </w:t>
            </w:r>
          </w:p>
        </w:tc>
        <w:tc>
          <w:tcPr>
            <w:tcW w:w="1191" w:type="dxa"/>
            <w:tcBorders>
              <w:top w:val="nil"/>
              <w:left w:val="nil"/>
              <w:bottom w:val="single" w:sz="8" w:space="0" w:color="auto"/>
              <w:right w:val="single" w:sz="8" w:space="0" w:color="auto"/>
            </w:tcBorders>
            <w:shd w:val="clear" w:color="auto" w:fill="auto"/>
            <w:noWrap/>
            <w:vAlign w:val="center"/>
            <w:hideMark/>
          </w:tcPr>
          <w:p w14:paraId="3737C19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w:t>
            </w:r>
          </w:p>
        </w:tc>
        <w:tc>
          <w:tcPr>
            <w:tcW w:w="1140" w:type="dxa"/>
            <w:tcBorders>
              <w:top w:val="nil"/>
              <w:left w:val="nil"/>
              <w:bottom w:val="single" w:sz="8" w:space="0" w:color="auto"/>
              <w:right w:val="single" w:sz="8" w:space="0" w:color="auto"/>
            </w:tcBorders>
            <w:shd w:val="clear" w:color="auto" w:fill="auto"/>
            <w:noWrap/>
            <w:vAlign w:val="center"/>
            <w:hideMark/>
          </w:tcPr>
          <w:p w14:paraId="7109D3C1"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11 640</w:t>
            </w:r>
            <w:r w:rsidRPr="00581D40">
              <w:rPr>
                <w:sz w:val="14"/>
                <w:szCs w:val="14"/>
              </w:rPr>
              <w:t xml:space="preserve"> </w:t>
            </w:r>
          </w:p>
        </w:tc>
      </w:tr>
      <w:tr w:rsidR="00B82C45" w:rsidRPr="00581D40" w14:paraId="0116DFB8"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E69A0"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C. </w:t>
            </w:r>
            <w:r w:rsidRPr="00581D40">
              <w:rPr>
                <w:b/>
                <w:bCs/>
                <w:sz w:val="17"/>
                <w:szCs w:val="17"/>
              </w:rPr>
              <w:t>Actividades científicas y técnicas</w:t>
            </w:r>
          </w:p>
        </w:tc>
      </w:tr>
      <w:tr w:rsidR="00B82C45" w:rsidRPr="00581D40" w14:paraId="0F43FCA9"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9138FC"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6. </w:t>
            </w:r>
            <w:r w:rsidRPr="00581D40">
              <w:rPr>
                <w:b/>
                <w:bCs/>
                <w:sz w:val="17"/>
                <w:szCs w:val="17"/>
              </w:rPr>
              <w:t>Apoyo científico a los Estados que son Partes en el Convenio de Minamata</w:t>
            </w:r>
          </w:p>
        </w:tc>
      </w:tr>
      <w:tr w:rsidR="00B82C45" w:rsidRPr="00581D40" w14:paraId="201438B4"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vAlign w:val="center"/>
            <w:hideMark/>
          </w:tcPr>
          <w:p w14:paraId="3E40878E"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C9D3A36"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6.1. Apoyo científico a los estados que son Partes en el Convenio</w:t>
            </w:r>
          </w:p>
        </w:tc>
        <w:tc>
          <w:tcPr>
            <w:tcW w:w="1200" w:type="dxa"/>
            <w:tcBorders>
              <w:top w:val="nil"/>
              <w:left w:val="nil"/>
              <w:bottom w:val="single" w:sz="8" w:space="0" w:color="auto"/>
              <w:right w:val="single" w:sz="8" w:space="0" w:color="auto"/>
            </w:tcBorders>
            <w:shd w:val="clear" w:color="000000" w:fill="FFFFFF"/>
            <w:noWrap/>
            <w:vAlign w:val="center"/>
            <w:hideMark/>
          </w:tcPr>
          <w:p w14:paraId="46CF0B79"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0FF80357"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38A4E70A"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29403A95"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162 000 </w:t>
            </w:r>
          </w:p>
        </w:tc>
      </w:tr>
      <w:tr w:rsidR="00B82C45" w:rsidRPr="00581D40" w14:paraId="7AC1F87B"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2D00B4F"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424EBF33"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6209D7C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EA7B560"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72E5F3AC"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162 000</w:t>
            </w:r>
            <w:r w:rsidRPr="00581D40">
              <w:rPr>
                <w:sz w:val="14"/>
                <w:szCs w:val="14"/>
              </w:rPr>
              <w:t xml:space="preserve"> </w:t>
            </w:r>
          </w:p>
        </w:tc>
      </w:tr>
      <w:tr w:rsidR="00B82C45" w:rsidRPr="00581D40" w14:paraId="3AC52D14"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666F35"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7. </w:t>
            </w:r>
            <w:r w:rsidRPr="00581D40">
              <w:rPr>
                <w:b/>
                <w:bCs/>
                <w:sz w:val="17"/>
                <w:szCs w:val="17"/>
              </w:rPr>
              <w:t>Evaluación de la eficacia y plan de vigilancia mundial</w:t>
            </w:r>
          </w:p>
        </w:tc>
      </w:tr>
      <w:tr w:rsidR="00B82C45" w:rsidRPr="00581D40" w14:paraId="03B8E627"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vAlign w:val="center"/>
            <w:hideMark/>
          </w:tcPr>
          <w:p w14:paraId="395F369A"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4BE7FB9"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7.1. Evaluación de la eficacia y plan de vigilancia mundial</w:t>
            </w:r>
          </w:p>
        </w:tc>
        <w:tc>
          <w:tcPr>
            <w:tcW w:w="1200" w:type="dxa"/>
            <w:tcBorders>
              <w:top w:val="nil"/>
              <w:left w:val="nil"/>
              <w:bottom w:val="single" w:sz="8" w:space="0" w:color="auto"/>
              <w:right w:val="single" w:sz="8" w:space="0" w:color="auto"/>
            </w:tcBorders>
            <w:shd w:val="clear" w:color="000000" w:fill="FFFFFF"/>
            <w:noWrap/>
            <w:vAlign w:val="center"/>
            <w:hideMark/>
          </w:tcPr>
          <w:p w14:paraId="6B36A483"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2A521A4C"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AC78DE2"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449ADA63"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1B11FE53"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7622601"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3B58EB4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5D46C06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7E4F5547"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4487714A"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r>
      <w:tr w:rsidR="00B82C45" w:rsidRPr="00581D40" w14:paraId="3B80A741"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672D9" w14:textId="77777777" w:rsidR="00B82C45" w:rsidRPr="00581D40" w:rsidRDefault="00B82C45" w:rsidP="005A5834">
            <w:pPr>
              <w:keepNext/>
              <w:keepLines/>
              <w:tabs>
                <w:tab w:val="clear" w:pos="1247"/>
                <w:tab w:val="clear" w:pos="1814"/>
                <w:tab w:val="clear" w:pos="2381"/>
                <w:tab w:val="clear" w:pos="2948"/>
                <w:tab w:val="clear" w:pos="3515"/>
              </w:tabs>
              <w:rPr>
                <w:b/>
                <w:bCs/>
                <w:color w:val="000000"/>
                <w:sz w:val="17"/>
                <w:szCs w:val="17"/>
              </w:rPr>
            </w:pPr>
            <w:r w:rsidRPr="00581D40">
              <w:rPr>
                <w:b/>
                <w:sz w:val="17"/>
                <w:szCs w:val="17"/>
              </w:rPr>
              <w:t xml:space="preserve">8. </w:t>
            </w:r>
            <w:r w:rsidRPr="00581D40">
              <w:rPr>
                <w:b/>
                <w:bCs/>
                <w:sz w:val="17"/>
                <w:szCs w:val="17"/>
              </w:rPr>
              <w:t>Presentación de informes nacionales de conformidad con el Convenio de Minamata</w:t>
            </w:r>
          </w:p>
        </w:tc>
      </w:tr>
      <w:tr w:rsidR="00B82C45" w:rsidRPr="00581D40" w14:paraId="161E73E4" w14:textId="77777777" w:rsidTr="00581D40">
        <w:trPr>
          <w:gridAfter w:val="2"/>
          <w:wAfter w:w="7" w:type="pct"/>
          <w:trHeight w:val="315"/>
        </w:trPr>
        <w:tc>
          <w:tcPr>
            <w:tcW w:w="247" w:type="dxa"/>
            <w:tcBorders>
              <w:top w:val="nil"/>
              <w:left w:val="single" w:sz="8" w:space="0" w:color="auto"/>
              <w:bottom w:val="single" w:sz="8" w:space="0" w:color="auto"/>
              <w:right w:val="single" w:sz="8" w:space="0" w:color="auto"/>
            </w:tcBorders>
            <w:shd w:val="clear" w:color="000000" w:fill="FFFFFF"/>
            <w:noWrap/>
            <w:vAlign w:val="center"/>
            <w:hideMark/>
          </w:tcPr>
          <w:p w14:paraId="519D39D6"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17C09CB0"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8.1. Presentación de informes nacionales de conformidad con el Convenio de Minamata</w:t>
            </w:r>
          </w:p>
        </w:tc>
        <w:tc>
          <w:tcPr>
            <w:tcW w:w="1200" w:type="dxa"/>
            <w:tcBorders>
              <w:top w:val="nil"/>
              <w:left w:val="nil"/>
              <w:bottom w:val="single" w:sz="8" w:space="0" w:color="000000"/>
              <w:right w:val="single" w:sz="8" w:space="0" w:color="auto"/>
            </w:tcBorders>
            <w:shd w:val="clear" w:color="000000" w:fill="FFFFFF"/>
            <w:noWrap/>
            <w:vAlign w:val="center"/>
            <w:hideMark/>
          </w:tcPr>
          <w:p w14:paraId="5347CC86"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1111" w:type="dxa"/>
            <w:tcBorders>
              <w:top w:val="nil"/>
              <w:left w:val="nil"/>
              <w:bottom w:val="single" w:sz="8" w:space="0" w:color="000000"/>
              <w:right w:val="single" w:sz="8" w:space="0" w:color="auto"/>
            </w:tcBorders>
            <w:shd w:val="clear" w:color="000000" w:fill="FFFFFF"/>
            <w:noWrap/>
            <w:vAlign w:val="center"/>
            <w:hideMark/>
          </w:tcPr>
          <w:p w14:paraId="047E208D" w14:textId="77777777" w:rsidR="00B82C45" w:rsidRPr="00581D40" w:rsidRDefault="00B82C45" w:rsidP="005A5834">
            <w:pPr>
              <w:keepNext/>
              <w:keepLines/>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000000"/>
              <w:right w:val="single" w:sz="8" w:space="0" w:color="auto"/>
            </w:tcBorders>
            <w:shd w:val="clear" w:color="auto" w:fill="auto"/>
            <w:noWrap/>
            <w:vAlign w:val="center"/>
            <w:hideMark/>
          </w:tcPr>
          <w:p w14:paraId="75B37BF7" w14:textId="77777777" w:rsidR="00B82C45" w:rsidRPr="00581D40" w:rsidRDefault="00B82C45" w:rsidP="005A5834">
            <w:pPr>
              <w:keepNext/>
              <w:keepLines/>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000000"/>
              <w:right w:val="single" w:sz="8" w:space="0" w:color="auto"/>
            </w:tcBorders>
            <w:shd w:val="clear" w:color="auto" w:fill="auto"/>
            <w:noWrap/>
            <w:vAlign w:val="center"/>
            <w:hideMark/>
          </w:tcPr>
          <w:p w14:paraId="01A79C29" w14:textId="77777777" w:rsidR="00B82C45" w:rsidRPr="00581D40" w:rsidRDefault="00B82C45" w:rsidP="005A5834">
            <w:pPr>
              <w:keepNext/>
              <w:keepLines/>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4D53969E"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9509EA3"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lastRenderedPageBreak/>
              <w:t>Total parcial</w:t>
            </w:r>
          </w:p>
        </w:tc>
        <w:tc>
          <w:tcPr>
            <w:tcW w:w="1200" w:type="dxa"/>
            <w:tcBorders>
              <w:top w:val="single" w:sz="8" w:space="0" w:color="000000"/>
              <w:left w:val="nil"/>
              <w:bottom w:val="single" w:sz="8" w:space="0" w:color="auto"/>
              <w:right w:val="single" w:sz="8" w:space="0" w:color="auto"/>
            </w:tcBorders>
            <w:shd w:val="clear" w:color="000000" w:fill="FFFFFF"/>
            <w:noWrap/>
            <w:vAlign w:val="center"/>
            <w:hideMark/>
          </w:tcPr>
          <w:p w14:paraId="14E2AA0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1111" w:type="dxa"/>
            <w:tcBorders>
              <w:top w:val="single" w:sz="8" w:space="0" w:color="000000"/>
              <w:left w:val="nil"/>
              <w:bottom w:val="single" w:sz="8" w:space="0" w:color="auto"/>
              <w:right w:val="single" w:sz="8" w:space="0" w:color="auto"/>
            </w:tcBorders>
            <w:shd w:val="clear" w:color="000000" w:fill="FFFFFF"/>
            <w:noWrap/>
            <w:vAlign w:val="center"/>
            <w:hideMark/>
          </w:tcPr>
          <w:p w14:paraId="56A158FF"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single" w:sz="8" w:space="0" w:color="000000"/>
              <w:left w:val="nil"/>
              <w:bottom w:val="single" w:sz="8" w:space="0" w:color="auto"/>
              <w:right w:val="single" w:sz="8" w:space="0" w:color="auto"/>
            </w:tcBorders>
            <w:shd w:val="clear" w:color="auto" w:fill="auto"/>
            <w:noWrap/>
            <w:vAlign w:val="center"/>
            <w:hideMark/>
          </w:tcPr>
          <w:p w14:paraId="06E0024C"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40" w:type="dxa"/>
            <w:tcBorders>
              <w:top w:val="single" w:sz="8" w:space="0" w:color="000000"/>
              <w:left w:val="nil"/>
              <w:bottom w:val="single" w:sz="8" w:space="0" w:color="auto"/>
              <w:right w:val="single" w:sz="8" w:space="0" w:color="auto"/>
            </w:tcBorders>
            <w:shd w:val="clear" w:color="auto" w:fill="auto"/>
            <w:noWrap/>
            <w:vAlign w:val="center"/>
            <w:hideMark/>
          </w:tcPr>
          <w:p w14:paraId="5AC4DCB3"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0C18D14C" w14:textId="77777777" w:rsidTr="00581D40">
        <w:trPr>
          <w:gridAfter w:val="2"/>
          <w:wAfter w:w="7" w:type="pct"/>
          <w:trHeight w:val="22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AC61234"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(C)</w:t>
            </w:r>
          </w:p>
        </w:tc>
        <w:tc>
          <w:tcPr>
            <w:tcW w:w="1200" w:type="dxa"/>
            <w:tcBorders>
              <w:top w:val="nil"/>
              <w:left w:val="nil"/>
              <w:bottom w:val="single" w:sz="8" w:space="0" w:color="auto"/>
              <w:right w:val="single" w:sz="8" w:space="0" w:color="auto"/>
            </w:tcBorders>
            <w:shd w:val="clear" w:color="000000" w:fill="FFFFFF"/>
            <w:noWrap/>
            <w:vAlign w:val="center"/>
            <w:hideMark/>
          </w:tcPr>
          <w:p w14:paraId="3BB5107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2C4541DB"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77FC30DE"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20EBAB5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162 000</w:t>
            </w:r>
            <w:r w:rsidRPr="00581D40">
              <w:rPr>
                <w:sz w:val="14"/>
                <w:szCs w:val="14"/>
              </w:rPr>
              <w:t xml:space="preserve"> </w:t>
            </w:r>
          </w:p>
        </w:tc>
      </w:tr>
      <w:tr w:rsidR="00B82C45" w:rsidRPr="00581D40" w14:paraId="44E44A1B"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21F5ED"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D. </w:t>
            </w:r>
            <w:r w:rsidRPr="00581D40">
              <w:rPr>
                <w:b/>
                <w:bCs/>
                <w:sz w:val="17"/>
                <w:szCs w:val="17"/>
              </w:rPr>
              <w:t>Gestión de los conocimientos y la información y actividades de divulgación</w:t>
            </w:r>
            <w:r w:rsidRPr="00581D40">
              <w:rPr>
                <w:b/>
                <w:sz w:val="17"/>
                <w:szCs w:val="17"/>
              </w:rPr>
              <w:t xml:space="preserve"> </w:t>
            </w:r>
          </w:p>
        </w:tc>
      </w:tr>
      <w:tr w:rsidR="00B82C45" w:rsidRPr="00581D40" w14:paraId="4BD349B5"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FBD2D1"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9. </w:t>
            </w:r>
            <w:r w:rsidRPr="00581D40">
              <w:rPr>
                <w:b/>
                <w:bCs/>
                <w:sz w:val="17"/>
                <w:szCs w:val="17"/>
              </w:rPr>
              <w:t>Publicaciones</w:t>
            </w:r>
          </w:p>
        </w:tc>
      </w:tr>
      <w:tr w:rsidR="00B82C45" w:rsidRPr="00581D40" w14:paraId="319F23B3" w14:textId="77777777" w:rsidTr="00581D40">
        <w:trPr>
          <w:gridAfter w:val="2"/>
          <w:wAfter w:w="7" w:type="pct"/>
          <w:trHeight w:val="167"/>
        </w:trPr>
        <w:tc>
          <w:tcPr>
            <w:tcW w:w="24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3BF7DEC"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noWrap/>
            <w:vAlign w:val="center"/>
            <w:hideMark/>
          </w:tcPr>
          <w:p w14:paraId="644E800D"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9.1. Publicaciones</w:t>
            </w:r>
          </w:p>
        </w:tc>
        <w:tc>
          <w:tcPr>
            <w:tcW w:w="1200" w:type="dxa"/>
            <w:tcBorders>
              <w:top w:val="nil"/>
              <w:left w:val="nil"/>
              <w:bottom w:val="single" w:sz="8" w:space="0" w:color="auto"/>
              <w:right w:val="single" w:sz="8" w:space="0" w:color="auto"/>
            </w:tcBorders>
            <w:shd w:val="clear" w:color="000000" w:fill="FFFFFF"/>
            <w:noWrap/>
            <w:vAlign w:val="center"/>
            <w:hideMark/>
          </w:tcPr>
          <w:p w14:paraId="32937134"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1111" w:type="dxa"/>
            <w:tcBorders>
              <w:top w:val="nil"/>
              <w:left w:val="nil"/>
              <w:bottom w:val="single" w:sz="8" w:space="0" w:color="auto"/>
              <w:right w:val="single" w:sz="8" w:space="0" w:color="auto"/>
            </w:tcBorders>
            <w:shd w:val="clear" w:color="000000" w:fill="FFFFFF"/>
            <w:noWrap/>
            <w:vAlign w:val="center"/>
            <w:hideMark/>
          </w:tcPr>
          <w:p w14:paraId="5D6AA2B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5EF23E78"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1140" w:type="dxa"/>
            <w:tcBorders>
              <w:top w:val="nil"/>
              <w:left w:val="nil"/>
              <w:bottom w:val="single" w:sz="8" w:space="0" w:color="auto"/>
              <w:right w:val="single" w:sz="8" w:space="0" w:color="auto"/>
            </w:tcBorders>
            <w:shd w:val="clear" w:color="auto" w:fill="auto"/>
            <w:noWrap/>
            <w:vAlign w:val="center"/>
            <w:hideMark/>
          </w:tcPr>
          <w:p w14:paraId="0E536D92"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2195CFCC"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1296391"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6BDD8DD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2D97349E"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1CCA5E34"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1A8CAB5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r>
      <w:tr w:rsidR="00B82C45" w:rsidRPr="00581D40" w14:paraId="4F89044B"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517884"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10. </w:t>
            </w:r>
            <w:r w:rsidRPr="00581D40">
              <w:rPr>
                <w:b/>
                <w:bCs/>
                <w:sz w:val="17"/>
                <w:szCs w:val="17"/>
              </w:rPr>
              <w:t>Actividades de comunicación, divulgación y sensibilización del público</w:t>
            </w:r>
          </w:p>
        </w:tc>
      </w:tr>
      <w:tr w:rsidR="00B82C45" w:rsidRPr="00581D40" w14:paraId="47CF44F6" w14:textId="77777777" w:rsidTr="00581D40">
        <w:trPr>
          <w:gridAfter w:val="2"/>
          <w:wAfter w:w="7" w:type="pct"/>
          <w:trHeight w:val="315"/>
        </w:trPr>
        <w:tc>
          <w:tcPr>
            <w:tcW w:w="247"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768EC1"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noWrap/>
            <w:vAlign w:val="center"/>
            <w:hideMark/>
          </w:tcPr>
          <w:p w14:paraId="1D4F7654"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10.1. Actividades de comunicación, divulgación y sensibilización del público</w:t>
            </w:r>
          </w:p>
        </w:tc>
        <w:tc>
          <w:tcPr>
            <w:tcW w:w="1200" w:type="dxa"/>
            <w:tcBorders>
              <w:top w:val="nil"/>
              <w:left w:val="nil"/>
              <w:bottom w:val="single" w:sz="8" w:space="0" w:color="auto"/>
              <w:right w:val="single" w:sz="8" w:space="0" w:color="auto"/>
            </w:tcBorders>
            <w:shd w:val="clear" w:color="000000" w:fill="FFFFFF"/>
            <w:noWrap/>
            <w:vAlign w:val="center"/>
            <w:hideMark/>
          </w:tcPr>
          <w:p w14:paraId="0C7B43C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100 000 </w:t>
            </w:r>
          </w:p>
        </w:tc>
        <w:tc>
          <w:tcPr>
            <w:tcW w:w="1111" w:type="dxa"/>
            <w:tcBorders>
              <w:top w:val="nil"/>
              <w:left w:val="nil"/>
              <w:bottom w:val="single" w:sz="8" w:space="0" w:color="auto"/>
              <w:right w:val="single" w:sz="8" w:space="0" w:color="auto"/>
            </w:tcBorders>
            <w:shd w:val="clear" w:color="000000" w:fill="FFFFFF"/>
            <w:noWrap/>
            <w:vAlign w:val="center"/>
            <w:hideMark/>
          </w:tcPr>
          <w:p w14:paraId="6FE47CF6"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B9AEEB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71C5AEC9" w14:textId="77777777" w:rsidR="00B82C45" w:rsidRPr="00581D40" w:rsidRDefault="00B2537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xml:space="preserve"> </w:t>
            </w:r>
          </w:p>
        </w:tc>
      </w:tr>
      <w:tr w:rsidR="00B82C45" w:rsidRPr="00581D40" w14:paraId="1D2E67D0"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5957997"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02668919"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100 000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32A645A5"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FCAA250"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0BC1999A"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58DFE66B" w14:textId="77777777" w:rsidTr="00581D40">
        <w:trPr>
          <w:gridAfter w:val="2"/>
          <w:wAfter w:w="7" w:type="pct"/>
          <w:trHeight w:val="223"/>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8515940"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(D)</w:t>
            </w:r>
          </w:p>
        </w:tc>
        <w:tc>
          <w:tcPr>
            <w:tcW w:w="1200" w:type="dxa"/>
            <w:tcBorders>
              <w:top w:val="nil"/>
              <w:left w:val="nil"/>
              <w:bottom w:val="single" w:sz="8" w:space="0" w:color="auto"/>
              <w:right w:val="single" w:sz="8" w:space="0" w:color="auto"/>
            </w:tcBorders>
            <w:shd w:val="clear" w:color="000000" w:fill="FFFFFF"/>
            <w:noWrap/>
            <w:vAlign w:val="center"/>
            <w:hideMark/>
          </w:tcPr>
          <w:p w14:paraId="03D9B90E"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130 000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529D0887"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w:t>
            </w:r>
          </w:p>
        </w:tc>
        <w:tc>
          <w:tcPr>
            <w:tcW w:w="1191" w:type="dxa"/>
            <w:tcBorders>
              <w:top w:val="nil"/>
              <w:left w:val="nil"/>
              <w:bottom w:val="single" w:sz="8" w:space="0" w:color="auto"/>
              <w:right w:val="single" w:sz="8" w:space="0" w:color="auto"/>
            </w:tcBorders>
            <w:shd w:val="clear" w:color="auto" w:fill="auto"/>
            <w:noWrap/>
            <w:vAlign w:val="center"/>
            <w:hideMark/>
          </w:tcPr>
          <w:p w14:paraId="6D5D16F4"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27468EC5" w14:textId="77777777" w:rsidR="00B82C45" w:rsidRPr="00581D40" w:rsidRDefault="00B2537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xml:space="preserve"> </w:t>
            </w:r>
          </w:p>
        </w:tc>
      </w:tr>
      <w:tr w:rsidR="00B82C45" w:rsidRPr="00581D40" w14:paraId="6F6F4965"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978252"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E. </w:t>
            </w:r>
            <w:r w:rsidRPr="00581D40">
              <w:rPr>
                <w:b/>
                <w:bCs/>
                <w:sz w:val="17"/>
                <w:szCs w:val="17"/>
              </w:rPr>
              <w:t>Administración general</w:t>
            </w:r>
          </w:p>
        </w:tc>
      </w:tr>
      <w:tr w:rsidR="00B82C45" w:rsidRPr="00581D40" w14:paraId="3E403ECE"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5F9E15"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11. </w:t>
            </w:r>
            <w:r w:rsidRPr="00581D40">
              <w:rPr>
                <w:b/>
                <w:bCs/>
                <w:sz w:val="17"/>
                <w:szCs w:val="17"/>
              </w:rPr>
              <w:t>Dirección y gestión ejecutivas</w:t>
            </w:r>
          </w:p>
        </w:tc>
      </w:tr>
      <w:tr w:rsidR="00B82C45" w:rsidRPr="00581D40" w14:paraId="6B3665D1" w14:textId="77777777" w:rsidTr="00581D40">
        <w:trPr>
          <w:trHeight w:val="175"/>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41B640FF"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noWrap/>
            <w:vAlign w:val="center"/>
            <w:hideMark/>
          </w:tcPr>
          <w:p w14:paraId="07E86084"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11.1. Administración general</w:t>
            </w:r>
          </w:p>
        </w:tc>
        <w:tc>
          <w:tcPr>
            <w:tcW w:w="1200" w:type="dxa"/>
            <w:tcBorders>
              <w:top w:val="nil"/>
              <w:left w:val="nil"/>
              <w:bottom w:val="single" w:sz="8" w:space="0" w:color="auto"/>
              <w:right w:val="single" w:sz="8" w:space="0" w:color="auto"/>
            </w:tcBorders>
            <w:shd w:val="clear" w:color="000000" w:fill="FFFFFF"/>
            <w:noWrap/>
            <w:vAlign w:val="center"/>
            <w:hideMark/>
          </w:tcPr>
          <w:p w14:paraId="78CB4E50"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1 930 950 </w:t>
            </w:r>
          </w:p>
        </w:tc>
        <w:tc>
          <w:tcPr>
            <w:tcW w:w="1111" w:type="dxa"/>
            <w:tcBorders>
              <w:top w:val="nil"/>
              <w:left w:val="nil"/>
              <w:bottom w:val="single" w:sz="8" w:space="0" w:color="auto"/>
              <w:right w:val="single" w:sz="8" w:space="0" w:color="auto"/>
            </w:tcBorders>
            <w:shd w:val="clear" w:color="000000" w:fill="FFFFFF"/>
            <w:noWrap/>
            <w:vAlign w:val="center"/>
            <w:hideMark/>
          </w:tcPr>
          <w:p w14:paraId="2A885344"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4AEF297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1 110 000 </w:t>
            </w:r>
          </w:p>
        </w:tc>
        <w:tc>
          <w:tcPr>
            <w:tcW w:w="1156" w:type="dxa"/>
            <w:gridSpan w:val="3"/>
            <w:tcBorders>
              <w:top w:val="nil"/>
              <w:left w:val="nil"/>
              <w:bottom w:val="single" w:sz="8" w:space="0" w:color="auto"/>
              <w:right w:val="single" w:sz="8" w:space="0" w:color="auto"/>
            </w:tcBorders>
            <w:shd w:val="clear" w:color="auto" w:fill="auto"/>
            <w:noWrap/>
            <w:vAlign w:val="center"/>
            <w:hideMark/>
          </w:tcPr>
          <w:p w14:paraId="54160122"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65D2CA33" w14:textId="77777777" w:rsidTr="00581D40">
        <w:trPr>
          <w:trHeight w:val="235"/>
        </w:trPr>
        <w:tc>
          <w:tcPr>
            <w:tcW w:w="247" w:type="dxa"/>
            <w:tcBorders>
              <w:top w:val="single" w:sz="8" w:space="0" w:color="auto"/>
              <w:left w:val="single" w:sz="8" w:space="0" w:color="auto"/>
              <w:bottom w:val="single" w:sz="8" w:space="0" w:color="auto"/>
              <w:right w:val="single" w:sz="8" w:space="0" w:color="000000"/>
            </w:tcBorders>
            <w:shd w:val="clear" w:color="auto" w:fill="auto"/>
            <w:noWrap/>
            <w:hideMark/>
          </w:tcPr>
          <w:p w14:paraId="20ECF56B"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auto" w:fill="auto"/>
            <w:noWrap/>
            <w:vAlign w:val="center"/>
            <w:hideMark/>
          </w:tcPr>
          <w:p w14:paraId="3D8FD254"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11.2. Viajes del personal</w:t>
            </w:r>
          </w:p>
        </w:tc>
        <w:tc>
          <w:tcPr>
            <w:tcW w:w="1200" w:type="dxa"/>
            <w:tcBorders>
              <w:top w:val="nil"/>
              <w:left w:val="nil"/>
              <w:bottom w:val="single" w:sz="8" w:space="0" w:color="auto"/>
              <w:right w:val="single" w:sz="8" w:space="0" w:color="auto"/>
            </w:tcBorders>
            <w:shd w:val="clear" w:color="auto" w:fill="auto"/>
            <w:noWrap/>
            <w:vAlign w:val="center"/>
            <w:hideMark/>
          </w:tcPr>
          <w:p w14:paraId="5184ACC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150 000 </w:t>
            </w:r>
          </w:p>
        </w:tc>
        <w:tc>
          <w:tcPr>
            <w:tcW w:w="1111" w:type="dxa"/>
            <w:tcBorders>
              <w:top w:val="nil"/>
              <w:left w:val="nil"/>
              <w:bottom w:val="single" w:sz="8" w:space="0" w:color="auto"/>
              <w:right w:val="single" w:sz="8" w:space="0" w:color="auto"/>
            </w:tcBorders>
            <w:shd w:val="clear" w:color="auto" w:fill="auto"/>
            <w:noWrap/>
            <w:vAlign w:val="center"/>
            <w:hideMark/>
          </w:tcPr>
          <w:p w14:paraId="69E5BE2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DBC2F1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120 000 </w:t>
            </w:r>
          </w:p>
        </w:tc>
        <w:tc>
          <w:tcPr>
            <w:tcW w:w="1156" w:type="dxa"/>
            <w:gridSpan w:val="3"/>
            <w:tcBorders>
              <w:top w:val="nil"/>
              <w:left w:val="nil"/>
              <w:bottom w:val="single" w:sz="8" w:space="0" w:color="auto"/>
              <w:right w:val="single" w:sz="8" w:space="0" w:color="auto"/>
            </w:tcBorders>
            <w:shd w:val="clear" w:color="auto" w:fill="auto"/>
            <w:noWrap/>
            <w:vAlign w:val="center"/>
            <w:hideMark/>
          </w:tcPr>
          <w:p w14:paraId="276842AE"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44B22D0D" w14:textId="77777777" w:rsidTr="00581D40">
        <w:trPr>
          <w:gridAfter w:val="2"/>
          <w:wAfter w:w="7" w:type="pct"/>
          <w:trHeight w:val="24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2A4012F"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48CE4F2D"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2 080 950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2DC048CA"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sz w:val="14"/>
                <w:szCs w:val="14"/>
              </w:rPr>
              <w:t>–</w:t>
            </w:r>
          </w:p>
        </w:tc>
        <w:tc>
          <w:tcPr>
            <w:tcW w:w="1191" w:type="dxa"/>
            <w:tcBorders>
              <w:top w:val="nil"/>
              <w:left w:val="nil"/>
              <w:bottom w:val="single" w:sz="8" w:space="0" w:color="auto"/>
              <w:right w:val="single" w:sz="8" w:space="0" w:color="auto"/>
            </w:tcBorders>
            <w:shd w:val="clear" w:color="auto" w:fill="auto"/>
            <w:noWrap/>
            <w:vAlign w:val="center"/>
            <w:hideMark/>
          </w:tcPr>
          <w:p w14:paraId="44B5463F"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sz w:val="14"/>
                <w:szCs w:val="14"/>
              </w:rPr>
              <w:t xml:space="preserve">1 230 000 </w:t>
            </w:r>
          </w:p>
        </w:tc>
        <w:tc>
          <w:tcPr>
            <w:tcW w:w="1140" w:type="dxa"/>
            <w:tcBorders>
              <w:top w:val="nil"/>
              <w:left w:val="nil"/>
              <w:bottom w:val="single" w:sz="8" w:space="0" w:color="auto"/>
              <w:right w:val="single" w:sz="8" w:space="0" w:color="auto"/>
            </w:tcBorders>
            <w:shd w:val="clear" w:color="auto" w:fill="auto"/>
            <w:noWrap/>
            <w:vAlign w:val="center"/>
            <w:hideMark/>
          </w:tcPr>
          <w:p w14:paraId="7954C90F"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2D707370"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771515"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12. </w:t>
            </w:r>
            <w:r w:rsidRPr="00581D40">
              <w:rPr>
                <w:b/>
                <w:bCs/>
                <w:sz w:val="17"/>
                <w:szCs w:val="17"/>
              </w:rPr>
              <w:t>Cooperación y coordinación internacionales</w:t>
            </w:r>
          </w:p>
        </w:tc>
      </w:tr>
      <w:tr w:rsidR="00B82C45" w:rsidRPr="00581D40" w14:paraId="6487A4BD" w14:textId="77777777" w:rsidTr="00581D40">
        <w:trPr>
          <w:gridAfter w:val="1"/>
          <w:wAfter w:w="4" w:type="pct"/>
          <w:trHeight w:val="568"/>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4E095AFE"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vAlign w:val="center"/>
            <w:hideMark/>
          </w:tcPr>
          <w:p w14:paraId="57F4A1CE"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12.1. Cooperación en el programa más general de desarrollo sostenible y medio ambiente</w:t>
            </w:r>
          </w:p>
        </w:tc>
        <w:tc>
          <w:tcPr>
            <w:tcW w:w="1200" w:type="dxa"/>
            <w:tcBorders>
              <w:top w:val="nil"/>
              <w:left w:val="nil"/>
              <w:bottom w:val="single" w:sz="8" w:space="0" w:color="auto"/>
              <w:right w:val="single" w:sz="8" w:space="0" w:color="auto"/>
            </w:tcBorders>
            <w:shd w:val="clear" w:color="000000" w:fill="FFFFFF"/>
            <w:noWrap/>
            <w:vAlign w:val="center"/>
            <w:hideMark/>
          </w:tcPr>
          <w:p w14:paraId="5EF04C60"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43AEF855"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A79BF94"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6" w:type="dxa"/>
            <w:gridSpan w:val="2"/>
            <w:tcBorders>
              <w:top w:val="nil"/>
              <w:left w:val="nil"/>
              <w:bottom w:val="single" w:sz="8" w:space="0" w:color="auto"/>
              <w:right w:val="single" w:sz="8" w:space="0" w:color="auto"/>
            </w:tcBorders>
            <w:shd w:val="clear" w:color="auto" w:fill="auto"/>
            <w:noWrap/>
            <w:vAlign w:val="center"/>
            <w:hideMark/>
          </w:tcPr>
          <w:p w14:paraId="1BB75D6B"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335C9B7D" w14:textId="77777777" w:rsidTr="00581D40">
        <w:trPr>
          <w:gridAfter w:val="1"/>
          <w:wAfter w:w="4" w:type="pct"/>
          <w:trHeight w:val="281"/>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42C7E2D1"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vAlign w:val="center"/>
            <w:hideMark/>
          </w:tcPr>
          <w:p w14:paraId="095544F2"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12.2. Cooperación en el ámbito de los productos químicos y los desechos</w:t>
            </w:r>
          </w:p>
        </w:tc>
        <w:tc>
          <w:tcPr>
            <w:tcW w:w="1200" w:type="dxa"/>
            <w:tcBorders>
              <w:top w:val="nil"/>
              <w:left w:val="nil"/>
              <w:bottom w:val="single" w:sz="8" w:space="0" w:color="auto"/>
              <w:right w:val="single" w:sz="8" w:space="0" w:color="auto"/>
            </w:tcBorders>
            <w:shd w:val="clear" w:color="000000" w:fill="FFFFFF"/>
            <w:noWrap/>
            <w:vAlign w:val="center"/>
            <w:hideMark/>
          </w:tcPr>
          <w:p w14:paraId="2742A34D"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427F7AF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2F9D4633"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6" w:type="dxa"/>
            <w:gridSpan w:val="2"/>
            <w:tcBorders>
              <w:top w:val="nil"/>
              <w:left w:val="nil"/>
              <w:bottom w:val="single" w:sz="8" w:space="0" w:color="auto"/>
              <w:right w:val="single" w:sz="8" w:space="0" w:color="auto"/>
            </w:tcBorders>
            <w:shd w:val="clear" w:color="auto" w:fill="auto"/>
            <w:noWrap/>
            <w:vAlign w:val="center"/>
            <w:hideMark/>
          </w:tcPr>
          <w:p w14:paraId="3F9ADEA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41FEF511" w14:textId="77777777" w:rsidTr="00581D40">
        <w:trPr>
          <w:gridAfter w:val="1"/>
          <w:wAfter w:w="4" w:type="pct"/>
          <w:trHeight w:val="271"/>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02C5D6B1"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vAlign w:val="center"/>
            <w:hideMark/>
          </w:tcPr>
          <w:p w14:paraId="7AC9F454"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12.3. Otras actividades de cooperación y coordinación</w:t>
            </w:r>
          </w:p>
        </w:tc>
        <w:tc>
          <w:tcPr>
            <w:tcW w:w="1200" w:type="dxa"/>
            <w:tcBorders>
              <w:top w:val="nil"/>
              <w:left w:val="nil"/>
              <w:bottom w:val="single" w:sz="8" w:space="0" w:color="auto"/>
              <w:right w:val="single" w:sz="8" w:space="0" w:color="auto"/>
            </w:tcBorders>
            <w:shd w:val="clear" w:color="000000" w:fill="FFFFFF"/>
            <w:noWrap/>
            <w:vAlign w:val="center"/>
            <w:hideMark/>
          </w:tcPr>
          <w:p w14:paraId="30AF24EB"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4A28133A"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7E767953"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6" w:type="dxa"/>
            <w:gridSpan w:val="2"/>
            <w:tcBorders>
              <w:top w:val="nil"/>
              <w:left w:val="nil"/>
              <w:bottom w:val="single" w:sz="8" w:space="0" w:color="auto"/>
              <w:right w:val="single" w:sz="8" w:space="0" w:color="auto"/>
            </w:tcBorders>
            <w:shd w:val="clear" w:color="auto" w:fill="auto"/>
            <w:noWrap/>
            <w:vAlign w:val="center"/>
            <w:hideMark/>
          </w:tcPr>
          <w:p w14:paraId="22195C84"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21F3EE4E" w14:textId="77777777" w:rsidTr="00581D40">
        <w:trPr>
          <w:gridAfter w:val="2"/>
          <w:wAfter w:w="7" w:type="pct"/>
          <w:trHeight w:val="273"/>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D0C6118"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r w:rsidRPr="00581D40">
              <w:rPr>
                <w:sz w:val="17"/>
                <w:szCs w:val="17"/>
              </w:rPr>
              <w:t xml:space="preserve"> </w:t>
            </w:r>
          </w:p>
        </w:tc>
        <w:tc>
          <w:tcPr>
            <w:tcW w:w="1200" w:type="dxa"/>
            <w:tcBorders>
              <w:top w:val="nil"/>
              <w:left w:val="nil"/>
              <w:bottom w:val="single" w:sz="8" w:space="0" w:color="auto"/>
              <w:right w:val="single" w:sz="8" w:space="0" w:color="auto"/>
            </w:tcBorders>
            <w:shd w:val="clear" w:color="000000" w:fill="FFFFFF"/>
            <w:noWrap/>
            <w:vAlign w:val="center"/>
            <w:hideMark/>
          </w:tcPr>
          <w:p w14:paraId="0EF5C05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04E0B5BB"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3BA87E8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4A0AF8B4"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644EC2B7"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09E2CE"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13. </w:t>
            </w:r>
            <w:r w:rsidRPr="00581D40">
              <w:rPr>
                <w:b/>
                <w:bCs/>
                <w:sz w:val="17"/>
                <w:szCs w:val="17"/>
              </w:rPr>
              <w:t>Mecanismo y recursos financieros</w:t>
            </w:r>
            <w:r w:rsidRPr="00581D40">
              <w:rPr>
                <w:b/>
                <w:sz w:val="17"/>
                <w:szCs w:val="17"/>
              </w:rPr>
              <w:t xml:space="preserve"> </w:t>
            </w:r>
          </w:p>
        </w:tc>
      </w:tr>
      <w:tr w:rsidR="00B82C45" w:rsidRPr="00581D40" w14:paraId="7EDFF7F9" w14:textId="77777777" w:rsidTr="00581D40">
        <w:trPr>
          <w:gridAfter w:val="1"/>
          <w:wAfter w:w="4" w:type="pct"/>
          <w:trHeight w:val="315"/>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3C90C411"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noWrap/>
            <w:vAlign w:val="center"/>
            <w:hideMark/>
          </w:tcPr>
          <w:p w14:paraId="18BE94FF"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13.1. Mecanismo financiero</w:t>
            </w:r>
          </w:p>
        </w:tc>
        <w:tc>
          <w:tcPr>
            <w:tcW w:w="1200" w:type="dxa"/>
            <w:tcBorders>
              <w:top w:val="nil"/>
              <w:left w:val="nil"/>
              <w:bottom w:val="single" w:sz="8" w:space="0" w:color="auto"/>
              <w:right w:val="single" w:sz="8" w:space="0" w:color="auto"/>
            </w:tcBorders>
            <w:shd w:val="clear" w:color="000000" w:fill="FFFFFF"/>
            <w:noWrap/>
            <w:vAlign w:val="center"/>
            <w:hideMark/>
          </w:tcPr>
          <w:p w14:paraId="6266C5CA"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1BBEB758"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7E8C6017"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6" w:type="dxa"/>
            <w:gridSpan w:val="2"/>
            <w:tcBorders>
              <w:top w:val="nil"/>
              <w:left w:val="nil"/>
              <w:bottom w:val="single" w:sz="8" w:space="0" w:color="auto"/>
              <w:right w:val="single" w:sz="8" w:space="0" w:color="auto"/>
            </w:tcBorders>
            <w:shd w:val="clear" w:color="auto" w:fill="auto"/>
            <w:noWrap/>
            <w:vAlign w:val="center"/>
            <w:hideMark/>
          </w:tcPr>
          <w:p w14:paraId="6A4F4A3D"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2002C5B6" w14:textId="77777777" w:rsidTr="00581D40">
        <w:trPr>
          <w:gridAfter w:val="1"/>
          <w:wAfter w:w="4" w:type="pct"/>
          <w:trHeight w:val="315"/>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71390849"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nil"/>
              <w:left w:val="nil"/>
              <w:bottom w:val="single" w:sz="8" w:space="0" w:color="auto"/>
              <w:right w:val="single" w:sz="8" w:space="0" w:color="auto"/>
            </w:tcBorders>
            <w:shd w:val="clear" w:color="000000" w:fill="FFFFFF"/>
            <w:noWrap/>
            <w:vAlign w:val="center"/>
            <w:hideMark/>
          </w:tcPr>
          <w:p w14:paraId="33FFCA09"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13.2. Recursos financieros</w:t>
            </w:r>
          </w:p>
        </w:tc>
        <w:tc>
          <w:tcPr>
            <w:tcW w:w="1200" w:type="dxa"/>
            <w:tcBorders>
              <w:top w:val="nil"/>
              <w:left w:val="nil"/>
              <w:bottom w:val="single" w:sz="8" w:space="0" w:color="auto"/>
              <w:right w:val="single" w:sz="8" w:space="0" w:color="auto"/>
            </w:tcBorders>
            <w:shd w:val="clear" w:color="000000" w:fill="FFFFFF"/>
            <w:noWrap/>
            <w:vAlign w:val="center"/>
            <w:hideMark/>
          </w:tcPr>
          <w:p w14:paraId="76F69C4C"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6DD7186D"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6FD10182"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6" w:type="dxa"/>
            <w:gridSpan w:val="2"/>
            <w:tcBorders>
              <w:top w:val="nil"/>
              <w:left w:val="nil"/>
              <w:bottom w:val="single" w:sz="8" w:space="0" w:color="auto"/>
              <w:right w:val="single" w:sz="8" w:space="0" w:color="auto"/>
            </w:tcBorders>
            <w:shd w:val="clear" w:color="auto" w:fill="auto"/>
            <w:noWrap/>
            <w:vAlign w:val="center"/>
            <w:hideMark/>
          </w:tcPr>
          <w:p w14:paraId="4033D86E"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6E128087"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567911D"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1136CFA4"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7EC892B4"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6FB0F235"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1140" w:type="dxa"/>
            <w:tcBorders>
              <w:top w:val="nil"/>
              <w:left w:val="nil"/>
              <w:bottom w:val="single" w:sz="8" w:space="0" w:color="auto"/>
              <w:right w:val="single" w:sz="8" w:space="0" w:color="auto"/>
            </w:tcBorders>
            <w:shd w:val="clear" w:color="auto" w:fill="auto"/>
            <w:noWrap/>
            <w:vAlign w:val="center"/>
            <w:hideMark/>
          </w:tcPr>
          <w:p w14:paraId="7248CDF7" w14:textId="77777777" w:rsidR="00B82C45" w:rsidRPr="00581D40" w:rsidRDefault="00B82C45" w:rsidP="005A5834">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0CC6610F"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D9A85D"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(E)</w:t>
            </w:r>
          </w:p>
        </w:tc>
        <w:tc>
          <w:tcPr>
            <w:tcW w:w="1200" w:type="dxa"/>
            <w:tcBorders>
              <w:top w:val="nil"/>
              <w:left w:val="nil"/>
              <w:bottom w:val="single" w:sz="8" w:space="0" w:color="auto"/>
              <w:right w:val="single" w:sz="8" w:space="0" w:color="auto"/>
            </w:tcBorders>
            <w:shd w:val="clear" w:color="000000" w:fill="FFFFFF"/>
            <w:noWrap/>
            <w:vAlign w:val="center"/>
            <w:hideMark/>
          </w:tcPr>
          <w:p w14:paraId="771CD238"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2 080 950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27B9B7C4"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1ACB92C7"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1 230 000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0ECA9518"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05FD30D9"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863DCA"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F. </w:t>
            </w:r>
            <w:r w:rsidRPr="00581D40">
              <w:rPr>
                <w:b/>
                <w:bCs/>
                <w:sz w:val="17"/>
                <w:szCs w:val="17"/>
              </w:rPr>
              <w:t>Actividades jurídicas y normativas</w:t>
            </w:r>
          </w:p>
        </w:tc>
      </w:tr>
      <w:tr w:rsidR="00B82C45" w:rsidRPr="00581D40" w14:paraId="21BA48BE"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47ACBA"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14. </w:t>
            </w:r>
            <w:r w:rsidRPr="00581D40">
              <w:rPr>
                <w:b/>
                <w:bCs/>
                <w:sz w:val="17"/>
                <w:szCs w:val="17"/>
              </w:rPr>
              <w:t>Actividades jurídicas y normativas</w:t>
            </w:r>
            <w:r w:rsidRPr="00581D40">
              <w:rPr>
                <w:b/>
                <w:sz w:val="17"/>
                <w:szCs w:val="17"/>
              </w:rPr>
              <w:t xml:space="preserve"> </w:t>
            </w:r>
          </w:p>
        </w:tc>
      </w:tr>
      <w:tr w:rsidR="00B82C45" w:rsidRPr="00581D40" w14:paraId="34854A4D" w14:textId="77777777" w:rsidTr="00581D40">
        <w:trPr>
          <w:gridAfter w:val="2"/>
          <w:wAfter w:w="7" w:type="pct"/>
          <w:trHeight w:val="315"/>
        </w:trPr>
        <w:tc>
          <w:tcPr>
            <w:tcW w:w="24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856D74"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3C4B91B"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 xml:space="preserve">14.1. Actividades jurídicas y normativas </w:t>
            </w:r>
          </w:p>
        </w:tc>
        <w:tc>
          <w:tcPr>
            <w:tcW w:w="1200" w:type="dxa"/>
            <w:tcBorders>
              <w:top w:val="nil"/>
              <w:left w:val="nil"/>
              <w:bottom w:val="single" w:sz="8" w:space="0" w:color="auto"/>
              <w:right w:val="single" w:sz="8" w:space="0" w:color="auto"/>
            </w:tcBorders>
            <w:shd w:val="clear" w:color="auto" w:fill="auto"/>
            <w:noWrap/>
            <w:vAlign w:val="center"/>
            <w:hideMark/>
          </w:tcPr>
          <w:p w14:paraId="3CFE22F8"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11" w:type="dxa"/>
            <w:tcBorders>
              <w:top w:val="nil"/>
              <w:left w:val="nil"/>
              <w:bottom w:val="single" w:sz="8" w:space="0" w:color="auto"/>
              <w:right w:val="single" w:sz="8" w:space="0" w:color="auto"/>
            </w:tcBorders>
            <w:shd w:val="clear" w:color="auto" w:fill="auto"/>
            <w:noWrap/>
            <w:vAlign w:val="center"/>
            <w:hideMark/>
          </w:tcPr>
          <w:p w14:paraId="7C904C9F"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46D8695F"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w:t>
            </w:r>
          </w:p>
        </w:tc>
        <w:tc>
          <w:tcPr>
            <w:tcW w:w="1140" w:type="dxa"/>
            <w:tcBorders>
              <w:top w:val="nil"/>
              <w:left w:val="nil"/>
              <w:bottom w:val="single" w:sz="8" w:space="0" w:color="auto"/>
              <w:right w:val="single" w:sz="8" w:space="0" w:color="auto"/>
            </w:tcBorders>
            <w:shd w:val="clear" w:color="auto" w:fill="auto"/>
            <w:noWrap/>
            <w:vAlign w:val="center"/>
            <w:hideMark/>
          </w:tcPr>
          <w:p w14:paraId="774F33D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73066BC5" w14:textId="77777777" w:rsidTr="00581D40">
        <w:trPr>
          <w:gridAfter w:val="2"/>
          <w:wAfter w:w="7" w:type="pct"/>
          <w:trHeight w:val="24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8803B9E"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(F)</w:t>
            </w:r>
          </w:p>
        </w:tc>
        <w:tc>
          <w:tcPr>
            <w:tcW w:w="1200" w:type="dxa"/>
            <w:tcBorders>
              <w:top w:val="nil"/>
              <w:left w:val="nil"/>
              <w:bottom w:val="single" w:sz="8" w:space="0" w:color="auto"/>
              <w:right w:val="single" w:sz="8" w:space="0" w:color="auto"/>
            </w:tcBorders>
            <w:shd w:val="clear" w:color="000000" w:fill="FFFFFF"/>
            <w:noWrap/>
            <w:vAlign w:val="center"/>
            <w:hideMark/>
          </w:tcPr>
          <w:p w14:paraId="6A7C1FD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11" w:type="dxa"/>
            <w:tcBorders>
              <w:top w:val="nil"/>
              <w:left w:val="nil"/>
              <w:bottom w:val="single" w:sz="8" w:space="0" w:color="auto"/>
              <w:right w:val="single" w:sz="8" w:space="0" w:color="auto"/>
            </w:tcBorders>
            <w:shd w:val="clear" w:color="000000" w:fill="FFFFFF"/>
            <w:noWrap/>
            <w:vAlign w:val="center"/>
            <w:hideMark/>
          </w:tcPr>
          <w:p w14:paraId="36DDAC35"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71243CD3"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sz w:val="14"/>
                <w:szCs w:val="14"/>
              </w:rPr>
              <w:t>–</w:t>
            </w:r>
          </w:p>
        </w:tc>
        <w:tc>
          <w:tcPr>
            <w:tcW w:w="1140" w:type="dxa"/>
            <w:tcBorders>
              <w:top w:val="nil"/>
              <w:left w:val="nil"/>
              <w:bottom w:val="single" w:sz="8" w:space="0" w:color="auto"/>
              <w:right w:val="single" w:sz="8" w:space="0" w:color="auto"/>
            </w:tcBorders>
            <w:shd w:val="clear" w:color="auto" w:fill="auto"/>
            <w:noWrap/>
            <w:vAlign w:val="center"/>
            <w:hideMark/>
          </w:tcPr>
          <w:p w14:paraId="163E671C"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28C029A2"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615329"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G. </w:t>
            </w:r>
            <w:r w:rsidRPr="00581D40">
              <w:rPr>
                <w:b/>
                <w:bCs/>
                <w:sz w:val="17"/>
                <w:szCs w:val="17"/>
              </w:rPr>
              <w:t>Mantenimiento y servicios de oficina</w:t>
            </w:r>
          </w:p>
        </w:tc>
      </w:tr>
      <w:tr w:rsidR="00B82C45" w:rsidRPr="00581D40" w14:paraId="6A1F7BCC"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09E83E"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15. </w:t>
            </w:r>
            <w:r w:rsidRPr="00581D40">
              <w:rPr>
                <w:b/>
                <w:bCs/>
                <w:sz w:val="17"/>
                <w:szCs w:val="17"/>
              </w:rPr>
              <w:t>Mantenimiento y servicios de oficina</w:t>
            </w:r>
          </w:p>
        </w:tc>
      </w:tr>
      <w:tr w:rsidR="00B82C45" w:rsidRPr="00581D40" w14:paraId="3626AA59" w14:textId="77777777" w:rsidTr="00581D40">
        <w:trPr>
          <w:gridAfter w:val="2"/>
          <w:wAfter w:w="7" w:type="pct"/>
          <w:trHeight w:val="315"/>
        </w:trPr>
        <w:tc>
          <w:tcPr>
            <w:tcW w:w="247" w:type="dxa"/>
            <w:tcBorders>
              <w:top w:val="single" w:sz="8" w:space="0" w:color="auto"/>
              <w:left w:val="single" w:sz="8" w:space="0" w:color="auto"/>
              <w:bottom w:val="single" w:sz="8" w:space="0" w:color="auto"/>
              <w:right w:val="single" w:sz="8" w:space="0" w:color="000000"/>
            </w:tcBorders>
            <w:shd w:val="clear" w:color="000000" w:fill="FFFFFF"/>
            <w:noWrap/>
            <w:hideMark/>
          </w:tcPr>
          <w:p w14:paraId="54DD22E4"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290603E"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15.1. Mantenimiento y servicios de oficina</w:t>
            </w:r>
          </w:p>
        </w:tc>
        <w:tc>
          <w:tcPr>
            <w:tcW w:w="1200" w:type="dxa"/>
            <w:tcBorders>
              <w:top w:val="nil"/>
              <w:left w:val="nil"/>
              <w:bottom w:val="single" w:sz="8" w:space="0" w:color="auto"/>
              <w:right w:val="single" w:sz="8" w:space="0" w:color="auto"/>
            </w:tcBorders>
            <w:shd w:val="clear" w:color="000000" w:fill="FFFFFF"/>
            <w:noWrap/>
            <w:vAlign w:val="center"/>
            <w:hideMark/>
          </w:tcPr>
          <w:p w14:paraId="37C8F514"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160 000 </w:t>
            </w:r>
          </w:p>
        </w:tc>
        <w:tc>
          <w:tcPr>
            <w:tcW w:w="1111" w:type="dxa"/>
            <w:tcBorders>
              <w:top w:val="nil"/>
              <w:left w:val="nil"/>
              <w:bottom w:val="single" w:sz="8" w:space="0" w:color="auto"/>
              <w:right w:val="single" w:sz="8" w:space="0" w:color="auto"/>
            </w:tcBorders>
            <w:shd w:val="clear" w:color="000000" w:fill="FFFFFF"/>
            <w:noWrap/>
            <w:vAlign w:val="center"/>
            <w:hideMark/>
          </w:tcPr>
          <w:p w14:paraId="336ECFD7"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3D284133"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120 000 </w:t>
            </w:r>
          </w:p>
        </w:tc>
        <w:tc>
          <w:tcPr>
            <w:tcW w:w="1140" w:type="dxa"/>
            <w:tcBorders>
              <w:top w:val="nil"/>
              <w:left w:val="nil"/>
              <w:bottom w:val="single" w:sz="8" w:space="0" w:color="auto"/>
              <w:right w:val="single" w:sz="8" w:space="0" w:color="auto"/>
            </w:tcBorders>
            <w:shd w:val="clear" w:color="auto" w:fill="auto"/>
            <w:noWrap/>
            <w:vAlign w:val="center"/>
            <w:hideMark/>
          </w:tcPr>
          <w:p w14:paraId="4C5A100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62876EE0" w14:textId="77777777" w:rsidTr="00581D40">
        <w:trPr>
          <w:gridAfter w:val="2"/>
          <w:wAfter w:w="7" w:type="pct"/>
          <w:trHeight w:val="221"/>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461FA31"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3DC7E5D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160 000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38C86FB9"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7C72DC27"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120 000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5D74BD1A"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4DCEB991"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B57ED1"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16. </w:t>
            </w:r>
            <w:r w:rsidRPr="00581D40">
              <w:rPr>
                <w:b/>
                <w:bCs/>
                <w:sz w:val="17"/>
                <w:szCs w:val="17"/>
              </w:rPr>
              <w:t>Programa de Servicios de Tecnología de la Información</w:t>
            </w:r>
          </w:p>
        </w:tc>
      </w:tr>
      <w:tr w:rsidR="00B82C45" w:rsidRPr="00581D40" w14:paraId="3BB6DED8" w14:textId="77777777" w:rsidTr="00581D40">
        <w:trPr>
          <w:gridAfter w:val="2"/>
          <w:wAfter w:w="7" w:type="pct"/>
          <w:trHeight w:val="315"/>
        </w:trPr>
        <w:tc>
          <w:tcPr>
            <w:tcW w:w="247" w:type="dxa"/>
            <w:tcBorders>
              <w:top w:val="single" w:sz="8" w:space="0" w:color="auto"/>
              <w:left w:val="single" w:sz="8" w:space="0" w:color="auto"/>
              <w:bottom w:val="single" w:sz="8" w:space="0" w:color="auto"/>
              <w:right w:val="single" w:sz="8" w:space="0" w:color="000000"/>
            </w:tcBorders>
            <w:shd w:val="clear" w:color="auto" w:fill="auto"/>
            <w:noWrap/>
            <w:hideMark/>
          </w:tcPr>
          <w:p w14:paraId="0EB1DEE0"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477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8BFE53B"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16.1. Programa de Servicios de Tecnología de la Información</w:t>
            </w:r>
          </w:p>
        </w:tc>
        <w:tc>
          <w:tcPr>
            <w:tcW w:w="1200" w:type="dxa"/>
            <w:tcBorders>
              <w:top w:val="nil"/>
              <w:left w:val="nil"/>
              <w:bottom w:val="single" w:sz="8" w:space="0" w:color="auto"/>
              <w:right w:val="single" w:sz="8" w:space="0" w:color="auto"/>
            </w:tcBorders>
            <w:shd w:val="clear" w:color="auto" w:fill="auto"/>
            <w:noWrap/>
            <w:vAlign w:val="center"/>
            <w:hideMark/>
          </w:tcPr>
          <w:p w14:paraId="54C9E891"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65 000 </w:t>
            </w:r>
          </w:p>
        </w:tc>
        <w:tc>
          <w:tcPr>
            <w:tcW w:w="1111" w:type="dxa"/>
            <w:tcBorders>
              <w:top w:val="nil"/>
              <w:left w:val="nil"/>
              <w:bottom w:val="single" w:sz="8" w:space="0" w:color="auto"/>
              <w:right w:val="single" w:sz="8" w:space="0" w:color="auto"/>
            </w:tcBorders>
            <w:shd w:val="clear" w:color="auto" w:fill="auto"/>
            <w:noWrap/>
            <w:vAlign w:val="center"/>
            <w:hideMark/>
          </w:tcPr>
          <w:p w14:paraId="60EBDE3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53B9A2A6"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1140" w:type="dxa"/>
            <w:tcBorders>
              <w:top w:val="nil"/>
              <w:left w:val="nil"/>
              <w:bottom w:val="single" w:sz="8" w:space="0" w:color="auto"/>
              <w:right w:val="single" w:sz="8" w:space="0" w:color="auto"/>
            </w:tcBorders>
            <w:shd w:val="clear" w:color="auto" w:fill="auto"/>
            <w:noWrap/>
            <w:vAlign w:val="center"/>
            <w:hideMark/>
          </w:tcPr>
          <w:p w14:paraId="13A1A801"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08EF1045" w14:textId="77777777" w:rsidTr="00581D40">
        <w:trPr>
          <w:gridAfter w:val="2"/>
          <w:wAfter w:w="7" w:type="pct"/>
          <w:trHeight w:val="273"/>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18FCBF3"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1200" w:type="dxa"/>
            <w:tcBorders>
              <w:top w:val="nil"/>
              <w:left w:val="nil"/>
              <w:bottom w:val="single" w:sz="8" w:space="0" w:color="auto"/>
              <w:right w:val="single" w:sz="8" w:space="0" w:color="auto"/>
            </w:tcBorders>
            <w:shd w:val="clear" w:color="000000" w:fill="FFFFFF"/>
            <w:noWrap/>
            <w:vAlign w:val="center"/>
            <w:hideMark/>
          </w:tcPr>
          <w:p w14:paraId="34900E0F"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65 000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157814C4"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3AC1695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50 000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28F2E2AF"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699E9B83" w14:textId="77777777" w:rsidTr="00581D40">
        <w:trPr>
          <w:gridAfter w:val="2"/>
          <w:wAfter w:w="7" w:type="pct"/>
          <w:trHeight w:val="149"/>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4FDF7D"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(G)</w:t>
            </w:r>
          </w:p>
        </w:tc>
        <w:tc>
          <w:tcPr>
            <w:tcW w:w="1200" w:type="dxa"/>
            <w:tcBorders>
              <w:top w:val="nil"/>
              <w:left w:val="nil"/>
              <w:bottom w:val="single" w:sz="8" w:space="0" w:color="auto"/>
              <w:right w:val="single" w:sz="8" w:space="0" w:color="auto"/>
            </w:tcBorders>
            <w:shd w:val="clear" w:color="000000" w:fill="FFFFFF"/>
            <w:noWrap/>
            <w:vAlign w:val="center"/>
            <w:hideMark/>
          </w:tcPr>
          <w:p w14:paraId="513D8FA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225 000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41BC0FCB"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1191" w:type="dxa"/>
            <w:tcBorders>
              <w:top w:val="nil"/>
              <w:left w:val="nil"/>
              <w:bottom w:val="single" w:sz="8" w:space="0" w:color="auto"/>
              <w:right w:val="single" w:sz="8" w:space="0" w:color="auto"/>
            </w:tcBorders>
            <w:shd w:val="clear" w:color="auto" w:fill="auto"/>
            <w:noWrap/>
            <w:vAlign w:val="center"/>
            <w:hideMark/>
          </w:tcPr>
          <w:p w14:paraId="66B6C5B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70 000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0CCB2D89"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757894BB" w14:textId="77777777" w:rsidTr="00581D40">
        <w:trPr>
          <w:gridAfter w:val="1"/>
          <w:wAfter w:w="5" w:type="pct"/>
          <w:trHeight w:val="315"/>
        </w:trPr>
        <w:tc>
          <w:tcPr>
            <w:tcW w:w="967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C0DA05"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Recursos necesarios para todas las actividades</w:t>
            </w:r>
          </w:p>
        </w:tc>
      </w:tr>
      <w:tr w:rsidR="00B82C45" w:rsidRPr="00581D40" w14:paraId="149611CF"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DEEBC80"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(A a G), excluidos los gastos de apoyo a los programas</w:t>
            </w:r>
          </w:p>
        </w:tc>
        <w:tc>
          <w:tcPr>
            <w:tcW w:w="1200" w:type="dxa"/>
            <w:tcBorders>
              <w:top w:val="nil"/>
              <w:left w:val="nil"/>
              <w:bottom w:val="single" w:sz="8" w:space="0" w:color="auto"/>
              <w:right w:val="single" w:sz="8" w:space="0" w:color="auto"/>
            </w:tcBorders>
            <w:shd w:val="clear" w:color="000000" w:fill="FFFFFF"/>
            <w:noWrap/>
            <w:vAlign w:val="center"/>
            <w:hideMark/>
          </w:tcPr>
          <w:p w14:paraId="3AC24A00"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3 465 950</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4A9DB120"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2 825 000</w:t>
            </w:r>
            <w:r w:rsidRPr="00581D40">
              <w:rPr>
                <w:sz w:val="14"/>
                <w:szCs w:val="14"/>
              </w:rPr>
              <w:t xml:space="preserve"> </w:t>
            </w:r>
          </w:p>
        </w:tc>
        <w:tc>
          <w:tcPr>
            <w:tcW w:w="1191" w:type="dxa"/>
            <w:tcBorders>
              <w:top w:val="nil"/>
              <w:left w:val="nil"/>
              <w:bottom w:val="single" w:sz="8" w:space="0" w:color="auto"/>
              <w:right w:val="single" w:sz="8" w:space="0" w:color="auto"/>
            </w:tcBorders>
            <w:shd w:val="clear" w:color="auto" w:fill="auto"/>
            <w:noWrap/>
            <w:vAlign w:val="center"/>
            <w:hideMark/>
          </w:tcPr>
          <w:p w14:paraId="1EA0EB46"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2 400 000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1E6E9D52"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1 019 578</w:t>
            </w:r>
            <w:r w:rsidRPr="00581D40">
              <w:rPr>
                <w:sz w:val="14"/>
                <w:szCs w:val="14"/>
              </w:rPr>
              <w:t xml:space="preserve"> </w:t>
            </w:r>
          </w:p>
        </w:tc>
      </w:tr>
      <w:tr w:rsidR="00B82C45" w:rsidRPr="00581D40" w14:paraId="039BB325" w14:textId="77777777" w:rsidTr="00581D40">
        <w:trPr>
          <w:gridAfter w:val="2"/>
          <w:wAfter w:w="7" w:type="pct"/>
          <w:trHeight w:val="315"/>
        </w:trPr>
        <w:tc>
          <w:tcPr>
            <w:tcW w:w="110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C35DC75" w14:textId="77777777" w:rsidR="00B82C45" w:rsidRPr="00581D40" w:rsidRDefault="00B82C45" w:rsidP="005A5834">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3915" w:type="dxa"/>
            <w:tcBorders>
              <w:top w:val="single" w:sz="8" w:space="0" w:color="auto"/>
              <w:left w:val="nil"/>
              <w:bottom w:val="single" w:sz="8" w:space="0" w:color="auto"/>
              <w:right w:val="single" w:sz="8" w:space="0" w:color="000000"/>
            </w:tcBorders>
            <w:shd w:val="clear" w:color="000000" w:fill="FFFFFF"/>
            <w:noWrap/>
            <w:vAlign w:val="center"/>
            <w:hideMark/>
          </w:tcPr>
          <w:p w14:paraId="19575F6E" w14:textId="77777777" w:rsidR="00B82C45" w:rsidRPr="00581D40" w:rsidRDefault="00B82C45" w:rsidP="005A5834">
            <w:pPr>
              <w:tabs>
                <w:tab w:val="clear" w:pos="1247"/>
                <w:tab w:val="clear" w:pos="1814"/>
                <w:tab w:val="clear" w:pos="2381"/>
                <w:tab w:val="clear" w:pos="2948"/>
                <w:tab w:val="clear" w:pos="3515"/>
              </w:tabs>
              <w:rPr>
                <w:color w:val="000000"/>
                <w:sz w:val="17"/>
                <w:szCs w:val="17"/>
              </w:rPr>
            </w:pPr>
            <w:r w:rsidRPr="00581D40">
              <w:rPr>
                <w:sz w:val="17"/>
                <w:szCs w:val="17"/>
              </w:rPr>
              <w:t>Gastos de apoyo a los programas</w:t>
            </w:r>
          </w:p>
        </w:tc>
        <w:tc>
          <w:tcPr>
            <w:tcW w:w="1200" w:type="dxa"/>
            <w:tcBorders>
              <w:top w:val="nil"/>
              <w:left w:val="nil"/>
              <w:bottom w:val="single" w:sz="8" w:space="0" w:color="auto"/>
              <w:right w:val="single" w:sz="8" w:space="0" w:color="auto"/>
            </w:tcBorders>
            <w:shd w:val="clear" w:color="000000" w:fill="FFFFFF"/>
            <w:noWrap/>
            <w:vAlign w:val="center"/>
            <w:hideMark/>
          </w:tcPr>
          <w:p w14:paraId="47F4BA27"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450 574 </w:t>
            </w:r>
          </w:p>
        </w:tc>
        <w:tc>
          <w:tcPr>
            <w:tcW w:w="1111" w:type="dxa"/>
            <w:tcBorders>
              <w:top w:val="nil"/>
              <w:left w:val="nil"/>
              <w:bottom w:val="single" w:sz="8" w:space="0" w:color="auto"/>
              <w:right w:val="single" w:sz="8" w:space="0" w:color="auto"/>
            </w:tcBorders>
            <w:shd w:val="clear" w:color="000000" w:fill="FFFFFF"/>
            <w:noWrap/>
            <w:vAlign w:val="center"/>
            <w:hideMark/>
          </w:tcPr>
          <w:p w14:paraId="1296570B"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367 250 </w:t>
            </w:r>
          </w:p>
        </w:tc>
        <w:tc>
          <w:tcPr>
            <w:tcW w:w="1191" w:type="dxa"/>
            <w:tcBorders>
              <w:top w:val="nil"/>
              <w:left w:val="nil"/>
              <w:bottom w:val="single" w:sz="8" w:space="0" w:color="auto"/>
              <w:right w:val="single" w:sz="8" w:space="0" w:color="auto"/>
            </w:tcBorders>
            <w:shd w:val="clear" w:color="auto" w:fill="auto"/>
            <w:noWrap/>
            <w:vAlign w:val="center"/>
            <w:hideMark/>
          </w:tcPr>
          <w:p w14:paraId="2C95F18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312 000 </w:t>
            </w:r>
          </w:p>
        </w:tc>
        <w:tc>
          <w:tcPr>
            <w:tcW w:w="1140" w:type="dxa"/>
            <w:tcBorders>
              <w:top w:val="nil"/>
              <w:left w:val="nil"/>
              <w:bottom w:val="single" w:sz="8" w:space="0" w:color="auto"/>
              <w:right w:val="single" w:sz="8" w:space="0" w:color="auto"/>
            </w:tcBorders>
            <w:shd w:val="clear" w:color="auto" w:fill="auto"/>
            <w:noWrap/>
            <w:vAlign w:val="center"/>
            <w:hideMark/>
          </w:tcPr>
          <w:p w14:paraId="0F607CAD" w14:textId="77777777" w:rsidR="00B82C45" w:rsidRPr="00581D40" w:rsidRDefault="00B82C45" w:rsidP="005A5834">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132 545 </w:t>
            </w:r>
          </w:p>
        </w:tc>
      </w:tr>
      <w:tr w:rsidR="00B82C45" w:rsidRPr="00581D40" w14:paraId="5BD0044C"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734520F" w14:textId="77777777" w:rsidR="00B82C45" w:rsidRPr="00581D40" w:rsidRDefault="00B82C45" w:rsidP="005A5834">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(A a G), incluidos los gastos de apoyo a los programas</w:t>
            </w:r>
          </w:p>
        </w:tc>
        <w:tc>
          <w:tcPr>
            <w:tcW w:w="1200" w:type="dxa"/>
            <w:tcBorders>
              <w:top w:val="nil"/>
              <w:left w:val="nil"/>
              <w:bottom w:val="single" w:sz="8" w:space="0" w:color="auto"/>
              <w:right w:val="single" w:sz="8" w:space="0" w:color="auto"/>
            </w:tcBorders>
            <w:shd w:val="clear" w:color="000000" w:fill="FFFFFF"/>
            <w:noWrap/>
            <w:vAlign w:val="center"/>
            <w:hideMark/>
          </w:tcPr>
          <w:p w14:paraId="7D3CC517"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3 916 524</w:t>
            </w:r>
            <w:r w:rsidRPr="00581D40">
              <w:rPr>
                <w:sz w:val="14"/>
                <w:szCs w:val="14"/>
              </w:rPr>
              <w:t xml:space="preserve"> </w:t>
            </w:r>
          </w:p>
        </w:tc>
        <w:tc>
          <w:tcPr>
            <w:tcW w:w="1111" w:type="dxa"/>
            <w:tcBorders>
              <w:top w:val="nil"/>
              <w:left w:val="nil"/>
              <w:bottom w:val="single" w:sz="8" w:space="0" w:color="auto"/>
              <w:right w:val="single" w:sz="8" w:space="0" w:color="auto"/>
            </w:tcBorders>
            <w:shd w:val="clear" w:color="000000" w:fill="FFFFFF"/>
            <w:noWrap/>
            <w:vAlign w:val="center"/>
            <w:hideMark/>
          </w:tcPr>
          <w:p w14:paraId="1F61F3AD"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3 192 250</w:t>
            </w:r>
            <w:r w:rsidRPr="00581D40">
              <w:rPr>
                <w:sz w:val="14"/>
                <w:szCs w:val="14"/>
              </w:rPr>
              <w:t xml:space="preserve"> </w:t>
            </w:r>
          </w:p>
        </w:tc>
        <w:tc>
          <w:tcPr>
            <w:tcW w:w="1191" w:type="dxa"/>
            <w:tcBorders>
              <w:top w:val="nil"/>
              <w:left w:val="nil"/>
              <w:bottom w:val="single" w:sz="8" w:space="0" w:color="auto"/>
              <w:right w:val="single" w:sz="8" w:space="0" w:color="auto"/>
            </w:tcBorders>
            <w:shd w:val="clear" w:color="auto" w:fill="auto"/>
            <w:noWrap/>
            <w:vAlign w:val="center"/>
            <w:hideMark/>
          </w:tcPr>
          <w:p w14:paraId="0BCDF21E"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2 712 000</w:t>
            </w:r>
            <w:r w:rsidRPr="00581D40">
              <w:rPr>
                <w:sz w:val="14"/>
                <w:szCs w:val="14"/>
              </w:rPr>
              <w:t xml:space="preserve"> </w:t>
            </w:r>
          </w:p>
        </w:tc>
        <w:tc>
          <w:tcPr>
            <w:tcW w:w="1140" w:type="dxa"/>
            <w:tcBorders>
              <w:top w:val="nil"/>
              <w:left w:val="nil"/>
              <w:bottom w:val="single" w:sz="8" w:space="0" w:color="auto"/>
              <w:right w:val="single" w:sz="8" w:space="0" w:color="auto"/>
            </w:tcBorders>
            <w:shd w:val="clear" w:color="auto" w:fill="auto"/>
            <w:noWrap/>
            <w:vAlign w:val="center"/>
            <w:hideMark/>
          </w:tcPr>
          <w:p w14:paraId="76CE1A33" w14:textId="77777777" w:rsidR="00B82C45" w:rsidRPr="00581D40" w:rsidRDefault="00B82C45" w:rsidP="005A5834">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1 152 123</w:t>
            </w:r>
            <w:r w:rsidRPr="00581D40">
              <w:rPr>
                <w:sz w:val="14"/>
                <w:szCs w:val="14"/>
              </w:rPr>
              <w:t xml:space="preserve"> </w:t>
            </w:r>
          </w:p>
        </w:tc>
      </w:tr>
      <w:tr w:rsidR="00B82C45" w:rsidRPr="00581D40" w14:paraId="2FF975CC" w14:textId="77777777" w:rsidTr="00581D40">
        <w:trPr>
          <w:gridAfter w:val="2"/>
          <w:wAfter w:w="7" w:type="pct"/>
          <w:trHeight w:val="315"/>
        </w:trPr>
        <w:tc>
          <w:tcPr>
            <w:tcW w:w="5023"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41B57E" w14:textId="77777777" w:rsidR="00B82C45" w:rsidRPr="00581D40" w:rsidRDefault="00B82C45" w:rsidP="005A5834">
            <w:pPr>
              <w:tabs>
                <w:tab w:val="clear" w:pos="1247"/>
                <w:tab w:val="clear" w:pos="1814"/>
                <w:tab w:val="clear" w:pos="2381"/>
                <w:tab w:val="clear" w:pos="2948"/>
                <w:tab w:val="clear" w:pos="3515"/>
              </w:tabs>
              <w:rPr>
                <w:b/>
                <w:bCs/>
                <w:color w:val="000000"/>
                <w:sz w:val="17"/>
                <w:szCs w:val="17"/>
              </w:rPr>
            </w:pPr>
            <w:r w:rsidRPr="00581D40">
              <w:rPr>
                <w:b/>
                <w:bCs/>
                <w:sz w:val="17"/>
                <w:szCs w:val="17"/>
              </w:rPr>
              <w:t>Suma total de recursos correspondientes a 2018</w:t>
            </w:r>
          </w:p>
        </w:tc>
        <w:tc>
          <w:tcPr>
            <w:tcW w:w="2311"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1DC9377" w14:textId="77777777" w:rsidR="00B82C45" w:rsidRPr="00581D40" w:rsidRDefault="00B82C45" w:rsidP="005A5834">
            <w:pPr>
              <w:tabs>
                <w:tab w:val="clear" w:pos="1247"/>
                <w:tab w:val="clear" w:pos="1814"/>
                <w:tab w:val="clear" w:pos="2381"/>
                <w:tab w:val="clear" w:pos="2948"/>
                <w:tab w:val="clear" w:pos="3515"/>
              </w:tabs>
              <w:jc w:val="center"/>
              <w:rPr>
                <w:b/>
                <w:bCs/>
                <w:color w:val="000000"/>
                <w:sz w:val="14"/>
                <w:szCs w:val="14"/>
              </w:rPr>
            </w:pPr>
            <w:r w:rsidRPr="00581D40">
              <w:rPr>
                <w:b/>
                <w:bCs/>
                <w:sz w:val="14"/>
                <w:szCs w:val="14"/>
              </w:rPr>
              <w:t>7 108 774</w:t>
            </w:r>
          </w:p>
        </w:tc>
        <w:tc>
          <w:tcPr>
            <w:tcW w:w="233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121D42" w14:textId="77777777" w:rsidR="00B82C45" w:rsidRPr="00581D40" w:rsidRDefault="00B82C45" w:rsidP="005A5834">
            <w:pPr>
              <w:tabs>
                <w:tab w:val="clear" w:pos="1247"/>
                <w:tab w:val="clear" w:pos="1814"/>
                <w:tab w:val="clear" w:pos="2381"/>
                <w:tab w:val="clear" w:pos="2948"/>
                <w:tab w:val="clear" w:pos="3515"/>
              </w:tabs>
              <w:jc w:val="center"/>
              <w:rPr>
                <w:b/>
                <w:bCs/>
                <w:color w:val="000000"/>
                <w:sz w:val="14"/>
                <w:szCs w:val="14"/>
              </w:rPr>
            </w:pPr>
            <w:r w:rsidRPr="00581D40">
              <w:rPr>
                <w:b/>
                <w:bCs/>
                <w:sz w:val="14"/>
                <w:szCs w:val="14"/>
              </w:rPr>
              <w:t>3 864 123</w:t>
            </w:r>
          </w:p>
        </w:tc>
      </w:tr>
    </w:tbl>
    <w:p w14:paraId="1028E0AA" w14:textId="77777777" w:rsidR="00B82C45" w:rsidRPr="00581D40" w:rsidRDefault="00B82C45" w:rsidP="00582959">
      <w:pPr>
        <w:pStyle w:val="Normalnumber"/>
        <w:numPr>
          <w:ilvl w:val="0"/>
          <w:numId w:val="6"/>
        </w:numPr>
        <w:tabs>
          <w:tab w:val="clear" w:pos="1134"/>
        </w:tabs>
        <w:spacing w:before="120"/>
      </w:pPr>
      <w:r w:rsidRPr="00581D40">
        <w:lastRenderedPageBreak/>
        <w:t xml:space="preserve">Las diferencias entre el presupuesto aprobado y los gastos previstos del Fondo Fiduciario General para 2018 reflejan los cambios siguientes: </w:t>
      </w:r>
    </w:p>
    <w:p w14:paraId="0B3F8D2A" w14:textId="77777777" w:rsidR="00B82C45" w:rsidRPr="00581D40" w:rsidRDefault="00B82C45" w:rsidP="00B25375">
      <w:pPr>
        <w:pStyle w:val="Normalnumber"/>
        <w:numPr>
          <w:ilvl w:val="0"/>
          <w:numId w:val="0"/>
        </w:numPr>
        <w:tabs>
          <w:tab w:val="left" w:pos="1276"/>
          <w:tab w:val="left" w:pos="1843"/>
          <w:tab w:val="left" w:pos="2410"/>
        </w:tabs>
        <w:ind w:left="1247" w:firstLine="624"/>
      </w:pPr>
      <w:r w:rsidRPr="00581D40">
        <w:t>a)</w:t>
      </w:r>
      <w:r w:rsidRPr="00581D40">
        <w:tab/>
        <w:t>Bajo el epígrafe A: Conferencias y reuniones. Gracias al ahorro en costos de viajes y lugares de reunión, la Secretaría gastó 75.000 dólares en el grupo de expertos entre reuniones sobre eficacia, en lugar de los 105.000 dólares presupuestados;</w:t>
      </w:r>
    </w:p>
    <w:p w14:paraId="2017289A" w14:textId="77777777" w:rsidR="00B82C45" w:rsidRPr="00581D40" w:rsidRDefault="00B82C45" w:rsidP="00B25375">
      <w:pPr>
        <w:pStyle w:val="Normalnumber"/>
        <w:numPr>
          <w:ilvl w:val="0"/>
          <w:numId w:val="0"/>
        </w:numPr>
        <w:tabs>
          <w:tab w:val="left" w:pos="1276"/>
          <w:tab w:val="left" w:pos="1843"/>
          <w:tab w:val="left" w:pos="2410"/>
        </w:tabs>
        <w:ind w:left="1247" w:firstLine="624"/>
      </w:pPr>
      <w:r w:rsidRPr="00581D40">
        <w:t>b)</w:t>
      </w:r>
      <w:r w:rsidRPr="00581D40">
        <w:tab/>
        <w:t xml:space="preserve">Bajo el epígrafe C: Actividades científicas y técnicas. No se ha usado la suma prevista inicialmente para la labor de presentación de informes nacionales en 2018. La Secretaría iniciará su labor al respecto en cuanto se cubra el puesto de comunicación y gestión de los conocimientos. Todos los gastos directos se aplazan a 2019; </w:t>
      </w:r>
    </w:p>
    <w:p w14:paraId="337D5318" w14:textId="77777777" w:rsidR="00B82C45" w:rsidRPr="00581D40" w:rsidRDefault="00B82C45" w:rsidP="00B25375">
      <w:pPr>
        <w:pStyle w:val="Normalnumber"/>
        <w:numPr>
          <w:ilvl w:val="0"/>
          <w:numId w:val="0"/>
        </w:numPr>
        <w:tabs>
          <w:tab w:val="left" w:pos="1276"/>
          <w:tab w:val="left" w:pos="1843"/>
          <w:tab w:val="left" w:pos="2410"/>
        </w:tabs>
        <w:ind w:left="1247" w:firstLine="624"/>
      </w:pPr>
      <w:r w:rsidRPr="00581D40">
        <w:t>c)</w:t>
      </w:r>
      <w:r w:rsidRPr="00581D40">
        <w:tab/>
        <w:t>Bajo el epígrafe D: Gestión de los conocimientos y la información y actividades de divulgación. Si bien la Secretaría ha iniciado y mantenido actividades básicas de gestión de los conocimientos y la información y actividades de divulgación, las actividades previstas inicialmente para</w:t>
      </w:r>
      <w:r w:rsidR="00B25375" w:rsidRPr="00581D40">
        <w:t> </w:t>
      </w:r>
      <w:r w:rsidRPr="00581D40">
        <w:t xml:space="preserve">2018 </w:t>
      </w:r>
      <w:r w:rsidR="00960C45" w:rsidRPr="00581D40">
        <w:t xml:space="preserve">en el ámbito de las comunicaciones, la divulgación y la concienciación del público </w:t>
      </w:r>
      <w:r w:rsidRPr="00581D40">
        <w:t>solo se emprenderán cuando concluya el proceso de contratación destinado a cubrir el puesto de comunicación y gestión de los conocimientos. Por consiguiente, los gastos conexos se aplazan hasta 2019;</w:t>
      </w:r>
      <w:r w:rsidR="00B25375" w:rsidRPr="00581D40">
        <w:t xml:space="preserve"> </w:t>
      </w:r>
    </w:p>
    <w:p w14:paraId="69E98D91" w14:textId="77777777" w:rsidR="00B82C45" w:rsidRPr="00581D40" w:rsidRDefault="00B82C45" w:rsidP="00B25375">
      <w:pPr>
        <w:pStyle w:val="Normalnumber"/>
        <w:numPr>
          <w:ilvl w:val="0"/>
          <w:numId w:val="0"/>
        </w:numPr>
        <w:tabs>
          <w:tab w:val="left" w:pos="1276"/>
          <w:tab w:val="left" w:pos="1843"/>
          <w:tab w:val="left" w:pos="2410"/>
        </w:tabs>
        <w:ind w:left="1247" w:firstLine="624"/>
      </w:pPr>
      <w:r w:rsidRPr="00581D40">
        <w:t>d)</w:t>
      </w:r>
      <w:r w:rsidRPr="00581D40">
        <w:tab/>
        <w:t xml:space="preserve">Bajo el epígrafe E: Gestión general. Dado que faltan por cubrirse algunos puestos, la suma prevista para gastos de personal (1.110.000 dólares) es inferior a la presupuestada (1.930.950). Además, por esta misma razón, la Secretaría prevé un ahorro en viajes del personal en 2018; </w:t>
      </w:r>
    </w:p>
    <w:p w14:paraId="3FE8E950" w14:textId="77777777" w:rsidR="00B82C45" w:rsidRPr="00581D40" w:rsidRDefault="00B82C45" w:rsidP="00B25375">
      <w:pPr>
        <w:pStyle w:val="Normalnumber"/>
        <w:numPr>
          <w:ilvl w:val="0"/>
          <w:numId w:val="0"/>
        </w:numPr>
        <w:tabs>
          <w:tab w:val="left" w:pos="1276"/>
          <w:tab w:val="left" w:pos="1843"/>
          <w:tab w:val="left" w:pos="2410"/>
        </w:tabs>
        <w:ind w:left="1247" w:firstLine="624"/>
      </w:pPr>
      <w:r w:rsidRPr="00581D40">
        <w:t>e)</w:t>
      </w:r>
      <w:r w:rsidRPr="00581D40">
        <w:tab/>
        <w:t>Bajo el epígrafe G: Mantenimiento y servicios de oficina. La Secretaría ya se ha instalado por completo en su nueva sede. El ahorro de 2018 se debe sobre todo a los puestos de la plantilla que siguen vacantes.</w:t>
      </w:r>
      <w:r w:rsidR="00B25375" w:rsidRPr="00581D40">
        <w:t xml:space="preserve"> </w:t>
      </w:r>
    </w:p>
    <w:p w14:paraId="654B82A5" w14:textId="77777777" w:rsidR="00B82C45" w:rsidRPr="00581D40" w:rsidRDefault="00B82C45" w:rsidP="00582959">
      <w:pPr>
        <w:pStyle w:val="Normalnumber"/>
        <w:numPr>
          <w:ilvl w:val="0"/>
          <w:numId w:val="6"/>
        </w:numPr>
        <w:tabs>
          <w:tab w:val="clear" w:pos="1134"/>
        </w:tabs>
        <w:spacing w:before="120"/>
      </w:pPr>
      <w:r w:rsidRPr="00581D40">
        <w:t xml:space="preserve">Las diferencias mencionadas entre el presupuesto aprobado y los gastos previstos del Fondo Fiduciario Especial para 2018 reflejan los cambios siguientes: </w:t>
      </w:r>
    </w:p>
    <w:p w14:paraId="1CDFD2F4" w14:textId="244F077B" w:rsidR="00B82C45" w:rsidRPr="00581D40" w:rsidRDefault="00B82C45" w:rsidP="00582959">
      <w:pPr>
        <w:pStyle w:val="Normalnumber"/>
        <w:numPr>
          <w:ilvl w:val="0"/>
          <w:numId w:val="8"/>
        </w:numPr>
        <w:tabs>
          <w:tab w:val="left" w:pos="1247"/>
          <w:tab w:val="left" w:pos="1814"/>
          <w:tab w:val="left" w:pos="2381"/>
          <w:tab w:val="left" w:pos="2410"/>
          <w:tab w:val="left" w:pos="2948"/>
        </w:tabs>
        <w:ind w:left="1276" w:firstLine="567"/>
      </w:pPr>
      <w:r w:rsidRPr="00581D40">
        <w:t>Bajo el epígrafe A: Conferencias y reuniones. De los 640.000 dólares presupuestados para costear los viajes de los participantes en la segunda reunión de la Conferencia de las Partes, al 31 de agosto de 2018 solo se habían prometido o recibido 414.760 dólares (de Finlandia, Suecia y Suiza, este último en calidad de país anfitrión). La Secretaría sigue recaudando fondos para apoyar la asistencia a la segunda reunión de la Conferencia de las Partes. De los 535.000 dólares presupuestados para las reuniones preparatorias regionales, solo se han prometido o recibido 431.178 dólares (de Austria, el Japón, Suecia y Suiza). En consecuencia, la Secretaría organizó reuniones preparatorias regionales de tan solo dos días de duración en todas las regiones, en lugar de las reuniones previstas inicialmente, que habrían sido más</w:t>
      </w:r>
      <w:r w:rsidR="00AF7E69" w:rsidRPr="00581D40">
        <w:t> </w:t>
      </w:r>
      <w:r w:rsidRPr="00581D40">
        <w:t>largas.</w:t>
      </w:r>
    </w:p>
    <w:p w14:paraId="51AC9A67" w14:textId="77777777" w:rsidR="00B82C45" w:rsidRPr="00581D40" w:rsidRDefault="00B82C45" w:rsidP="00582959">
      <w:pPr>
        <w:pStyle w:val="Normalnumber"/>
        <w:numPr>
          <w:ilvl w:val="0"/>
          <w:numId w:val="8"/>
        </w:numPr>
        <w:tabs>
          <w:tab w:val="left" w:pos="1247"/>
          <w:tab w:val="left" w:pos="1814"/>
          <w:tab w:val="left" w:pos="2381"/>
          <w:tab w:val="left" w:pos="2948"/>
          <w:tab w:val="left" w:pos="3515"/>
          <w:tab w:val="left" w:pos="4082"/>
        </w:tabs>
        <w:ind w:left="1276" w:firstLine="567"/>
      </w:pPr>
      <w:r w:rsidRPr="00581D40">
        <w:t>Bajo el epígrafe B: Creación de capacidad y asistencia técnica. En 2018, la Secretaría inició la recaudación de fondos para financiar las actividades previstas. La Secretaría se complace en señalar que, en julio de 2018, la Unión Europea prometió una contribución cuantiosa, y que Francia, Noruega y Filipinas también han prometido hacer contribuciones. Si bien se espera que algunas actividades se emprendan antes de finales de 2018, la ejecución no podrá llevarse a cabo del todo mientras no se cubra el puesto de prestación de asistencia técnica y creación de capacidad. En consecuencia, el grueso de los gastos se generará en 2019;</w:t>
      </w:r>
      <w:r w:rsidR="00B25375" w:rsidRPr="00581D40">
        <w:t xml:space="preserve"> </w:t>
      </w:r>
    </w:p>
    <w:p w14:paraId="65AC515C" w14:textId="2A0CF3E4" w:rsidR="00B82C45" w:rsidRPr="00581D40" w:rsidRDefault="00B82C45" w:rsidP="00582959">
      <w:pPr>
        <w:pStyle w:val="Normalnumber"/>
        <w:numPr>
          <w:ilvl w:val="0"/>
          <w:numId w:val="8"/>
        </w:numPr>
        <w:tabs>
          <w:tab w:val="left" w:pos="1247"/>
          <w:tab w:val="left" w:pos="1814"/>
          <w:tab w:val="left" w:pos="1843"/>
          <w:tab w:val="left" w:pos="2410"/>
          <w:tab w:val="left" w:pos="2948"/>
        </w:tabs>
        <w:ind w:left="1276" w:firstLine="567"/>
      </w:pPr>
      <w:r w:rsidRPr="00581D40">
        <w:t xml:space="preserve">Bajo el epígrafe C: Actividades científicas y técnicas. En un principio no se asignaron recursos a esta partida del presupuesto, pero la Secretaría se complace en señalar que </w:t>
      </w:r>
      <w:r w:rsidR="00960C45" w:rsidRPr="00581D40">
        <w:t xml:space="preserve">contaba </w:t>
      </w:r>
      <w:r w:rsidRPr="00581D40">
        <w:t>con más fondos para la asistencia científica y técnica gracias a una cuantiosa contribución prometida por el</w:t>
      </w:r>
      <w:r w:rsidR="00BD79CB" w:rsidRPr="00581D40">
        <w:t> </w:t>
      </w:r>
      <w:r w:rsidRPr="00581D40">
        <w:t xml:space="preserve">Japón. </w:t>
      </w:r>
    </w:p>
    <w:p w14:paraId="1EBA1E80" w14:textId="77777777" w:rsidR="00B82C45" w:rsidRPr="00581D40" w:rsidRDefault="00B82C45" w:rsidP="00B82C45">
      <w:pPr>
        <w:pStyle w:val="CH3"/>
      </w:pPr>
      <w:r w:rsidRPr="00581D40">
        <w:tab/>
        <w:t>3.</w:t>
      </w:r>
      <w:r w:rsidRPr="00581D40">
        <w:tab/>
      </w:r>
      <w:r w:rsidRPr="00581D40">
        <w:rPr>
          <w:bCs/>
        </w:rPr>
        <w:t>Previsión de ingresos y gastos del Convenio de Minamata correspondiente a 2018</w:t>
      </w:r>
    </w:p>
    <w:p w14:paraId="6530D370" w14:textId="77777777" w:rsidR="00B82C45" w:rsidRPr="00581D40" w:rsidRDefault="00B82C45" w:rsidP="00582959">
      <w:pPr>
        <w:pStyle w:val="Normalnumber"/>
        <w:numPr>
          <w:ilvl w:val="0"/>
          <w:numId w:val="6"/>
        </w:numPr>
        <w:tabs>
          <w:tab w:val="clear" w:pos="1134"/>
        </w:tabs>
        <w:spacing w:before="120"/>
      </w:pPr>
      <w:r w:rsidRPr="00581D40">
        <w:t xml:space="preserve">En el cuadro 3 se resumen los ingresos y gastos previstos de los tres fondos fiduciarios del Convenio de Minamata para 2018. </w:t>
      </w:r>
    </w:p>
    <w:p w14:paraId="1D2C5FB5" w14:textId="77777777" w:rsidR="00B82C45" w:rsidRPr="00581D40" w:rsidRDefault="00B82C45" w:rsidP="00B82C45">
      <w:pPr>
        <w:pStyle w:val="Titletable"/>
      </w:pPr>
      <w:r w:rsidRPr="00581D40">
        <w:rPr>
          <w:b w:val="0"/>
        </w:rPr>
        <w:t>Cuadro 3</w:t>
      </w:r>
      <w:r w:rsidR="0090211F" w:rsidRPr="00581D40">
        <w:rPr>
          <w:b w:val="0"/>
        </w:rPr>
        <w:br/>
      </w:r>
      <w:r w:rsidRPr="00581D40">
        <w:t>Ingresos y gastos previstos de los fondos fiduciarios del Convenio de Minamata para 2018</w:t>
      </w:r>
    </w:p>
    <w:p w14:paraId="4A606B6F" w14:textId="67D46643" w:rsidR="00B82C45" w:rsidRPr="00581D40" w:rsidRDefault="00B82C45" w:rsidP="00B82C45">
      <w:pPr>
        <w:pStyle w:val="Titletable"/>
        <w:rPr>
          <w:b w:val="0"/>
          <w:sz w:val="18"/>
          <w:szCs w:val="18"/>
        </w:rPr>
      </w:pPr>
      <w:r w:rsidRPr="00581D40">
        <w:rPr>
          <w:b w:val="0"/>
          <w:sz w:val="18"/>
          <w:szCs w:val="18"/>
        </w:rPr>
        <w:t>(</w:t>
      </w:r>
      <w:r w:rsidR="00B63D26">
        <w:rPr>
          <w:b w:val="0"/>
          <w:sz w:val="18"/>
          <w:szCs w:val="18"/>
        </w:rPr>
        <w:t>en d</w:t>
      </w:r>
      <w:r w:rsidRPr="00581D40">
        <w:rPr>
          <w:b w:val="0"/>
          <w:sz w:val="18"/>
          <w:szCs w:val="18"/>
        </w:rPr>
        <w:t xml:space="preserve">ólares de los </w:t>
      </w:r>
      <w:r w:rsidR="00AF7E69" w:rsidRPr="00581D40">
        <w:rPr>
          <w:b w:val="0"/>
          <w:sz w:val="18"/>
          <w:szCs w:val="18"/>
        </w:rPr>
        <w:t>Estados Unidos</w:t>
      </w:r>
      <w:r w:rsidRPr="00581D40">
        <w:rPr>
          <w:b w:val="0"/>
          <w:sz w:val="18"/>
          <w:szCs w:val="18"/>
        </w:rPr>
        <w:t>)</w:t>
      </w:r>
    </w:p>
    <w:tbl>
      <w:tblPr>
        <w:tblW w:w="4094" w:type="pct"/>
        <w:tblInd w:w="1258" w:type="dxa"/>
        <w:tblLayout w:type="fixed"/>
        <w:tblLook w:val="04A0" w:firstRow="1" w:lastRow="0" w:firstColumn="1" w:lastColumn="0" w:noHBand="0" w:noVBand="1"/>
      </w:tblPr>
      <w:tblGrid>
        <w:gridCol w:w="2268"/>
        <w:gridCol w:w="1928"/>
        <w:gridCol w:w="1928"/>
        <w:gridCol w:w="1928"/>
      </w:tblGrid>
      <w:tr w:rsidR="00B82C45" w:rsidRPr="00581D40" w14:paraId="0B97D052" w14:textId="77777777" w:rsidTr="00B82C45">
        <w:trPr>
          <w:trHeight w:val="385"/>
        </w:trPr>
        <w:tc>
          <w:tcPr>
            <w:tcW w:w="2268" w:type="dxa"/>
            <w:tcBorders>
              <w:top w:val="single" w:sz="4" w:space="0" w:color="auto"/>
              <w:bottom w:val="single" w:sz="12" w:space="0" w:color="auto"/>
            </w:tcBorders>
            <w:shd w:val="clear" w:color="auto" w:fill="auto"/>
            <w:noWrap/>
            <w:vAlign w:val="bottom"/>
            <w:hideMark/>
          </w:tcPr>
          <w:p w14:paraId="70066281" w14:textId="77777777" w:rsidR="00B82C45" w:rsidRPr="00581D40" w:rsidRDefault="00B82C45" w:rsidP="00B82C45">
            <w:pPr>
              <w:tabs>
                <w:tab w:val="clear" w:pos="1247"/>
                <w:tab w:val="clear" w:pos="1814"/>
                <w:tab w:val="clear" w:pos="2381"/>
                <w:tab w:val="clear" w:pos="2948"/>
                <w:tab w:val="clear" w:pos="3515"/>
              </w:tabs>
              <w:spacing w:before="20" w:after="20"/>
              <w:rPr>
                <w:b/>
                <w:bCs/>
                <w:sz w:val="18"/>
                <w:szCs w:val="18"/>
              </w:rPr>
            </w:pPr>
            <w:r w:rsidRPr="00581D40">
              <w:rPr>
                <w:b/>
                <w:bCs/>
                <w:sz w:val="18"/>
                <w:szCs w:val="18"/>
              </w:rPr>
              <w:t>Fondo fiduciario</w:t>
            </w:r>
          </w:p>
        </w:tc>
        <w:tc>
          <w:tcPr>
            <w:tcW w:w="1928" w:type="dxa"/>
            <w:tcBorders>
              <w:top w:val="single" w:sz="4" w:space="0" w:color="auto"/>
              <w:bottom w:val="single" w:sz="12" w:space="0" w:color="auto"/>
            </w:tcBorders>
            <w:shd w:val="clear" w:color="auto" w:fill="auto"/>
            <w:vAlign w:val="bottom"/>
            <w:hideMark/>
          </w:tcPr>
          <w:p w14:paraId="3FFDDF42"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 xml:space="preserve">Ingresos </w:t>
            </w:r>
          </w:p>
          <w:p w14:paraId="096AAC24"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previstos</w:t>
            </w:r>
          </w:p>
        </w:tc>
        <w:tc>
          <w:tcPr>
            <w:tcW w:w="1928" w:type="dxa"/>
            <w:tcBorders>
              <w:top w:val="single" w:sz="4" w:space="0" w:color="auto"/>
              <w:bottom w:val="single" w:sz="12" w:space="0" w:color="auto"/>
            </w:tcBorders>
            <w:shd w:val="clear" w:color="auto" w:fill="auto"/>
            <w:vAlign w:val="bottom"/>
            <w:hideMark/>
          </w:tcPr>
          <w:p w14:paraId="5C5A874A"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 xml:space="preserve">Gastos </w:t>
            </w:r>
          </w:p>
          <w:p w14:paraId="18051427"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previstos</w:t>
            </w:r>
          </w:p>
        </w:tc>
        <w:tc>
          <w:tcPr>
            <w:tcW w:w="1928" w:type="dxa"/>
            <w:tcBorders>
              <w:top w:val="single" w:sz="4" w:space="0" w:color="auto"/>
              <w:bottom w:val="single" w:sz="12" w:space="0" w:color="auto"/>
            </w:tcBorders>
            <w:shd w:val="clear" w:color="auto" w:fill="auto"/>
            <w:vAlign w:val="bottom"/>
            <w:hideMark/>
          </w:tcPr>
          <w:p w14:paraId="15E2CFB9"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sz w:val="18"/>
                <w:szCs w:val="18"/>
              </w:rPr>
              <w:t xml:space="preserve"> </w:t>
            </w:r>
          </w:p>
          <w:p w14:paraId="39479E7C"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Saldo previsto al cierre del ejercicio</w:t>
            </w:r>
          </w:p>
        </w:tc>
      </w:tr>
      <w:tr w:rsidR="00B82C45" w:rsidRPr="00581D40" w14:paraId="2E2ECDDE" w14:textId="77777777" w:rsidTr="00B82C45">
        <w:trPr>
          <w:trHeight w:val="271"/>
        </w:trPr>
        <w:tc>
          <w:tcPr>
            <w:tcW w:w="2268" w:type="dxa"/>
            <w:tcBorders>
              <w:top w:val="single" w:sz="12" w:space="0" w:color="auto"/>
            </w:tcBorders>
            <w:shd w:val="clear" w:color="auto" w:fill="auto"/>
            <w:noWrap/>
            <w:vAlign w:val="bottom"/>
            <w:hideMark/>
          </w:tcPr>
          <w:p w14:paraId="5A1F8206" w14:textId="77777777" w:rsidR="00B82C45" w:rsidRPr="00581D40" w:rsidRDefault="00B82C45" w:rsidP="00B82C45">
            <w:pPr>
              <w:tabs>
                <w:tab w:val="clear" w:pos="1247"/>
                <w:tab w:val="clear" w:pos="1814"/>
                <w:tab w:val="clear" w:pos="2381"/>
                <w:tab w:val="clear" w:pos="2948"/>
                <w:tab w:val="clear" w:pos="3515"/>
              </w:tabs>
              <w:spacing w:before="20" w:after="20"/>
              <w:rPr>
                <w:sz w:val="18"/>
                <w:szCs w:val="18"/>
              </w:rPr>
            </w:pPr>
            <w:r w:rsidRPr="00581D40">
              <w:rPr>
                <w:sz w:val="18"/>
                <w:szCs w:val="18"/>
              </w:rPr>
              <w:t>Fondo Fiduciario General</w:t>
            </w:r>
          </w:p>
        </w:tc>
        <w:tc>
          <w:tcPr>
            <w:tcW w:w="1928" w:type="dxa"/>
            <w:tcBorders>
              <w:top w:val="single" w:sz="12" w:space="0" w:color="auto"/>
            </w:tcBorders>
            <w:shd w:val="clear" w:color="auto" w:fill="auto"/>
            <w:noWrap/>
            <w:vAlign w:val="bottom"/>
            <w:hideMark/>
          </w:tcPr>
          <w:p w14:paraId="05CC0EC7" w14:textId="77777777" w:rsidR="00B82C45" w:rsidRPr="00581D40" w:rsidRDefault="00B82C45" w:rsidP="00B82C45">
            <w:pPr>
              <w:tabs>
                <w:tab w:val="clear" w:pos="1247"/>
                <w:tab w:val="clear" w:pos="1814"/>
                <w:tab w:val="clear" w:pos="2381"/>
                <w:tab w:val="clear" w:pos="2948"/>
                <w:tab w:val="clear" w:pos="3515"/>
              </w:tabs>
              <w:spacing w:before="20" w:after="20"/>
              <w:jc w:val="right"/>
              <w:rPr>
                <w:sz w:val="18"/>
                <w:szCs w:val="18"/>
              </w:rPr>
            </w:pPr>
            <w:r w:rsidRPr="00581D40">
              <w:rPr>
                <w:sz w:val="18"/>
                <w:szCs w:val="18"/>
              </w:rPr>
              <w:t xml:space="preserve">4 329 045 </w:t>
            </w:r>
          </w:p>
        </w:tc>
        <w:tc>
          <w:tcPr>
            <w:tcW w:w="1928" w:type="dxa"/>
            <w:tcBorders>
              <w:top w:val="single" w:sz="12" w:space="0" w:color="auto"/>
            </w:tcBorders>
            <w:shd w:val="clear" w:color="auto" w:fill="auto"/>
            <w:noWrap/>
            <w:vAlign w:val="bottom"/>
            <w:hideMark/>
          </w:tcPr>
          <w:p w14:paraId="005F9FAB" w14:textId="77777777" w:rsidR="00B82C45" w:rsidRPr="00581D40" w:rsidRDefault="00B82C45" w:rsidP="00B82C45">
            <w:pPr>
              <w:tabs>
                <w:tab w:val="clear" w:pos="1247"/>
                <w:tab w:val="clear" w:pos="1814"/>
                <w:tab w:val="clear" w:pos="2381"/>
                <w:tab w:val="clear" w:pos="2948"/>
                <w:tab w:val="clear" w:pos="3515"/>
              </w:tabs>
              <w:spacing w:before="20" w:after="20"/>
              <w:jc w:val="right"/>
              <w:rPr>
                <w:sz w:val="18"/>
                <w:szCs w:val="18"/>
              </w:rPr>
            </w:pPr>
            <w:r w:rsidRPr="00581D40">
              <w:rPr>
                <w:sz w:val="18"/>
                <w:szCs w:val="18"/>
              </w:rPr>
              <w:t xml:space="preserve"> 2 926 700 </w:t>
            </w:r>
          </w:p>
        </w:tc>
        <w:tc>
          <w:tcPr>
            <w:tcW w:w="1928" w:type="dxa"/>
            <w:tcBorders>
              <w:top w:val="single" w:sz="12" w:space="0" w:color="auto"/>
            </w:tcBorders>
            <w:shd w:val="clear" w:color="auto" w:fill="auto"/>
            <w:noWrap/>
            <w:vAlign w:val="bottom"/>
            <w:hideMark/>
          </w:tcPr>
          <w:p w14:paraId="6F7D1F83"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1 402 345</w:t>
            </w:r>
            <w:r w:rsidRPr="00581D40">
              <w:rPr>
                <w:sz w:val="18"/>
                <w:szCs w:val="18"/>
              </w:rPr>
              <w:t xml:space="preserve"> </w:t>
            </w:r>
          </w:p>
        </w:tc>
      </w:tr>
      <w:tr w:rsidR="00B82C45" w:rsidRPr="00581D40" w14:paraId="10CB3DC9" w14:textId="77777777" w:rsidTr="00B82C45">
        <w:trPr>
          <w:trHeight w:val="300"/>
        </w:trPr>
        <w:tc>
          <w:tcPr>
            <w:tcW w:w="2268" w:type="dxa"/>
            <w:shd w:val="clear" w:color="auto" w:fill="auto"/>
            <w:noWrap/>
            <w:vAlign w:val="bottom"/>
            <w:hideMark/>
          </w:tcPr>
          <w:p w14:paraId="549C8774" w14:textId="77777777" w:rsidR="00B82C45" w:rsidRPr="00581D40" w:rsidRDefault="00B82C45" w:rsidP="00B82C45">
            <w:pPr>
              <w:tabs>
                <w:tab w:val="clear" w:pos="1247"/>
                <w:tab w:val="clear" w:pos="1814"/>
                <w:tab w:val="clear" w:pos="2381"/>
                <w:tab w:val="clear" w:pos="2948"/>
                <w:tab w:val="clear" w:pos="3515"/>
              </w:tabs>
              <w:spacing w:before="20" w:after="20"/>
              <w:rPr>
                <w:sz w:val="18"/>
                <w:szCs w:val="18"/>
              </w:rPr>
            </w:pPr>
            <w:r w:rsidRPr="00581D40">
              <w:rPr>
                <w:sz w:val="18"/>
                <w:szCs w:val="18"/>
              </w:rPr>
              <w:t>Fondo Fiduciario Especial</w:t>
            </w:r>
          </w:p>
        </w:tc>
        <w:tc>
          <w:tcPr>
            <w:tcW w:w="1928" w:type="dxa"/>
            <w:shd w:val="clear" w:color="auto" w:fill="auto"/>
            <w:noWrap/>
            <w:vAlign w:val="bottom"/>
            <w:hideMark/>
          </w:tcPr>
          <w:p w14:paraId="140543C3" w14:textId="77777777" w:rsidR="00B82C45" w:rsidRPr="00581D40" w:rsidRDefault="00B82C45" w:rsidP="00B82C45">
            <w:pPr>
              <w:tabs>
                <w:tab w:val="clear" w:pos="1247"/>
                <w:tab w:val="clear" w:pos="1814"/>
                <w:tab w:val="clear" w:pos="2381"/>
                <w:tab w:val="clear" w:pos="2948"/>
                <w:tab w:val="clear" w:pos="3515"/>
              </w:tabs>
              <w:spacing w:before="20" w:after="20"/>
              <w:jc w:val="right"/>
              <w:rPr>
                <w:sz w:val="18"/>
                <w:szCs w:val="18"/>
              </w:rPr>
            </w:pPr>
            <w:r w:rsidRPr="00581D40">
              <w:rPr>
                <w:sz w:val="18"/>
                <w:szCs w:val="18"/>
              </w:rPr>
              <w:t xml:space="preserve">1 851 156 </w:t>
            </w:r>
          </w:p>
        </w:tc>
        <w:tc>
          <w:tcPr>
            <w:tcW w:w="1928" w:type="dxa"/>
            <w:shd w:val="clear" w:color="auto" w:fill="auto"/>
            <w:noWrap/>
            <w:vAlign w:val="bottom"/>
            <w:hideMark/>
          </w:tcPr>
          <w:p w14:paraId="2905426B" w14:textId="77777777" w:rsidR="00B82C45" w:rsidRPr="00581D40" w:rsidRDefault="00B82C45" w:rsidP="00B82C45">
            <w:pPr>
              <w:tabs>
                <w:tab w:val="clear" w:pos="1247"/>
                <w:tab w:val="clear" w:pos="1814"/>
                <w:tab w:val="clear" w:pos="2381"/>
                <w:tab w:val="clear" w:pos="2948"/>
                <w:tab w:val="clear" w:pos="3515"/>
              </w:tabs>
              <w:spacing w:before="20" w:after="20"/>
              <w:jc w:val="right"/>
              <w:rPr>
                <w:sz w:val="18"/>
                <w:szCs w:val="18"/>
              </w:rPr>
            </w:pPr>
            <w:r w:rsidRPr="00581D40">
              <w:rPr>
                <w:sz w:val="18"/>
                <w:szCs w:val="18"/>
              </w:rPr>
              <w:t xml:space="preserve">1 152 123 </w:t>
            </w:r>
          </w:p>
        </w:tc>
        <w:tc>
          <w:tcPr>
            <w:tcW w:w="1928" w:type="dxa"/>
            <w:shd w:val="clear" w:color="auto" w:fill="auto"/>
            <w:noWrap/>
            <w:vAlign w:val="bottom"/>
            <w:hideMark/>
          </w:tcPr>
          <w:p w14:paraId="49D1CDA6"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699 033</w:t>
            </w:r>
            <w:r w:rsidRPr="00581D40">
              <w:rPr>
                <w:sz w:val="18"/>
                <w:szCs w:val="18"/>
              </w:rPr>
              <w:t xml:space="preserve"> </w:t>
            </w:r>
          </w:p>
        </w:tc>
      </w:tr>
      <w:tr w:rsidR="00B82C45" w:rsidRPr="00581D40" w14:paraId="73E896F8" w14:textId="77777777" w:rsidTr="00B82C45">
        <w:trPr>
          <w:trHeight w:val="300"/>
        </w:trPr>
        <w:tc>
          <w:tcPr>
            <w:tcW w:w="2268" w:type="dxa"/>
            <w:tcBorders>
              <w:bottom w:val="single" w:sz="12" w:space="0" w:color="auto"/>
            </w:tcBorders>
            <w:shd w:val="clear" w:color="auto" w:fill="auto"/>
            <w:noWrap/>
            <w:vAlign w:val="bottom"/>
            <w:hideMark/>
          </w:tcPr>
          <w:p w14:paraId="600E11BF" w14:textId="77777777" w:rsidR="00B82C45" w:rsidRPr="00581D40" w:rsidRDefault="00B82C45" w:rsidP="00B82C45">
            <w:pPr>
              <w:tabs>
                <w:tab w:val="clear" w:pos="1247"/>
                <w:tab w:val="clear" w:pos="1814"/>
                <w:tab w:val="clear" w:pos="2381"/>
                <w:tab w:val="clear" w:pos="2948"/>
                <w:tab w:val="clear" w:pos="3515"/>
              </w:tabs>
              <w:spacing w:before="20" w:after="20"/>
              <w:rPr>
                <w:sz w:val="18"/>
                <w:szCs w:val="18"/>
              </w:rPr>
            </w:pPr>
            <w:r w:rsidRPr="00581D40">
              <w:rPr>
                <w:sz w:val="18"/>
                <w:szCs w:val="18"/>
              </w:rPr>
              <w:t>Fondo Fiduciario Específico</w:t>
            </w:r>
          </w:p>
        </w:tc>
        <w:tc>
          <w:tcPr>
            <w:tcW w:w="1928" w:type="dxa"/>
            <w:tcBorders>
              <w:bottom w:val="single" w:sz="12" w:space="0" w:color="auto"/>
            </w:tcBorders>
            <w:shd w:val="clear" w:color="auto" w:fill="auto"/>
            <w:noWrap/>
            <w:vAlign w:val="bottom"/>
            <w:hideMark/>
          </w:tcPr>
          <w:p w14:paraId="16CBC267" w14:textId="77777777" w:rsidR="00B82C45" w:rsidRPr="00581D40" w:rsidRDefault="00B82C45" w:rsidP="00B82C45">
            <w:pPr>
              <w:tabs>
                <w:tab w:val="clear" w:pos="1247"/>
                <w:tab w:val="clear" w:pos="1814"/>
                <w:tab w:val="clear" w:pos="2381"/>
                <w:tab w:val="clear" w:pos="2948"/>
                <w:tab w:val="clear" w:pos="3515"/>
              </w:tabs>
              <w:spacing w:before="20" w:after="20"/>
              <w:jc w:val="right"/>
              <w:rPr>
                <w:sz w:val="18"/>
                <w:szCs w:val="18"/>
              </w:rPr>
            </w:pPr>
            <w:r w:rsidRPr="00581D40">
              <w:rPr>
                <w:sz w:val="18"/>
                <w:szCs w:val="18"/>
              </w:rPr>
              <w:t xml:space="preserve">1 281 449 </w:t>
            </w:r>
          </w:p>
        </w:tc>
        <w:tc>
          <w:tcPr>
            <w:tcW w:w="1928" w:type="dxa"/>
            <w:tcBorders>
              <w:bottom w:val="single" w:sz="12" w:space="0" w:color="auto"/>
            </w:tcBorders>
            <w:shd w:val="clear" w:color="auto" w:fill="auto"/>
            <w:noWrap/>
            <w:vAlign w:val="bottom"/>
            <w:hideMark/>
          </w:tcPr>
          <w:p w14:paraId="21EDA01E" w14:textId="77777777" w:rsidR="00B82C45" w:rsidRPr="00581D40" w:rsidRDefault="00B82C45" w:rsidP="00B82C45">
            <w:pPr>
              <w:tabs>
                <w:tab w:val="clear" w:pos="1247"/>
                <w:tab w:val="clear" w:pos="1814"/>
                <w:tab w:val="clear" w:pos="2381"/>
                <w:tab w:val="clear" w:pos="2948"/>
                <w:tab w:val="clear" w:pos="3515"/>
              </w:tabs>
              <w:spacing w:before="20" w:after="20"/>
              <w:jc w:val="right"/>
              <w:rPr>
                <w:sz w:val="18"/>
                <w:szCs w:val="18"/>
              </w:rPr>
            </w:pPr>
            <w:r w:rsidRPr="00581D40">
              <w:rPr>
                <w:sz w:val="18"/>
                <w:szCs w:val="18"/>
              </w:rPr>
              <w:t xml:space="preserve">550 000 </w:t>
            </w:r>
          </w:p>
        </w:tc>
        <w:tc>
          <w:tcPr>
            <w:tcW w:w="1928" w:type="dxa"/>
            <w:tcBorders>
              <w:bottom w:val="single" w:sz="12" w:space="0" w:color="auto"/>
            </w:tcBorders>
            <w:shd w:val="clear" w:color="auto" w:fill="auto"/>
            <w:noWrap/>
            <w:vAlign w:val="bottom"/>
            <w:hideMark/>
          </w:tcPr>
          <w:p w14:paraId="3424694E" w14:textId="77777777" w:rsidR="00B82C45" w:rsidRPr="00581D40" w:rsidRDefault="00B82C45" w:rsidP="00B82C45">
            <w:pPr>
              <w:tabs>
                <w:tab w:val="clear" w:pos="1247"/>
                <w:tab w:val="clear" w:pos="1814"/>
                <w:tab w:val="clear" w:pos="2381"/>
                <w:tab w:val="clear" w:pos="2948"/>
                <w:tab w:val="clear" w:pos="3515"/>
              </w:tabs>
              <w:spacing w:before="20" w:after="20"/>
              <w:jc w:val="right"/>
              <w:rPr>
                <w:b/>
                <w:bCs/>
                <w:sz w:val="18"/>
                <w:szCs w:val="18"/>
              </w:rPr>
            </w:pPr>
            <w:r w:rsidRPr="00581D40">
              <w:rPr>
                <w:b/>
                <w:bCs/>
                <w:sz w:val="18"/>
                <w:szCs w:val="18"/>
              </w:rPr>
              <w:t>731 449</w:t>
            </w:r>
            <w:r w:rsidRPr="00581D40">
              <w:rPr>
                <w:sz w:val="18"/>
                <w:szCs w:val="18"/>
              </w:rPr>
              <w:t xml:space="preserve"> </w:t>
            </w:r>
          </w:p>
        </w:tc>
      </w:tr>
    </w:tbl>
    <w:p w14:paraId="3CF4ACCB" w14:textId="77777777" w:rsidR="00B82C45" w:rsidRPr="00581D40" w:rsidRDefault="00B82C45" w:rsidP="00582959">
      <w:pPr>
        <w:pStyle w:val="Normalnumber"/>
        <w:numPr>
          <w:ilvl w:val="0"/>
          <w:numId w:val="6"/>
        </w:numPr>
        <w:tabs>
          <w:tab w:val="clear" w:pos="1134"/>
        </w:tabs>
        <w:spacing w:before="120"/>
      </w:pPr>
      <w:r w:rsidRPr="00581D40">
        <w:lastRenderedPageBreak/>
        <w:t xml:space="preserve">Las cifras del cuadro relativas al Fondo Fiduciario General y el Fondo Fiduciario Especial incluyen los recursos de apoyo a los programas. </w:t>
      </w:r>
    </w:p>
    <w:p w14:paraId="1195B59A" w14:textId="77777777" w:rsidR="00B82C45" w:rsidRPr="00581D40" w:rsidRDefault="00B82C45" w:rsidP="00582959">
      <w:pPr>
        <w:pStyle w:val="Normalnumber"/>
        <w:numPr>
          <w:ilvl w:val="0"/>
          <w:numId w:val="6"/>
        </w:numPr>
        <w:tabs>
          <w:tab w:val="clear" w:pos="1134"/>
        </w:tabs>
        <w:spacing w:before="120"/>
      </w:pPr>
      <w:r w:rsidRPr="00581D40">
        <w:t>Una vez que la Junta Directiva del Programa internacional específico se haya reunido en octubre de</w:t>
      </w:r>
      <w:r w:rsidR="00B25375" w:rsidRPr="00581D40">
        <w:t> </w:t>
      </w:r>
      <w:r w:rsidRPr="00581D40">
        <w:t>2018 para examinar y seleccionar los proyectos recibidos en la primera ronda de presentación de solicitudes</w:t>
      </w:r>
      <w:r w:rsidRPr="00581D40">
        <w:rPr>
          <w:vertAlign w:val="superscript"/>
        </w:rPr>
        <w:footnoteReference w:id="2"/>
      </w:r>
      <w:r w:rsidRPr="00581D40">
        <w:t xml:space="preserve">, los países que vean aprobadas sus solicitudes entablarán acuerdos jurídicos con el Programa de las Naciones Unidas para el Medio Ambiente. Se prevé que algunos de los acuerdos de financiación para la ejecución de los proyectos se formalicen durante el último trimestre de 2018. Una vez instauradas las modalidades administrativas, está previsto el desembolso de unos 500.000 dólares antes del fin de 2018 y del resto del saldo a los proyectos seleccionados en 2019. El mandato del Programa internacional específico, que figura en el anexo II de la decisión MC-1/6, también dispone que los gastos relacionados con el funcionamiento del programa, incluidos los costos de las reuniones, se financien con cargo a las contribuciones al programa. Se prevé que esos gastos asciendan a 50.000 dólares antes de finales de 2018. Esta cifra no incluye los gastos de personal. </w:t>
      </w:r>
    </w:p>
    <w:p w14:paraId="37647DDB" w14:textId="77777777" w:rsidR="00B82C45" w:rsidRPr="00581D40" w:rsidRDefault="00B82C45" w:rsidP="00B82C45">
      <w:pPr>
        <w:pStyle w:val="CH1"/>
        <w:tabs>
          <w:tab w:val="left" w:pos="7626"/>
        </w:tabs>
      </w:pPr>
      <w:r w:rsidRPr="00581D40">
        <w:tab/>
        <w:t>III.</w:t>
      </w:r>
      <w:r w:rsidRPr="00581D40">
        <w:tab/>
      </w:r>
      <w:r w:rsidRPr="00581D40">
        <w:rPr>
          <w:bCs/>
        </w:rPr>
        <w:t>Información actualizada sobre el presupuesto aprobado para 2019</w:t>
      </w:r>
    </w:p>
    <w:p w14:paraId="253D1B25" w14:textId="1C9B2F68" w:rsidR="00B82C45" w:rsidRPr="00581D40" w:rsidRDefault="00B82C45" w:rsidP="00582959">
      <w:pPr>
        <w:pStyle w:val="Normalnumber"/>
        <w:numPr>
          <w:ilvl w:val="0"/>
          <w:numId w:val="6"/>
        </w:numPr>
        <w:tabs>
          <w:tab w:val="clear" w:pos="1134"/>
        </w:tabs>
        <w:spacing w:before="120"/>
      </w:pPr>
      <w:r w:rsidRPr="00581D40">
        <w:t xml:space="preserve">De conformidad con la decisión MC-1/15, la Secretaria Ejecutiva debe facilitar información actualizada sobre el programa de trabajo y la aplicación y, cuando corresponda, estimaciones de los costos de las medidas que tengan consecuencias presupuestarias y no estén previstas en el primer programa de trabajo aunque sí en los proyectos de decisiones propuestos y, por tanto, tengan repercusiones presupuestarias </w:t>
      </w:r>
      <w:r w:rsidR="00960C45" w:rsidRPr="00581D40">
        <w:t xml:space="preserve">para el </w:t>
      </w:r>
      <w:r w:rsidRPr="00581D40">
        <w:t xml:space="preserve">este primer bienio, antes de que la Conferencia de las Partes adopte esas decisiones. </w:t>
      </w:r>
    </w:p>
    <w:p w14:paraId="34471317" w14:textId="77777777" w:rsidR="00B82C45" w:rsidRPr="00581D40" w:rsidRDefault="00B82C45" w:rsidP="00582959">
      <w:pPr>
        <w:pStyle w:val="Normalnumber"/>
        <w:numPr>
          <w:ilvl w:val="0"/>
          <w:numId w:val="6"/>
        </w:numPr>
        <w:tabs>
          <w:tab w:val="clear" w:pos="1134"/>
        </w:tabs>
        <w:spacing w:before="120"/>
      </w:pPr>
      <w:r w:rsidRPr="00581D40">
        <w:t>En el cuadro 4 se muestra el presupuesto del Fondo Fiduciario General y el Fondo Fiduciario Especial correspondiente a 2019 que la Conferencia de las Partes aprobó en su primera reunión, con las estimaciones actualizadas para ese año.</w:t>
      </w:r>
    </w:p>
    <w:p w14:paraId="25B4191F" w14:textId="77777777" w:rsidR="00B82C45" w:rsidRPr="00581D40" w:rsidRDefault="00B82C45" w:rsidP="00B82C45">
      <w:pPr>
        <w:pStyle w:val="Titlefigure"/>
      </w:pPr>
      <w:r w:rsidRPr="00581D40">
        <w:rPr>
          <w:b w:val="0"/>
        </w:rPr>
        <w:t>Cuadro 4</w:t>
      </w:r>
      <w:r w:rsidR="00A51718" w:rsidRPr="00581D40">
        <w:rPr>
          <w:b w:val="0"/>
        </w:rPr>
        <w:br/>
      </w:r>
      <w:r w:rsidRPr="00581D40">
        <w:rPr>
          <w:bCs/>
        </w:rPr>
        <w:t>Presupuesto de 2019 aprobado por la Conferencia de las Partes para el Fondo Fiduciario General y</w:t>
      </w:r>
      <w:r w:rsidR="00AF7E69" w:rsidRPr="00581D40">
        <w:rPr>
          <w:bCs/>
        </w:rPr>
        <w:t> </w:t>
      </w:r>
      <w:r w:rsidRPr="00581D40">
        <w:rPr>
          <w:bCs/>
        </w:rPr>
        <w:t>el Fondo Fiduciario Especial, y actualización de las estimaciones correspondientes a 2019 para su</w:t>
      </w:r>
      <w:r w:rsidR="00AF7E69" w:rsidRPr="00581D40">
        <w:rPr>
          <w:bCs/>
        </w:rPr>
        <w:t> </w:t>
      </w:r>
      <w:r w:rsidRPr="00581D40">
        <w:rPr>
          <w:bCs/>
        </w:rPr>
        <w:t>aprobación por la Conferencia de las Partes en su segunda reunión</w:t>
      </w:r>
    </w:p>
    <w:p w14:paraId="093483D8" w14:textId="5653200B" w:rsidR="00B82C45" w:rsidRPr="00581D40" w:rsidRDefault="00B82C45" w:rsidP="00B82C45">
      <w:pPr>
        <w:pStyle w:val="NormalNonumber"/>
        <w:keepNext/>
        <w:rPr>
          <w:sz w:val="18"/>
          <w:szCs w:val="18"/>
        </w:rPr>
      </w:pPr>
      <w:r w:rsidRPr="00581D40">
        <w:rPr>
          <w:sz w:val="18"/>
          <w:szCs w:val="18"/>
        </w:rPr>
        <w:t>(</w:t>
      </w:r>
      <w:r w:rsidR="00B63D26">
        <w:rPr>
          <w:sz w:val="18"/>
          <w:szCs w:val="18"/>
        </w:rPr>
        <w:t>en d</w:t>
      </w:r>
      <w:r w:rsidRPr="00581D40">
        <w:rPr>
          <w:sz w:val="18"/>
          <w:szCs w:val="18"/>
        </w:rPr>
        <w:t>ólares de los E</w:t>
      </w:r>
      <w:r w:rsidR="00AF7E69" w:rsidRPr="00581D40">
        <w:rPr>
          <w:sz w:val="18"/>
          <w:szCs w:val="18"/>
        </w:rPr>
        <w:t>stados Unidos</w:t>
      </w:r>
      <w:r w:rsidRPr="00581D40">
        <w:rPr>
          <w:sz w:val="18"/>
          <w:szCs w:val="18"/>
        </w:rPr>
        <w:t>)</w:t>
      </w:r>
    </w:p>
    <w:tbl>
      <w:tblPr>
        <w:tblW w:w="4995" w:type="pct"/>
        <w:tblLayout w:type="fixed"/>
        <w:tblLook w:val="04A0" w:firstRow="1" w:lastRow="0" w:firstColumn="1" w:lastColumn="0" w:noHBand="0" w:noVBand="1"/>
      </w:tblPr>
      <w:tblGrid>
        <w:gridCol w:w="241"/>
        <w:gridCol w:w="5627"/>
        <w:gridCol w:w="994"/>
        <w:gridCol w:w="6"/>
        <w:gridCol w:w="12"/>
        <w:gridCol w:w="57"/>
        <w:gridCol w:w="827"/>
        <w:gridCol w:w="57"/>
        <w:gridCol w:w="914"/>
        <w:gridCol w:w="57"/>
        <w:gridCol w:w="953"/>
        <w:gridCol w:w="59"/>
      </w:tblGrid>
      <w:tr w:rsidR="00B82C45" w:rsidRPr="00581D40" w14:paraId="64C97260" w14:textId="77777777" w:rsidTr="00581D40">
        <w:trPr>
          <w:gridAfter w:val="1"/>
          <w:wAfter w:w="30" w:type="pct"/>
          <w:trHeight w:val="375"/>
          <w:tblHeader/>
        </w:trPr>
        <w:tc>
          <w:tcPr>
            <w:tcW w:w="123"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B2B72E"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692A4503" w14:textId="77777777" w:rsidR="00B82C45" w:rsidRPr="00581D40" w:rsidRDefault="00B82C45" w:rsidP="00B82C45">
            <w:pPr>
              <w:keepNext/>
              <w:keepLines/>
              <w:tabs>
                <w:tab w:val="clear" w:pos="1247"/>
                <w:tab w:val="clear" w:pos="1814"/>
                <w:tab w:val="clear" w:pos="2381"/>
                <w:tab w:val="clear" w:pos="2948"/>
                <w:tab w:val="clear" w:pos="3515"/>
              </w:tabs>
              <w:ind w:firstLineChars="100" w:firstLine="170"/>
              <w:rPr>
                <w:color w:val="000000"/>
                <w:sz w:val="17"/>
                <w:szCs w:val="17"/>
                <w:lang w:eastAsia="zh-CN"/>
              </w:rPr>
            </w:pPr>
            <w:r w:rsidRPr="00581D40">
              <w:rPr>
                <w:color w:val="000000"/>
                <w:sz w:val="17"/>
                <w:szCs w:val="17"/>
                <w:lang w:eastAsia="zh-CN"/>
              </w:rPr>
              <w:t> </w:t>
            </w:r>
          </w:p>
        </w:tc>
        <w:tc>
          <w:tcPr>
            <w:tcW w:w="967" w:type="pct"/>
            <w:gridSpan w:val="5"/>
            <w:tcBorders>
              <w:top w:val="single" w:sz="8" w:space="0" w:color="auto"/>
              <w:left w:val="nil"/>
              <w:bottom w:val="single" w:sz="8" w:space="0" w:color="auto"/>
              <w:right w:val="single" w:sz="8" w:space="0" w:color="000000"/>
            </w:tcBorders>
            <w:shd w:val="clear" w:color="000000" w:fill="FFFFFF"/>
            <w:noWrap/>
            <w:vAlign w:val="center"/>
            <w:hideMark/>
          </w:tcPr>
          <w:p w14:paraId="15A6741C" w14:textId="77777777" w:rsidR="00B82C45" w:rsidRPr="00581D40" w:rsidRDefault="00B82C45" w:rsidP="00B82C45">
            <w:pPr>
              <w:keepNext/>
              <w:keepLines/>
              <w:tabs>
                <w:tab w:val="clear" w:pos="1247"/>
                <w:tab w:val="clear" w:pos="1814"/>
                <w:tab w:val="clear" w:pos="2381"/>
                <w:tab w:val="clear" w:pos="2948"/>
                <w:tab w:val="clear" w:pos="3515"/>
              </w:tabs>
              <w:jc w:val="center"/>
              <w:rPr>
                <w:i/>
                <w:iCs/>
                <w:color w:val="000000"/>
                <w:sz w:val="14"/>
                <w:szCs w:val="14"/>
              </w:rPr>
            </w:pPr>
            <w:r w:rsidRPr="00581D40">
              <w:rPr>
                <w:i/>
                <w:iCs/>
                <w:sz w:val="14"/>
                <w:szCs w:val="14"/>
              </w:rPr>
              <w:t xml:space="preserve">Presupuesto aprobado </w:t>
            </w:r>
            <w:r w:rsidR="00857B05" w:rsidRPr="00581D40">
              <w:rPr>
                <w:i/>
                <w:iCs/>
                <w:sz w:val="14"/>
                <w:szCs w:val="14"/>
              </w:rPr>
              <w:br/>
            </w:r>
            <w:r w:rsidRPr="00581D40">
              <w:rPr>
                <w:i/>
                <w:iCs/>
                <w:sz w:val="14"/>
                <w:szCs w:val="14"/>
              </w:rPr>
              <w:t>para 2019</w:t>
            </w:r>
          </w:p>
        </w:tc>
        <w:tc>
          <w:tcPr>
            <w:tcW w:w="1010"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DC11EDB" w14:textId="77777777" w:rsidR="00B82C45" w:rsidRPr="00581D40" w:rsidRDefault="00B82C45" w:rsidP="00B82C45">
            <w:pPr>
              <w:keepNext/>
              <w:keepLines/>
              <w:tabs>
                <w:tab w:val="clear" w:pos="1247"/>
                <w:tab w:val="clear" w:pos="1814"/>
                <w:tab w:val="clear" w:pos="2381"/>
                <w:tab w:val="clear" w:pos="2948"/>
                <w:tab w:val="clear" w:pos="3515"/>
              </w:tabs>
              <w:jc w:val="center"/>
              <w:rPr>
                <w:i/>
                <w:iCs/>
                <w:color w:val="000000"/>
                <w:sz w:val="14"/>
                <w:szCs w:val="14"/>
              </w:rPr>
            </w:pPr>
            <w:r w:rsidRPr="00581D40">
              <w:rPr>
                <w:i/>
                <w:iCs/>
                <w:sz w:val="14"/>
                <w:szCs w:val="14"/>
              </w:rPr>
              <w:t>Estimaciones actualizadas para su aprobación por la Conferencia de las Partes en su segunda reunión</w:t>
            </w:r>
          </w:p>
        </w:tc>
      </w:tr>
      <w:tr w:rsidR="00B82C45" w:rsidRPr="00581D40" w14:paraId="7E968F03" w14:textId="77777777" w:rsidTr="00581D40">
        <w:trPr>
          <w:gridAfter w:val="1"/>
          <w:wAfter w:w="30" w:type="pct"/>
          <w:trHeight w:val="300"/>
          <w:tblHeader/>
        </w:trPr>
        <w:tc>
          <w:tcPr>
            <w:tcW w:w="123"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F35BD45"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6BAAC539" w14:textId="77777777" w:rsidR="00B82C45" w:rsidRPr="00581D40" w:rsidRDefault="00B82C45" w:rsidP="00B82C45">
            <w:pPr>
              <w:keepNext/>
              <w:keepLines/>
              <w:tabs>
                <w:tab w:val="clear" w:pos="1247"/>
                <w:tab w:val="clear" w:pos="1814"/>
                <w:tab w:val="clear" w:pos="2381"/>
                <w:tab w:val="clear" w:pos="2948"/>
                <w:tab w:val="clear" w:pos="3515"/>
              </w:tabs>
              <w:ind w:firstLineChars="100" w:firstLine="170"/>
              <w:rPr>
                <w:color w:val="000000"/>
                <w:sz w:val="17"/>
                <w:szCs w:val="17"/>
                <w:lang w:eastAsia="zh-CN"/>
              </w:rPr>
            </w:pPr>
            <w:r w:rsidRPr="00581D40">
              <w:rPr>
                <w:color w:val="000000"/>
                <w:sz w:val="17"/>
                <w:szCs w:val="17"/>
                <w:lang w:eastAsia="zh-CN"/>
              </w:rPr>
              <w:t> </w:t>
            </w:r>
          </w:p>
        </w:tc>
        <w:tc>
          <w:tcPr>
            <w:tcW w:w="510" w:type="pct"/>
            <w:gridSpan w:val="2"/>
            <w:tcBorders>
              <w:top w:val="nil"/>
              <w:left w:val="nil"/>
              <w:bottom w:val="nil"/>
              <w:right w:val="single" w:sz="8" w:space="0" w:color="auto"/>
            </w:tcBorders>
            <w:shd w:val="clear" w:color="auto" w:fill="auto"/>
            <w:noWrap/>
            <w:vAlign w:val="bottom"/>
            <w:hideMark/>
          </w:tcPr>
          <w:p w14:paraId="115D0EA6"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General</w:t>
            </w:r>
          </w:p>
        </w:tc>
        <w:tc>
          <w:tcPr>
            <w:tcW w:w="457" w:type="pct"/>
            <w:gridSpan w:val="3"/>
            <w:tcBorders>
              <w:top w:val="nil"/>
              <w:left w:val="nil"/>
              <w:bottom w:val="nil"/>
              <w:right w:val="single" w:sz="8" w:space="0" w:color="auto"/>
            </w:tcBorders>
            <w:shd w:val="clear" w:color="000000" w:fill="FFFFFF"/>
            <w:noWrap/>
            <w:vAlign w:val="bottom"/>
            <w:hideMark/>
          </w:tcPr>
          <w:p w14:paraId="3A07C25C"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Especial</w:t>
            </w:r>
          </w:p>
        </w:tc>
        <w:tc>
          <w:tcPr>
            <w:tcW w:w="495" w:type="pct"/>
            <w:gridSpan w:val="2"/>
            <w:tcBorders>
              <w:top w:val="nil"/>
              <w:left w:val="nil"/>
              <w:bottom w:val="nil"/>
              <w:right w:val="single" w:sz="8" w:space="0" w:color="auto"/>
            </w:tcBorders>
            <w:shd w:val="clear" w:color="auto" w:fill="auto"/>
            <w:noWrap/>
            <w:vAlign w:val="bottom"/>
            <w:hideMark/>
          </w:tcPr>
          <w:p w14:paraId="56B804E8"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General</w:t>
            </w:r>
          </w:p>
        </w:tc>
        <w:tc>
          <w:tcPr>
            <w:tcW w:w="515" w:type="pct"/>
            <w:gridSpan w:val="2"/>
            <w:tcBorders>
              <w:top w:val="nil"/>
              <w:left w:val="nil"/>
              <w:bottom w:val="nil"/>
              <w:right w:val="single" w:sz="8" w:space="0" w:color="auto"/>
            </w:tcBorders>
            <w:shd w:val="clear" w:color="auto" w:fill="auto"/>
            <w:noWrap/>
            <w:vAlign w:val="bottom"/>
            <w:hideMark/>
          </w:tcPr>
          <w:p w14:paraId="6CA12F0A"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4"/>
                <w:szCs w:val="14"/>
              </w:rPr>
            </w:pPr>
            <w:r w:rsidRPr="00581D40">
              <w:rPr>
                <w:i/>
                <w:iCs/>
                <w:sz w:val="14"/>
                <w:szCs w:val="14"/>
              </w:rPr>
              <w:t>Fondo Fiduciario Especial</w:t>
            </w:r>
          </w:p>
        </w:tc>
      </w:tr>
      <w:tr w:rsidR="00B82C45" w:rsidRPr="00581D40" w14:paraId="3F81F88B" w14:textId="77777777" w:rsidTr="00581D40">
        <w:trPr>
          <w:gridAfter w:val="1"/>
          <w:wAfter w:w="30" w:type="pct"/>
          <w:trHeight w:val="315"/>
          <w:tblHeader/>
        </w:trPr>
        <w:tc>
          <w:tcPr>
            <w:tcW w:w="123" w:type="pct"/>
            <w:vMerge/>
            <w:tcBorders>
              <w:top w:val="nil"/>
              <w:left w:val="single" w:sz="8" w:space="0" w:color="auto"/>
              <w:bottom w:val="single" w:sz="8" w:space="0" w:color="000000"/>
              <w:right w:val="single" w:sz="8" w:space="0" w:color="auto"/>
            </w:tcBorders>
            <w:vAlign w:val="center"/>
            <w:hideMark/>
          </w:tcPr>
          <w:p w14:paraId="70F95402"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lang w:eastAsia="zh-CN"/>
              </w:rPr>
            </w:pPr>
          </w:p>
        </w:tc>
        <w:tc>
          <w:tcPr>
            <w:tcW w:w="2869" w:type="pct"/>
            <w:vMerge/>
            <w:tcBorders>
              <w:top w:val="single" w:sz="8" w:space="0" w:color="auto"/>
              <w:left w:val="single" w:sz="8" w:space="0" w:color="auto"/>
              <w:bottom w:val="single" w:sz="8" w:space="0" w:color="000000"/>
              <w:right w:val="single" w:sz="8" w:space="0" w:color="000000"/>
            </w:tcBorders>
            <w:vAlign w:val="center"/>
            <w:hideMark/>
          </w:tcPr>
          <w:p w14:paraId="2818BC8D"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lang w:eastAsia="zh-CN"/>
              </w:rPr>
            </w:pPr>
          </w:p>
        </w:tc>
        <w:tc>
          <w:tcPr>
            <w:tcW w:w="510" w:type="pct"/>
            <w:gridSpan w:val="2"/>
            <w:tcBorders>
              <w:top w:val="nil"/>
              <w:left w:val="nil"/>
              <w:bottom w:val="single" w:sz="8" w:space="0" w:color="auto"/>
              <w:right w:val="single" w:sz="8" w:space="0" w:color="auto"/>
            </w:tcBorders>
            <w:shd w:val="clear" w:color="auto" w:fill="auto"/>
            <w:noWrap/>
            <w:hideMark/>
          </w:tcPr>
          <w:p w14:paraId="58062F62"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7"/>
                <w:szCs w:val="17"/>
              </w:rPr>
            </w:pPr>
          </w:p>
        </w:tc>
        <w:tc>
          <w:tcPr>
            <w:tcW w:w="457" w:type="pct"/>
            <w:gridSpan w:val="3"/>
            <w:tcBorders>
              <w:top w:val="nil"/>
              <w:left w:val="nil"/>
              <w:bottom w:val="single" w:sz="8" w:space="0" w:color="auto"/>
              <w:right w:val="single" w:sz="8" w:space="0" w:color="auto"/>
            </w:tcBorders>
            <w:shd w:val="clear" w:color="000000" w:fill="FFFFFF"/>
            <w:noWrap/>
            <w:hideMark/>
          </w:tcPr>
          <w:p w14:paraId="0054AB5B"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7"/>
                <w:szCs w:val="17"/>
              </w:rPr>
            </w:pPr>
          </w:p>
        </w:tc>
        <w:tc>
          <w:tcPr>
            <w:tcW w:w="495" w:type="pct"/>
            <w:gridSpan w:val="2"/>
            <w:tcBorders>
              <w:top w:val="nil"/>
              <w:left w:val="nil"/>
              <w:bottom w:val="single" w:sz="8" w:space="0" w:color="auto"/>
              <w:right w:val="single" w:sz="8" w:space="0" w:color="auto"/>
            </w:tcBorders>
            <w:shd w:val="clear" w:color="auto" w:fill="auto"/>
            <w:noWrap/>
            <w:hideMark/>
          </w:tcPr>
          <w:p w14:paraId="4B3E72FD"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7"/>
                <w:szCs w:val="17"/>
              </w:rPr>
            </w:pPr>
          </w:p>
        </w:tc>
        <w:tc>
          <w:tcPr>
            <w:tcW w:w="515" w:type="pct"/>
            <w:gridSpan w:val="2"/>
            <w:tcBorders>
              <w:top w:val="nil"/>
              <w:left w:val="nil"/>
              <w:bottom w:val="single" w:sz="8" w:space="0" w:color="auto"/>
              <w:right w:val="single" w:sz="8" w:space="0" w:color="auto"/>
            </w:tcBorders>
            <w:shd w:val="clear" w:color="auto" w:fill="auto"/>
            <w:noWrap/>
            <w:hideMark/>
          </w:tcPr>
          <w:p w14:paraId="35CE1ED7" w14:textId="77777777" w:rsidR="00B82C45" w:rsidRPr="00581D40" w:rsidRDefault="00B82C45" w:rsidP="00B82C45">
            <w:pPr>
              <w:keepNext/>
              <w:keepLines/>
              <w:tabs>
                <w:tab w:val="clear" w:pos="1247"/>
                <w:tab w:val="clear" w:pos="1814"/>
                <w:tab w:val="clear" w:pos="2381"/>
                <w:tab w:val="clear" w:pos="2948"/>
                <w:tab w:val="clear" w:pos="3515"/>
              </w:tabs>
              <w:jc w:val="right"/>
              <w:rPr>
                <w:i/>
                <w:iCs/>
                <w:color w:val="000000"/>
                <w:sz w:val="17"/>
                <w:szCs w:val="17"/>
              </w:rPr>
            </w:pPr>
          </w:p>
        </w:tc>
      </w:tr>
      <w:tr w:rsidR="00B82C45" w:rsidRPr="00581D40" w14:paraId="50AF3302"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28CF8C" w14:textId="77777777" w:rsidR="00B82C45" w:rsidRPr="00581D40" w:rsidRDefault="00B82C45" w:rsidP="00B82C45">
            <w:pPr>
              <w:keepNext/>
              <w:keepLines/>
              <w:tabs>
                <w:tab w:val="clear" w:pos="1247"/>
                <w:tab w:val="clear" w:pos="1814"/>
                <w:tab w:val="clear" w:pos="2381"/>
                <w:tab w:val="clear" w:pos="2948"/>
                <w:tab w:val="clear" w:pos="3515"/>
              </w:tabs>
              <w:rPr>
                <w:b/>
                <w:bCs/>
                <w:color w:val="000000"/>
                <w:sz w:val="17"/>
                <w:szCs w:val="17"/>
              </w:rPr>
            </w:pPr>
            <w:r w:rsidRPr="00581D40">
              <w:rPr>
                <w:b/>
                <w:sz w:val="17"/>
                <w:szCs w:val="17"/>
              </w:rPr>
              <w:t xml:space="preserve">A. </w:t>
            </w:r>
            <w:r w:rsidRPr="00581D40">
              <w:rPr>
                <w:b/>
                <w:bCs/>
                <w:sz w:val="17"/>
                <w:szCs w:val="17"/>
              </w:rPr>
              <w:t>Conferencias y reuniones</w:t>
            </w:r>
          </w:p>
        </w:tc>
      </w:tr>
      <w:tr w:rsidR="00B82C45" w:rsidRPr="00581D40" w14:paraId="207BB418"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44A505" w14:textId="77777777" w:rsidR="00B82C45" w:rsidRPr="00581D40" w:rsidRDefault="00B82C45" w:rsidP="00B82C45">
            <w:pPr>
              <w:keepNext/>
              <w:keepLines/>
              <w:tabs>
                <w:tab w:val="clear" w:pos="1247"/>
                <w:tab w:val="clear" w:pos="1814"/>
                <w:tab w:val="clear" w:pos="2381"/>
                <w:tab w:val="clear" w:pos="2948"/>
                <w:tab w:val="clear" w:pos="3515"/>
              </w:tabs>
              <w:rPr>
                <w:b/>
                <w:bCs/>
                <w:color w:val="000000"/>
                <w:sz w:val="17"/>
                <w:szCs w:val="17"/>
              </w:rPr>
            </w:pPr>
            <w:r w:rsidRPr="00581D40">
              <w:rPr>
                <w:b/>
                <w:sz w:val="17"/>
                <w:szCs w:val="17"/>
              </w:rPr>
              <w:t xml:space="preserve">1. </w:t>
            </w:r>
            <w:r w:rsidRPr="00581D40">
              <w:rPr>
                <w:b/>
                <w:bCs/>
                <w:sz w:val="17"/>
                <w:szCs w:val="17"/>
              </w:rPr>
              <w:t>Segunda reunión de la Conferencia de las Partes</w:t>
            </w:r>
          </w:p>
        </w:tc>
      </w:tr>
      <w:tr w:rsidR="00B82C45" w:rsidRPr="00581D40" w14:paraId="08053FF2"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44B8B930"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7DA53050"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rPr>
            </w:pPr>
            <w:r w:rsidRPr="00581D40">
              <w:rPr>
                <w:sz w:val="17"/>
                <w:szCs w:val="17"/>
              </w:rPr>
              <w:t>1.1. Segunda reunión</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453B7103"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46B54FD"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74A819AA"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6FED91F4"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46D52C2A"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4C72D598"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6C790846"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rPr>
            </w:pPr>
            <w:r w:rsidRPr="00581D40">
              <w:rPr>
                <w:sz w:val="17"/>
                <w:szCs w:val="17"/>
              </w:rPr>
              <w:t>1.2. Reuniones preparatorias regionales</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A3F6062"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6C6192A6"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7643DEAA"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24C22369"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4C8D110F" w14:textId="77777777" w:rsidTr="00581D40">
        <w:trPr>
          <w:gridAfter w:val="1"/>
          <w:wAfter w:w="30" w:type="pct"/>
          <w:trHeight w:val="300"/>
        </w:trPr>
        <w:tc>
          <w:tcPr>
            <w:tcW w:w="123" w:type="pct"/>
            <w:tcBorders>
              <w:top w:val="nil"/>
              <w:left w:val="single" w:sz="8" w:space="0" w:color="auto"/>
              <w:bottom w:val="nil"/>
              <w:right w:val="single" w:sz="8" w:space="0" w:color="auto"/>
            </w:tcBorders>
            <w:shd w:val="clear" w:color="000000" w:fill="FFFFFF"/>
            <w:noWrap/>
            <w:vAlign w:val="center"/>
            <w:hideMark/>
          </w:tcPr>
          <w:p w14:paraId="7B0C29DC"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2869" w:type="pct"/>
            <w:tcBorders>
              <w:top w:val="single" w:sz="8" w:space="0" w:color="auto"/>
              <w:left w:val="single" w:sz="8" w:space="0" w:color="auto"/>
              <w:bottom w:val="nil"/>
              <w:right w:val="single" w:sz="8" w:space="0" w:color="000000"/>
            </w:tcBorders>
            <w:shd w:val="clear" w:color="000000" w:fill="FFFFFF"/>
            <w:noWrap/>
            <w:vAlign w:val="center"/>
            <w:hideMark/>
          </w:tcPr>
          <w:p w14:paraId="1CAEDEA0" w14:textId="77777777" w:rsidR="00B82C45" w:rsidRPr="00581D40" w:rsidRDefault="00B82C45" w:rsidP="00B82C45">
            <w:pPr>
              <w:keepNext/>
              <w:keepLines/>
              <w:tabs>
                <w:tab w:val="clear" w:pos="1247"/>
                <w:tab w:val="clear" w:pos="1814"/>
                <w:tab w:val="clear" w:pos="2381"/>
                <w:tab w:val="clear" w:pos="2948"/>
                <w:tab w:val="clear" w:pos="3515"/>
              </w:tabs>
              <w:rPr>
                <w:color w:val="000000"/>
                <w:sz w:val="17"/>
                <w:szCs w:val="17"/>
              </w:rPr>
            </w:pPr>
            <w:r w:rsidRPr="00581D40">
              <w:rPr>
                <w:sz w:val="17"/>
                <w:szCs w:val="17"/>
              </w:rPr>
              <w:t>1.3. Grupos de expertos entre reuniones, de duración limitada, establecidos por la Conferencia de las Partes en sus reuniones primera y segunda</w:t>
            </w:r>
          </w:p>
        </w:tc>
        <w:tc>
          <w:tcPr>
            <w:tcW w:w="516" w:type="pct"/>
            <w:gridSpan w:val="3"/>
            <w:tcBorders>
              <w:top w:val="nil"/>
              <w:left w:val="nil"/>
              <w:bottom w:val="nil"/>
              <w:right w:val="single" w:sz="8" w:space="0" w:color="auto"/>
            </w:tcBorders>
            <w:shd w:val="clear" w:color="auto" w:fill="auto"/>
            <w:noWrap/>
            <w:vAlign w:val="center"/>
            <w:hideMark/>
          </w:tcPr>
          <w:p w14:paraId="7B9F63C8"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4"/>
                <w:szCs w:val="14"/>
              </w:rPr>
            </w:pPr>
            <w:r w:rsidRPr="00581D40">
              <w:rPr>
                <w:sz w:val="14"/>
                <w:szCs w:val="14"/>
              </w:rPr>
              <w:t xml:space="preserve">105 000 </w:t>
            </w:r>
          </w:p>
        </w:tc>
        <w:tc>
          <w:tcPr>
            <w:tcW w:w="451" w:type="pct"/>
            <w:gridSpan w:val="2"/>
            <w:tcBorders>
              <w:top w:val="nil"/>
              <w:left w:val="nil"/>
              <w:bottom w:val="nil"/>
              <w:right w:val="single" w:sz="8" w:space="0" w:color="auto"/>
            </w:tcBorders>
            <w:shd w:val="clear" w:color="000000" w:fill="FFFFFF"/>
            <w:noWrap/>
            <w:vAlign w:val="center"/>
            <w:hideMark/>
          </w:tcPr>
          <w:p w14:paraId="2CC3F0AF"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nil"/>
              <w:right w:val="single" w:sz="8" w:space="0" w:color="auto"/>
            </w:tcBorders>
            <w:shd w:val="clear" w:color="auto" w:fill="auto"/>
            <w:noWrap/>
            <w:vAlign w:val="center"/>
            <w:hideMark/>
          </w:tcPr>
          <w:p w14:paraId="73F53B51"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4"/>
                <w:szCs w:val="14"/>
              </w:rPr>
            </w:pPr>
            <w:r w:rsidRPr="00581D40">
              <w:rPr>
                <w:sz w:val="14"/>
                <w:szCs w:val="14"/>
              </w:rPr>
              <w:t xml:space="preserve">170 000 </w:t>
            </w:r>
          </w:p>
        </w:tc>
        <w:tc>
          <w:tcPr>
            <w:tcW w:w="515" w:type="pct"/>
            <w:gridSpan w:val="2"/>
            <w:tcBorders>
              <w:top w:val="nil"/>
              <w:left w:val="nil"/>
              <w:bottom w:val="nil"/>
              <w:right w:val="single" w:sz="8" w:space="0" w:color="auto"/>
            </w:tcBorders>
            <w:shd w:val="clear" w:color="auto" w:fill="auto"/>
            <w:noWrap/>
            <w:vAlign w:val="center"/>
            <w:hideMark/>
          </w:tcPr>
          <w:p w14:paraId="21F19926"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40FE283B" w14:textId="77777777" w:rsidTr="00581D40">
        <w:trPr>
          <w:gridAfter w:val="1"/>
          <w:wAfter w:w="30" w:type="pct"/>
          <w:trHeight w:val="300"/>
        </w:trPr>
        <w:tc>
          <w:tcPr>
            <w:tcW w:w="2993" w:type="pct"/>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5AD44683" w14:textId="77777777" w:rsidR="00B82C45" w:rsidRPr="00581D40" w:rsidRDefault="00B82C45" w:rsidP="00B82C45">
            <w:pPr>
              <w:keepNext/>
              <w:keepLines/>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single" w:sz="4" w:space="0" w:color="auto"/>
              <w:left w:val="nil"/>
              <w:bottom w:val="single" w:sz="4" w:space="0" w:color="auto"/>
              <w:right w:val="single" w:sz="8" w:space="0" w:color="auto"/>
            </w:tcBorders>
            <w:shd w:val="clear" w:color="auto" w:fill="auto"/>
            <w:noWrap/>
            <w:vAlign w:val="center"/>
            <w:hideMark/>
          </w:tcPr>
          <w:p w14:paraId="1CA1F62B" w14:textId="77777777" w:rsidR="00B82C45" w:rsidRPr="00581D40" w:rsidRDefault="00B82C45" w:rsidP="00B82C45">
            <w:pPr>
              <w:keepNext/>
              <w:keepLines/>
              <w:tabs>
                <w:tab w:val="clear" w:pos="1247"/>
                <w:tab w:val="clear" w:pos="1814"/>
                <w:tab w:val="clear" w:pos="2381"/>
                <w:tab w:val="clear" w:pos="2948"/>
                <w:tab w:val="clear" w:pos="3515"/>
              </w:tabs>
              <w:jc w:val="right"/>
              <w:rPr>
                <w:b/>
                <w:bCs/>
                <w:color w:val="000000"/>
                <w:sz w:val="14"/>
                <w:szCs w:val="14"/>
              </w:rPr>
            </w:pPr>
            <w:r w:rsidRPr="00581D40">
              <w:rPr>
                <w:b/>
                <w:bCs/>
                <w:sz w:val="14"/>
                <w:szCs w:val="14"/>
              </w:rPr>
              <w:t>105 000</w:t>
            </w:r>
            <w:r w:rsidRPr="00581D40">
              <w:rPr>
                <w:sz w:val="14"/>
                <w:szCs w:val="14"/>
              </w:rPr>
              <w:t xml:space="preserve"> </w:t>
            </w:r>
          </w:p>
        </w:tc>
        <w:tc>
          <w:tcPr>
            <w:tcW w:w="451" w:type="pct"/>
            <w:gridSpan w:val="2"/>
            <w:tcBorders>
              <w:top w:val="single" w:sz="4" w:space="0" w:color="auto"/>
              <w:left w:val="nil"/>
              <w:bottom w:val="single" w:sz="4" w:space="0" w:color="auto"/>
              <w:right w:val="single" w:sz="8" w:space="0" w:color="auto"/>
            </w:tcBorders>
            <w:shd w:val="clear" w:color="000000" w:fill="FFFFFF"/>
            <w:noWrap/>
            <w:vAlign w:val="center"/>
            <w:hideMark/>
          </w:tcPr>
          <w:p w14:paraId="0C6D9CA7" w14:textId="77777777" w:rsidR="00B82C45" w:rsidRPr="00581D40" w:rsidRDefault="00B82C45" w:rsidP="00B82C45">
            <w:pPr>
              <w:keepNext/>
              <w:keepLines/>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single" w:sz="4" w:space="0" w:color="auto"/>
              <w:left w:val="nil"/>
              <w:bottom w:val="single" w:sz="4" w:space="0" w:color="auto"/>
              <w:right w:val="single" w:sz="8" w:space="0" w:color="auto"/>
            </w:tcBorders>
            <w:shd w:val="clear" w:color="auto" w:fill="auto"/>
            <w:noWrap/>
            <w:vAlign w:val="center"/>
            <w:hideMark/>
          </w:tcPr>
          <w:p w14:paraId="641F5BA7" w14:textId="77777777" w:rsidR="00B82C45" w:rsidRPr="00581D40" w:rsidRDefault="00B82C45" w:rsidP="00B82C45">
            <w:pPr>
              <w:keepNext/>
              <w:keepLines/>
              <w:tabs>
                <w:tab w:val="clear" w:pos="1247"/>
                <w:tab w:val="clear" w:pos="1814"/>
                <w:tab w:val="clear" w:pos="2381"/>
                <w:tab w:val="clear" w:pos="2948"/>
                <w:tab w:val="clear" w:pos="3515"/>
              </w:tabs>
              <w:jc w:val="right"/>
              <w:rPr>
                <w:b/>
                <w:bCs/>
                <w:color w:val="000000"/>
                <w:sz w:val="14"/>
                <w:szCs w:val="14"/>
              </w:rPr>
            </w:pPr>
            <w:r w:rsidRPr="00581D40">
              <w:rPr>
                <w:b/>
                <w:bCs/>
                <w:sz w:val="14"/>
                <w:szCs w:val="14"/>
              </w:rPr>
              <w:t>170 000</w:t>
            </w:r>
          </w:p>
        </w:tc>
        <w:tc>
          <w:tcPr>
            <w:tcW w:w="515" w:type="pct"/>
            <w:gridSpan w:val="2"/>
            <w:tcBorders>
              <w:top w:val="single" w:sz="4" w:space="0" w:color="auto"/>
              <w:left w:val="nil"/>
              <w:bottom w:val="single" w:sz="4" w:space="0" w:color="auto"/>
              <w:right w:val="single" w:sz="8" w:space="0" w:color="auto"/>
            </w:tcBorders>
            <w:shd w:val="clear" w:color="auto" w:fill="auto"/>
            <w:noWrap/>
            <w:vAlign w:val="center"/>
            <w:hideMark/>
          </w:tcPr>
          <w:p w14:paraId="220BFD39" w14:textId="77777777" w:rsidR="00B82C45" w:rsidRPr="00581D40" w:rsidRDefault="00B82C45" w:rsidP="00B82C45">
            <w:pPr>
              <w:keepNext/>
              <w:keepLines/>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2F39CE3F" w14:textId="77777777" w:rsidTr="00581D40">
        <w:trPr>
          <w:gridAfter w:val="1"/>
          <w:wAfter w:w="30" w:type="pct"/>
          <w:trHeight w:val="315"/>
        </w:trPr>
        <w:tc>
          <w:tcPr>
            <w:tcW w:w="4970" w:type="pct"/>
            <w:gridSpan w:val="11"/>
            <w:tcBorders>
              <w:top w:val="nil"/>
              <w:left w:val="single" w:sz="8" w:space="0" w:color="auto"/>
              <w:bottom w:val="single" w:sz="8" w:space="0" w:color="auto"/>
              <w:right w:val="single" w:sz="8" w:space="0" w:color="000000"/>
            </w:tcBorders>
            <w:shd w:val="clear" w:color="auto" w:fill="auto"/>
            <w:noWrap/>
            <w:vAlign w:val="center"/>
            <w:hideMark/>
          </w:tcPr>
          <w:p w14:paraId="715A45EF"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2. </w:t>
            </w:r>
            <w:r w:rsidRPr="00581D40">
              <w:rPr>
                <w:b/>
                <w:bCs/>
                <w:sz w:val="17"/>
                <w:szCs w:val="17"/>
              </w:rPr>
              <w:t>Tercera reunión de la Conferencia de las Partes</w:t>
            </w:r>
          </w:p>
        </w:tc>
      </w:tr>
      <w:tr w:rsidR="00B82C45" w:rsidRPr="00581D40" w14:paraId="4BDA4D6F"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57AA1A6E"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33C4DC1B"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2.1. Tercera reunión</w:t>
            </w:r>
          </w:p>
        </w:tc>
        <w:tc>
          <w:tcPr>
            <w:tcW w:w="510" w:type="pct"/>
            <w:gridSpan w:val="2"/>
            <w:tcBorders>
              <w:top w:val="nil"/>
              <w:left w:val="nil"/>
              <w:bottom w:val="single" w:sz="8" w:space="0" w:color="auto"/>
              <w:right w:val="single" w:sz="8" w:space="0" w:color="auto"/>
            </w:tcBorders>
            <w:shd w:val="clear" w:color="auto" w:fill="auto"/>
            <w:noWrap/>
            <w:vAlign w:val="center"/>
            <w:hideMark/>
          </w:tcPr>
          <w:p w14:paraId="223CD219"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840 000 </w:t>
            </w:r>
          </w:p>
        </w:tc>
        <w:tc>
          <w:tcPr>
            <w:tcW w:w="457" w:type="pct"/>
            <w:gridSpan w:val="3"/>
            <w:tcBorders>
              <w:top w:val="nil"/>
              <w:left w:val="nil"/>
              <w:bottom w:val="single" w:sz="8" w:space="0" w:color="auto"/>
              <w:right w:val="single" w:sz="8" w:space="0" w:color="auto"/>
            </w:tcBorders>
            <w:shd w:val="clear" w:color="000000" w:fill="FFFFFF"/>
            <w:noWrap/>
            <w:vAlign w:val="center"/>
            <w:hideMark/>
          </w:tcPr>
          <w:p w14:paraId="1254DE34"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640 000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CDD318D"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840 000</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2CC2E50F"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640 000 </w:t>
            </w:r>
          </w:p>
        </w:tc>
      </w:tr>
      <w:tr w:rsidR="00B82C45" w:rsidRPr="00581D40" w14:paraId="3F577A3F"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10D98520"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03D4E263"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2.1. Reuniones preparatorias regionales</w:t>
            </w:r>
          </w:p>
        </w:tc>
        <w:tc>
          <w:tcPr>
            <w:tcW w:w="510" w:type="pct"/>
            <w:gridSpan w:val="2"/>
            <w:tcBorders>
              <w:top w:val="nil"/>
              <w:left w:val="nil"/>
              <w:bottom w:val="single" w:sz="8" w:space="0" w:color="auto"/>
              <w:right w:val="single" w:sz="8" w:space="0" w:color="auto"/>
            </w:tcBorders>
            <w:shd w:val="clear" w:color="auto" w:fill="auto"/>
            <w:noWrap/>
            <w:vAlign w:val="center"/>
            <w:hideMark/>
          </w:tcPr>
          <w:p w14:paraId="18FDA790"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57" w:type="pct"/>
            <w:gridSpan w:val="3"/>
            <w:tcBorders>
              <w:top w:val="nil"/>
              <w:left w:val="nil"/>
              <w:bottom w:val="single" w:sz="8" w:space="0" w:color="auto"/>
              <w:right w:val="single" w:sz="8" w:space="0" w:color="auto"/>
            </w:tcBorders>
            <w:shd w:val="clear" w:color="000000" w:fill="FFFFFF"/>
            <w:noWrap/>
            <w:vAlign w:val="center"/>
            <w:hideMark/>
          </w:tcPr>
          <w:p w14:paraId="5612109C"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535 000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E140D96"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259EFF6"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535 000 </w:t>
            </w:r>
          </w:p>
        </w:tc>
      </w:tr>
      <w:tr w:rsidR="00B82C45" w:rsidRPr="00581D40" w14:paraId="1CEFB686"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9F9A07A"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0" w:type="pct"/>
            <w:gridSpan w:val="2"/>
            <w:tcBorders>
              <w:top w:val="nil"/>
              <w:left w:val="nil"/>
              <w:bottom w:val="single" w:sz="8" w:space="0" w:color="auto"/>
              <w:right w:val="single" w:sz="8" w:space="0" w:color="auto"/>
            </w:tcBorders>
            <w:shd w:val="clear" w:color="auto" w:fill="auto"/>
            <w:noWrap/>
            <w:vAlign w:val="center"/>
            <w:hideMark/>
          </w:tcPr>
          <w:p w14:paraId="188E16C7"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840 000</w:t>
            </w:r>
            <w:r w:rsidRPr="00581D40">
              <w:rPr>
                <w:sz w:val="14"/>
                <w:szCs w:val="14"/>
              </w:rPr>
              <w:t xml:space="preserve"> </w:t>
            </w:r>
          </w:p>
        </w:tc>
        <w:tc>
          <w:tcPr>
            <w:tcW w:w="457" w:type="pct"/>
            <w:gridSpan w:val="3"/>
            <w:tcBorders>
              <w:top w:val="nil"/>
              <w:left w:val="nil"/>
              <w:bottom w:val="single" w:sz="8" w:space="0" w:color="auto"/>
              <w:right w:val="single" w:sz="8" w:space="0" w:color="auto"/>
            </w:tcBorders>
            <w:shd w:val="clear" w:color="000000" w:fill="FFFFFF"/>
            <w:noWrap/>
            <w:vAlign w:val="center"/>
            <w:hideMark/>
          </w:tcPr>
          <w:p w14:paraId="1E0C9B73"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1 175 000</w:t>
            </w:r>
            <w:r w:rsidRPr="00581D40">
              <w:rPr>
                <w:sz w:val="14"/>
                <w:szCs w:val="14"/>
              </w:rPr>
              <w:t xml:space="preserve">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4B4455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840 000</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72D628F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1 175 000</w:t>
            </w:r>
            <w:r w:rsidRPr="00581D40">
              <w:rPr>
                <w:sz w:val="14"/>
                <w:szCs w:val="14"/>
              </w:rPr>
              <w:t xml:space="preserve"> </w:t>
            </w:r>
          </w:p>
        </w:tc>
      </w:tr>
      <w:tr w:rsidR="00B82C45" w:rsidRPr="00581D40" w14:paraId="52D734D1"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39FE22"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3. </w:t>
            </w:r>
            <w:r w:rsidRPr="00581D40">
              <w:rPr>
                <w:b/>
                <w:bCs/>
                <w:sz w:val="17"/>
                <w:szCs w:val="17"/>
              </w:rPr>
              <w:t>Mesa de la Conferencia de las Partes</w:t>
            </w:r>
          </w:p>
        </w:tc>
      </w:tr>
      <w:tr w:rsidR="00B82C45" w:rsidRPr="00581D40" w14:paraId="4FAD82E3"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2512274B"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447A3B44"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3.1. Reuniones de la Mesa</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2040836F"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25 000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65FF0A18"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4333395"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B4E8E15"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0875FAAA"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E830E56"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14C9EB3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25 000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215134A9"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35DFA28"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50 000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0752A44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650C6708"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1DF352"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lastRenderedPageBreak/>
              <w:t xml:space="preserve">4. </w:t>
            </w:r>
            <w:r w:rsidRPr="00581D40">
              <w:rPr>
                <w:b/>
                <w:bCs/>
                <w:sz w:val="17"/>
                <w:szCs w:val="17"/>
              </w:rPr>
              <w:t>Comité de Aplicación y Cumplimiento</w:t>
            </w:r>
          </w:p>
        </w:tc>
      </w:tr>
      <w:tr w:rsidR="00857B05" w:rsidRPr="00581D40" w14:paraId="7F6C2F4D" w14:textId="77777777" w:rsidTr="00581D40">
        <w:trPr>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27D97A5F"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5D384788"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4.1. Reunión del Comité</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531D0F03"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1CD5C16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F6A5C8C"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3E6D3A8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33457CF8" w14:textId="77777777" w:rsidTr="00581D40">
        <w:trPr>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45F9561"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11F2A68C"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24EC098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E362A28"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50 000</w:t>
            </w:r>
            <w:r w:rsidRPr="00581D40">
              <w:rPr>
                <w:sz w:val="14"/>
                <w:szCs w:val="14"/>
              </w:rPr>
              <w:t xml:space="preserve">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4EFBF727"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26C0983C" w14:textId="77777777" w:rsidTr="00581D40">
        <w:trPr>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BD7FBDB"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(A)</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77E5B827"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1 000 000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42D6A7D4"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1 175 000</w:t>
            </w:r>
            <w:r w:rsidRPr="00581D40">
              <w:rPr>
                <w:sz w:val="14"/>
                <w:szCs w:val="14"/>
              </w:rPr>
              <w:t xml:space="preserve">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FF14D01"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1 110 000</w:t>
            </w:r>
            <w:r w:rsidRPr="00581D40">
              <w:rPr>
                <w:sz w:val="14"/>
                <w:szCs w:val="14"/>
              </w:rPr>
              <w:t xml:space="preserve">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2723E2CD"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1 175 000</w:t>
            </w:r>
            <w:r w:rsidRPr="00581D40">
              <w:rPr>
                <w:sz w:val="14"/>
                <w:szCs w:val="14"/>
              </w:rPr>
              <w:t xml:space="preserve"> </w:t>
            </w:r>
          </w:p>
        </w:tc>
      </w:tr>
      <w:tr w:rsidR="00B82C45" w:rsidRPr="00581D40" w14:paraId="304C0CFD"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9CED65"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B. </w:t>
            </w:r>
            <w:r w:rsidRPr="00581D40">
              <w:rPr>
                <w:b/>
                <w:bCs/>
                <w:sz w:val="17"/>
                <w:szCs w:val="17"/>
              </w:rPr>
              <w:t>Creación de capacidad y asistencia técnica</w:t>
            </w:r>
          </w:p>
        </w:tc>
      </w:tr>
      <w:tr w:rsidR="00B82C45" w:rsidRPr="00581D40" w14:paraId="0A93B520"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9B22D2"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5. </w:t>
            </w:r>
            <w:r w:rsidRPr="00581D40">
              <w:rPr>
                <w:b/>
                <w:bCs/>
                <w:sz w:val="17"/>
                <w:szCs w:val="17"/>
              </w:rPr>
              <w:t>Programa de creación de capacidad y asistencia técnica del Convenio de Minamata</w:t>
            </w:r>
          </w:p>
        </w:tc>
      </w:tr>
      <w:tr w:rsidR="00857B05" w:rsidRPr="00581D40" w14:paraId="51659A51" w14:textId="77777777" w:rsidTr="00581D40">
        <w:trPr>
          <w:trHeight w:val="375"/>
        </w:trPr>
        <w:tc>
          <w:tcPr>
            <w:tcW w:w="123" w:type="pct"/>
            <w:tcBorders>
              <w:top w:val="nil"/>
              <w:left w:val="single" w:sz="8" w:space="0" w:color="auto"/>
              <w:bottom w:val="single" w:sz="8" w:space="0" w:color="auto"/>
              <w:right w:val="single" w:sz="8" w:space="0" w:color="auto"/>
            </w:tcBorders>
            <w:shd w:val="clear" w:color="000000" w:fill="FFFFFF"/>
            <w:noWrap/>
            <w:hideMark/>
          </w:tcPr>
          <w:p w14:paraId="5F983037"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6C7E9288"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5.1. Actividades transversales</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4EC86277"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78766131"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360 000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707B9F91"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51A566CD"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 360 000 </w:t>
            </w:r>
          </w:p>
        </w:tc>
      </w:tr>
      <w:tr w:rsidR="00857B05" w:rsidRPr="00581D40" w14:paraId="66D8FA1F" w14:textId="77777777" w:rsidTr="00581D40">
        <w:trPr>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41DDF915"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7BA9646E"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5.2. Análisis de los efectos</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2C7ECCF1"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1789127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097368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4414A3B4"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857B05" w:rsidRPr="00581D40" w14:paraId="0E72416C" w14:textId="77777777" w:rsidTr="00581D40">
        <w:trPr>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2D005260"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006501EC"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5.3. Instrumentos y metodologías</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3E07746E"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3F0A748F"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60 000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F265696"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4CD47AA7"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60 000 </w:t>
            </w:r>
          </w:p>
        </w:tc>
      </w:tr>
      <w:tr w:rsidR="00857B05" w:rsidRPr="00581D40" w14:paraId="36602BF9" w14:textId="77777777" w:rsidTr="00581D40">
        <w:trPr>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50447D29"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6E827F2F"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5.4. Evaluación de las necesidades</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1F56207E"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hideMark/>
          </w:tcPr>
          <w:p w14:paraId="46294356" w14:textId="77777777" w:rsidR="00B82C45" w:rsidRPr="00581D40" w:rsidRDefault="00B82C45" w:rsidP="00B82C45">
            <w:pPr>
              <w:tabs>
                <w:tab w:val="clear" w:pos="1247"/>
                <w:tab w:val="clear" w:pos="1814"/>
                <w:tab w:val="clear" w:pos="2381"/>
                <w:tab w:val="clear" w:pos="2948"/>
                <w:tab w:val="clear" w:pos="3515"/>
              </w:tabs>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809119C"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4EF55F91"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857B05" w:rsidRPr="00581D40" w14:paraId="68CB3F64" w14:textId="77777777" w:rsidTr="00581D40">
        <w:trPr>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2283B152"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313663AB"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 xml:space="preserve">5.6. Actividades específicas de desarrollo de la capacidad </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0E9A5889"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52434933"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600 000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7A5C03AA"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37057E4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600 000 </w:t>
            </w:r>
          </w:p>
        </w:tc>
      </w:tr>
      <w:tr w:rsidR="00857B05" w:rsidRPr="00581D40" w14:paraId="4E246C53" w14:textId="77777777" w:rsidTr="00581D40">
        <w:trPr>
          <w:trHeight w:val="315"/>
        </w:trPr>
        <w:tc>
          <w:tcPr>
            <w:tcW w:w="123" w:type="pct"/>
            <w:tcBorders>
              <w:top w:val="nil"/>
              <w:left w:val="single" w:sz="8" w:space="0" w:color="auto"/>
              <w:bottom w:val="single" w:sz="8" w:space="0" w:color="auto"/>
              <w:right w:val="single" w:sz="8" w:space="0" w:color="auto"/>
            </w:tcBorders>
            <w:shd w:val="clear" w:color="000000" w:fill="FFFFFF"/>
            <w:noWrap/>
            <w:hideMark/>
          </w:tcPr>
          <w:p w14:paraId="584BBCFD"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6C9E11B2"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5.7. Actividades solicitadas de creación de capacidad</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0719C710"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02F66BC9"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960 000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291AF9F"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6A0B4A0B"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960 000 </w:t>
            </w:r>
          </w:p>
        </w:tc>
      </w:tr>
      <w:tr w:rsidR="00B82C45" w:rsidRPr="00581D40" w14:paraId="08658BC6" w14:textId="77777777" w:rsidTr="00581D40">
        <w:trPr>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65C8E4E"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(B)</w:t>
            </w:r>
          </w:p>
        </w:tc>
        <w:tc>
          <w:tcPr>
            <w:tcW w:w="545" w:type="pct"/>
            <w:gridSpan w:val="4"/>
            <w:tcBorders>
              <w:top w:val="nil"/>
              <w:left w:val="nil"/>
              <w:bottom w:val="single" w:sz="8" w:space="0" w:color="auto"/>
              <w:right w:val="single" w:sz="8" w:space="0" w:color="auto"/>
            </w:tcBorders>
            <w:shd w:val="clear" w:color="auto" w:fill="auto"/>
            <w:noWrap/>
            <w:vAlign w:val="center"/>
            <w:hideMark/>
          </w:tcPr>
          <w:p w14:paraId="07CC4498"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auto" w:fill="auto"/>
            <w:noWrap/>
            <w:vAlign w:val="center"/>
            <w:hideMark/>
          </w:tcPr>
          <w:p w14:paraId="4270312B"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1 980 000</w:t>
            </w:r>
            <w:r w:rsidRPr="00581D40">
              <w:rPr>
                <w:sz w:val="14"/>
                <w:szCs w:val="14"/>
              </w:rPr>
              <w:t xml:space="preserve">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51B1011"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516" w:type="pct"/>
            <w:gridSpan w:val="2"/>
            <w:tcBorders>
              <w:top w:val="nil"/>
              <w:left w:val="nil"/>
              <w:bottom w:val="single" w:sz="8" w:space="0" w:color="auto"/>
              <w:right w:val="single" w:sz="8" w:space="0" w:color="auto"/>
            </w:tcBorders>
            <w:shd w:val="clear" w:color="auto" w:fill="auto"/>
            <w:noWrap/>
            <w:vAlign w:val="center"/>
            <w:hideMark/>
          </w:tcPr>
          <w:p w14:paraId="5A44470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1 980 000</w:t>
            </w:r>
            <w:r w:rsidRPr="00581D40">
              <w:rPr>
                <w:sz w:val="14"/>
                <w:szCs w:val="14"/>
              </w:rPr>
              <w:t xml:space="preserve"> </w:t>
            </w:r>
          </w:p>
        </w:tc>
      </w:tr>
      <w:tr w:rsidR="00B82C45" w:rsidRPr="00581D40" w14:paraId="05AC87B6"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AFCF32"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C. </w:t>
            </w:r>
            <w:r w:rsidRPr="00581D40">
              <w:rPr>
                <w:b/>
                <w:bCs/>
                <w:sz w:val="17"/>
                <w:szCs w:val="17"/>
              </w:rPr>
              <w:t>Actividades científicas y técnicas</w:t>
            </w:r>
          </w:p>
        </w:tc>
      </w:tr>
      <w:tr w:rsidR="00B82C45" w:rsidRPr="00581D40" w14:paraId="73923A78"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DEFCBA"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6. </w:t>
            </w:r>
            <w:r w:rsidRPr="00581D40">
              <w:rPr>
                <w:b/>
                <w:bCs/>
                <w:sz w:val="17"/>
                <w:szCs w:val="17"/>
              </w:rPr>
              <w:t>Apoyo científico a los Estados que son Partes en el Convenio de Minamata</w:t>
            </w:r>
          </w:p>
        </w:tc>
      </w:tr>
      <w:tr w:rsidR="00B82C45" w:rsidRPr="00581D40" w14:paraId="6D5BA3AD"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vAlign w:val="center"/>
            <w:hideMark/>
          </w:tcPr>
          <w:p w14:paraId="4BD9F1B3"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031A2D48"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6.1. Apoyo científico a los Estados que son Partes en el Convenio</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1E47E10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4691648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2CB41E0"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5AAB013F"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238 000 </w:t>
            </w:r>
          </w:p>
        </w:tc>
      </w:tr>
      <w:tr w:rsidR="00B82C45" w:rsidRPr="00581D40" w14:paraId="3A9B5146"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FA32339"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608B39D1"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5835E75B"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26F9857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4D832124"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238 000</w:t>
            </w:r>
            <w:r w:rsidRPr="00581D40">
              <w:rPr>
                <w:sz w:val="14"/>
                <w:szCs w:val="14"/>
              </w:rPr>
              <w:t xml:space="preserve"> </w:t>
            </w:r>
          </w:p>
        </w:tc>
      </w:tr>
      <w:tr w:rsidR="00B82C45" w:rsidRPr="00581D40" w14:paraId="04ABFA3A"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89B32F"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7. </w:t>
            </w:r>
            <w:r w:rsidRPr="00581D40">
              <w:rPr>
                <w:b/>
                <w:bCs/>
                <w:sz w:val="17"/>
                <w:szCs w:val="17"/>
              </w:rPr>
              <w:t>Evaluación de la eficacia y plan de vigilancia mundial</w:t>
            </w:r>
          </w:p>
        </w:tc>
      </w:tr>
      <w:tr w:rsidR="00B82C45" w:rsidRPr="00581D40" w14:paraId="2FB62218"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vAlign w:val="center"/>
            <w:hideMark/>
          </w:tcPr>
          <w:p w14:paraId="54AB4921"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4A214A75"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7.1. Evaluación de la eficacia y plan de vigilancia mundial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A3251A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77745E9E"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65ECE81"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E25157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3B246AF2"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946C9B5"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2BB52089"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5EAE044E"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4E80AB0"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64EEE06C"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r>
      <w:tr w:rsidR="00B82C45" w:rsidRPr="00581D40" w14:paraId="300B6B0F"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27AC56"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8. </w:t>
            </w:r>
            <w:r w:rsidRPr="00581D40">
              <w:rPr>
                <w:b/>
                <w:bCs/>
                <w:sz w:val="17"/>
                <w:szCs w:val="17"/>
              </w:rPr>
              <w:t>Presentación de informes nacionales de conformidad con el Convenio de Minamata</w:t>
            </w:r>
          </w:p>
        </w:tc>
      </w:tr>
      <w:tr w:rsidR="00B82C45" w:rsidRPr="00581D40" w14:paraId="30FA6326" w14:textId="77777777" w:rsidTr="00581D40">
        <w:trPr>
          <w:gridAfter w:val="1"/>
          <w:wAfter w:w="30" w:type="pct"/>
          <w:trHeight w:val="315"/>
        </w:trPr>
        <w:tc>
          <w:tcPr>
            <w:tcW w:w="123" w:type="pct"/>
            <w:tcBorders>
              <w:top w:val="nil"/>
              <w:left w:val="single" w:sz="8" w:space="0" w:color="auto"/>
              <w:bottom w:val="single" w:sz="8" w:space="0" w:color="auto"/>
              <w:right w:val="single" w:sz="8" w:space="0" w:color="auto"/>
            </w:tcBorders>
            <w:shd w:val="clear" w:color="000000" w:fill="FFFFFF"/>
            <w:noWrap/>
            <w:vAlign w:val="center"/>
            <w:hideMark/>
          </w:tcPr>
          <w:p w14:paraId="4116F631"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28EF842D"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8.1. Presentación de informes nacionales de conformidad con el Convenio de Minamata</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07AE8C0A"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4E3F1F5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6A33AC7"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1F12D822"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7065A882"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0BA77A2"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5C8C389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0A652380"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50FA304"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23EDAF2A"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4545B514"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6FE83A8"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(C)</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6D0D8464"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3A9CF1A8"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1EF814A"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4C3FC3C2"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238 000</w:t>
            </w:r>
            <w:r w:rsidRPr="00581D40">
              <w:rPr>
                <w:sz w:val="14"/>
                <w:szCs w:val="14"/>
              </w:rPr>
              <w:t xml:space="preserve"> </w:t>
            </w:r>
          </w:p>
        </w:tc>
      </w:tr>
      <w:tr w:rsidR="00B82C45" w:rsidRPr="00581D40" w14:paraId="30FA1D3F"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40A4AC"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D. </w:t>
            </w:r>
            <w:r w:rsidRPr="00581D40">
              <w:rPr>
                <w:b/>
                <w:bCs/>
                <w:sz w:val="17"/>
                <w:szCs w:val="17"/>
              </w:rPr>
              <w:t>Gestión de los conocimientos y la información y actividades de divulgación</w:t>
            </w:r>
            <w:r w:rsidRPr="00581D40">
              <w:rPr>
                <w:b/>
                <w:sz w:val="17"/>
                <w:szCs w:val="17"/>
              </w:rPr>
              <w:t xml:space="preserve"> </w:t>
            </w:r>
          </w:p>
        </w:tc>
      </w:tr>
      <w:tr w:rsidR="00B82C45" w:rsidRPr="00581D40" w14:paraId="7F1E82B7"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40CDA9"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9. </w:t>
            </w:r>
            <w:r w:rsidRPr="00581D40">
              <w:rPr>
                <w:b/>
                <w:bCs/>
                <w:sz w:val="17"/>
                <w:szCs w:val="17"/>
              </w:rPr>
              <w:t>Publicaciones</w:t>
            </w:r>
          </w:p>
        </w:tc>
      </w:tr>
      <w:tr w:rsidR="00B82C45" w:rsidRPr="00581D40" w14:paraId="6A037089"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899AC5"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noWrap/>
            <w:vAlign w:val="center"/>
            <w:hideMark/>
          </w:tcPr>
          <w:p w14:paraId="4A034DCF"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9.1. Publicaciones</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BCCDAA8"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7CED64C6"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A4008F9"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30 000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45A51AD6"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401B22E0"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1012E15"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4551AE33"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6994BAC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9CF80B4"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30 000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7889234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18C031BA"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15BB52"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10. </w:t>
            </w:r>
            <w:r w:rsidRPr="00581D40">
              <w:rPr>
                <w:b/>
                <w:bCs/>
                <w:sz w:val="17"/>
                <w:szCs w:val="17"/>
              </w:rPr>
              <w:t>Actividades de comunicación, divulgación y sensibilización del público</w:t>
            </w:r>
          </w:p>
        </w:tc>
      </w:tr>
      <w:tr w:rsidR="00B82C45" w:rsidRPr="00581D40" w14:paraId="65843702"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04066A4"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noWrap/>
            <w:vAlign w:val="center"/>
            <w:hideMark/>
          </w:tcPr>
          <w:p w14:paraId="61AE72A6"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10.1. Actividades de comunicación, divulgación y sensibilización del público</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C7138AC"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E980DA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A5194F7"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150 000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6CCAFE2"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2A4780B2" w14:textId="77777777" w:rsidTr="00581D40">
        <w:trPr>
          <w:gridAfter w:val="1"/>
          <w:wAfter w:w="30" w:type="pct"/>
          <w:trHeight w:val="37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C3F33A0"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3FAC4A2E"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50 000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4FA6A45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6FCAC4C"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150 000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666ACD01"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r>
      <w:tr w:rsidR="00B82C45" w:rsidRPr="00581D40" w14:paraId="5B672DC5"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42104A2"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(D)</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51BB77C4"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80 000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FEE8DE5"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1DC64F0E"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180 000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5BD37CCA"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r>
      <w:tr w:rsidR="00B82C45" w:rsidRPr="00581D40" w14:paraId="469FA1E9"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53B6FC"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E. </w:t>
            </w:r>
            <w:r w:rsidRPr="00581D40">
              <w:rPr>
                <w:b/>
                <w:bCs/>
                <w:sz w:val="17"/>
                <w:szCs w:val="17"/>
              </w:rPr>
              <w:t>Gestión general</w:t>
            </w:r>
          </w:p>
        </w:tc>
      </w:tr>
      <w:tr w:rsidR="00B82C45" w:rsidRPr="00581D40" w14:paraId="7EEF21C6"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13429B"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11. </w:t>
            </w:r>
            <w:r w:rsidRPr="00581D40">
              <w:rPr>
                <w:b/>
                <w:bCs/>
                <w:sz w:val="17"/>
                <w:szCs w:val="17"/>
              </w:rPr>
              <w:t>Dirección y gestión ejecutivas</w:t>
            </w:r>
          </w:p>
        </w:tc>
      </w:tr>
      <w:tr w:rsidR="00B82C45" w:rsidRPr="00581D40" w14:paraId="47700D70"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36EFB7AB"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noWrap/>
            <w:vAlign w:val="center"/>
            <w:hideMark/>
          </w:tcPr>
          <w:p w14:paraId="2565F603"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11.1. Gestión general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539B913A"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1 930 950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21F4A7F"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579973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1 930 950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4AC0CB3"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289C7DE0"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30C0566F"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noWrap/>
            <w:vAlign w:val="center"/>
            <w:hideMark/>
          </w:tcPr>
          <w:p w14:paraId="5DC0A482"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11.2. Viajes del personal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4273F44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150 000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75702F72"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BD923D2"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150 000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04400F6D"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6BBB99CE"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695B379"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0812EC2C"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2 080 950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58FB04D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0F57011"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2 080 950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52D90C59"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39755F86"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086E1F" w14:textId="77777777" w:rsidR="00B82C45" w:rsidRPr="00581D40" w:rsidRDefault="00B82C45" w:rsidP="001A1C78">
            <w:pPr>
              <w:keepNext/>
              <w:keepLines/>
              <w:tabs>
                <w:tab w:val="clear" w:pos="1247"/>
                <w:tab w:val="clear" w:pos="1814"/>
                <w:tab w:val="clear" w:pos="2381"/>
                <w:tab w:val="clear" w:pos="2948"/>
                <w:tab w:val="clear" w:pos="3515"/>
              </w:tabs>
              <w:rPr>
                <w:b/>
                <w:bCs/>
                <w:color w:val="000000"/>
                <w:sz w:val="17"/>
                <w:szCs w:val="17"/>
              </w:rPr>
            </w:pPr>
            <w:r w:rsidRPr="00581D40">
              <w:rPr>
                <w:b/>
                <w:sz w:val="17"/>
                <w:szCs w:val="17"/>
              </w:rPr>
              <w:lastRenderedPageBreak/>
              <w:t xml:space="preserve">12. </w:t>
            </w:r>
            <w:r w:rsidRPr="00581D40">
              <w:rPr>
                <w:b/>
                <w:bCs/>
                <w:sz w:val="17"/>
                <w:szCs w:val="17"/>
              </w:rPr>
              <w:t>Cooperación y coordinación internacionales</w:t>
            </w:r>
          </w:p>
        </w:tc>
      </w:tr>
      <w:tr w:rsidR="00B82C45" w:rsidRPr="00581D40" w14:paraId="1519046E" w14:textId="77777777" w:rsidTr="00581D40">
        <w:trPr>
          <w:gridAfter w:val="1"/>
          <w:wAfter w:w="30" w:type="pct"/>
          <w:trHeight w:val="46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66DE5D5C"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vAlign w:val="center"/>
            <w:hideMark/>
          </w:tcPr>
          <w:p w14:paraId="7BB08FC6" w14:textId="77777777" w:rsidR="00B82C45" w:rsidRPr="00581D40" w:rsidRDefault="00B82C45" w:rsidP="001A1C78">
            <w:pPr>
              <w:keepNext/>
              <w:keepLines/>
              <w:tabs>
                <w:tab w:val="clear" w:pos="1247"/>
                <w:tab w:val="clear" w:pos="1814"/>
                <w:tab w:val="clear" w:pos="2381"/>
                <w:tab w:val="clear" w:pos="2948"/>
                <w:tab w:val="clear" w:pos="3515"/>
              </w:tabs>
              <w:rPr>
                <w:color w:val="000000"/>
                <w:sz w:val="17"/>
                <w:szCs w:val="17"/>
              </w:rPr>
            </w:pPr>
            <w:r w:rsidRPr="00581D40">
              <w:rPr>
                <w:sz w:val="17"/>
                <w:szCs w:val="17"/>
              </w:rPr>
              <w:t>12.1. Cooperación en el programa más general de desarrollo sostenible y medio ambiente</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3F889AB6" w14:textId="77777777" w:rsidR="00B82C45" w:rsidRPr="00581D40" w:rsidRDefault="00B82C45" w:rsidP="001A1C78">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76A414A7" w14:textId="77777777" w:rsidR="00B82C45" w:rsidRPr="00581D40" w:rsidRDefault="00B82C45" w:rsidP="001A1C78">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FB93106" w14:textId="77777777" w:rsidR="00B82C45" w:rsidRPr="00581D40" w:rsidRDefault="00B82C45" w:rsidP="001A1C78">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4E9A6B73" w14:textId="77777777" w:rsidR="00B82C45" w:rsidRPr="00581D40" w:rsidRDefault="00B82C45" w:rsidP="001A1C78">
            <w:pPr>
              <w:keepNext/>
              <w:keepLines/>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1FF15AED" w14:textId="77777777" w:rsidTr="00581D40">
        <w:trPr>
          <w:gridAfter w:val="1"/>
          <w:wAfter w:w="30" w:type="pct"/>
          <w:trHeight w:val="46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7BCBA7C7"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vAlign w:val="center"/>
            <w:hideMark/>
          </w:tcPr>
          <w:p w14:paraId="4EF089DC"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12.2. Cooperación en el ámbito de los productos químicos y los desechos</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CE58D77"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0D71188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46C798B0"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72396C01"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0A7DDC4D"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0939F39E"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vAlign w:val="center"/>
            <w:hideMark/>
          </w:tcPr>
          <w:p w14:paraId="0F43ACBF"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12.3. Otras actividades de cooperación y coordinación</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3246E5A4"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64E49EA4"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1A6E028"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69F22B8E"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0D3B9C5A"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979372A"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r w:rsidRPr="00581D40">
              <w:rPr>
                <w:sz w:val="17"/>
                <w:szCs w:val="17"/>
              </w:rPr>
              <w:t xml:space="preserve"> </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5A45FAC8"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49B2B128"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74337F3"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18C65F1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215FADC5"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E9E0BE"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13. </w:t>
            </w:r>
            <w:r w:rsidRPr="00581D40">
              <w:rPr>
                <w:b/>
                <w:bCs/>
                <w:sz w:val="17"/>
                <w:szCs w:val="17"/>
              </w:rPr>
              <w:t xml:space="preserve">Mecanismo y recursos financieros </w:t>
            </w:r>
          </w:p>
        </w:tc>
      </w:tr>
      <w:tr w:rsidR="00B82C45" w:rsidRPr="00581D40" w14:paraId="08F2F549"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6E9A22C0"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noWrap/>
            <w:vAlign w:val="center"/>
            <w:hideMark/>
          </w:tcPr>
          <w:p w14:paraId="2A3404D4"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13.1. Mecanismo financiero</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28AA1435"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FD5EAE8"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6CA17BDA"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0A195588"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60E286ED"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6BB8B1CE"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nil"/>
              <w:left w:val="nil"/>
              <w:bottom w:val="single" w:sz="8" w:space="0" w:color="auto"/>
              <w:right w:val="single" w:sz="8" w:space="0" w:color="auto"/>
            </w:tcBorders>
            <w:shd w:val="clear" w:color="000000" w:fill="FFFFFF"/>
            <w:noWrap/>
            <w:vAlign w:val="center"/>
            <w:hideMark/>
          </w:tcPr>
          <w:p w14:paraId="278A2632"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13.2. Recursos financieros</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9E81777"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57D91F20"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F8BE1DF"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7464FA48"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02490DDB"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D5F2C27"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72DD03F"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339AF94C"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B5AAE8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40E73E2D"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r>
      <w:tr w:rsidR="00B82C45" w:rsidRPr="00581D40" w14:paraId="61468782"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7A5454D"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(E)</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2A608467"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2 080 950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53C41D5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25A655BE"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2 080 950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79342A45"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71BB8CB3"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C97C89"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F. </w:t>
            </w:r>
            <w:r w:rsidRPr="00581D40">
              <w:rPr>
                <w:b/>
                <w:bCs/>
                <w:sz w:val="17"/>
                <w:szCs w:val="17"/>
              </w:rPr>
              <w:t>Actividades jurídicas y normativas</w:t>
            </w:r>
          </w:p>
        </w:tc>
      </w:tr>
      <w:tr w:rsidR="00B82C45" w:rsidRPr="00581D40" w14:paraId="19737110"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11B5AC"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14. </w:t>
            </w:r>
            <w:r w:rsidRPr="00581D40">
              <w:rPr>
                <w:b/>
                <w:bCs/>
                <w:sz w:val="17"/>
                <w:szCs w:val="17"/>
              </w:rPr>
              <w:t>Actividades jurídicas y normativas</w:t>
            </w:r>
            <w:r w:rsidRPr="00581D40">
              <w:rPr>
                <w:b/>
                <w:sz w:val="17"/>
                <w:szCs w:val="17"/>
              </w:rPr>
              <w:t xml:space="preserve"> </w:t>
            </w:r>
          </w:p>
        </w:tc>
      </w:tr>
      <w:tr w:rsidR="00B82C45" w:rsidRPr="00581D40" w14:paraId="196C7770"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CC523AA"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31F61B15"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 xml:space="preserve">14.1. Actividades jurídicas y normativas </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4979C4E0"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5F82B3D1" w14:textId="77777777" w:rsidR="00B82C45" w:rsidRPr="00581D40" w:rsidRDefault="00B82C45" w:rsidP="00B82C45">
            <w:pPr>
              <w:tabs>
                <w:tab w:val="clear" w:pos="1247"/>
                <w:tab w:val="clear" w:pos="1814"/>
                <w:tab w:val="clear" w:pos="2381"/>
                <w:tab w:val="clear" w:pos="2948"/>
                <w:tab w:val="clear" w:pos="3515"/>
              </w:tabs>
              <w:jc w:val="right"/>
              <w:rPr>
                <w:color w:val="000000"/>
                <w:sz w:val="17"/>
                <w:szCs w:val="17"/>
                <w:lang w:eastAsia="zh-CN"/>
              </w:rPr>
            </w:pPr>
            <w:r w:rsidRPr="00581D40">
              <w:rPr>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4394F17"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150 000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159BE9FE"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6774B178"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12EC612"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(F)</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2A719E32"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63CEAF2A" w14:textId="77777777" w:rsidR="00B82C45" w:rsidRPr="00581D40" w:rsidRDefault="00B82C45" w:rsidP="00B82C45">
            <w:pPr>
              <w:tabs>
                <w:tab w:val="clear" w:pos="1247"/>
                <w:tab w:val="clear" w:pos="1814"/>
                <w:tab w:val="clear" w:pos="2381"/>
                <w:tab w:val="clear" w:pos="2948"/>
                <w:tab w:val="clear" w:pos="3515"/>
              </w:tabs>
              <w:jc w:val="right"/>
              <w:rPr>
                <w:b/>
                <w:bCs/>
                <w:color w:val="000000"/>
                <w:sz w:val="17"/>
                <w:szCs w:val="17"/>
                <w:lang w:eastAsia="zh-CN"/>
              </w:rPr>
            </w:pPr>
            <w:r w:rsidRPr="00581D40">
              <w:rPr>
                <w:b/>
                <w:bCs/>
                <w:color w:val="000000"/>
                <w:sz w:val="17"/>
                <w:szCs w:val="17"/>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B22D7A5"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150 000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52B7924F"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7DE0D874"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C94175"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G. </w:t>
            </w:r>
            <w:r w:rsidRPr="00581D40">
              <w:rPr>
                <w:b/>
                <w:bCs/>
                <w:sz w:val="17"/>
                <w:szCs w:val="17"/>
              </w:rPr>
              <w:t>Mantenimiento y servicios de oficina</w:t>
            </w:r>
          </w:p>
        </w:tc>
      </w:tr>
      <w:tr w:rsidR="00B82C45" w:rsidRPr="00581D40" w14:paraId="71E86AB7"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DCC7C4"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15. </w:t>
            </w:r>
            <w:r w:rsidRPr="00581D40">
              <w:rPr>
                <w:b/>
                <w:bCs/>
                <w:sz w:val="17"/>
                <w:szCs w:val="17"/>
              </w:rPr>
              <w:t>Mantenimiento y servicios de oficina</w:t>
            </w:r>
          </w:p>
        </w:tc>
      </w:tr>
      <w:tr w:rsidR="00B82C45" w:rsidRPr="00581D40" w14:paraId="2733CE9E"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7C52D760"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111D8978"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15.1. Mantenimiento y servicios de oficina</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352F835B"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160 000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7ACF0DD3"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74525AB3"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160 000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166E7965"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0406568E"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98A3C59"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1739D79C"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160 000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211134C5"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2C222CC7"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160 000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61CA583"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00AE1D2C"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332F66"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sz w:val="17"/>
                <w:szCs w:val="17"/>
              </w:rPr>
              <w:t xml:space="preserve">16. </w:t>
            </w:r>
            <w:r w:rsidRPr="00581D40">
              <w:rPr>
                <w:b/>
                <w:bCs/>
                <w:sz w:val="17"/>
                <w:szCs w:val="17"/>
              </w:rPr>
              <w:t>Programa de Servicios de Tecnología de la Información</w:t>
            </w:r>
          </w:p>
        </w:tc>
      </w:tr>
      <w:tr w:rsidR="00B82C45" w:rsidRPr="00581D40" w14:paraId="32B71D16"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hideMark/>
          </w:tcPr>
          <w:p w14:paraId="32A1CE8B" w14:textId="77777777" w:rsidR="00B82C45" w:rsidRPr="00581D40" w:rsidRDefault="00B82C45" w:rsidP="00B82C45">
            <w:pPr>
              <w:tabs>
                <w:tab w:val="clear" w:pos="1247"/>
                <w:tab w:val="clear" w:pos="1814"/>
                <w:tab w:val="clear" w:pos="2381"/>
                <w:tab w:val="clear" w:pos="2948"/>
                <w:tab w:val="clear" w:pos="3515"/>
              </w:tabs>
              <w:rPr>
                <w:color w:val="000000"/>
                <w:sz w:val="17"/>
                <w:szCs w:val="17"/>
                <w:lang w:eastAsia="zh-CN"/>
              </w:rPr>
            </w:pPr>
            <w:r w:rsidRPr="00581D40">
              <w:rPr>
                <w:color w:val="000000"/>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047D85C2" w14:textId="77777777" w:rsidR="00B82C45" w:rsidRPr="00581D40" w:rsidRDefault="00B82C45" w:rsidP="00B82C45">
            <w:pPr>
              <w:tabs>
                <w:tab w:val="clear" w:pos="1247"/>
                <w:tab w:val="clear" w:pos="1814"/>
                <w:tab w:val="clear" w:pos="2381"/>
                <w:tab w:val="clear" w:pos="2948"/>
                <w:tab w:val="clear" w:pos="3515"/>
              </w:tabs>
              <w:rPr>
                <w:color w:val="000000"/>
                <w:sz w:val="17"/>
                <w:szCs w:val="17"/>
              </w:rPr>
            </w:pPr>
            <w:r w:rsidRPr="00581D40">
              <w:rPr>
                <w:sz w:val="17"/>
                <w:szCs w:val="17"/>
              </w:rPr>
              <w:t>16.1. Programa de Servicios de Tecnología de la Información</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5E810CF3"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7DAA195"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39757E16"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rPr>
            </w:pPr>
            <w:r w:rsidRPr="00581D40">
              <w:rPr>
                <w:sz w:val="14"/>
                <w:szCs w:val="14"/>
              </w:rPr>
              <w:t xml:space="preserve">50 000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6B72EB3B" w14:textId="77777777" w:rsidR="00B82C45" w:rsidRPr="00581D40" w:rsidRDefault="00B82C45" w:rsidP="00B82C45">
            <w:pPr>
              <w:tabs>
                <w:tab w:val="clear" w:pos="1247"/>
                <w:tab w:val="clear" w:pos="1814"/>
                <w:tab w:val="clear" w:pos="2381"/>
                <w:tab w:val="clear" w:pos="2948"/>
                <w:tab w:val="clear" w:pos="3515"/>
              </w:tabs>
              <w:jc w:val="right"/>
              <w:rPr>
                <w:color w:val="000000"/>
                <w:sz w:val="14"/>
                <w:szCs w:val="14"/>
                <w:lang w:eastAsia="zh-CN"/>
              </w:rPr>
            </w:pPr>
            <w:r w:rsidRPr="00581D40">
              <w:rPr>
                <w:color w:val="000000"/>
                <w:sz w:val="14"/>
                <w:szCs w:val="14"/>
                <w:lang w:eastAsia="zh-CN"/>
              </w:rPr>
              <w:t> </w:t>
            </w:r>
          </w:p>
        </w:tc>
      </w:tr>
      <w:tr w:rsidR="00B82C45" w:rsidRPr="00581D40" w14:paraId="4F39C932"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5E3A923"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Total parcial</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79DC7CE0"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50 000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1AAFA36D"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F1D3E6C"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50 000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7FF0AD6A"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3823FBE0"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6E86F95" w14:textId="77777777" w:rsidR="00B82C45" w:rsidRPr="00581D40" w:rsidRDefault="00B82C45" w:rsidP="00B82C45">
            <w:pPr>
              <w:tabs>
                <w:tab w:val="clear" w:pos="1247"/>
                <w:tab w:val="clear" w:pos="1814"/>
                <w:tab w:val="clear" w:pos="2381"/>
                <w:tab w:val="clear" w:pos="2948"/>
                <w:tab w:val="clear" w:pos="3515"/>
              </w:tabs>
              <w:ind w:firstLineChars="100" w:firstLine="171"/>
              <w:rPr>
                <w:b/>
                <w:bCs/>
                <w:color w:val="000000"/>
                <w:sz w:val="17"/>
                <w:szCs w:val="17"/>
              </w:rPr>
            </w:pPr>
            <w:r w:rsidRPr="00581D40">
              <w:rPr>
                <w:b/>
                <w:bCs/>
                <w:sz w:val="17"/>
                <w:szCs w:val="17"/>
              </w:rPr>
              <w:t>Total (G)</w:t>
            </w:r>
          </w:p>
        </w:tc>
        <w:tc>
          <w:tcPr>
            <w:tcW w:w="516" w:type="pct"/>
            <w:gridSpan w:val="3"/>
            <w:tcBorders>
              <w:top w:val="nil"/>
              <w:left w:val="nil"/>
              <w:bottom w:val="single" w:sz="8" w:space="0" w:color="auto"/>
              <w:right w:val="single" w:sz="8" w:space="0" w:color="auto"/>
            </w:tcBorders>
            <w:shd w:val="clear" w:color="auto" w:fill="auto"/>
            <w:noWrap/>
            <w:vAlign w:val="center"/>
            <w:hideMark/>
          </w:tcPr>
          <w:p w14:paraId="4E0DA0F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210 000</w:t>
            </w:r>
            <w:r w:rsidRPr="00581D40">
              <w:rPr>
                <w:sz w:val="14"/>
                <w:szCs w:val="14"/>
              </w:rPr>
              <w:t xml:space="preserve"> </w:t>
            </w:r>
          </w:p>
        </w:tc>
        <w:tc>
          <w:tcPr>
            <w:tcW w:w="451" w:type="pct"/>
            <w:gridSpan w:val="2"/>
            <w:tcBorders>
              <w:top w:val="nil"/>
              <w:left w:val="nil"/>
              <w:bottom w:val="single" w:sz="8" w:space="0" w:color="auto"/>
              <w:right w:val="single" w:sz="8" w:space="0" w:color="auto"/>
            </w:tcBorders>
            <w:shd w:val="clear" w:color="000000" w:fill="FFFFFF"/>
            <w:noWrap/>
            <w:vAlign w:val="center"/>
            <w:hideMark/>
          </w:tcPr>
          <w:p w14:paraId="7BE4E4B1"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172646A6"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rPr>
            </w:pPr>
            <w:r w:rsidRPr="00581D40">
              <w:rPr>
                <w:b/>
                <w:bCs/>
                <w:sz w:val="14"/>
                <w:szCs w:val="14"/>
              </w:rPr>
              <w:t>210 000</w:t>
            </w:r>
            <w:r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2711AF5" w14:textId="77777777" w:rsidR="00B82C45" w:rsidRPr="00581D40" w:rsidRDefault="00B82C45" w:rsidP="00B82C45">
            <w:pPr>
              <w:tabs>
                <w:tab w:val="clear" w:pos="1247"/>
                <w:tab w:val="clear" w:pos="1814"/>
                <w:tab w:val="clear" w:pos="2381"/>
                <w:tab w:val="clear" w:pos="2948"/>
                <w:tab w:val="clear" w:pos="3515"/>
              </w:tabs>
              <w:jc w:val="right"/>
              <w:rPr>
                <w:b/>
                <w:bCs/>
                <w:color w:val="000000"/>
                <w:sz w:val="14"/>
                <w:szCs w:val="14"/>
                <w:lang w:eastAsia="zh-CN"/>
              </w:rPr>
            </w:pPr>
            <w:r w:rsidRPr="00581D40">
              <w:rPr>
                <w:b/>
                <w:bCs/>
                <w:color w:val="000000"/>
                <w:sz w:val="14"/>
                <w:szCs w:val="14"/>
                <w:lang w:eastAsia="zh-CN"/>
              </w:rPr>
              <w:t> </w:t>
            </w:r>
          </w:p>
        </w:tc>
      </w:tr>
      <w:tr w:rsidR="00B82C45" w:rsidRPr="00581D40" w14:paraId="47C7C8A3" w14:textId="77777777" w:rsidTr="00581D40">
        <w:trPr>
          <w:gridAfter w:val="1"/>
          <w:wAfter w:w="30" w:type="pct"/>
          <w:trHeight w:val="315"/>
        </w:trPr>
        <w:tc>
          <w:tcPr>
            <w:tcW w:w="4970" w:type="pct"/>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82962B" w14:textId="77777777" w:rsidR="00B82C45" w:rsidRPr="00581D40" w:rsidRDefault="00B82C45" w:rsidP="00B82C45">
            <w:pPr>
              <w:tabs>
                <w:tab w:val="clear" w:pos="1247"/>
                <w:tab w:val="clear" w:pos="1814"/>
                <w:tab w:val="clear" w:pos="2381"/>
                <w:tab w:val="clear" w:pos="2948"/>
                <w:tab w:val="clear" w:pos="3515"/>
              </w:tabs>
              <w:rPr>
                <w:b/>
                <w:bCs/>
                <w:color w:val="000000"/>
                <w:sz w:val="17"/>
                <w:szCs w:val="17"/>
              </w:rPr>
            </w:pPr>
            <w:r w:rsidRPr="00581D40">
              <w:rPr>
                <w:b/>
                <w:bCs/>
                <w:sz w:val="17"/>
                <w:szCs w:val="17"/>
              </w:rPr>
              <w:t>Recursos necesarios para todas las actividades</w:t>
            </w:r>
          </w:p>
        </w:tc>
      </w:tr>
      <w:tr w:rsidR="00B82C45" w:rsidRPr="00581D40" w14:paraId="6A6F5311"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14:paraId="5668E6F6" w14:textId="77777777" w:rsidR="00B82C45" w:rsidRPr="00581D40" w:rsidRDefault="00B82C45" w:rsidP="00B82C45">
            <w:pPr>
              <w:tabs>
                <w:tab w:val="clear" w:pos="1247"/>
                <w:tab w:val="clear" w:pos="1814"/>
                <w:tab w:val="clear" w:pos="2381"/>
                <w:tab w:val="clear" w:pos="2948"/>
                <w:tab w:val="clear" w:pos="3515"/>
              </w:tabs>
              <w:ind w:firstLineChars="100" w:firstLine="171"/>
              <w:rPr>
                <w:b/>
                <w:bCs/>
                <w:sz w:val="17"/>
                <w:szCs w:val="17"/>
              </w:rPr>
            </w:pPr>
            <w:r w:rsidRPr="00581D40">
              <w:rPr>
                <w:b/>
                <w:bCs/>
                <w:sz w:val="17"/>
                <w:szCs w:val="17"/>
              </w:rPr>
              <w:t>Total (A a G), excluidos los gastos de apoyo a los programas</w:t>
            </w:r>
          </w:p>
        </w:tc>
        <w:tc>
          <w:tcPr>
            <w:tcW w:w="507" w:type="pct"/>
            <w:tcBorders>
              <w:top w:val="nil"/>
              <w:left w:val="nil"/>
              <w:bottom w:val="single" w:sz="8" w:space="0" w:color="auto"/>
              <w:right w:val="single" w:sz="8" w:space="0" w:color="auto"/>
            </w:tcBorders>
            <w:shd w:val="clear" w:color="auto" w:fill="auto"/>
            <w:noWrap/>
            <w:vAlign w:val="center"/>
          </w:tcPr>
          <w:p w14:paraId="11714BBA"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3 400 950</w:t>
            </w:r>
            <w:r w:rsidRPr="00581D40">
              <w:rPr>
                <w:sz w:val="14"/>
                <w:szCs w:val="14"/>
              </w:rPr>
              <w:t xml:space="preserve"> </w:t>
            </w:r>
          </w:p>
        </w:tc>
        <w:tc>
          <w:tcPr>
            <w:tcW w:w="460" w:type="pct"/>
            <w:gridSpan w:val="4"/>
            <w:tcBorders>
              <w:top w:val="nil"/>
              <w:left w:val="nil"/>
              <w:bottom w:val="single" w:sz="8" w:space="0" w:color="auto"/>
              <w:right w:val="single" w:sz="8" w:space="0" w:color="auto"/>
            </w:tcBorders>
            <w:shd w:val="clear" w:color="000000" w:fill="FFFFFF"/>
            <w:noWrap/>
            <w:vAlign w:val="center"/>
          </w:tcPr>
          <w:p w14:paraId="4272E8AD"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3 155 000</w:t>
            </w:r>
            <w:r w:rsidRPr="00581D40">
              <w:rPr>
                <w:sz w:val="14"/>
                <w:szCs w:val="14"/>
              </w:rPr>
              <w:t xml:space="preserve"> </w:t>
            </w:r>
          </w:p>
        </w:tc>
        <w:tc>
          <w:tcPr>
            <w:tcW w:w="495" w:type="pct"/>
            <w:gridSpan w:val="2"/>
            <w:tcBorders>
              <w:top w:val="nil"/>
              <w:left w:val="nil"/>
              <w:bottom w:val="single" w:sz="8" w:space="0" w:color="auto"/>
              <w:right w:val="single" w:sz="8" w:space="0" w:color="auto"/>
            </w:tcBorders>
            <w:shd w:val="clear" w:color="auto" w:fill="auto"/>
            <w:noWrap/>
            <w:vAlign w:val="center"/>
          </w:tcPr>
          <w:p w14:paraId="4D5500F9"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3 760 950</w:t>
            </w:r>
          </w:p>
        </w:tc>
        <w:tc>
          <w:tcPr>
            <w:tcW w:w="515" w:type="pct"/>
            <w:gridSpan w:val="2"/>
            <w:tcBorders>
              <w:top w:val="nil"/>
              <w:left w:val="nil"/>
              <w:bottom w:val="single" w:sz="8" w:space="0" w:color="auto"/>
              <w:right w:val="single" w:sz="8" w:space="0" w:color="auto"/>
            </w:tcBorders>
            <w:shd w:val="clear" w:color="auto" w:fill="auto"/>
            <w:noWrap/>
            <w:vAlign w:val="center"/>
          </w:tcPr>
          <w:p w14:paraId="51133F46"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3 393 000</w:t>
            </w:r>
            <w:r w:rsidRPr="00581D40">
              <w:rPr>
                <w:sz w:val="14"/>
                <w:szCs w:val="14"/>
              </w:rPr>
              <w:t xml:space="preserve"> </w:t>
            </w:r>
          </w:p>
        </w:tc>
      </w:tr>
      <w:tr w:rsidR="00B82C45" w:rsidRPr="00581D40" w14:paraId="281C25D1" w14:textId="77777777" w:rsidTr="00581D40">
        <w:trPr>
          <w:gridAfter w:val="1"/>
          <w:wAfter w:w="30" w:type="pct"/>
          <w:trHeight w:val="315"/>
        </w:trPr>
        <w:tc>
          <w:tcPr>
            <w:tcW w:w="123" w:type="pct"/>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BD2AFEE" w14:textId="77777777" w:rsidR="00B82C45" w:rsidRPr="00581D40" w:rsidRDefault="00B82C45" w:rsidP="00B82C45">
            <w:pPr>
              <w:tabs>
                <w:tab w:val="clear" w:pos="1247"/>
                <w:tab w:val="clear" w:pos="1814"/>
                <w:tab w:val="clear" w:pos="2381"/>
                <w:tab w:val="clear" w:pos="2948"/>
                <w:tab w:val="clear" w:pos="3515"/>
              </w:tabs>
              <w:rPr>
                <w:sz w:val="17"/>
                <w:szCs w:val="17"/>
                <w:lang w:eastAsia="zh-CN"/>
              </w:rPr>
            </w:pPr>
            <w:r w:rsidRPr="00581D40">
              <w:rPr>
                <w:sz w:val="17"/>
                <w:szCs w:val="17"/>
                <w:lang w:eastAsia="zh-CN"/>
              </w:rPr>
              <w:t> </w:t>
            </w:r>
          </w:p>
        </w:tc>
        <w:tc>
          <w:tcPr>
            <w:tcW w:w="2869" w:type="pct"/>
            <w:tcBorders>
              <w:top w:val="single" w:sz="8" w:space="0" w:color="auto"/>
              <w:left w:val="nil"/>
              <w:bottom w:val="single" w:sz="8" w:space="0" w:color="auto"/>
              <w:right w:val="single" w:sz="8" w:space="0" w:color="000000"/>
            </w:tcBorders>
            <w:shd w:val="clear" w:color="000000" w:fill="FFFFFF"/>
            <w:noWrap/>
            <w:vAlign w:val="center"/>
            <w:hideMark/>
          </w:tcPr>
          <w:p w14:paraId="6CB427DB" w14:textId="77777777" w:rsidR="00B82C45" w:rsidRPr="00581D40" w:rsidRDefault="00B82C45" w:rsidP="00B82C45">
            <w:pPr>
              <w:tabs>
                <w:tab w:val="clear" w:pos="1247"/>
                <w:tab w:val="clear" w:pos="1814"/>
                <w:tab w:val="clear" w:pos="2381"/>
                <w:tab w:val="clear" w:pos="2948"/>
                <w:tab w:val="clear" w:pos="3515"/>
              </w:tabs>
              <w:rPr>
                <w:sz w:val="17"/>
                <w:szCs w:val="17"/>
              </w:rPr>
            </w:pPr>
            <w:r w:rsidRPr="00581D40">
              <w:rPr>
                <w:sz w:val="17"/>
                <w:szCs w:val="17"/>
              </w:rPr>
              <w:t>Costos de apoyo al programa</w:t>
            </w:r>
          </w:p>
        </w:tc>
        <w:tc>
          <w:tcPr>
            <w:tcW w:w="507" w:type="pct"/>
            <w:tcBorders>
              <w:top w:val="nil"/>
              <w:left w:val="nil"/>
              <w:bottom w:val="single" w:sz="8" w:space="0" w:color="auto"/>
              <w:right w:val="single" w:sz="8" w:space="0" w:color="auto"/>
            </w:tcBorders>
            <w:shd w:val="clear" w:color="auto" w:fill="auto"/>
            <w:noWrap/>
            <w:vAlign w:val="center"/>
            <w:hideMark/>
          </w:tcPr>
          <w:p w14:paraId="5669FA10" w14:textId="77777777" w:rsidR="00B82C45" w:rsidRPr="00581D40" w:rsidRDefault="00B82C45" w:rsidP="00B82C45">
            <w:pPr>
              <w:tabs>
                <w:tab w:val="clear" w:pos="1247"/>
                <w:tab w:val="clear" w:pos="1814"/>
                <w:tab w:val="clear" w:pos="2381"/>
                <w:tab w:val="clear" w:pos="2948"/>
                <w:tab w:val="clear" w:pos="3515"/>
              </w:tabs>
              <w:jc w:val="right"/>
              <w:rPr>
                <w:sz w:val="14"/>
                <w:szCs w:val="14"/>
              </w:rPr>
            </w:pPr>
            <w:r w:rsidRPr="00581D40">
              <w:rPr>
                <w:sz w:val="14"/>
                <w:szCs w:val="14"/>
              </w:rPr>
              <w:t xml:space="preserve">442 124 </w:t>
            </w:r>
          </w:p>
        </w:tc>
        <w:tc>
          <w:tcPr>
            <w:tcW w:w="460" w:type="pct"/>
            <w:gridSpan w:val="4"/>
            <w:tcBorders>
              <w:top w:val="nil"/>
              <w:left w:val="nil"/>
              <w:bottom w:val="single" w:sz="8" w:space="0" w:color="auto"/>
              <w:right w:val="single" w:sz="8" w:space="0" w:color="auto"/>
            </w:tcBorders>
            <w:shd w:val="clear" w:color="auto" w:fill="auto"/>
            <w:noWrap/>
            <w:vAlign w:val="center"/>
            <w:hideMark/>
          </w:tcPr>
          <w:p w14:paraId="3AAB1B3E" w14:textId="77777777" w:rsidR="00B82C45" w:rsidRPr="00581D40" w:rsidRDefault="00B82C45" w:rsidP="00B82C45">
            <w:pPr>
              <w:tabs>
                <w:tab w:val="clear" w:pos="1247"/>
                <w:tab w:val="clear" w:pos="1814"/>
                <w:tab w:val="clear" w:pos="2381"/>
                <w:tab w:val="clear" w:pos="2948"/>
                <w:tab w:val="clear" w:pos="3515"/>
              </w:tabs>
              <w:jc w:val="right"/>
              <w:rPr>
                <w:sz w:val="14"/>
                <w:szCs w:val="14"/>
              </w:rPr>
            </w:pPr>
            <w:r w:rsidRPr="00581D40">
              <w:rPr>
                <w:sz w:val="14"/>
                <w:szCs w:val="14"/>
              </w:rPr>
              <w:t xml:space="preserve">410 150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5140F4C9" w14:textId="77777777" w:rsidR="00B82C45" w:rsidRPr="00581D40" w:rsidRDefault="00B82C45" w:rsidP="00B82C45">
            <w:pPr>
              <w:tabs>
                <w:tab w:val="clear" w:pos="1247"/>
                <w:tab w:val="clear" w:pos="1814"/>
                <w:tab w:val="clear" w:pos="2381"/>
                <w:tab w:val="clear" w:pos="2948"/>
                <w:tab w:val="clear" w:pos="3515"/>
              </w:tabs>
              <w:jc w:val="right"/>
              <w:rPr>
                <w:sz w:val="14"/>
                <w:szCs w:val="14"/>
              </w:rPr>
            </w:pPr>
            <w:r w:rsidRPr="00581D40">
              <w:rPr>
                <w:sz w:val="14"/>
                <w:szCs w:val="14"/>
              </w:rPr>
              <w:t xml:space="preserve">488 224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43FBA600" w14:textId="77777777" w:rsidR="00B82C45" w:rsidRPr="00581D40" w:rsidRDefault="00B82C45" w:rsidP="00B82C45">
            <w:pPr>
              <w:tabs>
                <w:tab w:val="clear" w:pos="1247"/>
                <w:tab w:val="clear" w:pos="1814"/>
                <w:tab w:val="clear" w:pos="2381"/>
                <w:tab w:val="clear" w:pos="2948"/>
                <w:tab w:val="clear" w:pos="3515"/>
              </w:tabs>
              <w:jc w:val="right"/>
              <w:rPr>
                <w:sz w:val="14"/>
                <w:szCs w:val="14"/>
              </w:rPr>
            </w:pPr>
            <w:r w:rsidRPr="00581D40">
              <w:rPr>
                <w:sz w:val="14"/>
                <w:szCs w:val="14"/>
              </w:rPr>
              <w:t xml:space="preserve"> 441 090 </w:t>
            </w:r>
          </w:p>
        </w:tc>
      </w:tr>
      <w:tr w:rsidR="00B82C45" w:rsidRPr="00581D40" w14:paraId="02745813"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AE39845" w14:textId="77777777" w:rsidR="00B82C45" w:rsidRPr="00581D40" w:rsidRDefault="00B82C45" w:rsidP="00B82C45">
            <w:pPr>
              <w:tabs>
                <w:tab w:val="clear" w:pos="1247"/>
                <w:tab w:val="clear" w:pos="1814"/>
                <w:tab w:val="clear" w:pos="2381"/>
                <w:tab w:val="clear" w:pos="2948"/>
                <w:tab w:val="clear" w:pos="3515"/>
              </w:tabs>
              <w:ind w:firstLineChars="100" w:firstLine="171"/>
              <w:rPr>
                <w:b/>
                <w:bCs/>
                <w:sz w:val="17"/>
                <w:szCs w:val="17"/>
              </w:rPr>
            </w:pPr>
            <w:r w:rsidRPr="00581D40">
              <w:rPr>
                <w:b/>
                <w:bCs/>
                <w:sz w:val="17"/>
                <w:szCs w:val="17"/>
              </w:rPr>
              <w:t>Total (A a G), incluidos los gastos de apoyo a los programas</w:t>
            </w:r>
          </w:p>
        </w:tc>
        <w:tc>
          <w:tcPr>
            <w:tcW w:w="507" w:type="pct"/>
            <w:tcBorders>
              <w:top w:val="nil"/>
              <w:left w:val="nil"/>
              <w:bottom w:val="single" w:sz="8" w:space="0" w:color="auto"/>
              <w:right w:val="single" w:sz="8" w:space="0" w:color="auto"/>
            </w:tcBorders>
            <w:shd w:val="clear" w:color="auto" w:fill="auto"/>
            <w:noWrap/>
            <w:vAlign w:val="center"/>
            <w:hideMark/>
          </w:tcPr>
          <w:p w14:paraId="685564A2"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3 843 074</w:t>
            </w:r>
            <w:r w:rsidRPr="00581D40">
              <w:rPr>
                <w:sz w:val="14"/>
                <w:szCs w:val="14"/>
              </w:rPr>
              <w:t xml:space="preserve"> </w:t>
            </w:r>
          </w:p>
        </w:tc>
        <w:tc>
          <w:tcPr>
            <w:tcW w:w="460" w:type="pct"/>
            <w:gridSpan w:val="4"/>
            <w:tcBorders>
              <w:top w:val="nil"/>
              <w:left w:val="nil"/>
              <w:bottom w:val="single" w:sz="8" w:space="0" w:color="auto"/>
              <w:right w:val="single" w:sz="8" w:space="0" w:color="auto"/>
            </w:tcBorders>
            <w:shd w:val="clear" w:color="000000" w:fill="FFFFFF"/>
            <w:noWrap/>
            <w:vAlign w:val="center"/>
            <w:hideMark/>
          </w:tcPr>
          <w:p w14:paraId="2F028553"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3 565 150</w:t>
            </w:r>
            <w:r w:rsidRPr="00581D40">
              <w:rPr>
                <w:sz w:val="14"/>
                <w:szCs w:val="14"/>
              </w:rPr>
              <w:t xml:space="preserve"> </w:t>
            </w:r>
          </w:p>
        </w:tc>
        <w:tc>
          <w:tcPr>
            <w:tcW w:w="495" w:type="pct"/>
            <w:gridSpan w:val="2"/>
            <w:tcBorders>
              <w:top w:val="nil"/>
              <w:left w:val="nil"/>
              <w:bottom w:val="single" w:sz="8" w:space="0" w:color="auto"/>
              <w:right w:val="single" w:sz="8" w:space="0" w:color="auto"/>
            </w:tcBorders>
            <w:shd w:val="clear" w:color="auto" w:fill="auto"/>
            <w:noWrap/>
            <w:vAlign w:val="center"/>
            <w:hideMark/>
          </w:tcPr>
          <w:p w14:paraId="0EC19F44"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4 249 874</w:t>
            </w:r>
            <w:r w:rsidR="00B25375" w:rsidRPr="00581D40">
              <w:rPr>
                <w:sz w:val="14"/>
                <w:szCs w:val="14"/>
              </w:rPr>
              <w:t xml:space="preserve"> </w:t>
            </w:r>
          </w:p>
        </w:tc>
        <w:tc>
          <w:tcPr>
            <w:tcW w:w="515" w:type="pct"/>
            <w:gridSpan w:val="2"/>
            <w:tcBorders>
              <w:top w:val="nil"/>
              <w:left w:val="nil"/>
              <w:bottom w:val="single" w:sz="8" w:space="0" w:color="auto"/>
              <w:right w:val="single" w:sz="8" w:space="0" w:color="auto"/>
            </w:tcBorders>
            <w:shd w:val="clear" w:color="auto" w:fill="auto"/>
            <w:noWrap/>
            <w:vAlign w:val="center"/>
            <w:hideMark/>
          </w:tcPr>
          <w:p w14:paraId="3507AC93"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3 834 090</w:t>
            </w:r>
            <w:r w:rsidRPr="00581D40">
              <w:rPr>
                <w:sz w:val="14"/>
                <w:szCs w:val="14"/>
              </w:rPr>
              <w:t xml:space="preserve"> </w:t>
            </w:r>
          </w:p>
        </w:tc>
      </w:tr>
      <w:tr w:rsidR="00B82C45" w:rsidRPr="00581D40" w14:paraId="1614E6E5"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14:paraId="44638E1E" w14:textId="0FBE30DF" w:rsidR="00B82C45" w:rsidRPr="00581D40" w:rsidRDefault="00960C45" w:rsidP="00B82C45">
            <w:pPr>
              <w:tabs>
                <w:tab w:val="clear" w:pos="1247"/>
                <w:tab w:val="clear" w:pos="1814"/>
                <w:tab w:val="clear" w:pos="2381"/>
                <w:tab w:val="clear" w:pos="2948"/>
                <w:tab w:val="clear" w:pos="3515"/>
              </w:tabs>
              <w:ind w:firstLineChars="100" w:firstLine="171"/>
              <w:rPr>
                <w:b/>
                <w:bCs/>
                <w:sz w:val="17"/>
                <w:szCs w:val="17"/>
              </w:rPr>
            </w:pPr>
            <w:r w:rsidRPr="00581D40">
              <w:rPr>
                <w:b/>
                <w:bCs/>
                <w:sz w:val="17"/>
                <w:szCs w:val="17"/>
              </w:rPr>
              <w:t>Ahorros destinados a 2018</w:t>
            </w:r>
          </w:p>
        </w:tc>
        <w:tc>
          <w:tcPr>
            <w:tcW w:w="507" w:type="pct"/>
            <w:tcBorders>
              <w:top w:val="nil"/>
              <w:left w:val="nil"/>
              <w:bottom w:val="single" w:sz="8" w:space="0" w:color="auto"/>
              <w:right w:val="single" w:sz="8" w:space="0" w:color="auto"/>
            </w:tcBorders>
            <w:shd w:val="clear" w:color="auto" w:fill="auto"/>
            <w:noWrap/>
            <w:vAlign w:val="center"/>
          </w:tcPr>
          <w:p w14:paraId="3A4FFE1A" w14:textId="77777777" w:rsidR="00B82C45" w:rsidRPr="00581D40" w:rsidRDefault="00B82C45" w:rsidP="00B82C45">
            <w:pPr>
              <w:tabs>
                <w:tab w:val="clear" w:pos="1247"/>
                <w:tab w:val="clear" w:pos="1814"/>
                <w:tab w:val="clear" w:pos="2381"/>
                <w:tab w:val="clear" w:pos="2948"/>
                <w:tab w:val="clear" w:pos="3515"/>
              </w:tabs>
              <w:jc w:val="right"/>
              <w:rPr>
                <w:b/>
                <w:bCs/>
                <w:sz w:val="14"/>
                <w:szCs w:val="14"/>
                <w:lang w:eastAsia="zh-CN"/>
              </w:rPr>
            </w:pPr>
          </w:p>
        </w:tc>
        <w:tc>
          <w:tcPr>
            <w:tcW w:w="460" w:type="pct"/>
            <w:gridSpan w:val="4"/>
            <w:tcBorders>
              <w:top w:val="nil"/>
              <w:left w:val="nil"/>
              <w:bottom w:val="single" w:sz="8" w:space="0" w:color="auto"/>
              <w:right w:val="single" w:sz="8" w:space="0" w:color="auto"/>
            </w:tcBorders>
            <w:shd w:val="clear" w:color="000000" w:fill="FFFFFF"/>
            <w:noWrap/>
            <w:vAlign w:val="center"/>
          </w:tcPr>
          <w:p w14:paraId="29D3F6D3" w14:textId="77777777" w:rsidR="00B82C45" w:rsidRPr="00581D40" w:rsidRDefault="00B82C45" w:rsidP="00B82C45">
            <w:pPr>
              <w:tabs>
                <w:tab w:val="clear" w:pos="1247"/>
                <w:tab w:val="clear" w:pos="1814"/>
                <w:tab w:val="clear" w:pos="2381"/>
                <w:tab w:val="clear" w:pos="2948"/>
                <w:tab w:val="clear" w:pos="3515"/>
              </w:tabs>
              <w:jc w:val="right"/>
              <w:rPr>
                <w:b/>
                <w:bCs/>
                <w:sz w:val="14"/>
                <w:szCs w:val="14"/>
                <w:lang w:eastAsia="zh-CN"/>
              </w:rPr>
            </w:pPr>
          </w:p>
        </w:tc>
        <w:tc>
          <w:tcPr>
            <w:tcW w:w="495" w:type="pct"/>
            <w:gridSpan w:val="2"/>
            <w:tcBorders>
              <w:top w:val="nil"/>
              <w:left w:val="nil"/>
              <w:bottom w:val="single" w:sz="8" w:space="0" w:color="auto"/>
              <w:right w:val="single" w:sz="8" w:space="0" w:color="auto"/>
            </w:tcBorders>
            <w:shd w:val="clear" w:color="auto" w:fill="auto"/>
            <w:noWrap/>
            <w:vAlign w:val="center"/>
          </w:tcPr>
          <w:p w14:paraId="43B0CC27" w14:textId="0E658FFD" w:rsidR="00B82C45" w:rsidRPr="00581D40" w:rsidRDefault="00960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406 800</w:t>
            </w:r>
          </w:p>
        </w:tc>
        <w:tc>
          <w:tcPr>
            <w:tcW w:w="515" w:type="pct"/>
            <w:gridSpan w:val="2"/>
            <w:tcBorders>
              <w:top w:val="nil"/>
              <w:left w:val="nil"/>
              <w:bottom w:val="single" w:sz="8" w:space="0" w:color="auto"/>
              <w:right w:val="single" w:sz="8" w:space="0" w:color="auto"/>
            </w:tcBorders>
            <w:shd w:val="clear" w:color="auto" w:fill="auto"/>
            <w:noWrap/>
            <w:vAlign w:val="center"/>
          </w:tcPr>
          <w:p w14:paraId="7094C34A" w14:textId="77777777" w:rsidR="00B82C45" w:rsidRPr="00581D40" w:rsidRDefault="00B82C45" w:rsidP="00B82C45">
            <w:pPr>
              <w:tabs>
                <w:tab w:val="clear" w:pos="1247"/>
                <w:tab w:val="clear" w:pos="1814"/>
                <w:tab w:val="clear" w:pos="2381"/>
                <w:tab w:val="clear" w:pos="2948"/>
                <w:tab w:val="clear" w:pos="3515"/>
              </w:tabs>
              <w:jc w:val="right"/>
              <w:rPr>
                <w:b/>
                <w:bCs/>
                <w:sz w:val="14"/>
                <w:szCs w:val="14"/>
                <w:lang w:eastAsia="zh-CN"/>
              </w:rPr>
            </w:pPr>
          </w:p>
        </w:tc>
      </w:tr>
      <w:tr w:rsidR="00B82C45" w:rsidRPr="00581D40" w14:paraId="2F5C5C8D"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14:paraId="3AEAA028" w14:textId="6951A07E" w:rsidR="00B82C45" w:rsidRPr="00581D40" w:rsidRDefault="00960C45" w:rsidP="00B82C45">
            <w:pPr>
              <w:tabs>
                <w:tab w:val="clear" w:pos="1247"/>
                <w:tab w:val="clear" w:pos="1814"/>
                <w:tab w:val="clear" w:pos="2381"/>
                <w:tab w:val="clear" w:pos="2948"/>
                <w:tab w:val="clear" w:pos="3515"/>
              </w:tabs>
              <w:ind w:firstLineChars="100" w:firstLine="171"/>
              <w:rPr>
                <w:b/>
                <w:bCs/>
                <w:sz w:val="17"/>
                <w:szCs w:val="17"/>
              </w:rPr>
            </w:pPr>
            <w:r w:rsidRPr="00581D40">
              <w:rPr>
                <w:b/>
                <w:bCs/>
                <w:sz w:val="17"/>
                <w:szCs w:val="17"/>
              </w:rPr>
              <w:t xml:space="preserve">Total </w:t>
            </w:r>
            <w:r w:rsidR="00B82C45" w:rsidRPr="00581D40">
              <w:rPr>
                <w:b/>
                <w:bCs/>
                <w:sz w:val="17"/>
                <w:szCs w:val="17"/>
              </w:rPr>
              <w:t>para 2019</w:t>
            </w:r>
          </w:p>
        </w:tc>
        <w:tc>
          <w:tcPr>
            <w:tcW w:w="507" w:type="pct"/>
            <w:tcBorders>
              <w:top w:val="nil"/>
              <w:left w:val="nil"/>
              <w:bottom w:val="single" w:sz="8" w:space="0" w:color="auto"/>
              <w:right w:val="single" w:sz="8" w:space="0" w:color="auto"/>
            </w:tcBorders>
            <w:shd w:val="clear" w:color="auto" w:fill="auto"/>
            <w:noWrap/>
            <w:vAlign w:val="center"/>
          </w:tcPr>
          <w:p w14:paraId="560EE483"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3 843 074</w:t>
            </w:r>
          </w:p>
        </w:tc>
        <w:tc>
          <w:tcPr>
            <w:tcW w:w="460" w:type="pct"/>
            <w:gridSpan w:val="4"/>
            <w:tcBorders>
              <w:top w:val="nil"/>
              <w:left w:val="nil"/>
              <w:bottom w:val="single" w:sz="8" w:space="0" w:color="auto"/>
              <w:right w:val="single" w:sz="8" w:space="0" w:color="auto"/>
            </w:tcBorders>
            <w:shd w:val="clear" w:color="000000" w:fill="FFFFFF"/>
            <w:noWrap/>
            <w:vAlign w:val="center"/>
          </w:tcPr>
          <w:p w14:paraId="14616875"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3 565 150</w:t>
            </w:r>
          </w:p>
        </w:tc>
        <w:tc>
          <w:tcPr>
            <w:tcW w:w="495" w:type="pct"/>
            <w:gridSpan w:val="2"/>
            <w:tcBorders>
              <w:top w:val="nil"/>
              <w:left w:val="nil"/>
              <w:bottom w:val="single" w:sz="8" w:space="0" w:color="auto"/>
              <w:right w:val="single" w:sz="8" w:space="0" w:color="auto"/>
            </w:tcBorders>
            <w:shd w:val="clear" w:color="auto" w:fill="auto"/>
            <w:noWrap/>
            <w:vAlign w:val="center"/>
          </w:tcPr>
          <w:p w14:paraId="77F1156F" w14:textId="7B86FBD4" w:rsidR="00B82C45" w:rsidRPr="00581D40" w:rsidRDefault="00960C45" w:rsidP="00B82C45">
            <w:pPr>
              <w:tabs>
                <w:tab w:val="clear" w:pos="1247"/>
                <w:tab w:val="clear" w:pos="1814"/>
                <w:tab w:val="clear" w:pos="2381"/>
                <w:tab w:val="clear" w:pos="2948"/>
                <w:tab w:val="clear" w:pos="3515"/>
              </w:tabs>
              <w:ind w:right="70"/>
              <w:jc w:val="right"/>
              <w:rPr>
                <w:b/>
                <w:bCs/>
                <w:sz w:val="14"/>
                <w:szCs w:val="14"/>
              </w:rPr>
            </w:pPr>
            <w:r w:rsidRPr="00581D40">
              <w:rPr>
                <w:b/>
                <w:bCs/>
                <w:sz w:val="14"/>
                <w:szCs w:val="14"/>
              </w:rPr>
              <w:t>3 843 074</w:t>
            </w:r>
          </w:p>
        </w:tc>
        <w:tc>
          <w:tcPr>
            <w:tcW w:w="515" w:type="pct"/>
            <w:gridSpan w:val="2"/>
            <w:tcBorders>
              <w:top w:val="nil"/>
              <w:left w:val="nil"/>
              <w:bottom w:val="single" w:sz="8" w:space="0" w:color="auto"/>
              <w:right w:val="single" w:sz="8" w:space="0" w:color="auto"/>
            </w:tcBorders>
            <w:shd w:val="clear" w:color="auto" w:fill="auto"/>
            <w:noWrap/>
            <w:vAlign w:val="center"/>
          </w:tcPr>
          <w:p w14:paraId="76D047B8" w14:textId="77777777" w:rsidR="00B82C45" w:rsidRPr="00581D40" w:rsidRDefault="00B82C45" w:rsidP="00B82C45">
            <w:pPr>
              <w:tabs>
                <w:tab w:val="clear" w:pos="1247"/>
                <w:tab w:val="clear" w:pos="1814"/>
                <w:tab w:val="clear" w:pos="2381"/>
                <w:tab w:val="clear" w:pos="2948"/>
                <w:tab w:val="clear" w:pos="3515"/>
              </w:tabs>
              <w:jc w:val="right"/>
              <w:rPr>
                <w:b/>
                <w:bCs/>
                <w:sz w:val="14"/>
                <w:szCs w:val="14"/>
              </w:rPr>
            </w:pPr>
            <w:r w:rsidRPr="00581D40">
              <w:rPr>
                <w:b/>
                <w:bCs/>
                <w:sz w:val="14"/>
                <w:szCs w:val="14"/>
              </w:rPr>
              <w:t>3 834 090</w:t>
            </w:r>
          </w:p>
        </w:tc>
      </w:tr>
      <w:tr w:rsidR="00960C45" w:rsidRPr="00581D40" w14:paraId="5ACF6751" w14:textId="77777777" w:rsidTr="00581D40">
        <w:trPr>
          <w:gridAfter w:val="1"/>
          <w:wAfter w:w="30" w:type="pct"/>
          <w:trHeight w:val="315"/>
        </w:trPr>
        <w:tc>
          <w:tcPr>
            <w:tcW w:w="299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55746B2" w14:textId="0477F01A" w:rsidR="00960C45" w:rsidRPr="00581D40" w:rsidRDefault="00960C45" w:rsidP="00960C45">
            <w:pPr>
              <w:tabs>
                <w:tab w:val="clear" w:pos="1247"/>
                <w:tab w:val="clear" w:pos="1814"/>
                <w:tab w:val="clear" w:pos="2381"/>
                <w:tab w:val="clear" w:pos="2948"/>
                <w:tab w:val="clear" w:pos="3515"/>
              </w:tabs>
              <w:rPr>
                <w:b/>
                <w:bCs/>
                <w:sz w:val="17"/>
                <w:szCs w:val="17"/>
              </w:rPr>
            </w:pPr>
            <w:r w:rsidRPr="00581D40">
              <w:rPr>
                <w:b/>
                <w:bCs/>
                <w:sz w:val="17"/>
                <w:szCs w:val="17"/>
              </w:rPr>
              <w:t>Total de recursos para 2019</w:t>
            </w:r>
          </w:p>
        </w:tc>
        <w:tc>
          <w:tcPr>
            <w:tcW w:w="967" w:type="pct"/>
            <w:gridSpan w:val="5"/>
            <w:tcBorders>
              <w:top w:val="single" w:sz="8" w:space="0" w:color="auto"/>
              <w:left w:val="nil"/>
              <w:bottom w:val="single" w:sz="8" w:space="0" w:color="auto"/>
              <w:right w:val="single" w:sz="8" w:space="0" w:color="000000"/>
            </w:tcBorders>
            <w:shd w:val="clear" w:color="000000" w:fill="FFFFFF"/>
            <w:noWrap/>
            <w:vAlign w:val="center"/>
            <w:hideMark/>
          </w:tcPr>
          <w:p w14:paraId="003FDA5B" w14:textId="77777777" w:rsidR="00960C45" w:rsidRPr="00581D40" w:rsidRDefault="00960C45" w:rsidP="00960C45">
            <w:pPr>
              <w:tabs>
                <w:tab w:val="clear" w:pos="1247"/>
                <w:tab w:val="clear" w:pos="1814"/>
                <w:tab w:val="clear" w:pos="2381"/>
                <w:tab w:val="clear" w:pos="2948"/>
                <w:tab w:val="clear" w:pos="3515"/>
              </w:tabs>
              <w:jc w:val="center"/>
              <w:rPr>
                <w:b/>
                <w:bCs/>
                <w:sz w:val="17"/>
                <w:szCs w:val="17"/>
                <w:lang w:eastAsia="zh-CN"/>
              </w:rPr>
            </w:pPr>
            <w:r w:rsidRPr="00581D40">
              <w:rPr>
                <w:b/>
                <w:bCs/>
                <w:sz w:val="14"/>
                <w:szCs w:val="14"/>
                <w:lang w:eastAsia="zh-CN"/>
              </w:rPr>
              <w:t>7 408 224</w:t>
            </w:r>
          </w:p>
        </w:tc>
        <w:tc>
          <w:tcPr>
            <w:tcW w:w="1010"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CA897AC" w14:textId="77777777" w:rsidR="00960C45" w:rsidRPr="00581D40" w:rsidRDefault="00960C45" w:rsidP="00960C45">
            <w:pPr>
              <w:tabs>
                <w:tab w:val="clear" w:pos="1247"/>
                <w:tab w:val="clear" w:pos="1814"/>
                <w:tab w:val="clear" w:pos="2381"/>
                <w:tab w:val="clear" w:pos="2948"/>
                <w:tab w:val="clear" w:pos="3515"/>
              </w:tabs>
              <w:jc w:val="center"/>
              <w:rPr>
                <w:b/>
                <w:bCs/>
                <w:sz w:val="17"/>
                <w:szCs w:val="17"/>
                <w:lang w:eastAsia="zh-CN"/>
              </w:rPr>
            </w:pPr>
            <w:r w:rsidRPr="00581D40">
              <w:rPr>
                <w:b/>
                <w:bCs/>
                <w:sz w:val="14"/>
                <w:szCs w:val="14"/>
                <w:lang w:eastAsia="zh-CN"/>
              </w:rPr>
              <w:t>7 677 164</w:t>
            </w:r>
          </w:p>
        </w:tc>
      </w:tr>
    </w:tbl>
    <w:p w14:paraId="61BB81BD" w14:textId="77777777" w:rsidR="00B82C45" w:rsidRPr="00581D40" w:rsidRDefault="00B82C45" w:rsidP="00582959">
      <w:pPr>
        <w:pStyle w:val="Normalnumber"/>
        <w:numPr>
          <w:ilvl w:val="0"/>
          <w:numId w:val="6"/>
        </w:numPr>
        <w:tabs>
          <w:tab w:val="clear" w:pos="1134"/>
        </w:tabs>
        <w:spacing w:before="120"/>
      </w:pPr>
      <w:r w:rsidRPr="00581D40">
        <w:t xml:space="preserve">Las diferencias que se observan en el cuadro entre el presupuesto aprobado y las estimaciones actualizadas correspondientes a 2019 para el Fondo Fiduciario General reflejan los cambios siguientes: </w:t>
      </w:r>
    </w:p>
    <w:p w14:paraId="716D1E67" w14:textId="77777777" w:rsidR="00B82C45" w:rsidRPr="00581D40" w:rsidRDefault="00B82C45" w:rsidP="00581D40">
      <w:pPr>
        <w:pStyle w:val="Normalnumber"/>
        <w:numPr>
          <w:ilvl w:val="0"/>
          <w:numId w:val="0"/>
        </w:numPr>
        <w:ind w:left="1247" w:firstLine="624"/>
      </w:pPr>
      <w:r w:rsidRPr="00581D40">
        <w:t>a)</w:t>
      </w:r>
      <w:r w:rsidRPr="00581D40">
        <w:tab/>
        <w:t>Bajo el epígrafe A: Conferencias y reuniones. El presupuesto aprobado de 2019 permite una</w:t>
      </w:r>
      <w:r w:rsidR="00A51718" w:rsidRPr="00581D40">
        <w:t> </w:t>
      </w:r>
      <w:r w:rsidRPr="00581D40">
        <w:t>reunión de expertos entre reuniones. Tras los preparativos de la segunda reunión de la Conferencia de</w:t>
      </w:r>
      <w:r w:rsidR="00A51718" w:rsidRPr="00581D40">
        <w:t> </w:t>
      </w:r>
      <w:r w:rsidRPr="00581D40">
        <w:t>las Partes, la Secretaría prevé que sean dos las reuniones de expertos entre reuniones que se celebren en</w:t>
      </w:r>
      <w:r w:rsidR="00A51718" w:rsidRPr="00581D40">
        <w:t> </w:t>
      </w:r>
      <w:r w:rsidRPr="00581D40">
        <w:t>2019, a saber: una reunión de un grupo especial de expertos sobre la evaluación de la eficacia (véase</w:t>
      </w:r>
      <w:r w:rsidR="00A51718" w:rsidRPr="00581D40">
        <w:t> </w:t>
      </w:r>
      <w:r w:rsidRPr="00581D40">
        <w:t xml:space="preserve">UNEP/MC/COP.2/13) y una reunión del proceso de composición abierta sobre los umbrales de desechos (véase UNEP/MC/COP.2/6). En consecuencia, el presupuesto se ha aumentado a 170.000 dólares para cubrir dos reuniones a 85.000 dólares cada una; </w:t>
      </w:r>
    </w:p>
    <w:p w14:paraId="02344118" w14:textId="77777777" w:rsidR="00B82C45" w:rsidRPr="00581D40" w:rsidRDefault="00B82C45" w:rsidP="00581D40">
      <w:pPr>
        <w:pStyle w:val="Normalnumber"/>
        <w:numPr>
          <w:ilvl w:val="0"/>
          <w:numId w:val="0"/>
        </w:numPr>
        <w:ind w:left="1247" w:firstLine="624"/>
      </w:pPr>
      <w:r w:rsidRPr="00581D40">
        <w:lastRenderedPageBreak/>
        <w:t>b)</w:t>
      </w:r>
      <w:r w:rsidRPr="00581D40">
        <w:tab/>
        <w:t>En cuanto a la Mesa, el presupuesto aprobado para 2019 permite una reunión tras la segunda reunión de la Conferencia de las Partes, pero la Secretaría prevé que hagan falta dos reuniones, de ahí que el presupuesto se haya aumentado a 50.000 dólares;</w:t>
      </w:r>
    </w:p>
    <w:p w14:paraId="29B1E9F2" w14:textId="77777777" w:rsidR="00B82C45" w:rsidRPr="00581D40" w:rsidRDefault="00B82C45" w:rsidP="00581D40">
      <w:pPr>
        <w:pStyle w:val="Normalnumber"/>
        <w:numPr>
          <w:ilvl w:val="0"/>
          <w:numId w:val="0"/>
        </w:numPr>
        <w:ind w:left="1247" w:firstLine="624"/>
      </w:pPr>
      <w:r w:rsidRPr="00581D40">
        <w:t>c)</w:t>
      </w:r>
      <w:r w:rsidRPr="00581D40">
        <w:tab/>
        <w:t>Para el Comité de Aplicación y Cumplimiento, el presupuesto aprobado de 2019 permite una reunión; sin embargo, en vista de los debates celebrados y los planes formulados por el Comité en su</w:t>
      </w:r>
      <w:r w:rsidR="00A51718" w:rsidRPr="00581D40">
        <w:t> </w:t>
      </w:r>
      <w:r w:rsidRPr="00581D40">
        <w:t>primera reunión</w:t>
      </w:r>
      <w:r w:rsidRPr="00581D40">
        <w:rPr>
          <w:vertAlign w:val="superscript"/>
        </w:rPr>
        <w:footnoteReference w:id="3"/>
      </w:r>
      <w:r w:rsidRPr="00581D40">
        <w:t>, la Secretaría prevé dos reuniones. En consecuencia, el presupuesto se ha aumentado a</w:t>
      </w:r>
      <w:r w:rsidR="00A51718" w:rsidRPr="00581D40">
        <w:t> </w:t>
      </w:r>
      <w:r w:rsidRPr="00581D40">
        <w:t>50.000 dólares;</w:t>
      </w:r>
    </w:p>
    <w:p w14:paraId="2968B38C" w14:textId="5B9BD967" w:rsidR="00B82C45" w:rsidRPr="00581D40" w:rsidRDefault="00B82C45" w:rsidP="00581D40">
      <w:pPr>
        <w:pStyle w:val="Normalnumber"/>
        <w:numPr>
          <w:ilvl w:val="0"/>
          <w:numId w:val="0"/>
        </w:numPr>
        <w:ind w:left="1247" w:firstLine="624"/>
      </w:pPr>
      <w:r w:rsidRPr="00581D40">
        <w:t>d)</w:t>
      </w:r>
      <w:r w:rsidRPr="00581D40">
        <w:tab/>
        <w:t>Con respecto a la partida A del presupuesto, se invita a la Conferencia de las Partes a aprobar l</w:t>
      </w:r>
      <w:r w:rsidR="00960C45" w:rsidRPr="00581D40">
        <w:t>as asignaciones de l</w:t>
      </w:r>
      <w:r w:rsidRPr="00581D40">
        <w:t xml:space="preserve">os ahorros en los costos directos de conferencias </w:t>
      </w:r>
      <w:r w:rsidR="00DB5CB3" w:rsidRPr="00581D40">
        <w:t>para</w:t>
      </w:r>
      <w:r w:rsidRPr="00581D40">
        <w:t xml:space="preserve"> apoyar a los países en desarrollo y los países con economías en transición que estén en proceso de ratificación o adhesión, o en proceso de adopción y aplicación de las directrices y otros documentos de orientación aprobados por la Conferencia de las Partes, aunque aún no sean Partes en el Convenio;</w:t>
      </w:r>
    </w:p>
    <w:p w14:paraId="30BCC90B" w14:textId="77777777" w:rsidR="00B82C45" w:rsidRPr="00581D40" w:rsidRDefault="00B82C45" w:rsidP="00581D40">
      <w:pPr>
        <w:pStyle w:val="Normalnumber"/>
        <w:numPr>
          <w:ilvl w:val="0"/>
          <w:numId w:val="0"/>
        </w:numPr>
        <w:ind w:left="1247" w:firstLine="624"/>
      </w:pPr>
      <w:r w:rsidRPr="00581D40">
        <w:t>e)</w:t>
      </w:r>
      <w:r w:rsidRPr="00581D40">
        <w:tab/>
        <w:t>Bajo el epígrafe D: Gestión de los conocimientos y la información y actividades de divulgación. El presupuesto aprobado de 2019 asigna 50.000 dólares a estas actividades. Sin embargo, aún no se han iniciado las actividades previstas para 2018, para las que se presupuestaron 100.000 dólares, ya que no se han cubierto los puestos correspondientes. Se espera que la contratación concluya en 2019, por lo que las actividades previstas para 2018 se han aplazado hasta el año siguiente. En consecuencia, el presupuesto de 2019 se ha aumentado a 150.000 dólares;</w:t>
      </w:r>
    </w:p>
    <w:p w14:paraId="557973E6" w14:textId="77777777" w:rsidR="00B82C45" w:rsidRPr="00581D40" w:rsidRDefault="00B82C45" w:rsidP="00581D40">
      <w:pPr>
        <w:pStyle w:val="Normalnumber"/>
        <w:numPr>
          <w:ilvl w:val="0"/>
          <w:numId w:val="0"/>
        </w:numPr>
        <w:ind w:left="1247" w:firstLine="624"/>
      </w:pPr>
      <w:r w:rsidRPr="00581D40">
        <w:t>f)</w:t>
      </w:r>
      <w:r w:rsidRPr="00581D40">
        <w:tab/>
        <w:t xml:space="preserve">Bajo el epígrafe F: Actividades jurídicas y normativas. Dado que el Convenio es nuevo y el objetivo es lograr la adhesión universal </w:t>
      </w:r>
      <w:r w:rsidR="00857B05" w:rsidRPr="00581D40">
        <w:t>–</w:t>
      </w:r>
      <w:r w:rsidRPr="00581D40">
        <w:t>varios países se preparan para su ratificación o adhesión</w:t>
      </w:r>
      <w:r w:rsidR="00857B05" w:rsidRPr="00581D40">
        <w:t>–</w:t>
      </w:r>
      <w:r w:rsidRPr="00581D40">
        <w:t xml:space="preserve"> y también permitir el acceso a los fondos necesarios para aplicarlo, la Secretaría está tratando que la Conferencia de las Partes, en esta primera etapa, convenga en destinar 150.000 dólares en 2019 al apoyo a los procesos de ratificación y adhesión y la adopción y aplicación de las directrices y otros documentos de orientación aprobados por la Conferencia de las Partes, en particular para los países que aún están en proceso de convertirse en Partes pero ya han iniciado la labor de aprobación y aplicación.</w:t>
      </w:r>
    </w:p>
    <w:p w14:paraId="2F6034A5" w14:textId="6F0FB0A9" w:rsidR="00B82C45" w:rsidRPr="00581D40" w:rsidDel="00A463A9" w:rsidRDefault="00B82C45" w:rsidP="00582959">
      <w:pPr>
        <w:pStyle w:val="Normalnumber"/>
        <w:numPr>
          <w:ilvl w:val="0"/>
          <w:numId w:val="6"/>
        </w:numPr>
        <w:tabs>
          <w:tab w:val="clear" w:pos="1134"/>
        </w:tabs>
        <w:spacing w:before="120"/>
      </w:pPr>
      <w:r w:rsidRPr="00581D40">
        <w:t>La inclusión de 238.000 dólares en el presupuesto de 2019 del Fondo Fiduciario Especial para actividades científicas y técnicas se financia con una contribución del Japón</w:t>
      </w:r>
      <w:r w:rsidR="00231473" w:rsidRPr="00581D40">
        <w:t>, como se refleja en términos numéricos en el cuadro anterior bajo el acápite C</w:t>
      </w:r>
      <w:r w:rsidRPr="00581D40">
        <w:t xml:space="preserve">. </w:t>
      </w:r>
    </w:p>
    <w:p w14:paraId="18D05B9C" w14:textId="2ECA1599" w:rsidR="00B82C45" w:rsidRPr="00581D40" w:rsidRDefault="00B82C45" w:rsidP="00582959">
      <w:pPr>
        <w:pStyle w:val="Normalnumber"/>
        <w:numPr>
          <w:ilvl w:val="0"/>
          <w:numId w:val="6"/>
        </w:numPr>
        <w:tabs>
          <w:tab w:val="clear" w:pos="1134"/>
        </w:tabs>
        <w:spacing w:before="120"/>
      </w:pPr>
      <w:r w:rsidRPr="00581D40">
        <w:t>La Secretaría ha preparado una ficha descriptiva del programa de trabajo y el presupuesto que</w:t>
      </w:r>
      <w:r w:rsidR="003033ED" w:rsidRPr="00581D40">
        <w:t> </w:t>
      </w:r>
      <w:r w:rsidRPr="00581D40">
        <w:t>ofrece más información sobre la labor prevista para 2019, lo que incluye el mandato, las actividades</w:t>
      </w:r>
      <w:r w:rsidR="003033ED" w:rsidRPr="00581D40">
        <w:t> </w:t>
      </w:r>
      <w:r w:rsidRPr="00581D40">
        <w:t>los</w:t>
      </w:r>
      <w:r w:rsidR="003033ED" w:rsidRPr="00581D40">
        <w:t> </w:t>
      </w:r>
      <w:r w:rsidRPr="00581D40">
        <w:t>productos, los costos relativos a las actividades específicas y el tiempo empleado</w:t>
      </w:r>
      <w:r w:rsidR="003033ED" w:rsidRPr="00581D40">
        <w:t> </w:t>
      </w:r>
      <w:r w:rsidRPr="00581D40">
        <w:t>por el</w:t>
      </w:r>
      <w:r w:rsidR="003033ED" w:rsidRPr="00581D40">
        <w:t> </w:t>
      </w:r>
      <w:r w:rsidRPr="00581D40">
        <w:t>personal respecto de cada partida del presupuesto. La ficha figura en el anexo del documento UNEP/MC/COP.2/INF/9.</w:t>
      </w:r>
      <w:r w:rsidR="00B25375" w:rsidRPr="00581D40">
        <w:t xml:space="preserve"> </w:t>
      </w:r>
    </w:p>
    <w:p w14:paraId="0C5735F5" w14:textId="19AB4C53" w:rsidR="00B82C45" w:rsidRPr="00581D40" w:rsidRDefault="00B82C45" w:rsidP="00582959">
      <w:pPr>
        <w:pStyle w:val="Normalnumber"/>
        <w:numPr>
          <w:ilvl w:val="0"/>
          <w:numId w:val="6"/>
        </w:numPr>
        <w:tabs>
          <w:tab w:val="clear" w:pos="1134"/>
        </w:tabs>
        <w:spacing w:before="120"/>
      </w:pPr>
      <w:r w:rsidRPr="00581D40">
        <w:t>La Secretaría prevé que los ahorros realizados en 2018 sufragar</w:t>
      </w:r>
      <w:r w:rsidR="00231473" w:rsidRPr="00581D40">
        <w:t>án</w:t>
      </w:r>
      <w:r w:rsidRPr="00581D40">
        <w:t xml:space="preserve"> las actividades adicionales que se reflejan en las estimaciones actualizadas de los costos correspondientes a 2019. De ese</w:t>
      </w:r>
      <w:r w:rsidR="003033ED" w:rsidRPr="00581D40">
        <w:t> </w:t>
      </w:r>
      <w:r w:rsidRPr="00581D40">
        <w:t>modo, no será necesario que las Partes añadan más fondos a sus contribuciones al Fondo Fiduciario General para 2019.</w:t>
      </w:r>
    </w:p>
    <w:p w14:paraId="08BDBA05" w14:textId="1C154795" w:rsidR="00B82C45" w:rsidRPr="00581D40" w:rsidRDefault="00B82C45" w:rsidP="00582959">
      <w:pPr>
        <w:pStyle w:val="Normalnumber"/>
        <w:numPr>
          <w:ilvl w:val="0"/>
          <w:numId w:val="6"/>
        </w:numPr>
        <w:tabs>
          <w:tab w:val="clear" w:pos="1134"/>
        </w:tabs>
        <w:spacing w:before="120"/>
      </w:pPr>
      <w:r w:rsidRPr="00581D40">
        <w:t>En el anexo II de la presente nota figura la escala indicativa de cuotas del Fondo Fiduciario</w:t>
      </w:r>
      <w:r w:rsidR="00B63D26">
        <w:t> </w:t>
      </w:r>
      <w:r w:rsidRPr="00581D40">
        <w:t>General</w:t>
      </w:r>
      <w:r w:rsidRPr="00581D40">
        <w:rPr>
          <w:rStyle w:val="Appelnotedebasdep"/>
          <w:rFonts w:eastAsia="Cambria"/>
          <w:vertAlign w:val="superscript"/>
        </w:rPr>
        <w:footnoteReference w:id="4"/>
      </w:r>
      <w:r w:rsidRPr="00581D40">
        <w:t>.</w:t>
      </w:r>
    </w:p>
    <w:p w14:paraId="71960643" w14:textId="77777777" w:rsidR="00B82C45" w:rsidRPr="00581D40" w:rsidRDefault="00B82C45" w:rsidP="00B82C45">
      <w:pPr>
        <w:pStyle w:val="CH2"/>
      </w:pPr>
      <w:r w:rsidRPr="00581D40">
        <w:tab/>
        <w:t>IV.</w:t>
      </w:r>
      <w:r w:rsidRPr="00581D40">
        <w:tab/>
      </w:r>
      <w:r w:rsidRPr="00581D40">
        <w:rPr>
          <w:bCs/>
        </w:rPr>
        <w:t>Cuestiones financieras para una ejecución eficaz</w:t>
      </w:r>
      <w:r w:rsidRPr="00581D40">
        <w:t xml:space="preserve"> </w:t>
      </w:r>
    </w:p>
    <w:p w14:paraId="237B3E3D" w14:textId="77777777" w:rsidR="00B82C45" w:rsidRPr="00581D40" w:rsidRDefault="00B82C45" w:rsidP="00582959">
      <w:pPr>
        <w:pStyle w:val="Normalnumber"/>
        <w:numPr>
          <w:ilvl w:val="0"/>
          <w:numId w:val="6"/>
        </w:numPr>
        <w:tabs>
          <w:tab w:val="clear" w:pos="1134"/>
        </w:tabs>
        <w:spacing w:before="120"/>
      </w:pPr>
      <w:r w:rsidRPr="00581D40">
        <w:t xml:space="preserve">En aras de una ejecución eficaz de la labor de la Secretaría del Convenio de Minamata, también se señalan a la atención de la Conferencia de las Partes las cuestiones siguientes: </w:t>
      </w:r>
    </w:p>
    <w:p w14:paraId="4A0F746A" w14:textId="3FD9CCFF" w:rsidR="00B82C45" w:rsidRPr="00581D40" w:rsidRDefault="00B82C45" w:rsidP="00582959">
      <w:pPr>
        <w:pStyle w:val="Normalnumber"/>
        <w:numPr>
          <w:ilvl w:val="0"/>
          <w:numId w:val="6"/>
        </w:numPr>
        <w:tabs>
          <w:tab w:val="clear" w:pos="1134"/>
        </w:tabs>
        <w:spacing w:before="120"/>
      </w:pPr>
      <w:r w:rsidRPr="00581D40">
        <w:t xml:space="preserve">En primer lugar, en cuanto a la cuestión de las Normas Internacionales de Contabilidad del Sector Público (IPSAS), las Naciones Unidas y, por tanto, el Programa de las Naciones Unidas para el Medio Ambiente, aprobaron las IPSAS con efecto a partir del 1 de enero de 2014. Umoja, el sistema de planificación de los recursos institucionales implantado en junio de 2015 está concebido para apoyar el cumplimiento de las IPSAS. En este sentido, Umoja impone un sistema estricto de gestión de la liquidez, que se aplica tanto a las cuotas como a las contribuciones voluntarias. Los fondos solo pueden desembolsarse cuando estén disponibles en caja. Por tanto, la aplicación está vinculada directamente con la recepción en efectivo de las contribuciones prometidas. Las operaciones de la Secretaría del Convenio de </w:t>
      </w:r>
      <w:r w:rsidRPr="00581D40">
        <w:lastRenderedPageBreak/>
        <w:t xml:space="preserve">Minamata observan plenamente los requisitos de las IPSAS. Hasta la fecha, la pronta disponibilidad de efectivo en 2018 ha sido de enorme ayuda para las operaciones de la Secretaría. La Conferencia de las Partes debe tomar debida nota de la cuantía de las contribuciones y sus fechas de entrega para que la Secretaría funcione con eficacia. </w:t>
      </w:r>
    </w:p>
    <w:p w14:paraId="4DF1E092" w14:textId="77777777" w:rsidR="00B82C45" w:rsidRPr="00581D40" w:rsidRDefault="00B82C45" w:rsidP="00582959">
      <w:pPr>
        <w:pStyle w:val="Normalnumber"/>
        <w:numPr>
          <w:ilvl w:val="0"/>
          <w:numId w:val="6"/>
        </w:numPr>
        <w:tabs>
          <w:tab w:val="clear" w:pos="1134"/>
        </w:tabs>
        <w:spacing w:before="120"/>
      </w:pPr>
      <w:r w:rsidRPr="00581D40">
        <w:t>En segundo lugar, sobre la cuestión de la reserva operacional del Convenio, la Junta de Auditores de las Naciones Unidas ha recomendado que todos los acuerdos ambientales multilaterales, los convenios y los programas de convenios sobre los mares regionales establezcan una reserva operacional (reserva para el capital de operaciones) del 15% para amortiguar la irregularidad de los flujos de efectivo y las fluctuaciones presupuestarias imprevistas. Al aprobar la reglamentación financiera del Convenio, la Conferencia de las Partes decidió mantener esa reserva en el Fondo Fiduciario General, según lo dispuesto en el párrafo 2 del artículo 4. En el párrafo 4 de la decisión MC-1/15, la Conferencia de las Partes decidió empezar a constituir la reserva operacional de forma que represente el 15% del promedio anual del presupuesto operativo bienal antes de 2021, y fijó un 7,5% como objetivo para el bienio 2018-2019. Gracias a las importantes contribuciones recibidas en el Fondo Fiduciario General y al ahorro resultante de</w:t>
      </w:r>
      <w:r w:rsidR="002C2CCB" w:rsidRPr="00581D40">
        <w:t> </w:t>
      </w:r>
      <w:r w:rsidRPr="00581D40">
        <w:t>unos gastos en puestos de personal de la Secretaría inferiores a lo previsto, la Secretaría se complace en señalar que ya se ha alcanzado toda la cantidad requerida para la reserva operacional del Convenio. Para</w:t>
      </w:r>
      <w:r w:rsidR="002C2CCB" w:rsidRPr="00581D40">
        <w:t> </w:t>
      </w:r>
      <w:r w:rsidRPr="00581D40">
        <w:t>2018, la reserva operacional asciende a 587.479 dólares, lo que representa el 15% del promedio anual del presupuesto operativo bienal. En la actualidad no se necesitan más fondos para la reserva. En los próximos bienios, la Conferencia de las Partes tendrá que seguir vigilando el nivel de la reserva operacional respecto del presupuesto aprobado para el Fondo Fiduciario General a fin de que se mantenga</w:t>
      </w:r>
      <w:r w:rsidR="00857B05" w:rsidRPr="00581D40">
        <w:t> </w:t>
      </w:r>
      <w:r w:rsidRPr="00581D40">
        <w:t>en el 15%.</w:t>
      </w:r>
    </w:p>
    <w:p w14:paraId="5341279D" w14:textId="77777777" w:rsidR="00B82C45" w:rsidRPr="00581D40" w:rsidRDefault="00B82C45" w:rsidP="00582959">
      <w:pPr>
        <w:pStyle w:val="Normalnumber"/>
        <w:numPr>
          <w:ilvl w:val="0"/>
          <w:numId w:val="6"/>
        </w:numPr>
        <w:tabs>
          <w:tab w:val="clear" w:pos="1134"/>
        </w:tabs>
        <w:spacing w:before="120"/>
      </w:pPr>
      <w:r w:rsidRPr="00581D40">
        <w:t xml:space="preserve">En tercer lugar, con respecto a los recursos de apoyo a los programas, de conformidad con las resoluciones pertinentes de la Asamblea General, hay que pagar a las Naciones Unidas un cargo del 13% para costos de apoyo a los programas a fin de sufragar los gastos adicionales que conlleva el apoyo a las actividades financiadas mediante contribuciones. En consonancia con la práctica establecida para el uso de los recursos de apoyo a los programas, el Programa de las Naciones Unidas para el Medio Ambiente dará una asignación anual al Convenio para ayudar a cubrir los costos de los servicios de apoyo. El Convenio recibirá la asignación el año siguiente a la generación de los fondos. Se estima que con los recursos de apoyo a los programas asignados al Convenio se cubrirá el costo del Oficial Administrativo (P-3) y de un Auxiliar de Finanzas (personal del Cuadro de Servicios Generales). El Oficial Administrativo prestará servicios de administración, gestión de fondos, servicios financieros y apoyo logístico a la Secretaría. Los gastos de apoyo a los programas no se cargarán a los fondos recaudados para la participación de los delegados de países en desarrollo y países con economías en transición. </w:t>
      </w:r>
    </w:p>
    <w:p w14:paraId="0599A56E" w14:textId="77777777" w:rsidR="00B82C45" w:rsidRPr="00581D40" w:rsidRDefault="00B82C45" w:rsidP="00B82C45">
      <w:pPr>
        <w:pStyle w:val="CH1"/>
        <w:keepNext w:val="0"/>
        <w:keepLines w:val="0"/>
        <w:rPr>
          <w:b w:val="0"/>
        </w:rPr>
      </w:pPr>
      <w:r w:rsidRPr="00581D40">
        <w:tab/>
        <w:t>V.</w:t>
      </w:r>
      <w:r w:rsidRPr="00581D40">
        <w:tab/>
      </w:r>
      <w:r w:rsidRPr="00581D40">
        <w:rPr>
          <w:bCs/>
        </w:rPr>
        <w:t>Medida que se propone</w:t>
      </w:r>
    </w:p>
    <w:p w14:paraId="726C15F2" w14:textId="2FC9371A" w:rsidR="00B82C45" w:rsidRPr="00581D40" w:rsidRDefault="00B82C45" w:rsidP="00582959">
      <w:pPr>
        <w:pStyle w:val="Normalnumber"/>
        <w:numPr>
          <w:ilvl w:val="0"/>
          <w:numId w:val="6"/>
        </w:numPr>
        <w:tabs>
          <w:tab w:val="clear" w:pos="1134"/>
        </w:tabs>
        <w:spacing w:before="120"/>
        <w:rPr>
          <w:bCs/>
        </w:rPr>
      </w:pPr>
      <w:r w:rsidRPr="00581D40">
        <w:t>A la luz de la decisión MC-1/15 y tras examinar la información expuesta en la presente nota y la información adicional facilitada en la ficha descriptiva del programa de trabajo y el presupuesto (UNEP/MC/COP.</w:t>
      </w:r>
      <w:r w:rsidR="00231473" w:rsidRPr="00581D40">
        <w:t>2/</w:t>
      </w:r>
      <w:r w:rsidRPr="00581D40">
        <w:t>INF</w:t>
      </w:r>
      <w:r w:rsidR="00231473" w:rsidRPr="00581D40">
        <w:t>/</w:t>
      </w:r>
      <w:r w:rsidRPr="00581D40">
        <w:t xml:space="preserve">9), la Conferencia de las Partes tal vez deseará adoptar una decisión del tenor del proyecto de decisión que se reproduce en el anexo I de la presente nota. </w:t>
      </w:r>
    </w:p>
    <w:p w14:paraId="3792CC77" w14:textId="77777777" w:rsidR="00B82C45" w:rsidRPr="00581D40" w:rsidRDefault="00B82C45" w:rsidP="00B82C45">
      <w:pPr>
        <w:tabs>
          <w:tab w:val="clear" w:pos="1247"/>
          <w:tab w:val="clear" w:pos="1814"/>
          <w:tab w:val="clear" w:pos="2381"/>
          <w:tab w:val="clear" w:pos="2948"/>
          <w:tab w:val="clear" w:pos="3515"/>
        </w:tabs>
        <w:rPr>
          <w:sz w:val="28"/>
          <w:szCs w:val="28"/>
        </w:rPr>
        <w:sectPr w:rsidR="00B82C45" w:rsidRPr="00581D40" w:rsidSect="00B82C45">
          <w:headerReference w:type="even" r:id="rId10"/>
          <w:headerReference w:type="default" r:id="rId11"/>
          <w:footerReference w:type="even" r:id="rId12"/>
          <w:footerReference w:type="default" r:id="rId13"/>
          <w:headerReference w:type="first" r:id="rId14"/>
          <w:footerReference w:type="first" r:id="rId15"/>
          <w:pgSz w:w="11906" w:h="16838" w:code="9"/>
          <w:pgMar w:top="907" w:right="992" w:bottom="1418" w:left="1080" w:header="539" w:footer="975" w:gutter="0"/>
          <w:cols w:space="539"/>
          <w:titlePg/>
          <w:docGrid w:linePitch="360"/>
        </w:sectPr>
      </w:pPr>
    </w:p>
    <w:p w14:paraId="15BACC45" w14:textId="77777777" w:rsidR="00B82C45" w:rsidRPr="00581D40" w:rsidRDefault="00B82C45" w:rsidP="00B82C45">
      <w:pPr>
        <w:pStyle w:val="ZZAnxheader"/>
      </w:pPr>
      <w:r w:rsidRPr="00581D40">
        <w:lastRenderedPageBreak/>
        <w:t>Anexo I</w:t>
      </w:r>
    </w:p>
    <w:p w14:paraId="3A3B4124" w14:textId="77777777" w:rsidR="00B82C45" w:rsidRPr="00581D40" w:rsidRDefault="00B82C45" w:rsidP="00B82C45">
      <w:pPr>
        <w:pStyle w:val="ZZAnxtitle"/>
      </w:pPr>
      <w:r w:rsidRPr="00581D40">
        <w:t xml:space="preserve">Proyecto de decisión MC-2[XX]: Información actualizada sobre el programa de trabajo y el presupuesto para el bienio 2018-2019 </w:t>
      </w:r>
    </w:p>
    <w:p w14:paraId="0E3EE643" w14:textId="77777777" w:rsidR="00B82C45" w:rsidRPr="00581D40" w:rsidRDefault="00B82C45" w:rsidP="00B82C45">
      <w:pPr>
        <w:pStyle w:val="Normal-pool"/>
        <w:spacing w:after="120"/>
        <w:ind w:left="1247" w:firstLine="624"/>
        <w:rPr>
          <w:i/>
        </w:rPr>
      </w:pPr>
      <w:r w:rsidRPr="00581D40">
        <w:rPr>
          <w:i/>
          <w:iCs/>
        </w:rPr>
        <w:t>La Conferencia de las Partes,</w:t>
      </w:r>
      <w:r w:rsidRPr="00581D40">
        <w:t xml:space="preserve"> </w:t>
      </w:r>
    </w:p>
    <w:p w14:paraId="1E144633" w14:textId="77777777" w:rsidR="00B82C45" w:rsidRPr="00581D40" w:rsidRDefault="00B82C45" w:rsidP="00B82C45">
      <w:pPr>
        <w:pStyle w:val="Normal-pool"/>
        <w:widowControl w:val="0"/>
        <w:spacing w:after="120"/>
        <w:ind w:left="1247" w:firstLine="624"/>
        <w:rPr>
          <w:i/>
          <w:iCs/>
        </w:rPr>
      </w:pPr>
      <w:r w:rsidRPr="00581D40">
        <w:rPr>
          <w:i/>
          <w:iCs/>
        </w:rPr>
        <w:t>Recordando</w:t>
      </w:r>
      <w:r w:rsidRPr="00581D40">
        <w:t xml:space="preserve"> su decisión MC-1/15, relativa al programa de trabajo de la Secretaría y el proyecto de presupuesto para el bienio 2018-2019,</w:t>
      </w:r>
    </w:p>
    <w:p w14:paraId="0AD5CC4D" w14:textId="77777777" w:rsidR="00B82C45" w:rsidRPr="00581D40" w:rsidRDefault="00B82C45" w:rsidP="00B82C45">
      <w:pPr>
        <w:pStyle w:val="Normal-pool"/>
        <w:widowControl w:val="0"/>
        <w:spacing w:after="120"/>
        <w:ind w:left="1247" w:firstLine="624"/>
      </w:pPr>
      <w:r w:rsidRPr="00581D40">
        <w:rPr>
          <w:i/>
          <w:iCs/>
        </w:rPr>
        <w:t>Acogiendo con beneplácito</w:t>
      </w:r>
      <w:r w:rsidRPr="00581D40">
        <w:t xml:space="preserve"> la contribución anual de Suiza, país anfitrión de la Secretaría, de un millón de francos suizos, el 60% de los cuales se asigna al Fondo Fiduciario General y el 40% al Fondo Fiduciario Especial al que se otorgue prioridad para apoyar la participación de representantes de los países en desarrollo en las reuniones de la Conferencia de las Partes,</w:t>
      </w:r>
    </w:p>
    <w:p w14:paraId="470B5B2C" w14:textId="77777777" w:rsidR="00B82C45" w:rsidRPr="00581D40" w:rsidRDefault="00B82C45" w:rsidP="00B82C45">
      <w:pPr>
        <w:pStyle w:val="Normal-pool"/>
        <w:widowControl w:val="0"/>
        <w:spacing w:after="120"/>
        <w:ind w:left="1247" w:firstLine="624"/>
      </w:pPr>
      <w:r w:rsidRPr="00581D40">
        <w:rPr>
          <w:i/>
          <w:iCs/>
        </w:rPr>
        <w:t>Acogiendo con beneplácito también</w:t>
      </w:r>
      <w:r w:rsidRPr="00581D40">
        <w:t xml:space="preserve"> la elevada tasa de contribuciones pagadas por [XX] [actualizar a la fecha de la segunda Conferencia de las Partes] Partes al Fondo Fiduciario General,</w:t>
      </w:r>
    </w:p>
    <w:p w14:paraId="19B57F7A" w14:textId="77777777" w:rsidR="00B82C45" w:rsidRPr="00581D40" w:rsidRDefault="00B82C45" w:rsidP="00B82C45">
      <w:pPr>
        <w:pStyle w:val="Normal-pool"/>
        <w:widowControl w:val="0"/>
        <w:spacing w:after="120"/>
        <w:ind w:left="1247" w:firstLine="624"/>
      </w:pPr>
      <w:r w:rsidRPr="00581D40">
        <w:rPr>
          <w:i/>
          <w:iCs/>
        </w:rPr>
        <w:t>Acogiendo con beneplácito además</w:t>
      </w:r>
      <w:r w:rsidRPr="00581D40">
        <w:t xml:space="preserve"> el hecho de que las cuantiosas contribuciones recibidas y los ahorros realizados en 2018 han permitido el establecimiento inmediato de toda la reserva operacional del Convenio en el Fondo Fiduciario General,</w:t>
      </w:r>
    </w:p>
    <w:p w14:paraId="62E832A6" w14:textId="77777777" w:rsidR="00B82C45" w:rsidRPr="00581D40" w:rsidRDefault="00B82C45" w:rsidP="00B82C45">
      <w:pPr>
        <w:pStyle w:val="Normal-pool"/>
        <w:widowControl w:val="0"/>
        <w:spacing w:after="120"/>
        <w:ind w:left="1247" w:firstLine="624"/>
      </w:pPr>
      <w:r w:rsidRPr="00581D40">
        <w:rPr>
          <w:i/>
          <w:iCs/>
        </w:rPr>
        <w:t>Reconociendo con aprecio</w:t>
      </w:r>
      <w:r w:rsidRPr="00581D40">
        <w:t xml:space="preserve"> las contribuciones y promesas de contribuciones al Fondo Fiduciario Especial hechas por Austria, Filipinas, Finlandia, Francia, el Japón, Noruega, Suecia, Suiza y la Unión Europea [actualizar a la fecha de la segunda Conferencia de las Partes]</w:t>
      </w:r>
      <w:r w:rsidR="00857B05" w:rsidRPr="00581D40">
        <w:t>,</w:t>
      </w:r>
      <w:r w:rsidRPr="00581D40">
        <w:t xml:space="preserve"> </w:t>
      </w:r>
    </w:p>
    <w:p w14:paraId="00EC0784" w14:textId="77777777" w:rsidR="00B82C45" w:rsidRPr="00581D40" w:rsidRDefault="00B82C45" w:rsidP="00B82C45">
      <w:pPr>
        <w:pStyle w:val="Normal-pool"/>
        <w:widowControl w:val="0"/>
        <w:spacing w:after="120"/>
        <w:ind w:left="1247" w:firstLine="624"/>
      </w:pPr>
      <w:r w:rsidRPr="00581D40">
        <w:rPr>
          <w:i/>
          <w:iCs/>
        </w:rPr>
        <w:t>Reconociendo con aprecio también</w:t>
      </w:r>
      <w:r w:rsidRPr="00581D40">
        <w:t xml:space="preserve"> las contribuciones y promesas de contribuciones al Fondo Fiduciario Específico hechas por Alemania, Austria, Dinamarca, los Estados Unidos de América, Noruega, los Países Bajos, el Reino Unido de Gran Bretaña e Irlanda del Norte y Suecia [actualizar a la fecha de la segunda Conferencia de las Partes]</w:t>
      </w:r>
      <w:r w:rsidR="002C2CCB" w:rsidRPr="00581D40">
        <w:t>,</w:t>
      </w:r>
    </w:p>
    <w:p w14:paraId="79E8F411" w14:textId="77777777" w:rsidR="00B82C45" w:rsidRPr="00581D40" w:rsidRDefault="00B82C45" w:rsidP="00B82C45">
      <w:pPr>
        <w:pStyle w:val="Normal-pool"/>
        <w:widowControl w:val="0"/>
        <w:spacing w:after="120"/>
        <w:ind w:left="1247" w:firstLine="624"/>
      </w:pPr>
      <w:r w:rsidRPr="00581D40">
        <w:rPr>
          <w:i/>
          <w:iCs/>
        </w:rPr>
        <w:t>Toma nota</w:t>
      </w:r>
      <w:r w:rsidRPr="00581D40">
        <w:t xml:space="preserve"> de su solicitud, dirigida a la Secretaria Ejecutiva en la decisión MC-1/15, sobre la elaboración de un presupuesto para el bienio 2020-2021 para su examen por la Conferencia de las Partes en su tercera reunión, que se celebrará en 2019,</w:t>
      </w:r>
    </w:p>
    <w:p w14:paraId="78E83B51" w14:textId="77777777" w:rsidR="00B82C45" w:rsidRPr="00581D40" w:rsidRDefault="00B82C45" w:rsidP="002C2CCB">
      <w:pPr>
        <w:pStyle w:val="Normal-pool"/>
        <w:widowControl w:val="0"/>
        <w:spacing w:after="120"/>
        <w:ind w:left="1247"/>
        <w:jc w:val="center"/>
        <w:rPr>
          <w:b/>
          <w:bCs/>
        </w:rPr>
      </w:pPr>
      <w:r w:rsidRPr="00581D40">
        <w:rPr>
          <w:b/>
          <w:bCs/>
        </w:rPr>
        <w:t>I</w:t>
      </w:r>
      <w:r w:rsidRPr="00581D40">
        <w:t xml:space="preserve"> </w:t>
      </w:r>
    </w:p>
    <w:p w14:paraId="003883A6" w14:textId="77777777" w:rsidR="00B82C45" w:rsidRPr="00581D40" w:rsidRDefault="00B82C45" w:rsidP="002C2CCB">
      <w:pPr>
        <w:pStyle w:val="Normal-pool"/>
        <w:widowControl w:val="0"/>
        <w:spacing w:after="120"/>
        <w:ind w:left="1247"/>
        <w:jc w:val="center"/>
        <w:rPr>
          <w:b/>
          <w:bCs/>
        </w:rPr>
      </w:pPr>
      <w:r w:rsidRPr="00581D40">
        <w:rPr>
          <w:b/>
          <w:bCs/>
        </w:rPr>
        <w:t>Fondo Fiduciario General del Convenio de Minamata sobre el Mercurio</w:t>
      </w:r>
    </w:p>
    <w:p w14:paraId="131F161A" w14:textId="77777777" w:rsidR="00B82C45" w:rsidRPr="00581D40" w:rsidRDefault="00B82C45" w:rsidP="00582959">
      <w:pPr>
        <w:pStyle w:val="Normalnumber"/>
        <w:numPr>
          <w:ilvl w:val="0"/>
          <w:numId w:val="7"/>
        </w:numPr>
        <w:tabs>
          <w:tab w:val="left" w:pos="1247"/>
          <w:tab w:val="left" w:pos="1814"/>
          <w:tab w:val="left" w:pos="2381"/>
          <w:tab w:val="left" w:pos="2948"/>
          <w:tab w:val="left" w:pos="3515"/>
          <w:tab w:val="left" w:pos="4082"/>
        </w:tabs>
        <w:ind w:firstLine="624"/>
      </w:pPr>
      <w:r w:rsidRPr="00581D40">
        <w:rPr>
          <w:i/>
          <w:iCs/>
        </w:rPr>
        <w:t>Toma nota</w:t>
      </w:r>
      <w:r w:rsidRPr="00581D40">
        <w:t xml:space="preserve"> de la información actualizada ofrecida por la Secretaria Ejecutiva sobre las actividades y los gastos previstos para 2018 por conducto del Fondo Fiduciario General que figura en la nota de la Secretaría sobre el programa de trabajo y el presupuesto para el bienio 2018-2019</w:t>
      </w:r>
      <w:r w:rsidRPr="00581D40">
        <w:rPr>
          <w:rStyle w:val="Appelnotedebasdep"/>
          <w:rFonts w:eastAsia="Cambria"/>
          <w:vertAlign w:val="superscript"/>
        </w:rPr>
        <w:footnoteReference w:id="5"/>
      </w:r>
      <w:r w:rsidRPr="00581D40">
        <w:rPr>
          <w:vertAlign w:val="superscript"/>
        </w:rPr>
        <w:t xml:space="preserve"> </w:t>
      </w:r>
      <w:r w:rsidRPr="00581D40">
        <w:t>y del informe sobre las actividades realizadas por la Secretaría en 2018</w:t>
      </w:r>
      <w:r w:rsidRPr="00581D40">
        <w:rPr>
          <w:rStyle w:val="Appelnotedebasdep"/>
          <w:rFonts w:eastAsia="Cambria"/>
          <w:vertAlign w:val="superscript"/>
        </w:rPr>
        <w:footnoteReference w:id="6"/>
      </w:r>
      <w:r w:rsidRPr="00581D40">
        <w:t>, y toma nota también de la actualización de las estimaciones de los costos propuesta para el presupuesto aprobado de 2019 y de la información adicional que figura en la ficha descriptiva del programa de trabajo y el presupuesto</w:t>
      </w:r>
      <w:r w:rsidRPr="00581D40">
        <w:rPr>
          <w:rStyle w:val="Appelnotedebasdep"/>
          <w:rFonts w:eastAsia="Cambria"/>
          <w:vertAlign w:val="superscript"/>
        </w:rPr>
        <w:footnoteReference w:id="7"/>
      </w:r>
      <w:r w:rsidRPr="00581D40">
        <w:t xml:space="preserve">; </w:t>
      </w:r>
    </w:p>
    <w:p w14:paraId="2A9FB006"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Aprueba</w:t>
      </w:r>
      <w:r w:rsidRPr="00581D40">
        <w:t xml:space="preserve"> el presupuesto actualizado del Fondo Fiduciario General correspondiente a 2019 de</w:t>
      </w:r>
      <w:r w:rsidR="00857B05" w:rsidRPr="00581D40">
        <w:t> </w:t>
      </w:r>
      <w:r w:rsidRPr="00581D40">
        <w:t>[XX] dólares de los Estados Unidos;</w:t>
      </w:r>
    </w:p>
    <w:p w14:paraId="4B30B073"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Aprueba</w:t>
      </w:r>
      <w:r w:rsidRPr="00581D40">
        <w:t xml:space="preserve"> la escala indicativa de cuotas para el prorrateo de los gastos correspondientes a</w:t>
      </w:r>
      <w:r w:rsidR="002C2CCB" w:rsidRPr="00581D40">
        <w:t> </w:t>
      </w:r>
      <w:r w:rsidRPr="00581D40">
        <w:t>2019 que figura en el cuadro [</w:t>
      </w:r>
      <w:r w:rsidR="002C2CCB" w:rsidRPr="00581D40">
        <w:t>XX</w:t>
      </w:r>
      <w:r w:rsidRPr="00581D40">
        <w:t>] de la presente decisión y autoriza a la Secretaria Ejecutiva, de conformidad con el Reglamento Financiero y la Reglamentación Financiera Detallada de las Naciones</w:t>
      </w:r>
      <w:r w:rsidR="00857B05" w:rsidRPr="00581D40">
        <w:t> </w:t>
      </w:r>
      <w:r w:rsidRPr="00581D40">
        <w:t>Unidas, a que ajuste la escala de manera que se incluya a todas las Partes para las cuales el</w:t>
      </w:r>
      <w:r w:rsidR="00857B05" w:rsidRPr="00581D40">
        <w:t> </w:t>
      </w:r>
      <w:r w:rsidRPr="00581D40">
        <w:t xml:space="preserve">Convenio entra en vigor antes del 1 de enero de 2019; </w:t>
      </w:r>
    </w:p>
    <w:p w14:paraId="25EE08C4"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Recuerda</w:t>
      </w:r>
      <w:r w:rsidRPr="00581D40">
        <w:t xml:space="preserve"> que las contribuciones al Fondo Fiduciario General deben pagarse antes del 1 de enero del año para el que se hayan presupuestado, y a más tardar el 31 de diciembre de ese año, y solicita a</w:t>
      </w:r>
      <w:r w:rsidR="00857B05" w:rsidRPr="00581D40">
        <w:t> </w:t>
      </w:r>
      <w:r w:rsidRPr="00581D40">
        <w:t>las Partes que paguen sus contribuciones lo antes posible para que la Secretaría pueda llevar a cabo su</w:t>
      </w:r>
      <w:r w:rsidR="00857B05" w:rsidRPr="00581D40">
        <w:t> </w:t>
      </w:r>
      <w:r w:rsidRPr="00581D40">
        <w:t>labor;</w:t>
      </w:r>
    </w:p>
    <w:p w14:paraId="37D30AA4" w14:textId="77777777" w:rsidR="00B82C45" w:rsidRPr="00581D40" w:rsidRDefault="00B82C45" w:rsidP="0045253F">
      <w:pPr>
        <w:pStyle w:val="Normal-pool"/>
        <w:keepNext/>
        <w:keepLines/>
        <w:widowControl w:val="0"/>
        <w:spacing w:after="120"/>
        <w:ind w:left="1247"/>
        <w:jc w:val="center"/>
        <w:rPr>
          <w:b/>
          <w:bCs/>
        </w:rPr>
      </w:pPr>
      <w:r w:rsidRPr="00581D40">
        <w:rPr>
          <w:b/>
          <w:bCs/>
        </w:rPr>
        <w:lastRenderedPageBreak/>
        <w:t>II</w:t>
      </w:r>
    </w:p>
    <w:p w14:paraId="364BFB56" w14:textId="77777777" w:rsidR="00B82C45" w:rsidRPr="00581D40" w:rsidRDefault="00B82C45" w:rsidP="0045253F">
      <w:pPr>
        <w:pStyle w:val="Normal-pool"/>
        <w:keepNext/>
        <w:keepLines/>
        <w:widowControl w:val="0"/>
        <w:spacing w:after="120"/>
        <w:ind w:left="1247"/>
        <w:jc w:val="center"/>
        <w:rPr>
          <w:b/>
          <w:bCs/>
        </w:rPr>
      </w:pPr>
      <w:r w:rsidRPr="00581D40">
        <w:rPr>
          <w:b/>
          <w:bCs/>
        </w:rPr>
        <w:t>Fondo Fiduciario Especial del Convenio de Minamata sobre el Mercurio</w:t>
      </w:r>
    </w:p>
    <w:p w14:paraId="1BF5F034" w14:textId="77777777" w:rsidR="00B82C45" w:rsidRPr="00581D40" w:rsidRDefault="00B82C45" w:rsidP="00582959">
      <w:pPr>
        <w:pStyle w:val="Normalnumber"/>
        <w:keepNext/>
        <w:keepLines/>
        <w:numPr>
          <w:ilvl w:val="0"/>
          <w:numId w:val="6"/>
        </w:numPr>
        <w:tabs>
          <w:tab w:val="left" w:pos="1247"/>
          <w:tab w:val="left" w:pos="1814"/>
          <w:tab w:val="left" w:pos="2381"/>
          <w:tab w:val="left" w:pos="2948"/>
          <w:tab w:val="left" w:pos="3515"/>
          <w:tab w:val="left" w:pos="4082"/>
        </w:tabs>
        <w:ind w:firstLine="624"/>
      </w:pPr>
      <w:r w:rsidRPr="00581D40">
        <w:rPr>
          <w:i/>
          <w:iCs/>
        </w:rPr>
        <w:t>Toma nota</w:t>
      </w:r>
      <w:r w:rsidRPr="00581D40">
        <w:t xml:space="preserve"> de la información actualizada ofrecida por la Secretaria Ejecutiva sobre las actividades y los gastos previstos para 2018 por conducto del Fondo Fiduciario Especial que figura en la nota de la Secretaría sobre el programa de trabajo y el presupuesto para el bienio 2018-2019</w:t>
      </w:r>
      <w:r w:rsidRPr="00581D40">
        <w:rPr>
          <w:rStyle w:val="Appelnotedebasdep"/>
          <w:rFonts w:eastAsia="Cambria"/>
          <w:vertAlign w:val="superscript"/>
        </w:rPr>
        <w:footnoteReference w:id="8"/>
      </w:r>
      <w:r w:rsidRPr="00581D40">
        <w:t xml:space="preserve"> y del informe sobre las actividades realizadas por la Secretaría en 2018</w:t>
      </w:r>
      <w:r w:rsidRPr="00581D40">
        <w:rPr>
          <w:rStyle w:val="Appelnotedebasdep"/>
          <w:rFonts w:eastAsia="Cambria"/>
          <w:vertAlign w:val="superscript"/>
        </w:rPr>
        <w:footnoteReference w:id="9"/>
      </w:r>
      <w:r w:rsidRPr="00581D40">
        <w:t>, y toma nota también de la actualización de las estimaciones de los costos propuesta para el presupuesto de 2019 y de la información adicional que figura en la ficha descriptiva del programa de trabajo y el presupuesto</w:t>
      </w:r>
      <w:r w:rsidRPr="00581D40">
        <w:rPr>
          <w:rStyle w:val="Appelnotedebasdep"/>
          <w:rFonts w:eastAsia="Cambria"/>
          <w:vertAlign w:val="superscript"/>
        </w:rPr>
        <w:footnoteReference w:id="10"/>
      </w:r>
      <w:r w:rsidRPr="00581D40">
        <w:t>;</w:t>
      </w:r>
    </w:p>
    <w:p w14:paraId="450CCC30"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Da su conformidad</w:t>
      </w:r>
      <w:r w:rsidRPr="00581D40">
        <w:t xml:space="preserve"> a las estimaciones del presupuesto actualizado del Fondo Fiduciario Especial correspondiente a 2019 de [XX] dólares de los Estados Unidos; </w:t>
      </w:r>
    </w:p>
    <w:p w14:paraId="17022A5A"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Solicita</w:t>
      </w:r>
      <w:r w:rsidRPr="00581D40">
        <w:t xml:space="preserve"> a las Partes que hagan contribuciones al Fondo Fiduciario Especial para apoyar las actividades de creación de capacidad y asistencia técnica de la Secretaría del Convenio de Minamata, de conformidad con el artículo 14, e invita a hacer lo propio a los Estados que no sean Partes en el Convenio y otras entidades que estén en condiciones de hacerlo;</w:t>
      </w:r>
    </w:p>
    <w:p w14:paraId="491F7B2A"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Solicita también</w:t>
      </w:r>
      <w:r w:rsidRPr="00581D40">
        <w:t xml:space="preserve"> a las Partes que hagan contribuciones al Fondo Fiduciario Especial para apoyar la participación de representantes de los países en desarrollo en las reuniones de la Conferencia de las Partes y sus órganos subsidiarios, e invita a hacer lo propio a los Estados que no sean Partes en el Convenio y otras entidades que estén en condiciones de hacerlo; </w:t>
      </w:r>
    </w:p>
    <w:p w14:paraId="57C4C423" w14:textId="77777777" w:rsidR="00B82C45" w:rsidRPr="00581D40" w:rsidRDefault="00B82C45" w:rsidP="0045253F">
      <w:pPr>
        <w:pStyle w:val="Normal-pool"/>
        <w:widowControl w:val="0"/>
        <w:spacing w:before="240" w:after="120"/>
        <w:ind w:left="1247"/>
        <w:jc w:val="center"/>
        <w:rPr>
          <w:b/>
          <w:bCs/>
        </w:rPr>
      </w:pPr>
      <w:r w:rsidRPr="00581D40">
        <w:rPr>
          <w:b/>
          <w:bCs/>
        </w:rPr>
        <w:t>III</w:t>
      </w:r>
    </w:p>
    <w:p w14:paraId="32A5504D" w14:textId="77777777" w:rsidR="00B82C45" w:rsidRPr="00581D40" w:rsidRDefault="00B82C45" w:rsidP="0045253F">
      <w:pPr>
        <w:pStyle w:val="Normal-pool"/>
        <w:widowControl w:val="0"/>
        <w:spacing w:after="120"/>
        <w:ind w:left="1247"/>
        <w:jc w:val="center"/>
        <w:rPr>
          <w:b/>
          <w:bCs/>
        </w:rPr>
      </w:pPr>
      <w:r w:rsidRPr="00581D40">
        <w:rPr>
          <w:b/>
          <w:bCs/>
        </w:rPr>
        <w:t>Fondo Fiduciario Específico del Convenio de Minamata sobre el Mercurio</w:t>
      </w:r>
    </w:p>
    <w:p w14:paraId="0B066ECC"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Toma nota</w:t>
      </w:r>
      <w:r w:rsidRPr="00581D40">
        <w:t xml:space="preserve"> del informe general sobre el Programa internacional específico para apoyar la creación de capacidad y la asistencia técnica y el Fondo Fiduciario Específico para esas actividades</w:t>
      </w:r>
      <w:r w:rsidRPr="00581D40">
        <w:rPr>
          <w:rStyle w:val="Appelnotedebasdep"/>
          <w:rFonts w:eastAsia="Cambria"/>
          <w:vertAlign w:val="superscript"/>
        </w:rPr>
        <w:footnoteReference w:id="11"/>
      </w:r>
      <w:r w:rsidRPr="00581D40">
        <w:t xml:space="preserve">; </w:t>
      </w:r>
    </w:p>
    <w:p w14:paraId="10D52CE7"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Invita</w:t>
      </w:r>
      <w:r w:rsidRPr="00581D40">
        <w:t xml:space="preserve"> a las Partes y a los Estados que no sean Partes en el Convenio y otras entidades que estén en condiciones de hacerlo a que hagan contribuciones al Fondo Fiduciario Específico para apoyar las actividades de creación de capacidad y asistencia técnica de conformidad con el artículo 13 del Convenio; </w:t>
      </w:r>
    </w:p>
    <w:p w14:paraId="5D285483" w14:textId="77777777" w:rsidR="00B82C45" w:rsidRPr="00581D40" w:rsidRDefault="00B82C45" w:rsidP="0045253F">
      <w:pPr>
        <w:pStyle w:val="Normal-pool"/>
        <w:widowControl w:val="0"/>
        <w:spacing w:before="240" w:after="120"/>
        <w:ind w:left="1247"/>
        <w:jc w:val="center"/>
        <w:rPr>
          <w:b/>
          <w:bCs/>
        </w:rPr>
      </w:pPr>
      <w:r w:rsidRPr="00581D40">
        <w:rPr>
          <w:b/>
          <w:bCs/>
        </w:rPr>
        <w:t>IV</w:t>
      </w:r>
    </w:p>
    <w:p w14:paraId="6F3F0113" w14:textId="77777777" w:rsidR="00B82C45" w:rsidRPr="00581D40" w:rsidRDefault="00B82C45" w:rsidP="0045253F">
      <w:pPr>
        <w:pStyle w:val="Normal-pool"/>
        <w:widowControl w:val="0"/>
        <w:spacing w:after="120"/>
        <w:ind w:left="1247"/>
        <w:jc w:val="center"/>
        <w:rPr>
          <w:b/>
          <w:bCs/>
        </w:rPr>
      </w:pPr>
      <w:r w:rsidRPr="00581D40">
        <w:rPr>
          <w:b/>
          <w:bCs/>
        </w:rPr>
        <w:t>Preparativos para el bienio 2022-2023</w:t>
      </w:r>
      <w:r w:rsidRPr="00581D40">
        <w:t xml:space="preserve"> </w:t>
      </w:r>
    </w:p>
    <w:p w14:paraId="5F192DC9" w14:textId="77777777" w:rsidR="00B82C45" w:rsidRPr="00581D40" w:rsidRDefault="00B82C45" w:rsidP="00582959">
      <w:pPr>
        <w:pStyle w:val="Normalnumber"/>
        <w:numPr>
          <w:ilvl w:val="0"/>
          <w:numId w:val="6"/>
        </w:numPr>
        <w:tabs>
          <w:tab w:val="left" w:pos="1247"/>
          <w:tab w:val="left" w:pos="1814"/>
          <w:tab w:val="left" w:pos="2381"/>
          <w:tab w:val="left" w:pos="2948"/>
          <w:tab w:val="left" w:pos="3515"/>
          <w:tab w:val="left" w:pos="4082"/>
        </w:tabs>
        <w:ind w:firstLine="624"/>
      </w:pPr>
      <w:r w:rsidRPr="00581D40">
        <w:rPr>
          <w:i/>
          <w:iCs/>
        </w:rPr>
        <w:t>Solicita</w:t>
      </w:r>
      <w:r w:rsidRPr="00581D40">
        <w:t xml:space="preserve"> a la Secretaria Ejecutiva que prepare un presupuesto para el bienio 2022-2023 a fin de que la Conferencia de las Partes lo examine en su cuarta reunión, que se celebrará en 2021. </w:t>
      </w:r>
    </w:p>
    <w:p w14:paraId="63FE69D5" w14:textId="77777777" w:rsidR="00B82C45" w:rsidRPr="00581D40" w:rsidRDefault="00B82C45" w:rsidP="00B82C45">
      <w:pPr>
        <w:pStyle w:val="Normal-pool"/>
        <w:widowControl w:val="0"/>
        <w:spacing w:after="120"/>
        <w:ind w:left="1530"/>
        <w:jc w:val="center"/>
        <w:sectPr w:rsidR="00B82C45" w:rsidRPr="00581D40" w:rsidSect="00B82C45">
          <w:headerReference w:type="even" r:id="rId16"/>
          <w:headerReference w:type="default" r:id="rId17"/>
          <w:footerReference w:type="even" r:id="rId18"/>
          <w:headerReference w:type="first" r:id="rId19"/>
          <w:footerReference w:type="first" r:id="rId20"/>
          <w:footnotePr>
            <w:numRestart w:val="eachSect"/>
          </w:footnotePr>
          <w:pgSz w:w="11906" w:h="16838" w:code="9"/>
          <w:pgMar w:top="907" w:right="992" w:bottom="1418" w:left="1080" w:header="539" w:footer="975" w:gutter="0"/>
          <w:cols w:space="539"/>
          <w:titlePg/>
          <w:docGrid w:linePitch="360"/>
        </w:sectPr>
      </w:pPr>
    </w:p>
    <w:p w14:paraId="322F0D36" w14:textId="77777777" w:rsidR="00B82C45" w:rsidRPr="00581D40" w:rsidRDefault="00B82C45" w:rsidP="00B82C45">
      <w:pPr>
        <w:pStyle w:val="ZZAnxheader"/>
      </w:pPr>
      <w:r w:rsidRPr="00581D40">
        <w:lastRenderedPageBreak/>
        <w:t xml:space="preserve">Anexo II </w:t>
      </w:r>
    </w:p>
    <w:p w14:paraId="521A9B9F" w14:textId="3E819878" w:rsidR="00B82C45" w:rsidRPr="00581D40" w:rsidRDefault="00B82C45" w:rsidP="00581D40">
      <w:pPr>
        <w:pStyle w:val="ZZAnxtitle"/>
        <w:spacing w:after="60"/>
        <w:rPr>
          <w:vertAlign w:val="subscript"/>
        </w:rPr>
      </w:pPr>
      <w:r w:rsidRPr="00581D40">
        <w:t>Escala indicativa de contribuciones al Fondo Fiduciario General en</w:t>
      </w:r>
      <w:r w:rsidR="00857B05" w:rsidRPr="00581D40">
        <w:t> </w:t>
      </w:r>
      <w:r w:rsidRPr="00581D40">
        <w:t>2019</w:t>
      </w:r>
      <w:r w:rsidR="00231473" w:rsidRPr="00581D40">
        <w:t>*</w:t>
      </w:r>
    </w:p>
    <w:p w14:paraId="61D0F5C8" w14:textId="02D2F690" w:rsidR="00B82C45" w:rsidRPr="00581D40" w:rsidRDefault="00B82C45" w:rsidP="00B82C45">
      <w:pPr>
        <w:pStyle w:val="ZZAnxtitle"/>
        <w:spacing w:before="0"/>
        <w:rPr>
          <w:b w:val="0"/>
          <w:sz w:val="18"/>
          <w:szCs w:val="18"/>
        </w:rPr>
      </w:pPr>
      <w:r w:rsidRPr="00581D40">
        <w:rPr>
          <w:b w:val="0"/>
          <w:sz w:val="18"/>
          <w:szCs w:val="18"/>
        </w:rPr>
        <w:t>(</w:t>
      </w:r>
      <w:r w:rsidR="00B63D26">
        <w:rPr>
          <w:b w:val="0"/>
          <w:sz w:val="18"/>
          <w:szCs w:val="18"/>
        </w:rPr>
        <w:t>en d</w:t>
      </w:r>
      <w:r w:rsidRPr="00581D40">
        <w:rPr>
          <w:b w:val="0"/>
          <w:sz w:val="18"/>
          <w:szCs w:val="18"/>
        </w:rPr>
        <w:t>ólares de los Estados Unidos)</w:t>
      </w:r>
    </w:p>
    <w:tbl>
      <w:tblPr>
        <w:tblStyle w:val="Grilledutableau"/>
        <w:tblW w:w="9776" w:type="dxa"/>
        <w:tblLayout w:type="fixed"/>
        <w:tblLook w:val="04A0" w:firstRow="1" w:lastRow="0" w:firstColumn="1" w:lastColumn="0" w:noHBand="0" w:noVBand="1"/>
      </w:tblPr>
      <w:tblGrid>
        <w:gridCol w:w="1166"/>
        <w:gridCol w:w="1200"/>
        <w:gridCol w:w="2449"/>
        <w:gridCol w:w="1843"/>
        <w:gridCol w:w="1831"/>
        <w:gridCol w:w="1287"/>
      </w:tblGrid>
      <w:tr w:rsidR="00B82C45" w:rsidRPr="00581D40" w14:paraId="73A91F16" w14:textId="77777777" w:rsidTr="00582959">
        <w:trPr>
          <w:trHeight w:val="910"/>
          <w:tblHeader/>
        </w:trPr>
        <w:tc>
          <w:tcPr>
            <w:tcW w:w="4815" w:type="dxa"/>
            <w:gridSpan w:val="3"/>
            <w:vAlign w:val="center"/>
            <w:hideMark/>
          </w:tcPr>
          <w:p w14:paraId="2871DD63" w14:textId="328055D6" w:rsidR="00B82C45" w:rsidRPr="00581D40" w:rsidRDefault="00231473" w:rsidP="00B82C45">
            <w:pPr>
              <w:tabs>
                <w:tab w:val="clear" w:pos="1247"/>
                <w:tab w:val="clear" w:pos="1814"/>
                <w:tab w:val="clear" w:pos="2381"/>
                <w:tab w:val="clear" w:pos="2948"/>
                <w:tab w:val="clear" w:pos="3515"/>
              </w:tabs>
              <w:rPr>
                <w:b/>
                <w:sz w:val="18"/>
                <w:szCs w:val="18"/>
                <w:lang w:val="es-ES"/>
              </w:rPr>
            </w:pPr>
            <w:r w:rsidRPr="00581D40">
              <w:rPr>
                <w:b/>
                <w:bCs/>
                <w:sz w:val="18"/>
                <w:szCs w:val="18"/>
                <w:lang w:val="es-ES"/>
              </w:rPr>
              <w:t>Parte</w:t>
            </w:r>
          </w:p>
        </w:tc>
        <w:tc>
          <w:tcPr>
            <w:tcW w:w="1843" w:type="dxa"/>
            <w:vAlign w:val="center"/>
            <w:hideMark/>
          </w:tcPr>
          <w:p w14:paraId="3346EFBD" w14:textId="77777777" w:rsidR="00B82C45" w:rsidRPr="00581D40" w:rsidRDefault="00B82C45" w:rsidP="00B82C45">
            <w:pPr>
              <w:tabs>
                <w:tab w:val="clear" w:pos="1247"/>
                <w:tab w:val="clear" w:pos="1814"/>
                <w:tab w:val="clear" w:pos="2381"/>
                <w:tab w:val="clear" w:pos="2948"/>
                <w:tab w:val="clear" w:pos="3515"/>
              </w:tabs>
              <w:rPr>
                <w:b/>
                <w:sz w:val="18"/>
                <w:szCs w:val="18"/>
                <w:lang w:val="es-ES"/>
              </w:rPr>
            </w:pPr>
            <w:r w:rsidRPr="00581D40">
              <w:rPr>
                <w:b/>
                <w:bCs/>
                <w:sz w:val="18"/>
                <w:szCs w:val="18"/>
                <w:lang w:val="es-ES"/>
              </w:rPr>
              <w:t>Escala de cuotas de las Naciones Unidas (en %)</w:t>
            </w:r>
          </w:p>
        </w:tc>
        <w:tc>
          <w:tcPr>
            <w:tcW w:w="1831" w:type="dxa"/>
            <w:vAlign w:val="center"/>
            <w:hideMark/>
          </w:tcPr>
          <w:p w14:paraId="4367F828" w14:textId="0069D1E8" w:rsidR="00B82C45" w:rsidRPr="00581D40" w:rsidRDefault="00B82C45" w:rsidP="00B82C45">
            <w:pPr>
              <w:tabs>
                <w:tab w:val="clear" w:pos="1247"/>
                <w:tab w:val="clear" w:pos="1814"/>
                <w:tab w:val="clear" w:pos="2381"/>
                <w:tab w:val="clear" w:pos="2948"/>
                <w:tab w:val="clear" w:pos="3515"/>
              </w:tabs>
              <w:rPr>
                <w:b/>
                <w:sz w:val="18"/>
                <w:szCs w:val="18"/>
                <w:lang w:val="es-ES"/>
              </w:rPr>
            </w:pPr>
            <w:r w:rsidRPr="00581D40">
              <w:rPr>
                <w:b/>
                <w:bCs/>
                <w:sz w:val="18"/>
                <w:szCs w:val="18"/>
                <w:lang w:val="es-ES"/>
              </w:rPr>
              <w:t xml:space="preserve">Escala indicativa </w:t>
            </w:r>
            <w:r w:rsidR="00231473" w:rsidRPr="00581D40">
              <w:rPr>
                <w:b/>
                <w:bCs/>
                <w:sz w:val="18"/>
                <w:szCs w:val="18"/>
                <w:lang w:val="es-ES"/>
              </w:rPr>
              <w:t>con un límite máximo del 22% y base del 0,010%</w:t>
            </w:r>
            <w:r w:rsidRPr="00581D40">
              <w:rPr>
                <w:b/>
                <w:bCs/>
                <w:sz w:val="18"/>
                <w:szCs w:val="18"/>
                <w:lang w:val="es-ES"/>
              </w:rPr>
              <w:t xml:space="preserve"> (en %)</w:t>
            </w:r>
            <w:r w:rsidRPr="00581D40">
              <w:rPr>
                <w:sz w:val="18"/>
                <w:szCs w:val="18"/>
                <w:lang w:val="es-ES"/>
              </w:rPr>
              <w:t xml:space="preserve"> </w:t>
            </w:r>
          </w:p>
        </w:tc>
        <w:tc>
          <w:tcPr>
            <w:tcW w:w="1287" w:type="dxa"/>
            <w:vAlign w:val="center"/>
            <w:hideMark/>
          </w:tcPr>
          <w:p w14:paraId="06A7EFD9" w14:textId="467B9E30" w:rsidR="00B82C45" w:rsidRPr="00581D40" w:rsidRDefault="00B82C45" w:rsidP="00B82C45">
            <w:pPr>
              <w:tabs>
                <w:tab w:val="clear" w:pos="1247"/>
                <w:tab w:val="clear" w:pos="1814"/>
                <w:tab w:val="clear" w:pos="2381"/>
                <w:tab w:val="clear" w:pos="2948"/>
                <w:tab w:val="clear" w:pos="3515"/>
              </w:tabs>
              <w:rPr>
                <w:b/>
                <w:sz w:val="18"/>
                <w:szCs w:val="18"/>
                <w:lang w:val="es-ES"/>
              </w:rPr>
            </w:pPr>
            <w:r w:rsidRPr="00581D40">
              <w:rPr>
                <w:b/>
                <w:bCs/>
                <w:sz w:val="18"/>
                <w:szCs w:val="18"/>
                <w:lang w:val="es-ES"/>
              </w:rPr>
              <w:t>Contribución</w:t>
            </w:r>
            <w:r w:rsidR="00231473" w:rsidRPr="00581D40">
              <w:rPr>
                <w:b/>
                <w:bCs/>
                <w:sz w:val="18"/>
                <w:szCs w:val="18"/>
                <w:lang w:val="es-ES"/>
              </w:rPr>
              <w:t xml:space="preserve"> que han de sufragar </w:t>
            </w:r>
            <w:r w:rsidR="00581D40">
              <w:rPr>
                <w:b/>
                <w:bCs/>
                <w:sz w:val="18"/>
                <w:szCs w:val="18"/>
                <w:lang w:val="es-ES"/>
              </w:rPr>
              <w:br/>
            </w:r>
            <w:r w:rsidR="00231473" w:rsidRPr="00581D40">
              <w:rPr>
                <w:b/>
                <w:bCs/>
                <w:sz w:val="18"/>
                <w:szCs w:val="18"/>
                <w:lang w:val="es-ES"/>
              </w:rPr>
              <w:t xml:space="preserve">las Partes </w:t>
            </w:r>
            <w:r w:rsidR="00581D40">
              <w:rPr>
                <w:b/>
                <w:bCs/>
                <w:sz w:val="18"/>
                <w:szCs w:val="18"/>
                <w:lang w:val="es-ES"/>
              </w:rPr>
              <w:br/>
            </w:r>
            <w:r w:rsidR="00231473" w:rsidRPr="00581D40">
              <w:rPr>
                <w:b/>
                <w:bCs/>
                <w:sz w:val="18"/>
                <w:szCs w:val="18"/>
                <w:lang w:val="es-ES"/>
              </w:rPr>
              <w:t>en 2019</w:t>
            </w:r>
            <w:r w:rsidR="00B25375" w:rsidRPr="00581D40">
              <w:rPr>
                <w:sz w:val="18"/>
                <w:szCs w:val="18"/>
                <w:lang w:val="es-ES"/>
              </w:rPr>
              <w:t xml:space="preserve"> </w:t>
            </w:r>
          </w:p>
        </w:tc>
      </w:tr>
      <w:tr w:rsidR="00B82C45" w:rsidRPr="00581D40" w14:paraId="3CAE4064" w14:textId="77777777" w:rsidTr="00857B05">
        <w:trPr>
          <w:trHeight w:val="340"/>
        </w:trPr>
        <w:tc>
          <w:tcPr>
            <w:tcW w:w="1166" w:type="dxa"/>
            <w:vAlign w:val="center"/>
            <w:hideMark/>
          </w:tcPr>
          <w:p w14:paraId="3A1A853B"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Total</w:t>
            </w:r>
          </w:p>
        </w:tc>
        <w:tc>
          <w:tcPr>
            <w:tcW w:w="1200" w:type="dxa"/>
            <w:vAlign w:val="center"/>
            <w:hideMark/>
          </w:tcPr>
          <w:p w14:paraId="2675F430"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Grupo</w:t>
            </w:r>
          </w:p>
        </w:tc>
        <w:tc>
          <w:tcPr>
            <w:tcW w:w="7410" w:type="dxa"/>
            <w:gridSpan w:val="4"/>
            <w:vAlign w:val="center"/>
            <w:hideMark/>
          </w:tcPr>
          <w:p w14:paraId="1625A16B"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África</w:t>
            </w:r>
          </w:p>
        </w:tc>
      </w:tr>
      <w:tr w:rsidR="00D27FE1" w:rsidRPr="00581D40" w14:paraId="152ED77B" w14:textId="77777777" w:rsidTr="00857B05">
        <w:trPr>
          <w:trHeight w:val="315"/>
        </w:trPr>
        <w:tc>
          <w:tcPr>
            <w:tcW w:w="1166" w:type="dxa"/>
            <w:vAlign w:val="center"/>
            <w:hideMark/>
          </w:tcPr>
          <w:p w14:paraId="03E910DA"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w:t>
            </w:r>
          </w:p>
        </w:tc>
        <w:tc>
          <w:tcPr>
            <w:tcW w:w="1200" w:type="dxa"/>
            <w:vAlign w:val="center"/>
            <w:hideMark/>
          </w:tcPr>
          <w:p w14:paraId="1F382A7A"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w:t>
            </w:r>
          </w:p>
        </w:tc>
        <w:tc>
          <w:tcPr>
            <w:tcW w:w="2449" w:type="dxa"/>
            <w:vAlign w:val="center"/>
            <w:hideMark/>
          </w:tcPr>
          <w:p w14:paraId="48C2556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Benin</w:t>
            </w:r>
          </w:p>
        </w:tc>
        <w:tc>
          <w:tcPr>
            <w:tcW w:w="1843" w:type="dxa"/>
            <w:vAlign w:val="center"/>
            <w:hideMark/>
          </w:tcPr>
          <w:p w14:paraId="6253040B" w14:textId="73B6F77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003</w:t>
            </w:r>
          </w:p>
        </w:tc>
        <w:tc>
          <w:tcPr>
            <w:tcW w:w="1831" w:type="dxa"/>
            <w:vAlign w:val="center"/>
            <w:hideMark/>
          </w:tcPr>
          <w:p w14:paraId="25CEF99B" w14:textId="2560E17E"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104A8076" w14:textId="050BEF4C"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4EC0F4C6" w14:textId="77777777" w:rsidTr="00857B05">
        <w:trPr>
          <w:trHeight w:val="300"/>
        </w:trPr>
        <w:tc>
          <w:tcPr>
            <w:tcW w:w="1166" w:type="dxa"/>
            <w:vAlign w:val="center"/>
            <w:hideMark/>
          </w:tcPr>
          <w:p w14:paraId="410D4E65"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w:t>
            </w:r>
          </w:p>
        </w:tc>
        <w:tc>
          <w:tcPr>
            <w:tcW w:w="1200" w:type="dxa"/>
            <w:vAlign w:val="center"/>
            <w:hideMark/>
          </w:tcPr>
          <w:p w14:paraId="368541D3"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w:t>
            </w:r>
          </w:p>
        </w:tc>
        <w:tc>
          <w:tcPr>
            <w:tcW w:w="2449" w:type="dxa"/>
            <w:vAlign w:val="center"/>
            <w:hideMark/>
          </w:tcPr>
          <w:p w14:paraId="313AF9EB"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Botswana</w:t>
            </w:r>
          </w:p>
        </w:tc>
        <w:tc>
          <w:tcPr>
            <w:tcW w:w="1843" w:type="dxa"/>
            <w:vAlign w:val="center"/>
            <w:hideMark/>
          </w:tcPr>
          <w:p w14:paraId="3E92840A" w14:textId="67EEA3F9"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014</w:t>
            </w:r>
          </w:p>
        </w:tc>
        <w:tc>
          <w:tcPr>
            <w:tcW w:w="1831" w:type="dxa"/>
            <w:vAlign w:val="center"/>
            <w:hideMark/>
          </w:tcPr>
          <w:p w14:paraId="15E03B0B" w14:textId="59F9907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019 </w:t>
            </w:r>
          </w:p>
        </w:tc>
        <w:tc>
          <w:tcPr>
            <w:tcW w:w="1287" w:type="dxa"/>
            <w:vAlign w:val="center"/>
            <w:hideMark/>
          </w:tcPr>
          <w:p w14:paraId="5645CC71" w14:textId="4DC784B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619 </w:t>
            </w:r>
          </w:p>
        </w:tc>
      </w:tr>
      <w:tr w:rsidR="00D27FE1" w:rsidRPr="00581D40" w14:paraId="7566438C" w14:textId="77777777" w:rsidTr="00857B05">
        <w:trPr>
          <w:trHeight w:val="300"/>
        </w:trPr>
        <w:tc>
          <w:tcPr>
            <w:tcW w:w="1166" w:type="dxa"/>
            <w:vAlign w:val="center"/>
            <w:hideMark/>
          </w:tcPr>
          <w:p w14:paraId="5B7B3515"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3</w:t>
            </w:r>
          </w:p>
        </w:tc>
        <w:tc>
          <w:tcPr>
            <w:tcW w:w="1200" w:type="dxa"/>
            <w:vAlign w:val="center"/>
            <w:hideMark/>
          </w:tcPr>
          <w:p w14:paraId="20B048B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3</w:t>
            </w:r>
          </w:p>
        </w:tc>
        <w:tc>
          <w:tcPr>
            <w:tcW w:w="2449" w:type="dxa"/>
            <w:vAlign w:val="center"/>
            <w:hideMark/>
          </w:tcPr>
          <w:p w14:paraId="25E23F0B"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Burkina Faso</w:t>
            </w:r>
          </w:p>
        </w:tc>
        <w:tc>
          <w:tcPr>
            <w:tcW w:w="1843" w:type="dxa"/>
            <w:vAlign w:val="center"/>
            <w:hideMark/>
          </w:tcPr>
          <w:p w14:paraId="73994310" w14:textId="47FAF94B"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004</w:t>
            </w:r>
          </w:p>
        </w:tc>
        <w:tc>
          <w:tcPr>
            <w:tcW w:w="1831" w:type="dxa"/>
            <w:vAlign w:val="center"/>
            <w:hideMark/>
          </w:tcPr>
          <w:p w14:paraId="59AEB43F" w14:textId="1A95DFBF"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1E45C369" w14:textId="5BEC84FD"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1B2371E1" w14:textId="77777777" w:rsidTr="00857B05">
        <w:trPr>
          <w:trHeight w:val="300"/>
        </w:trPr>
        <w:tc>
          <w:tcPr>
            <w:tcW w:w="1166" w:type="dxa"/>
            <w:vAlign w:val="center"/>
            <w:hideMark/>
          </w:tcPr>
          <w:p w14:paraId="6F3A38BC"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4</w:t>
            </w:r>
          </w:p>
        </w:tc>
        <w:tc>
          <w:tcPr>
            <w:tcW w:w="1200" w:type="dxa"/>
            <w:vAlign w:val="center"/>
            <w:hideMark/>
          </w:tcPr>
          <w:p w14:paraId="279F6D4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4</w:t>
            </w:r>
          </w:p>
        </w:tc>
        <w:tc>
          <w:tcPr>
            <w:tcW w:w="2449" w:type="dxa"/>
            <w:vAlign w:val="center"/>
            <w:hideMark/>
          </w:tcPr>
          <w:p w14:paraId="2A2FDC57"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Chad</w:t>
            </w:r>
          </w:p>
        </w:tc>
        <w:tc>
          <w:tcPr>
            <w:tcW w:w="1843" w:type="dxa"/>
            <w:vAlign w:val="center"/>
            <w:hideMark/>
          </w:tcPr>
          <w:p w14:paraId="0924BB25" w14:textId="01E2858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005</w:t>
            </w:r>
          </w:p>
        </w:tc>
        <w:tc>
          <w:tcPr>
            <w:tcW w:w="1831" w:type="dxa"/>
            <w:vAlign w:val="center"/>
            <w:hideMark/>
          </w:tcPr>
          <w:p w14:paraId="612C1D22" w14:textId="2D0E983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74667F02" w14:textId="1AD5AFAE"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3311FDF5" w14:textId="77777777" w:rsidTr="00857B05">
        <w:trPr>
          <w:trHeight w:val="300"/>
        </w:trPr>
        <w:tc>
          <w:tcPr>
            <w:tcW w:w="1166" w:type="dxa"/>
            <w:vAlign w:val="center"/>
            <w:hideMark/>
          </w:tcPr>
          <w:p w14:paraId="39D48BD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5</w:t>
            </w:r>
          </w:p>
        </w:tc>
        <w:tc>
          <w:tcPr>
            <w:tcW w:w="1200" w:type="dxa"/>
            <w:vAlign w:val="center"/>
            <w:hideMark/>
          </w:tcPr>
          <w:p w14:paraId="2A05C5C5"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5</w:t>
            </w:r>
          </w:p>
        </w:tc>
        <w:tc>
          <w:tcPr>
            <w:tcW w:w="2449" w:type="dxa"/>
            <w:vAlign w:val="center"/>
            <w:hideMark/>
          </w:tcPr>
          <w:p w14:paraId="3A80EA6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Djibouti</w:t>
            </w:r>
          </w:p>
        </w:tc>
        <w:tc>
          <w:tcPr>
            <w:tcW w:w="1843" w:type="dxa"/>
            <w:vAlign w:val="center"/>
            <w:hideMark/>
          </w:tcPr>
          <w:p w14:paraId="7EADA1CC" w14:textId="0D8607F3"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6624FF46" w14:textId="11B59A47"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34621D7C" w14:textId="2EDF944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25AA9701" w14:textId="77777777" w:rsidTr="00857B05">
        <w:trPr>
          <w:trHeight w:val="300"/>
        </w:trPr>
        <w:tc>
          <w:tcPr>
            <w:tcW w:w="1166" w:type="dxa"/>
            <w:vAlign w:val="center"/>
            <w:hideMark/>
          </w:tcPr>
          <w:p w14:paraId="544866A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6</w:t>
            </w:r>
          </w:p>
        </w:tc>
        <w:tc>
          <w:tcPr>
            <w:tcW w:w="1200" w:type="dxa"/>
            <w:vAlign w:val="center"/>
            <w:hideMark/>
          </w:tcPr>
          <w:p w14:paraId="7897463F"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6</w:t>
            </w:r>
          </w:p>
        </w:tc>
        <w:tc>
          <w:tcPr>
            <w:tcW w:w="2449" w:type="dxa"/>
            <w:vAlign w:val="center"/>
            <w:hideMark/>
          </w:tcPr>
          <w:p w14:paraId="5E6ECB75"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Eswatini</w:t>
            </w:r>
          </w:p>
        </w:tc>
        <w:tc>
          <w:tcPr>
            <w:tcW w:w="1843" w:type="dxa"/>
            <w:vAlign w:val="center"/>
            <w:hideMark/>
          </w:tcPr>
          <w:p w14:paraId="5B8028FC" w14:textId="4C39316A"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5EB13173" w14:textId="5C330E39"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EC2E3D1" w14:textId="68FD76D6"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568CF68E" w14:textId="77777777" w:rsidTr="00857B05">
        <w:trPr>
          <w:trHeight w:val="300"/>
        </w:trPr>
        <w:tc>
          <w:tcPr>
            <w:tcW w:w="1166" w:type="dxa"/>
            <w:vAlign w:val="center"/>
            <w:hideMark/>
          </w:tcPr>
          <w:p w14:paraId="1C6FBF2E"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7</w:t>
            </w:r>
          </w:p>
        </w:tc>
        <w:tc>
          <w:tcPr>
            <w:tcW w:w="1200" w:type="dxa"/>
            <w:vAlign w:val="center"/>
            <w:hideMark/>
          </w:tcPr>
          <w:p w14:paraId="06061BEF"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7</w:t>
            </w:r>
          </w:p>
        </w:tc>
        <w:tc>
          <w:tcPr>
            <w:tcW w:w="2449" w:type="dxa"/>
            <w:vAlign w:val="center"/>
            <w:hideMark/>
          </w:tcPr>
          <w:p w14:paraId="336A5998"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Gabón</w:t>
            </w:r>
          </w:p>
        </w:tc>
        <w:tc>
          <w:tcPr>
            <w:tcW w:w="1843" w:type="dxa"/>
            <w:vAlign w:val="center"/>
            <w:hideMark/>
          </w:tcPr>
          <w:p w14:paraId="11FBF7C9" w14:textId="28980299"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017</w:t>
            </w:r>
          </w:p>
        </w:tc>
        <w:tc>
          <w:tcPr>
            <w:tcW w:w="1831" w:type="dxa"/>
            <w:vAlign w:val="center"/>
            <w:hideMark/>
          </w:tcPr>
          <w:p w14:paraId="0A5D8C26" w14:textId="5C3DAC2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023 </w:t>
            </w:r>
          </w:p>
        </w:tc>
        <w:tc>
          <w:tcPr>
            <w:tcW w:w="1287" w:type="dxa"/>
            <w:vAlign w:val="center"/>
            <w:hideMark/>
          </w:tcPr>
          <w:p w14:paraId="41D65523" w14:textId="22B19E48"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752 </w:t>
            </w:r>
          </w:p>
        </w:tc>
      </w:tr>
      <w:tr w:rsidR="00D27FE1" w:rsidRPr="00581D40" w14:paraId="45B14A80" w14:textId="77777777" w:rsidTr="00857B05">
        <w:trPr>
          <w:trHeight w:val="300"/>
        </w:trPr>
        <w:tc>
          <w:tcPr>
            <w:tcW w:w="1166" w:type="dxa"/>
            <w:vAlign w:val="center"/>
            <w:hideMark/>
          </w:tcPr>
          <w:p w14:paraId="78DB936D"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8</w:t>
            </w:r>
          </w:p>
        </w:tc>
        <w:tc>
          <w:tcPr>
            <w:tcW w:w="1200" w:type="dxa"/>
            <w:vAlign w:val="center"/>
            <w:hideMark/>
          </w:tcPr>
          <w:p w14:paraId="1AB3C7BE"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8</w:t>
            </w:r>
          </w:p>
        </w:tc>
        <w:tc>
          <w:tcPr>
            <w:tcW w:w="2449" w:type="dxa"/>
            <w:vAlign w:val="center"/>
            <w:hideMark/>
          </w:tcPr>
          <w:p w14:paraId="7E02835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Gambia</w:t>
            </w:r>
          </w:p>
        </w:tc>
        <w:tc>
          <w:tcPr>
            <w:tcW w:w="1843" w:type="dxa"/>
            <w:vAlign w:val="center"/>
            <w:hideMark/>
          </w:tcPr>
          <w:p w14:paraId="417566BD" w14:textId="61CDAC67"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4FF33B19" w14:textId="21DE5648"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12F1123" w14:textId="2353280E"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24FC48FB" w14:textId="77777777" w:rsidTr="00857B05">
        <w:trPr>
          <w:trHeight w:val="300"/>
        </w:trPr>
        <w:tc>
          <w:tcPr>
            <w:tcW w:w="1166" w:type="dxa"/>
            <w:vAlign w:val="center"/>
            <w:hideMark/>
          </w:tcPr>
          <w:p w14:paraId="3D83E1B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9</w:t>
            </w:r>
          </w:p>
        </w:tc>
        <w:tc>
          <w:tcPr>
            <w:tcW w:w="1200" w:type="dxa"/>
            <w:vAlign w:val="center"/>
            <w:hideMark/>
          </w:tcPr>
          <w:p w14:paraId="07774C27"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9</w:t>
            </w:r>
          </w:p>
        </w:tc>
        <w:tc>
          <w:tcPr>
            <w:tcW w:w="2449" w:type="dxa"/>
            <w:vAlign w:val="center"/>
            <w:hideMark/>
          </w:tcPr>
          <w:p w14:paraId="06B134C3"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Ghana</w:t>
            </w:r>
          </w:p>
        </w:tc>
        <w:tc>
          <w:tcPr>
            <w:tcW w:w="1843" w:type="dxa"/>
            <w:vAlign w:val="center"/>
            <w:hideMark/>
          </w:tcPr>
          <w:p w14:paraId="5741BFFB" w14:textId="5AF6D1B9"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016</w:t>
            </w:r>
          </w:p>
        </w:tc>
        <w:tc>
          <w:tcPr>
            <w:tcW w:w="1831" w:type="dxa"/>
            <w:vAlign w:val="center"/>
            <w:hideMark/>
          </w:tcPr>
          <w:p w14:paraId="106EE14B" w14:textId="136FCA1E"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022 </w:t>
            </w:r>
          </w:p>
        </w:tc>
        <w:tc>
          <w:tcPr>
            <w:tcW w:w="1287" w:type="dxa"/>
            <w:vAlign w:val="center"/>
            <w:hideMark/>
          </w:tcPr>
          <w:p w14:paraId="08C5BD50" w14:textId="769A4FD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707 </w:t>
            </w:r>
          </w:p>
        </w:tc>
      </w:tr>
      <w:tr w:rsidR="00D27FE1" w:rsidRPr="00581D40" w14:paraId="580923EC" w14:textId="77777777" w:rsidTr="00857B05">
        <w:trPr>
          <w:trHeight w:val="300"/>
        </w:trPr>
        <w:tc>
          <w:tcPr>
            <w:tcW w:w="1166" w:type="dxa"/>
            <w:vAlign w:val="center"/>
            <w:hideMark/>
          </w:tcPr>
          <w:p w14:paraId="7D889162"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10</w:t>
            </w:r>
          </w:p>
        </w:tc>
        <w:tc>
          <w:tcPr>
            <w:tcW w:w="1200" w:type="dxa"/>
            <w:vAlign w:val="center"/>
            <w:hideMark/>
          </w:tcPr>
          <w:p w14:paraId="7B3E5263"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10</w:t>
            </w:r>
          </w:p>
        </w:tc>
        <w:tc>
          <w:tcPr>
            <w:tcW w:w="2449" w:type="dxa"/>
            <w:vAlign w:val="center"/>
            <w:hideMark/>
          </w:tcPr>
          <w:p w14:paraId="20EB8E7C"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Guinea</w:t>
            </w:r>
          </w:p>
        </w:tc>
        <w:tc>
          <w:tcPr>
            <w:tcW w:w="1843" w:type="dxa"/>
            <w:vAlign w:val="center"/>
            <w:hideMark/>
          </w:tcPr>
          <w:p w14:paraId="07C601E4" w14:textId="013D5B1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52434F4F" w14:textId="5A7F8FB5"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7B466E79" w14:textId="6A698920"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1C828B70" w14:textId="77777777" w:rsidTr="00857B05">
        <w:trPr>
          <w:trHeight w:val="300"/>
        </w:trPr>
        <w:tc>
          <w:tcPr>
            <w:tcW w:w="1166" w:type="dxa"/>
            <w:vAlign w:val="center"/>
            <w:hideMark/>
          </w:tcPr>
          <w:p w14:paraId="71B3FA42"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11</w:t>
            </w:r>
          </w:p>
        </w:tc>
        <w:tc>
          <w:tcPr>
            <w:tcW w:w="1200" w:type="dxa"/>
            <w:vAlign w:val="center"/>
            <w:hideMark/>
          </w:tcPr>
          <w:p w14:paraId="2094BAE7"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11</w:t>
            </w:r>
          </w:p>
        </w:tc>
        <w:tc>
          <w:tcPr>
            <w:tcW w:w="2449" w:type="dxa"/>
            <w:vAlign w:val="center"/>
            <w:hideMark/>
          </w:tcPr>
          <w:p w14:paraId="04D2EC64"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Lesotho</w:t>
            </w:r>
          </w:p>
        </w:tc>
        <w:tc>
          <w:tcPr>
            <w:tcW w:w="1843" w:type="dxa"/>
            <w:vAlign w:val="center"/>
            <w:hideMark/>
          </w:tcPr>
          <w:p w14:paraId="2AC35BD9" w14:textId="535DA4BC"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23A74B0E" w14:textId="01FE47D3"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63F72CE7" w14:textId="059583EA"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0CB5FE06" w14:textId="77777777" w:rsidTr="00857B05">
        <w:trPr>
          <w:trHeight w:val="300"/>
        </w:trPr>
        <w:tc>
          <w:tcPr>
            <w:tcW w:w="1166" w:type="dxa"/>
            <w:vAlign w:val="center"/>
            <w:hideMark/>
          </w:tcPr>
          <w:p w14:paraId="572C0248"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12</w:t>
            </w:r>
          </w:p>
        </w:tc>
        <w:tc>
          <w:tcPr>
            <w:tcW w:w="1200" w:type="dxa"/>
            <w:vAlign w:val="center"/>
            <w:hideMark/>
          </w:tcPr>
          <w:p w14:paraId="4E605FA5"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12</w:t>
            </w:r>
          </w:p>
        </w:tc>
        <w:tc>
          <w:tcPr>
            <w:tcW w:w="2449" w:type="dxa"/>
            <w:vAlign w:val="center"/>
            <w:hideMark/>
          </w:tcPr>
          <w:p w14:paraId="62420E7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Madagascar</w:t>
            </w:r>
          </w:p>
        </w:tc>
        <w:tc>
          <w:tcPr>
            <w:tcW w:w="1843" w:type="dxa"/>
            <w:vAlign w:val="center"/>
            <w:hideMark/>
          </w:tcPr>
          <w:p w14:paraId="1B31B6B0" w14:textId="4F886DC5"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003</w:t>
            </w:r>
          </w:p>
        </w:tc>
        <w:tc>
          <w:tcPr>
            <w:tcW w:w="1831" w:type="dxa"/>
            <w:vAlign w:val="center"/>
            <w:hideMark/>
          </w:tcPr>
          <w:p w14:paraId="5D3A2E0A" w14:textId="41B2D9A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1C052700" w14:textId="6631D726"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3C4A7431" w14:textId="77777777" w:rsidTr="00857B05">
        <w:trPr>
          <w:trHeight w:val="300"/>
        </w:trPr>
        <w:tc>
          <w:tcPr>
            <w:tcW w:w="1166" w:type="dxa"/>
            <w:vAlign w:val="center"/>
            <w:hideMark/>
          </w:tcPr>
          <w:p w14:paraId="3CDEE98C"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13</w:t>
            </w:r>
          </w:p>
        </w:tc>
        <w:tc>
          <w:tcPr>
            <w:tcW w:w="1200" w:type="dxa"/>
            <w:vAlign w:val="center"/>
            <w:hideMark/>
          </w:tcPr>
          <w:p w14:paraId="4EB270A2"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13</w:t>
            </w:r>
          </w:p>
        </w:tc>
        <w:tc>
          <w:tcPr>
            <w:tcW w:w="2449" w:type="dxa"/>
            <w:vAlign w:val="center"/>
            <w:hideMark/>
          </w:tcPr>
          <w:p w14:paraId="2E97C95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Malí</w:t>
            </w:r>
          </w:p>
        </w:tc>
        <w:tc>
          <w:tcPr>
            <w:tcW w:w="1843" w:type="dxa"/>
            <w:vAlign w:val="center"/>
            <w:hideMark/>
          </w:tcPr>
          <w:p w14:paraId="101434A6" w14:textId="01E86EC3"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003</w:t>
            </w:r>
          </w:p>
        </w:tc>
        <w:tc>
          <w:tcPr>
            <w:tcW w:w="1831" w:type="dxa"/>
            <w:vAlign w:val="center"/>
            <w:hideMark/>
          </w:tcPr>
          <w:p w14:paraId="72348B8F" w14:textId="5A33101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64DAE32F" w14:textId="66A739FF"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30AFE4F9" w14:textId="77777777" w:rsidTr="00857B05">
        <w:trPr>
          <w:trHeight w:val="300"/>
        </w:trPr>
        <w:tc>
          <w:tcPr>
            <w:tcW w:w="1166" w:type="dxa"/>
            <w:vAlign w:val="center"/>
            <w:hideMark/>
          </w:tcPr>
          <w:p w14:paraId="0F5847C8"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14</w:t>
            </w:r>
          </w:p>
        </w:tc>
        <w:tc>
          <w:tcPr>
            <w:tcW w:w="1200" w:type="dxa"/>
            <w:vAlign w:val="center"/>
            <w:hideMark/>
          </w:tcPr>
          <w:p w14:paraId="48C67E2D"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14</w:t>
            </w:r>
          </w:p>
        </w:tc>
        <w:tc>
          <w:tcPr>
            <w:tcW w:w="2449" w:type="dxa"/>
            <w:vAlign w:val="center"/>
            <w:hideMark/>
          </w:tcPr>
          <w:p w14:paraId="01E358DF"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Mauritania</w:t>
            </w:r>
          </w:p>
        </w:tc>
        <w:tc>
          <w:tcPr>
            <w:tcW w:w="1843" w:type="dxa"/>
            <w:vAlign w:val="center"/>
            <w:hideMark/>
          </w:tcPr>
          <w:p w14:paraId="09D5124C" w14:textId="3ED383C6"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4E2B9253" w14:textId="027F7F1B"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78996B22" w14:textId="2935157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6EA98947" w14:textId="77777777" w:rsidTr="00857B05">
        <w:trPr>
          <w:trHeight w:val="300"/>
        </w:trPr>
        <w:tc>
          <w:tcPr>
            <w:tcW w:w="1166" w:type="dxa"/>
            <w:vAlign w:val="center"/>
            <w:hideMark/>
          </w:tcPr>
          <w:p w14:paraId="66EFF467"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15</w:t>
            </w:r>
          </w:p>
        </w:tc>
        <w:tc>
          <w:tcPr>
            <w:tcW w:w="1200" w:type="dxa"/>
            <w:vAlign w:val="center"/>
            <w:hideMark/>
          </w:tcPr>
          <w:p w14:paraId="1E800C5B"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15</w:t>
            </w:r>
          </w:p>
        </w:tc>
        <w:tc>
          <w:tcPr>
            <w:tcW w:w="2449" w:type="dxa"/>
            <w:vAlign w:val="center"/>
            <w:hideMark/>
          </w:tcPr>
          <w:p w14:paraId="3166B8FB"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Mauricio</w:t>
            </w:r>
          </w:p>
        </w:tc>
        <w:tc>
          <w:tcPr>
            <w:tcW w:w="1843" w:type="dxa"/>
            <w:vAlign w:val="center"/>
            <w:hideMark/>
          </w:tcPr>
          <w:p w14:paraId="4CD33852" w14:textId="41CFB9F0"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012</w:t>
            </w:r>
          </w:p>
        </w:tc>
        <w:tc>
          <w:tcPr>
            <w:tcW w:w="1831" w:type="dxa"/>
            <w:vAlign w:val="center"/>
            <w:hideMark/>
          </w:tcPr>
          <w:p w14:paraId="5E247209" w14:textId="4B31F88F"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016 </w:t>
            </w:r>
          </w:p>
        </w:tc>
        <w:tc>
          <w:tcPr>
            <w:tcW w:w="1287" w:type="dxa"/>
            <w:vAlign w:val="center"/>
            <w:hideMark/>
          </w:tcPr>
          <w:p w14:paraId="3737B1B7" w14:textId="7275A0B0"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530 </w:t>
            </w:r>
          </w:p>
        </w:tc>
      </w:tr>
      <w:tr w:rsidR="00D27FE1" w:rsidRPr="00581D40" w14:paraId="49BEC4AD" w14:textId="77777777" w:rsidTr="00857B05">
        <w:trPr>
          <w:trHeight w:val="300"/>
        </w:trPr>
        <w:tc>
          <w:tcPr>
            <w:tcW w:w="1166" w:type="dxa"/>
            <w:vAlign w:val="center"/>
            <w:hideMark/>
          </w:tcPr>
          <w:p w14:paraId="790453CA"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16</w:t>
            </w:r>
          </w:p>
        </w:tc>
        <w:tc>
          <w:tcPr>
            <w:tcW w:w="1200" w:type="dxa"/>
            <w:vAlign w:val="center"/>
            <w:hideMark/>
          </w:tcPr>
          <w:p w14:paraId="360F54E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16</w:t>
            </w:r>
          </w:p>
        </w:tc>
        <w:tc>
          <w:tcPr>
            <w:tcW w:w="2449" w:type="dxa"/>
            <w:vAlign w:val="center"/>
            <w:hideMark/>
          </w:tcPr>
          <w:p w14:paraId="0539311C"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Namibia</w:t>
            </w:r>
          </w:p>
        </w:tc>
        <w:tc>
          <w:tcPr>
            <w:tcW w:w="1843" w:type="dxa"/>
            <w:vAlign w:val="center"/>
            <w:hideMark/>
          </w:tcPr>
          <w:p w14:paraId="7E1DB711" w14:textId="01887090"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010</w:t>
            </w:r>
          </w:p>
        </w:tc>
        <w:tc>
          <w:tcPr>
            <w:tcW w:w="1831" w:type="dxa"/>
            <w:vAlign w:val="center"/>
            <w:hideMark/>
          </w:tcPr>
          <w:p w14:paraId="5504F458" w14:textId="0A216745"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013 </w:t>
            </w:r>
          </w:p>
        </w:tc>
        <w:tc>
          <w:tcPr>
            <w:tcW w:w="1287" w:type="dxa"/>
            <w:vAlign w:val="center"/>
            <w:hideMark/>
          </w:tcPr>
          <w:p w14:paraId="3A1EC6D6" w14:textId="340582BC"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442 </w:t>
            </w:r>
          </w:p>
        </w:tc>
      </w:tr>
      <w:tr w:rsidR="00D27FE1" w:rsidRPr="00581D40" w14:paraId="25278C16" w14:textId="77777777" w:rsidTr="00857B05">
        <w:trPr>
          <w:trHeight w:val="300"/>
        </w:trPr>
        <w:tc>
          <w:tcPr>
            <w:tcW w:w="1166" w:type="dxa"/>
            <w:vAlign w:val="center"/>
            <w:hideMark/>
          </w:tcPr>
          <w:p w14:paraId="368BFEE2"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17</w:t>
            </w:r>
          </w:p>
        </w:tc>
        <w:tc>
          <w:tcPr>
            <w:tcW w:w="1200" w:type="dxa"/>
            <w:vAlign w:val="center"/>
            <w:hideMark/>
          </w:tcPr>
          <w:p w14:paraId="33BDFC5E"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17</w:t>
            </w:r>
          </w:p>
        </w:tc>
        <w:tc>
          <w:tcPr>
            <w:tcW w:w="2449" w:type="dxa"/>
            <w:vAlign w:val="center"/>
            <w:hideMark/>
          </w:tcPr>
          <w:p w14:paraId="1A877AF1"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Níger</w:t>
            </w:r>
          </w:p>
        </w:tc>
        <w:tc>
          <w:tcPr>
            <w:tcW w:w="1843" w:type="dxa"/>
            <w:vAlign w:val="center"/>
            <w:hideMark/>
          </w:tcPr>
          <w:p w14:paraId="5A842C64" w14:textId="53B44D8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1BA7E50D" w14:textId="0688C56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130AECB5" w14:textId="52B4CFA3"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61F09AD8" w14:textId="77777777" w:rsidTr="00857B05">
        <w:trPr>
          <w:trHeight w:val="300"/>
        </w:trPr>
        <w:tc>
          <w:tcPr>
            <w:tcW w:w="1166" w:type="dxa"/>
            <w:vAlign w:val="center"/>
            <w:hideMark/>
          </w:tcPr>
          <w:p w14:paraId="7935E189"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18</w:t>
            </w:r>
          </w:p>
        </w:tc>
        <w:tc>
          <w:tcPr>
            <w:tcW w:w="1200" w:type="dxa"/>
            <w:vAlign w:val="center"/>
            <w:hideMark/>
          </w:tcPr>
          <w:p w14:paraId="231A31CB"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18</w:t>
            </w:r>
          </w:p>
        </w:tc>
        <w:tc>
          <w:tcPr>
            <w:tcW w:w="2449" w:type="dxa"/>
            <w:vAlign w:val="center"/>
            <w:hideMark/>
          </w:tcPr>
          <w:p w14:paraId="3EF4F750"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Nigeria</w:t>
            </w:r>
          </w:p>
        </w:tc>
        <w:tc>
          <w:tcPr>
            <w:tcW w:w="1843" w:type="dxa"/>
            <w:vAlign w:val="center"/>
            <w:hideMark/>
          </w:tcPr>
          <w:p w14:paraId="56C0853D" w14:textId="1B490C46"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209</w:t>
            </w:r>
          </w:p>
        </w:tc>
        <w:tc>
          <w:tcPr>
            <w:tcW w:w="1831" w:type="dxa"/>
            <w:vAlign w:val="center"/>
            <w:hideMark/>
          </w:tcPr>
          <w:p w14:paraId="32C45272" w14:textId="367E9D9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281 </w:t>
            </w:r>
          </w:p>
        </w:tc>
        <w:tc>
          <w:tcPr>
            <w:tcW w:w="1287" w:type="dxa"/>
            <w:vAlign w:val="center"/>
            <w:hideMark/>
          </w:tcPr>
          <w:p w14:paraId="309BBEB9" w14:textId="55A7564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9 239 </w:t>
            </w:r>
          </w:p>
        </w:tc>
      </w:tr>
      <w:tr w:rsidR="00D27FE1" w:rsidRPr="00581D40" w14:paraId="1D5FA58C" w14:textId="77777777" w:rsidTr="00857B05">
        <w:trPr>
          <w:trHeight w:val="300"/>
        </w:trPr>
        <w:tc>
          <w:tcPr>
            <w:tcW w:w="1166" w:type="dxa"/>
            <w:vAlign w:val="center"/>
            <w:hideMark/>
          </w:tcPr>
          <w:p w14:paraId="66712FED"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19</w:t>
            </w:r>
          </w:p>
        </w:tc>
        <w:tc>
          <w:tcPr>
            <w:tcW w:w="1200" w:type="dxa"/>
            <w:vAlign w:val="center"/>
            <w:hideMark/>
          </w:tcPr>
          <w:p w14:paraId="1F4880AD"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19</w:t>
            </w:r>
          </w:p>
        </w:tc>
        <w:tc>
          <w:tcPr>
            <w:tcW w:w="2449" w:type="dxa"/>
            <w:vAlign w:val="center"/>
            <w:hideMark/>
          </w:tcPr>
          <w:p w14:paraId="3B7D1DB4"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Rwanda</w:t>
            </w:r>
          </w:p>
        </w:tc>
        <w:tc>
          <w:tcPr>
            <w:tcW w:w="1843" w:type="dxa"/>
            <w:vAlign w:val="center"/>
            <w:hideMark/>
          </w:tcPr>
          <w:p w14:paraId="49E9465A" w14:textId="0D401E4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153CBADF" w14:textId="6918A0E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55D9BE20" w14:textId="4C660AE0"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769E48FA" w14:textId="77777777" w:rsidTr="00857B05">
        <w:trPr>
          <w:trHeight w:val="300"/>
        </w:trPr>
        <w:tc>
          <w:tcPr>
            <w:tcW w:w="1166" w:type="dxa"/>
            <w:vAlign w:val="center"/>
            <w:hideMark/>
          </w:tcPr>
          <w:p w14:paraId="795EB01E"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20</w:t>
            </w:r>
          </w:p>
        </w:tc>
        <w:tc>
          <w:tcPr>
            <w:tcW w:w="1200" w:type="dxa"/>
            <w:vAlign w:val="center"/>
            <w:hideMark/>
          </w:tcPr>
          <w:p w14:paraId="40975AF2"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20</w:t>
            </w:r>
          </w:p>
        </w:tc>
        <w:tc>
          <w:tcPr>
            <w:tcW w:w="2449" w:type="dxa"/>
            <w:vAlign w:val="center"/>
            <w:hideMark/>
          </w:tcPr>
          <w:p w14:paraId="0988CD0F"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Santo Tomé y Príncipe</w:t>
            </w:r>
          </w:p>
        </w:tc>
        <w:tc>
          <w:tcPr>
            <w:tcW w:w="1843" w:type="dxa"/>
            <w:vAlign w:val="center"/>
            <w:hideMark/>
          </w:tcPr>
          <w:p w14:paraId="602F7570" w14:textId="0DCEC62B"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17B94459" w14:textId="02D96E7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397FCB12" w14:textId="3877344E"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568633A3" w14:textId="77777777" w:rsidTr="00857B05">
        <w:trPr>
          <w:trHeight w:val="300"/>
        </w:trPr>
        <w:tc>
          <w:tcPr>
            <w:tcW w:w="1166" w:type="dxa"/>
            <w:vAlign w:val="center"/>
            <w:hideMark/>
          </w:tcPr>
          <w:p w14:paraId="31629E0D"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21</w:t>
            </w:r>
          </w:p>
        </w:tc>
        <w:tc>
          <w:tcPr>
            <w:tcW w:w="1200" w:type="dxa"/>
            <w:vAlign w:val="center"/>
            <w:hideMark/>
          </w:tcPr>
          <w:p w14:paraId="2F561CAF"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21</w:t>
            </w:r>
          </w:p>
        </w:tc>
        <w:tc>
          <w:tcPr>
            <w:tcW w:w="2449" w:type="dxa"/>
            <w:vAlign w:val="center"/>
            <w:hideMark/>
          </w:tcPr>
          <w:p w14:paraId="159735C0"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Senegal</w:t>
            </w:r>
          </w:p>
        </w:tc>
        <w:tc>
          <w:tcPr>
            <w:tcW w:w="1843" w:type="dxa"/>
            <w:vAlign w:val="center"/>
            <w:hideMark/>
          </w:tcPr>
          <w:p w14:paraId="64F5C7DC" w14:textId="3713B1B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005</w:t>
            </w:r>
          </w:p>
        </w:tc>
        <w:tc>
          <w:tcPr>
            <w:tcW w:w="1831" w:type="dxa"/>
            <w:vAlign w:val="center"/>
            <w:hideMark/>
          </w:tcPr>
          <w:p w14:paraId="44013D34" w14:textId="259848B6"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7E95DE83" w14:textId="163E4BD6"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6F8E30CA" w14:textId="77777777" w:rsidTr="00857B05">
        <w:trPr>
          <w:trHeight w:val="300"/>
        </w:trPr>
        <w:tc>
          <w:tcPr>
            <w:tcW w:w="1166" w:type="dxa"/>
            <w:vAlign w:val="center"/>
            <w:hideMark/>
          </w:tcPr>
          <w:p w14:paraId="7577CB5A"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22</w:t>
            </w:r>
          </w:p>
        </w:tc>
        <w:tc>
          <w:tcPr>
            <w:tcW w:w="1200" w:type="dxa"/>
            <w:vAlign w:val="center"/>
            <w:hideMark/>
          </w:tcPr>
          <w:p w14:paraId="0FC1456B"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22</w:t>
            </w:r>
          </w:p>
        </w:tc>
        <w:tc>
          <w:tcPr>
            <w:tcW w:w="2449" w:type="dxa"/>
            <w:vAlign w:val="center"/>
            <w:hideMark/>
          </w:tcPr>
          <w:p w14:paraId="0490C7F5"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Seychelles</w:t>
            </w:r>
          </w:p>
        </w:tc>
        <w:tc>
          <w:tcPr>
            <w:tcW w:w="1843" w:type="dxa"/>
            <w:vAlign w:val="center"/>
            <w:hideMark/>
          </w:tcPr>
          <w:p w14:paraId="4153AA51" w14:textId="157C462C"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41B9B4A0" w14:textId="28863E6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0C5337BE" w14:textId="1B922F03"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0B2E3343" w14:textId="77777777" w:rsidTr="00857B05">
        <w:trPr>
          <w:trHeight w:val="300"/>
        </w:trPr>
        <w:tc>
          <w:tcPr>
            <w:tcW w:w="1166" w:type="dxa"/>
            <w:vAlign w:val="center"/>
            <w:hideMark/>
          </w:tcPr>
          <w:p w14:paraId="3CF29B23"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23</w:t>
            </w:r>
          </w:p>
        </w:tc>
        <w:tc>
          <w:tcPr>
            <w:tcW w:w="1200" w:type="dxa"/>
            <w:vAlign w:val="center"/>
            <w:hideMark/>
          </w:tcPr>
          <w:p w14:paraId="42365AF7"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23</w:t>
            </w:r>
          </w:p>
        </w:tc>
        <w:tc>
          <w:tcPr>
            <w:tcW w:w="2449" w:type="dxa"/>
            <w:vAlign w:val="center"/>
            <w:hideMark/>
          </w:tcPr>
          <w:p w14:paraId="3A4C99FC"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Sierra Leona</w:t>
            </w:r>
          </w:p>
        </w:tc>
        <w:tc>
          <w:tcPr>
            <w:tcW w:w="1843" w:type="dxa"/>
            <w:vAlign w:val="center"/>
            <w:hideMark/>
          </w:tcPr>
          <w:p w14:paraId="27BC33BD" w14:textId="43BF1F33"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7A198F4E" w14:textId="695B177F"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19BA5A3" w14:textId="58FFC175"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091BDD7B" w14:textId="77777777" w:rsidTr="00857B05">
        <w:trPr>
          <w:trHeight w:val="300"/>
        </w:trPr>
        <w:tc>
          <w:tcPr>
            <w:tcW w:w="1166" w:type="dxa"/>
            <w:vAlign w:val="center"/>
            <w:hideMark/>
          </w:tcPr>
          <w:p w14:paraId="06714B0A"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24</w:t>
            </w:r>
          </w:p>
        </w:tc>
        <w:tc>
          <w:tcPr>
            <w:tcW w:w="1200" w:type="dxa"/>
            <w:vAlign w:val="center"/>
            <w:hideMark/>
          </w:tcPr>
          <w:p w14:paraId="43586CDD"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24</w:t>
            </w:r>
          </w:p>
        </w:tc>
        <w:tc>
          <w:tcPr>
            <w:tcW w:w="2449" w:type="dxa"/>
            <w:vAlign w:val="center"/>
            <w:hideMark/>
          </w:tcPr>
          <w:p w14:paraId="325536E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Togo</w:t>
            </w:r>
          </w:p>
        </w:tc>
        <w:tc>
          <w:tcPr>
            <w:tcW w:w="1843" w:type="dxa"/>
            <w:vAlign w:val="center"/>
            <w:hideMark/>
          </w:tcPr>
          <w:p w14:paraId="0A27DC84" w14:textId="57FCB752"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364367F4" w14:textId="6104EC64"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52F7D7BA" w14:textId="17ABDA78"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27FE1" w:rsidRPr="00581D40" w14:paraId="2FB09CA9" w14:textId="77777777" w:rsidTr="00857B05">
        <w:trPr>
          <w:trHeight w:val="315"/>
        </w:trPr>
        <w:tc>
          <w:tcPr>
            <w:tcW w:w="1166" w:type="dxa"/>
            <w:vAlign w:val="center"/>
            <w:hideMark/>
          </w:tcPr>
          <w:p w14:paraId="0D0C622C"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25</w:t>
            </w:r>
          </w:p>
        </w:tc>
        <w:tc>
          <w:tcPr>
            <w:tcW w:w="1200" w:type="dxa"/>
            <w:vAlign w:val="center"/>
            <w:hideMark/>
          </w:tcPr>
          <w:p w14:paraId="2F1EE516"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25</w:t>
            </w:r>
          </w:p>
        </w:tc>
        <w:tc>
          <w:tcPr>
            <w:tcW w:w="2449" w:type="dxa"/>
            <w:vAlign w:val="center"/>
            <w:hideMark/>
          </w:tcPr>
          <w:p w14:paraId="4F47522F" w14:textId="77777777" w:rsidR="00D27FE1" w:rsidRPr="00581D40" w:rsidRDefault="00D27FE1" w:rsidP="00D27FE1">
            <w:pPr>
              <w:tabs>
                <w:tab w:val="clear" w:pos="1247"/>
                <w:tab w:val="clear" w:pos="1814"/>
                <w:tab w:val="clear" w:pos="2381"/>
                <w:tab w:val="clear" w:pos="2948"/>
                <w:tab w:val="clear" w:pos="3515"/>
              </w:tabs>
              <w:rPr>
                <w:sz w:val="18"/>
                <w:szCs w:val="18"/>
                <w:lang w:val="es-ES"/>
              </w:rPr>
            </w:pPr>
            <w:r w:rsidRPr="00581D40">
              <w:rPr>
                <w:sz w:val="18"/>
                <w:szCs w:val="18"/>
                <w:lang w:val="es-ES"/>
              </w:rPr>
              <w:t>Zambia</w:t>
            </w:r>
          </w:p>
        </w:tc>
        <w:tc>
          <w:tcPr>
            <w:tcW w:w="1843" w:type="dxa"/>
            <w:vAlign w:val="center"/>
            <w:hideMark/>
          </w:tcPr>
          <w:p w14:paraId="7E28C311" w14:textId="7A469F3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007</w:t>
            </w:r>
          </w:p>
        </w:tc>
        <w:tc>
          <w:tcPr>
            <w:tcW w:w="1831" w:type="dxa"/>
            <w:vAlign w:val="center"/>
            <w:hideMark/>
          </w:tcPr>
          <w:p w14:paraId="7CD055E3" w14:textId="3DF1D4B1"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5F7BE943" w14:textId="55E3D865" w:rsidR="00D27FE1" w:rsidRPr="00581D40" w:rsidRDefault="00D27FE1" w:rsidP="00D27FE1">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B82C45" w:rsidRPr="00581D40" w14:paraId="5EC08B31" w14:textId="77777777" w:rsidTr="00857B05">
        <w:trPr>
          <w:trHeight w:val="340"/>
        </w:trPr>
        <w:tc>
          <w:tcPr>
            <w:tcW w:w="1166" w:type="dxa"/>
            <w:vAlign w:val="center"/>
            <w:hideMark/>
          </w:tcPr>
          <w:p w14:paraId="2576D9C3"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Total</w:t>
            </w:r>
          </w:p>
        </w:tc>
        <w:tc>
          <w:tcPr>
            <w:tcW w:w="1200" w:type="dxa"/>
            <w:vAlign w:val="center"/>
            <w:hideMark/>
          </w:tcPr>
          <w:p w14:paraId="5B8CC390"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Grupo</w:t>
            </w:r>
          </w:p>
        </w:tc>
        <w:tc>
          <w:tcPr>
            <w:tcW w:w="7410" w:type="dxa"/>
            <w:gridSpan w:val="4"/>
            <w:vAlign w:val="center"/>
            <w:hideMark/>
          </w:tcPr>
          <w:p w14:paraId="42374E38" w14:textId="77777777" w:rsidR="00B82C45" w:rsidRPr="00581D40" w:rsidRDefault="00B82C45" w:rsidP="00B82C45">
            <w:pPr>
              <w:tabs>
                <w:tab w:val="clear" w:pos="1247"/>
                <w:tab w:val="clear" w:pos="1814"/>
                <w:tab w:val="clear" w:pos="2381"/>
                <w:tab w:val="clear" w:pos="2948"/>
                <w:tab w:val="clear" w:pos="3515"/>
              </w:tabs>
              <w:ind w:right="234"/>
              <w:rPr>
                <w:b/>
                <w:bCs/>
                <w:sz w:val="18"/>
                <w:szCs w:val="18"/>
                <w:lang w:val="es-ES"/>
              </w:rPr>
            </w:pPr>
            <w:r w:rsidRPr="00581D40">
              <w:rPr>
                <w:b/>
                <w:bCs/>
                <w:sz w:val="18"/>
                <w:szCs w:val="18"/>
                <w:lang w:val="es-ES"/>
              </w:rPr>
              <w:t>Asia y el Pacífico</w:t>
            </w:r>
          </w:p>
        </w:tc>
      </w:tr>
      <w:tr w:rsidR="00F27FEE" w:rsidRPr="00581D40" w14:paraId="6AE43161" w14:textId="77777777" w:rsidTr="00857B05">
        <w:trPr>
          <w:trHeight w:val="315"/>
        </w:trPr>
        <w:tc>
          <w:tcPr>
            <w:tcW w:w="1166" w:type="dxa"/>
            <w:vAlign w:val="center"/>
            <w:hideMark/>
          </w:tcPr>
          <w:p w14:paraId="1BA8B045"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26</w:t>
            </w:r>
          </w:p>
        </w:tc>
        <w:tc>
          <w:tcPr>
            <w:tcW w:w="1200" w:type="dxa"/>
            <w:vAlign w:val="center"/>
            <w:hideMark/>
          </w:tcPr>
          <w:p w14:paraId="317EF5E6"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w:t>
            </w:r>
          </w:p>
        </w:tc>
        <w:tc>
          <w:tcPr>
            <w:tcW w:w="2449" w:type="dxa"/>
            <w:vAlign w:val="center"/>
            <w:hideMark/>
          </w:tcPr>
          <w:p w14:paraId="6EAC402F" w14:textId="72A96104"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Afganistán</w:t>
            </w:r>
          </w:p>
        </w:tc>
        <w:tc>
          <w:tcPr>
            <w:tcW w:w="1843" w:type="dxa"/>
            <w:vAlign w:val="center"/>
            <w:hideMark/>
          </w:tcPr>
          <w:p w14:paraId="61273DCA" w14:textId="28F54267"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006</w:t>
            </w:r>
          </w:p>
        </w:tc>
        <w:tc>
          <w:tcPr>
            <w:tcW w:w="1831" w:type="dxa"/>
            <w:vAlign w:val="center"/>
            <w:hideMark/>
          </w:tcPr>
          <w:p w14:paraId="397A4BD2" w14:textId="1B67C73A"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23BB7E2C" w14:textId="0DE3727D"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F27FEE" w:rsidRPr="00581D40" w14:paraId="0FB767BD" w14:textId="77777777" w:rsidTr="00857B05">
        <w:trPr>
          <w:trHeight w:val="300"/>
        </w:trPr>
        <w:tc>
          <w:tcPr>
            <w:tcW w:w="1166" w:type="dxa"/>
            <w:vAlign w:val="center"/>
            <w:hideMark/>
          </w:tcPr>
          <w:p w14:paraId="4F473672"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27</w:t>
            </w:r>
          </w:p>
        </w:tc>
        <w:tc>
          <w:tcPr>
            <w:tcW w:w="1200" w:type="dxa"/>
            <w:vAlign w:val="center"/>
            <w:hideMark/>
          </w:tcPr>
          <w:p w14:paraId="7A0095F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2</w:t>
            </w:r>
          </w:p>
        </w:tc>
        <w:tc>
          <w:tcPr>
            <w:tcW w:w="2449" w:type="dxa"/>
            <w:vAlign w:val="center"/>
            <w:hideMark/>
          </w:tcPr>
          <w:p w14:paraId="0385394A" w14:textId="02DC49C3"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China</w:t>
            </w:r>
          </w:p>
        </w:tc>
        <w:tc>
          <w:tcPr>
            <w:tcW w:w="1843" w:type="dxa"/>
            <w:vAlign w:val="center"/>
            <w:hideMark/>
          </w:tcPr>
          <w:p w14:paraId="28F36D61" w14:textId="3CDA205D"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7</w:t>
            </w:r>
            <w:r w:rsidR="00581D40" w:rsidRPr="00581D40">
              <w:rPr>
                <w:sz w:val="18"/>
                <w:szCs w:val="18"/>
                <w:lang w:val="es-ES"/>
              </w:rPr>
              <w:t>,</w:t>
            </w:r>
            <w:r w:rsidRPr="00581D40">
              <w:rPr>
                <w:sz w:val="18"/>
                <w:szCs w:val="18"/>
                <w:lang w:val="es-ES"/>
              </w:rPr>
              <w:t>921</w:t>
            </w:r>
          </w:p>
        </w:tc>
        <w:tc>
          <w:tcPr>
            <w:tcW w:w="1831" w:type="dxa"/>
            <w:vAlign w:val="center"/>
            <w:hideMark/>
          </w:tcPr>
          <w:p w14:paraId="1DB7DD22" w14:textId="1F2E6A13"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10</w:t>
            </w:r>
            <w:r w:rsidR="00581D40" w:rsidRPr="00581D40">
              <w:rPr>
                <w:sz w:val="18"/>
                <w:szCs w:val="18"/>
                <w:lang w:val="es-ES"/>
              </w:rPr>
              <w:t>,</w:t>
            </w:r>
            <w:r w:rsidRPr="00581D40">
              <w:rPr>
                <w:sz w:val="18"/>
                <w:szCs w:val="18"/>
                <w:lang w:val="es-ES"/>
              </w:rPr>
              <w:t>648</w:t>
            </w:r>
          </w:p>
        </w:tc>
        <w:tc>
          <w:tcPr>
            <w:tcW w:w="1287" w:type="dxa"/>
            <w:vAlign w:val="center"/>
            <w:hideMark/>
          </w:tcPr>
          <w:p w14:paraId="31AB325A" w14:textId="1E7E4B33"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350 159 </w:t>
            </w:r>
          </w:p>
        </w:tc>
      </w:tr>
      <w:tr w:rsidR="00F27FEE" w:rsidRPr="00581D40" w14:paraId="6CE36A18" w14:textId="77777777" w:rsidTr="00857B05">
        <w:trPr>
          <w:trHeight w:val="300"/>
        </w:trPr>
        <w:tc>
          <w:tcPr>
            <w:tcW w:w="1166" w:type="dxa"/>
            <w:vAlign w:val="center"/>
          </w:tcPr>
          <w:p w14:paraId="0A136440"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28</w:t>
            </w:r>
          </w:p>
        </w:tc>
        <w:tc>
          <w:tcPr>
            <w:tcW w:w="1200" w:type="dxa"/>
            <w:vAlign w:val="center"/>
          </w:tcPr>
          <w:p w14:paraId="24F9B3A2"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w:t>
            </w:r>
          </w:p>
        </w:tc>
        <w:tc>
          <w:tcPr>
            <w:tcW w:w="2449" w:type="dxa"/>
            <w:vAlign w:val="center"/>
          </w:tcPr>
          <w:p w14:paraId="1A6D132A" w14:textId="58065D89"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India</w:t>
            </w:r>
          </w:p>
        </w:tc>
        <w:tc>
          <w:tcPr>
            <w:tcW w:w="1843" w:type="dxa"/>
            <w:vAlign w:val="center"/>
          </w:tcPr>
          <w:p w14:paraId="6584E668" w14:textId="168C9646"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737</w:t>
            </w:r>
          </w:p>
        </w:tc>
        <w:tc>
          <w:tcPr>
            <w:tcW w:w="1831" w:type="dxa"/>
            <w:vAlign w:val="center"/>
          </w:tcPr>
          <w:p w14:paraId="36880DCE" w14:textId="4C0CD544"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991</w:t>
            </w:r>
          </w:p>
        </w:tc>
        <w:tc>
          <w:tcPr>
            <w:tcW w:w="1287" w:type="dxa"/>
            <w:vAlign w:val="center"/>
          </w:tcPr>
          <w:p w14:paraId="1C867280" w14:textId="1FBF125B"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32 580 </w:t>
            </w:r>
          </w:p>
        </w:tc>
      </w:tr>
      <w:tr w:rsidR="00F27FEE" w:rsidRPr="00581D40" w14:paraId="5945F15E" w14:textId="77777777" w:rsidTr="00857B05">
        <w:trPr>
          <w:trHeight w:val="300"/>
        </w:trPr>
        <w:tc>
          <w:tcPr>
            <w:tcW w:w="1166" w:type="dxa"/>
            <w:vAlign w:val="center"/>
            <w:hideMark/>
          </w:tcPr>
          <w:p w14:paraId="6B6A1380"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29</w:t>
            </w:r>
          </w:p>
        </w:tc>
        <w:tc>
          <w:tcPr>
            <w:tcW w:w="1200" w:type="dxa"/>
            <w:vAlign w:val="center"/>
            <w:hideMark/>
          </w:tcPr>
          <w:p w14:paraId="5F7B0E35"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w:t>
            </w:r>
          </w:p>
        </w:tc>
        <w:tc>
          <w:tcPr>
            <w:tcW w:w="2449" w:type="dxa"/>
            <w:vAlign w:val="center"/>
            <w:hideMark/>
          </w:tcPr>
          <w:p w14:paraId="0EDCF913" w14:textId="073F243F"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Indonesia</w:t>
            </w:r>
          </w:p>
        </w:tc>
        <w:tc>
          <w:tcPr>
            <w:tcW w:w="1843" w:type="dxa"/>
            <w:vAlign w:val="center"/>
            <w:hideMark/>
          </w:tcPr>
          <w:p w14:paraId="4E4BFE01" w14:textId="76B85787"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504</w:t>
            </w:r>
          </w:p>
        </w:tc>
        <w:tc>
          <w:tcPr>
            <w:tcW w:w="1831" w:type="dxa"/>
            <w:vAlign w:val="center"/>
            <w:hideMark/>
          </w:tcPr>
          <w:p w14:paraId="545C5DBB" w14:textId="1E467099"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677 </w:t>
            </w:r>
          </w:p>
        </w:tc>
        <w:tc>
          <w:tcPr>
            <w:tcW w:w="1287" w:type="dxa"/>
            <w:vAlign w:val="center"/>
            <w:hideMark/>
          </w:tcPr>
          <w:p w14:paraId="7684A1F3" w14:textId="10CB54A8"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22 280 </w:t>
            </w:r>
          </w:p>
        </w:tc>
      </w:tr>
      <w:tr w:rsidR="00F27FEE" w:rsidRPr="00581D40" w14:paraId="2A77B4AC" w14:textId="77777777" w:rsidTr="00857B05">
        <w:trPr>
          <w:trHeight w:val="300"/>
        </w:trPr>
        <w:tc>
          <w:tcPr>
            <w:tcW w:w="1166" w:type="dxa"/>
            <w:vAlign w:val="center"/>
            <w:hideMark/>
          </w:tcPr>
          <w:p w14:paraId="6B499A5B"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30</w:t>
            </w:r>
          </w:p>
        </w:tc>
        <w:tc>
          <w:tcPr>
            <w:tcW w:w="1200" w:type="dxa"/>
            <w:vAlign w:val="center"/>
            <w:hideMark/>
          </w:tcPr>
          <w:p w14:paraId="01B394E4"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5</w:t>
            </w:r>
          </w:p>
        </w:tc>
        <w:tc>
          <w:tcPr>
            <w:tcW w:w="2449" w:type="dxa"/>
            <w:vAlign w:val="center"/>
            <w:hideMark/>
          </w:tcPr>
          <w:p w14:paraId="61639DCE" w14:textId="637B7657" w:rsidR="00F27FEE" w:rsidRPr="00581D40" w:rsidRDefault="00DC5B47" w:rsidP="00F27FEE">
            <w:pPr>
              <w:tabs>
                <w:tab w:val="clear" w:pos="1247"/>
                <w:tab w:val="clear" w:pos="1814"/>
                <w:tab w:val="clear" w:pos="2381"/>
                <w:tab w:val="clear" w:pos="2948"/>
                <w:tab w:val="clear" w:pos="3515"/>
              </w:tabs>
              <w:rPr>
                <w:sz w:val="18"/>
                <w:szCs w:val="18"/>
                <w:lang w:val="es-ES"/>
              </w:rPr>
            </w:pPr>
            <w:r w:rsidRPr="00581D40">
              <w:rPr>
                <w:sz w:val="18"/>
                <w:szCs w:val="18"/>
                <w:lang w:val="es-ES"/>
              </w:rPr>
              <w:t>Irán (República Islámica del)</w:t>
            </w:r>
          </w:p>
        </w:tc>
        <w:tc>
          <w:tcPr>
            <w:tcW w:w="1843" w:type="dxa"/>
            <w:vAlign w:val="center"/>
            <w:hideMark/>
          </w:tcPr>
          <w:p w14:paraId="45A9E3C5" w14:textId="1BC6E5DE"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471</w:t>
            </w:r>
          </w:p>
        </w:tc>
        <w:tc>
          <w:tcPr>
            <w:tcW w:w="1831" w:type="dxa"/>
            <w:vAlign w:val="center"/>
            <w:hideMark/>
          </w:tcPr>
          <w:p w14:paraId="2193D7AE" w14:textId="504DD119"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633 </w:t>
            </w:r>
          </w:p>
        </w:tc>
        <w:tc>
          <w:tcPr>
            <w:tcW w:w="1287" w:type="dxa"/>
            <w:vAlign w:val="center"/>
            <w:hideMark/>
          </w:tcPr>
          <w:p w14:paraId="3FC60341" w14:textId="2E345266"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20 821 </w:t>
            </w:r>
          </w:p>
        </w:tc>
      </w:tr>
      <w:tr w:rsidR="00F27FEE" w:rsidRPr="00581D40" w14:paraId="45394453" w14:textId="77777777" w:rsidTr="00857B05">
        <w:trPr>
          <w:trHeight w:val="300"/>
        </w:trPr>
        <w:tc>
          <w:tcPr>
            <w:tcW w:w="1166" w:type="dxa"/>
            <w:vAlign w:val="center"/>
            <w:hideMark/>
          </w:tcPr>
          <w:p w14:paraId="4D5AFF14"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31</w:t>
            </w:r>
          </w:p>
        </w:tc>
        <w:tc>
          <w:tcPr>
            <w:tcW w:w="1200" w:type="dxa"/>
            <w:vAlign w:val="center"/>
            <w:hideMark/>
          </w:tcPr>
          <w:p w14:paraId="36F87EE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6</w:t>
            </w:r>
          </w:p>
        </w:tc>
        <w:tc>
          <w:tcPr>
            <w:tcW w:w="2449" w:type="dxa"/>
            <w:vAlign w:val="center"/>
            <w:hideMark/>
          </w:tcPr>
          <w:p w14:paraId="762844B1" w14:textId="35D5AD1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Jap</w:t>
            </w:r>
            <w:r w:rsidR="00DC5B47" w:rsidRPr="00581D40">
              <w:rPr>
                <w:sz w:val="18"/>
                <w:szCs w:val="18"/>
                <w:lang w:val="es-ES"/>
              </w:rPr>
              <w:t>ó</w:t>
            </w:r>
            <w:r w:rsidRPr="00581D40">
              <w:rPr>
                <w:sz w:val="18"/>
                <w:szCs w:val="18"/>
                <w:lang w:val="es-ES"/>
              </w:rPr>
              <w:t>n</w:t>
            </w:r>
            <w:r w:rsidR="00DC5B47" w:rsidRPr="00581D40">
              <w:rPr>
                <w:sz w:val="18"/>
                <w:szCs w:val="18"/>
                <w:lang w:val="es-ES"/>
              </w:rPr>
              <w:t xml:space="preserve"> </w:t>
            </w:r>
          </w:p>
        </w:tc>
        <w:tc>
          <w:tcPr>
            <w:tcW w:w="1843" w:type="dxa"/>
            <w:vAlign w:val="center"/>
            <w:hideMark/>
          </w:tcPr>
          <w:p w14:paraId="01E03B08" w14:textId="5475B431"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9</w:t>
            </w:r>
            <w:r w:rsidR="00581D40" w:rsidRPr="00581D40">
              <w:rPr>
                <w:sz w:val="18"/>
                <w:szCs w:val="18"/>
                <w:lang w:val="es-ES"/>
              </w:rPr>
              <w:t>,</w:t>
            </w:r>
            <w:r w:rsidRPr="00581D40">
              <w:rPr>
                <w:sz w:val="18"/>
                <w:szCs w:val="18"/>
                <w:lang w:val="es-ES"/>
              </w:rPr>
              <w:t>680</w:t>
            </w:r>
          </w:p>
        </w:tc>
        <w:tc>
          <w:tcPr>
            <w:tcW w:w="1831" w:type="dxa"/>
            <w:vAlign w:val="center"/>
            <w:hideMark/>
          </w:tcPr>
          <w:p w14:paraId="124557C8" w14:textId="757F4A2F"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13</w:t>
            </w:r>
            <w:r w:rsidR="00581D40" w:rsidRPr="00581D40">
              <w:rPr>
                <w:sz w:val="18"/>
                <w:szCs w:val="18"/>
                <w:lang w:val="es-ES"/>
              </w:rPr>
              <w:t>,</w:t>
            </w:r>
            <w:r w:rsidRPr="00581D40">
              <w:rPr>
                <w:sz w:val="18"/>
                <w:szCs w:val="18"/>
                <w:lang w:val="es-ES"/>
              </w:rPr>
              <w:t xml:space="preserve">012 </w:t>
            </w:r>
          </w:p>
        </w:tc>
        <w:tc>
          <w:tcPr>
            <w:tcW w:w="1287" w:type="dxa"/>
            <w:vAlign w:val="center"/>
            <w:hideMark/>
          </w:tcPr>
          <w:p w14:paraId="09455E24" w14:textId="71024E10"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427 918 </w:t>
            </w:r>
          </w:p>
        </w:tc>
      </w:tr>
      <w:tr w:rsidR="00F27FEE" w:rsidRPr="00581D40" w14:paraId="4AA72422" w14:textId="77777777" w:rsidTr="00857B05">
        <w:trPr>
          <w:trHeight w:val="300"/>
        </w:trPr>
        <w:tc>
          <w:tcPr>
            <w:tcW w:w="1166" w:type="dxa"/>
            <w:vAlign w:val="center"/>
            <w:hideMark/>
          </w:tcPr>
          <w:p w14:paraId="40FEF54D"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32</w:t>
            </w:r>
          </w:p>
        </w:tc>
        <w:tc>
          <w:tcPr>
            <w:tcW w:w="1200" w:type="dxa"/>
            <w:vAlign w:val="center"/>
            <w:hideMark/>
          </w:tcPr>
          <w:p w14:paraId="101559F3"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7</w:t>
            </w:r>
          </w:p>
        </w:tc>
        <w:tc>
          <w:tcPr>
            <w:tcW w:w="2449" w:type="dxa"/>
            <w:vAlign w:val="center"/>
            <w:hideMark/>
          </w:tcPr>
          <w:p w14:paraId="1E2883FD" w14:textId="0079B161"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Jordan</w:t>
            </w:r>
            <w:r w:rsidR="00DC5B47" w:rsidRPr="00581D40">
              <w:rPr>
                <w:sz w:val="18"/>
                <w:szCs w:val="18"/>
                <w:lang w:val="es-ES"/>
              </w:rPr>
              <w:t>ia</w:t>
            </w:r>
          </w:p>
        </w:tc>
        <w:tc>
          <w:tcPr>
            <w:tcW w:w="1843" w:type="dxa"/>
            <w:vAlign w:val="center"/>
            <w:hideMark/>
          </w:tcPr>
          <w:p w14:paraId="135C4A0B" w14:textId="59BA43F4"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020</w:t>
            </w:r>
          </w:p>
        </w:tc>
        <w:tc>
          <w:tcPr>
            <w:tcW w:w="1831" w:type="dxa"/>
            <w:vAlign w:val="center"/>
            <w:hideMark/>
          </w:tcPr>
          <w:p w14:paraId="56914643" w14:textId="45F47850"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027 </w:t>
            </w:r>
          </w:p>
        </w:tc>
        <w:tc>
          <w:tcPr>
            <w:tcW w:w="1287" w:type="dxa"/>
            <w:vAlign w:val="center"/>
            <w:hideMark/>
          </w:tcPr>
          <w:p w14:paraId="1E415002" w14:textId="34AF003E"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884 </w:t>
            </w:r>
          </w:p>
        </w:tc>
      </w:tr>
      <w:tr w:rsidR="00F27FEE" w:rsidRPr="00581D40" w14:paraId="7A86DB9F" w14:textId="77777777" w:rsidTr="00857B05">
        <w:trPr>
          <w:trHeight w:val="300"/>
        </w:trPr>
        <w:tc>
          <w:tcPr>
            <w:tcW w:w="1166" w:type="dxa"/>
            <w:vAlign w:val="center"/>
            <w:hideMark/>
          </w:tcPr>
          <w:p w14:paraId="09220A2A"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33</w:t>
            </w:r>
          </w:p>
        </w:tc>
        <w:tc>
          <w:tcPr>
            <w:tcW w:w="1200" w:type="dxa"/>
            <w:vAlign w:val="center"/>
            <w:hideMark/>
          </w:tcPr>
          <w:p w14:paraId="79ECB09D"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8</w:t>
            </w:r>
          </w:p>
        </w:tc>
        <w:tc>
          <w:tcPr>
            <w:tcW w:w="2449" w:type="dxa"/>
            <w:vAlign w:val="center"/>
            <w:hideMark/>
          </w:tcPr>
          <w:p w14:paraId="0840828E" w14:textId="38A90FFC"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Kiribati</w:t>
            </w:r>
          </w:p>
        </w:tc>
        <w:tc>
          <w:tcPr>
            <w:tcW w:w="1843" w:type="dxa"/>
            <w:vAlign w:val="center"/>
            <w:hideMark/>
          </w:tcPr>
          <w:p w14:paraId="2DDD3D75" w14:textId="135B52EA"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1B8B6A01" w14:textId="5F1C993A"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E6E5A31" w14:textId="69756243"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F27FEE" w:rsidRPr="00581D40" w14:paraId="06197212" w14:textId="77777777" w:rsidTr="00857B05">
        <w:trPr>
          <w:trHeight w:val="300"/>
        </w:trPr>
        <w:tc>
          <w:tcPr>
            <w:tcW w:w="1166" w:type="dxa"/>
            <w:vAlign w:val="center"/>
            <w:hideMark/>
          </w:tcPr>
          <w:p w14:paraId="22A44A17"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34</w:t>
            </w:r>
          </w:p>
        </w:tc>
        <w:tc>
          <w:tcPr>
            <w:tcW w:w="1200" w:type="dxa"/>
            <w:vAlign w:val="center"/>
            <w:hideMark/>
          </w:tcPr>
          <w:p w14:paraId="13BB1A6B"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9</w:t>
            </w:r>
          </w:p>
        </w:tc>
        <w:tc>
          <w:tcPr>
            <w:tcW w:w="2449" w:type="dxa"/>
            <w:vAlign w:val="center"/>
            <w:hideMark/>
          </w:tcPr>
          <w:p w14:paraId="0BF127FB" w14:textId="57479541"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Kuwait </w:t>
            </w:r>
          </w:p>
        </w:tc>
        <w:tc>
          <w:tcPr>
            <w:tcW w:w="1843" w:type="dxa"/>
            <w:vAlign w:val="center"/>
            <w:hideMark/>
          </w:tcPr>
          <w:p w14:paraId="3D9788FF" w14:textId="16695980"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285</w:t>
            </w:r>
          </w:p>
        </w:tc>
        <w:tc>
          <w:tcPr>
            <w:tcW w:w="1831" w:type="dxa"/>
            <w:vAlign w:val="center"/>
            <w:hideMark/>
          </w:tcPr>
          <w:p w14:paraId="796F7D0B" w14:textId="787BFC46"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383</w:t>
            </w:r>
          </w:p>
        </w:tc>
        <w:tc>
          <w:tcPr>
            <w:tcW w:w="1287" w:type="dxa"/>
            <w:vAlign w:val="center"/>
            <w:hideMark/>
          </w:tcPr>
          <w:p w14:paraId="451D0A1A" w14:textId="04E12108"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12 599 </w:t>
            </w:r>
          </w:p>
        </w:tc>
      </w:tr>
      <w:tr w:rsidR="00F27FEE" w:rsidRPr="00581D40" w14:paraId="3241FE2C" w14:textId="77777777" w:rsidTr="00857B05">
        <w:trPr>
          <w:trHeight w:val="300"/>
        </w:trPr>
        <w:tc>
          <w:tcPr>
            <w:tcW w:w="1166" w:type="dxa"/>
            <w:vAlign w:val="center"/>
            <w:hideMark/>
          </w:tcPr>
          <w:p w14:paraId="1939E23A"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35</w:t>
            </w:r>
          </w:p>
        </w:tc>
        <w:tc>
          <w:tcPr>
            <w:tcW w:w="1200" w:type="dxa"/>
            <w:vAlign w:val="center"/>
            <w:hideMark/>
          </w:tcPr>
          <w:p w14:paraId="5CA87BB3"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10</w:t>
            </w:r>
          </w:p>
        </w:tc>
        <w:tc>
          <w:tcPr>
            <w:tcW w:w="2449" w:type="dxa"/>
            <w:vAlign w:val="center"/>
            <w:hideMark/>
          </w:tcPr>
          <w:p w14:paraId="469E5772" w14:textId="4BBCD1C6" w:rsidR="00F27FEE" w:rsidRPr="00581D40" w:rsidRDefault="00DC5B47" w:rsidP="00F27FEE">
            <w:pPr>
              <w:tabs>
                <w:tab w:val="clear" w:pos="1247"/>
                <w:tab w:val="clear" w:pos="1814"/>
                <w:tab w:val="clear" w:pos="2381"/>
                <w:tab w:val="clear" w:pos="2948"/>
                <w:tab w:val="clear" w:pos="3515"/>
              </w:tabs>
              <w:rPr>
                <w:sz w:val="18"/>
                <w:szCs w:val="18"/>
                <w:lang w:val="es-ES"/>
              </w:rPr>
            </w:pPr>
            <w:r w:rsidRPr="00581D40">
              <w:rPr>
                <w:sz w:val="18"/>
                <w:szCs w:val="18"/>
                <w:lang w:val="es-ES"/>
              </w:rPr>
              <w:t>República Democrática Popular Lao</w:t>
            </w:r>
          </w:p>
        </w:tc>
        <w:tc>
          <w:tcPr>
            <w:tcW w:w="1843" w:type="dxa"/>
            <w:vAlign w:val="center"/>
            <w:hideMark/>
          </w:tcPr>
          <w:p w14:paraId="438D8CF3" w14:textId="12C35E81"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003</w:t>
            </w:r>
          </w:p>
        </w:tc>
        <w:tc>
          <w:tcPr>
            <w:tcW w:w="1831" w:type="dxa"/>
            <w:vAlign w:val="center"/>
            <w:hideMark/>
          </w:tcPr>
          <w:p w14:paraId="28652CA2" w14:textId="52E8180F"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C6DFAF9" w14:textId="5D3A9CDD"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F27FEE" w:rsidRPr="00581D40" w14:paraId="1BF5B4F0" w14:textId="77777777" w:rsidTr="00857B05">
        <w:trPr>
          <w:trHeight w:val="300"/>
        </w:trPr>
        <w:tc>
          <w:tcPr>
            <w:tcW w:w="1166" w:type="dxa"/>
            <w:vAlign w:val="center"/>
            <w:hideMark/>
          </w:tcPr>
          <w:p w14:paraId="28C09E0D"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lastRenderedPageBreak/>
              <w:t>36</w:t>
            </w:r>
          </w:p>
        </w:tc>
        <w:tc>
          <w:tcPr>
            <w:tcW w:w="1200" w:type="dxa"/>
            <w:vAlign w:val="center"/>
            <w:hideMark/>
          </w:tcPr>
          <w:p w14:paraId="007C17D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11</w:t>
            </w:r>
          </w:p>
        </w:tc>
        <w:tc>
          <w:tcPr>
            <w:tcW w:w="2449" w:type="dxa"/>
            <w:vAlign w:val="center"/>
            <w:hideMark/>
          </w:tcPr>
          <w:p w14:paraId="33AA5E28" w14:textId="2CA0ABFE"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L</w:t>
            </w:r>
            <w:r w:rsidR="00DC5B47" w:rsidRPr="00581D40">
              <w:rPr>
                <w:sz w:val="18"/>
                <w:szCs w:val="18"/>
                <w:lang w:val="es-ES"/>
              </w:rPr>
              <w:t xml:space="preserve">íbano </w:t>
            </w:r>
          </w:p>
        </w:tc>
        <w:tc>
          <w:tcPr>
            <w:tcW w:w="1843" w:type="dxa"/>
            <w:vAlign w:val="center"/>
            <w:hideMark/>
          </w:tcPr>
          <w:p w14:paraId="29EAE4F9" w14:textId="077C12B7"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046</w:t>
            </w:r>
          </w:p>
        </w:tc>
        <w:tc>
          <w:tcPr>
            <w:tcW w:w="1831" w:type="dxa"/>
            <w:vAlign w:val="center"/>
            <w:hideMark/>
          </w:tcPr>
          <w:p w14:paraId="335EEB87" w14:textId="52EB0681"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062 </w:t>
            </w:r>
          </w:p>
        </w:tc>
        <w:tc>
          <w:tcPr>
            <w:tcW w:w="1287" w:type="dxa"/>
            <w:vAlign w:val="center"/>
            <w:hideMark/>
          </w:tcPr>
          <w:p w14:paraId="5B7E6BAD" w14:textId="56365584"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2 033 </w:t>
            </w:r>
          </w:p>
        </w:tc>
      </w:tr>
      <w:tr w:rsidR="00F27FEE" w:rsidRPr="00581D40" w14:paraId="23B86AC6" w14:textId="77777777" w:rsidTr="00857B05">
        <w:trPr>
          <w:trHeight w:val="300"/>
        </w:trPr>
        <w:tc>
          <w:tcPr>
            <w:tcW w:w="1166" w:type="dxa"/>
            <w:vAlign w:val="center"/>
            <w:hideMark/>
          </w:tcPr>
          <w:p w14:paraId="3C2B1854"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37</w:t>
            </w:r>
          </w:p>
        </w:tc>
        <w:tc>
          <w:tcPr>
            <w:tcW w:w="1200" w:type="dxa"/>
            <w:vAlign w:val="center"/>
            <w:hideMark/>
          </w:tcPr>
          <w:p w14:paraId="5C5130BF"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12</w:t>
            </w:r>
          </w:p>
        </w:tc>
        <w:tc>
          <w:tcPr>
            <w:tcW w:w="2449" w:type="dxa"/>
            <w:vAlign w:val="center"/>
            <w:hideMark/>
          </w:tcPr>
          <w:p w14:paraId="31C7EE3F" w14:textId="7D7B8290"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Mongolia</w:t>
            </w:r>
          </w:p>
        </w:tc>
        <w:tc>
          <w:tcPr>
            <w:tcW w:w="1843" w:type="dxa"/>
            <w:vAlign w:val="center"/>
            <w:hideMark/>
          </w:tcPr>
          <w:p w14:paraId="5E0BBF13" w14:textId="5828CE74"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005</w:t>
            </w:r>
          </w:p>
        </w:tc>
        <w:tc>
          <w:tcPr>
            <w:tcW w:w="1831" w:type="dxa"/>
            <w:vAlign w:val="center"/>
            <w:hideMark/>
          </w:tcPr>
          <w:p w14:paraId="03AE3417" w14:textId="7D8B0AC8"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D111751" w14:textId="0F3450D5"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F27FEE" w:rsidRPr="00581D40" w14:paraId="1D6C3EFE" w14:textId="77777777" w:rsidTr="00857B05">
        <w:trPr>
          <w:trHeight w:val="300"/>
        </w:trPr>
        <w:tc>
          <w:tcPr>
            <w:tcW w:w="1166" w:type="dxa"/>
            <w:vAlign w:val="center"/>
            <w:hideMark/>
          </w:tcPr>
          <w:p w14:paraId="74E4FA6E"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38</w:t>
            </w:r>
          </w:p>
        </w:tc>
        <w:tc>
          <w:tcPr>
            <w:tcW w:w="1200" w:type="dxa"/>
            <w:vAlign w:val="center"/>
            <w:hideMark/>
          </w:tcPr>
          <w:p w14:paraId="0F683943"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13</w:t>
            </w:r>
          </w:p>
        </w:tc>
        <w:tc>
          <w:tcPr>
            <w:tcW w:w="2449" w:type="dxa"/>
            <w:vAlign w:val="center"/>
            <w:hideMark/>
          </w:tcPr>
          <w:p w14:paraId="2C697703" w14:textId="650DA736"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Palau</w:t>
            </w:r>
          </w:p>
        </w:tc>
        <w:tc>
          <w:tcPr>
            <w:tcW w:w="1843" w:type="dxa"/>
            <w:vAlign w:val="center"/>
            <w:hideMark/>
          </w:tcPr>
          <w:p w14:paraId="6507865A" w14:textId="080D0859"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6CBA29D9" w14:textId="385CD7EB"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3CE44D0A" w14:textId="1225C933"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F27FEE" w:rsidRPr="00581D40" w14:paraId="12DAA854" w14:textId="77777777" w:rsidTr="00857B05">
        <w:trPr>
          <w:trHeight w:val="300"/>
        </w:trPr>
        <w:tc>
          <w:tcPr>
            <w:tcW w:w="1166" w:type="dxa"/>
            <w:vAlign w:val="center"/>
          </w:tcPr>
          <w:p w14:paraId="5CB95F4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39</w:t>
            </w:r>
          </w:p>
        </w:tc>
        <w:tc>
          <w:tcPr>
            <w:tcW w:w="1200" w:type="dxa"/>
            <w:vAlign w:val="center"/>
          </w:tcPr>
          <w:p w14:paraId="4E88174E"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14</w:t>
            </w:r>
          </w:p>
        </w:tc>
        <w:tc>
          <w:tcPr>
            <w:tcW w:w="2449" w:type="dxa"/>
            <w:vAlign w:val="center"/>
          </w:tcPr>
          <w:p w14:paraId="55F2EB3E" w14:textId="4EA45CDA"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Samoa</w:t>
            </w:r>
          </w:p>
        </w:tc>
        <w:tc>
          <w:tcPr>
            <w:tcW w:w="1843" w:type="dxa"/>
            <w:vAlign w:val="center"/>
          </w:tcPr>
          <w:p w14:paraId="6337968B" w14:textId="509FFD16"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tcPr>
          <w:p w14:paraId="66973759" w14:textId="0284A35A"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tcPr>
          <w:p w14:paraId="52333DE7" w14:textId="75463436"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F27FEE" w:rsidRPr="00581D40" w14:paraId="6DAA74B3" w14:textId="77777777" w:rsidTr="00857B05">
        <w:trPr>
          <w:trHeight w:val="300"/>
        </w:trPr>
        <w:tc>
          <w:tcPr>
            <w:tcW w:w="1166" w:type="dxa"/>
            <w:vAlign w:val="center"/>
          </w:tcPr>
          <w:p w14:paraId="69785716"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40</w:t>
            </w:r>
          </w:p>
        </w:tc>
        <w:tc>
          <w:tcPr>
            <w:tcW w:w="1200" w:type="dxa"/>
            <w:vAlign w:val="center"/>
          </w:tcPr>
          <w:p w14:paraId="48B1C627"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15</w:t>
            </w:r>
          </w:p>
        </w:tc>
        <w:tc>
          <w:tcPr>
            <w:tcW w:w="2449" w:type="dxa"/>
            <w:vAlign w:val="center"/>
          </w:tcPr>
          <w:p w14:paraId="670B93DE" w14:textId="214DF4EE"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Singa</w:t>
            </w:r>
            <w:r w:rsidR="00DC5B47" w:rsidRPr="00581D40">
              <w:rPr>
                <w:sz w:val="18"/>
                <w:szCs w:val="18"/>
                <w:lang w:val="es-ES"/>
              </w:rPr>
              <w:t xml:space="preserve">pur </w:t>
            </w:r>
          </w:p>
        </w:tc>
        <w:tc>
          <w:tcPr>
            <w:tcW w:w="1843" w:type="dxa"/>
            <w:vAlign w:val="center"/>
          </w:tcPr>
          <w:p w14:paraId="42349359" w14:textId="57747437"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447</w:t>
            </w:r>
          </w:p>
        </w:tc>
        <w:tc>
          <w:tcPr>
            <w:tcW w:w="1831" w:type="dxa"/>
            <w:vAlign w:val="center"/>
          </w:tcPr>
          <w:p w14:paraId="7605A627" w14:textId="422AA648"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601</w:t>
            </w:r>
          </w:p>
        </w:tc>
        <w:tc>
          <w:tcPr>
            <w:tcW w:w="1287" w:type="dxa"/>
            <w:vAlign w:val="center"/>
          </w:tcPr>
          <w:p w14:paraId="51C42ACA" w14:textId="0E5ECDF1"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19 760</w:t>
            </w:r>
          </w:p>
        </w:tc>
      </w:tr>
      <w:tr w:rsidR="00F27FEE" w:rsidRPr="00581D40" w14:paraId="7722E3E6" w14:textId="77777777" w:rsidTr="00857B05">
        <w:trPr>
          <w:trHeight w:val="300"/>
        </w:trPr>
        <w:tc>
          <w:tcPr>
            <w:tcW w:w="1166" w:type="dxa"/>
            <w:vAlign w:val="center"/>
            <w:hideMark/>
          </w:tcPr>
          <w:p w14:paraId="3F4BF7C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41</w:t>
            </w:r>
          </w:p>
        </w:tc>
        <w:tc>
          <w:tcPr>
            <w:tcW w:w="1200" w:type="dxa"/>
            <w:vAlign w:val="center"/>
            <w:hideMark/>
          </w:tcPr>
          <w:p w14:paraId="606C8359"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16</w:t>
            </w:r>
          </w:p>
        </w:tc>
        <w:tc>
          <w:tcPr>
            <w:tcW w:w="2449" w:type="dxa"/>
            <w:vAlign w:val="center"/>
            <w:hideMark/>
          </w:tcPr>
          <w:p w14:paraId="3DF7DE2D" w14:textId="660F4D65"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Sri Lanka</w:t>
            </w:r>
          </w:p>
        </w:tc>
        <w:tc>
          <w:tcPr>
            <w:tcW w:w="1843" w:type="dxa"/>
            <w:vAlign w:val="center"/>
            <w:hideMark/>
          </w:tcPr>
          <w:p w14:paraId="69132CF3" w14:textId="3F5331D1"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031</w:t>
            </w:r>
          </w:p>
        </w:tc>
        <w:tc>
          <w:tcPr>
            <w:tcW w:w="1831" w:type="dxa"/>
            <w:vAlign w:val="center"/>
            <w:hideMark/>
          </w:tcPr>
          <w:p w14:paraId="1FB066DB" w14:textId="3B9A82ED"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042 </w:t>
            </w:r>
          </w:p>
        </w:tc>
        <w:tc>
          <w:tcPr>
            <w:tcW w:w="1287" w:type="dxa"/>
            <w:vAlign w:val="center"/>
            <w:hideMark/>
          </w:tcPr>
          <w:p w14:paraId="4D66ADB5" w14:textId="327E3F03"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1 370 </w:t>
            </w:r>
          </w:p>
        </w:tc>
      </w:tr>
      <w:tr w:rsidR="00F27FEE" w:rsidRPr="00581D40" w14:paraId="0653A806" w14:textId="77777777" w:rsidTr="00857B05">
        <w:trPr>
          <w:trHeight w:val="300"/>
        </w:trPr>
        <w:tc>
          <w:tcPr>
            <w:tcW w:w="1166" w:type="dxa"/>
            <w:vAlign w:val="center"/>
            <w:hideMark/>
          </w:tcPr>
          <w:p w14:paraId="108DE505"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42</w:t>
            </w:r>
          </w:p>
        </w:tc>
        <w:tc>
          <w:tcPr>
            <w:tcW w:w="1200" w:type="dxa"/>
            <w:vAlign w:val="center"/>
            <w:hideMark/>
          </w:tcPr>
          <w:p w14:paraId="2E97AB09"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17</w:t>
            </w:r>
          </w:p>
        </w:tc>
        <w:tc>
          <w:tcPr>
            <w:tcW w:w="2449" w:type="dxa"/>
            <w:vAlign w:val="center"/>
            <w:hideMark/>
          </w:tcPr>
          <w:p w14:paraId="0B895748" w14:textId="30442AC3" w:rsidR="00F27FEE" w:rsidRPr="00581D40" w:rsidRDefault="00DC5B47" w:rsidP="00F27FEE">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República Árabe Siria </w:t>
            </w:r>
          </w:p>
        </w:tc>
        <w:tc>
          <w:tcPr>
            <w:tcW w:w="1843" w:type="dxa"/>
            <w:vAlign w:val="center"/>
            <w:hideMark/>
          </w:tcPr>
          <w:p w14:paraId="2EE624EC" w14:textId="061FA0C2"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024</w:t>
            </w:r>
          </w:p>
        </w:tc>
        <w:tc>
          <w:tcPr>
            <w:tcW w:w="1831" w:type="dxa"/>
            <w:vAlign w:val="center"/>
            <w:hideMark/>
          </w:tcPr>
          <w:p w14:paraId="4E233B50" w14:textId="36EC3828"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032 </w:t>
            </w:r>
          </w:p>
        </w:tc>
        <w:tc>
          <w:tcPr>
            <w:tcW w:w="1287" w:type="dxa"/>
            <w:vAlign w:val="center"/>
            <w:hideMark/>
          </w:tcPr>
          <w:p w14:paraId="38A75423" w14:textId="10FD79B2"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1 061 </w:t>
            </w:r>
          </w:p>
        </w:tc>
      </w:tr>
      <w:tr w:rsidR="00F27FEE" w:rsidRPr="00581D40" w14:paraId="0D7A304B" w14:textId="77777777" w:rsidTr="00857B05">
        <w:trPr>
          <w:trHeight w:val="300"/>
        </w:trPr>
        <w:tc>
          <w:tcPr>
            <w:tcW w:w="1166" w:type="dxa"/>
            <w:vAlign w:val="center"/>
            <w:hideMark/>
          </w:tcPr>
          <w:p w14:paraId="52619178"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43</w:t>
            </w:r>
          </w:p>
        </w:tc>
        <w:tc>
          <w:tcPr>
            <w:tcW w:w="1200" w:type="dxa"/>
            <w:vAlign w:val="center"/>
            <w:hideMark/>
          </w:tcPr>
          <w:p w14:paraId="041697A4"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18</w:t>
            </w:r>
          </w:p>
        </w:tc>
        <w:tc>
          <w:tcPr>
            <w:tcW w:w="2449" w:type="dxa"/>
            <w:vAlign w:val="center"/>
            <w:hideMark/>
          </w:tcPr>
          <w:p w14:paraId="71C42965" w14:textId="673253CA"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T</w:t>
            </w:r>
            <w:r w:rsidR="00DC5B47" w:rsidRPr="00581D40">
              <w:rPr>
                <w:sz w:val="18"/>
                <w:szCs w:val="18"/>
                <w:lang w:val="es-ES"/>
              </w:rPr>
              <w:t>ailandia</w:t>
            </w:r>
          </w:p>
        </w:tc>
        <w:tc>
          <w:tcPr>
            <w:tcW w:w="1843" w:type="dxa"/>
            <w:vAlign w:val="center"/>
            <w:hideMark/>
          </w:tcPr>
          <w:p w14:paraId="0D74F816" w14:textId="068C23F3"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291</w:t>
            </w:r>
          </w:p>
        </w:tc>
        <w:tc>
          <w:tcPr>
            <w:tcW w:w="1831" w:type="dxa"/>
            <w:vAlign w:val="center"/>
            <w:hideMark/>
          </w:tcPr>
          <w:p w14:paraId="5B5E2926" w14:textId="7F38EA3F"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391</w:t>
            </w:r>
          </w:p>
        </w:tc>
        <w:tc>
          <w:tcPr>
            <w:tcW w:w="1287" w:type="dxa"/>
            <w:vAlign w:val="center"/>
            <w:hideMark/>
          </w:tcPr>
          <w:p w14:paraId="465D89BF" w14:textId="4DFB61A7"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12 864</w:t>
            </w:r>
          </w:p>
        </w:tc>
      </w:tr>
      <w:tr w:rsidR="00F27FEE" w:rsidRPr="00581D40" w14:paraId="0BC78A78" w14:textId="77777777" w:rsidTr="00857B05">
        <w:trPr>
          <w:trHeight w:val="300"/>
        </w:trPr>
        <w:tc>
          <w:tcPr>
            <w:tcW w:w="1166" w:type="dxa"/>
            <w:vAlign w:val="center"/>
            <w:hideMark/>
          </w:tcPr>
          <w:p w14:paraId="239B60CC"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44</w:t>
            </w:r>
          </w:p>
        </w:tc>
        <w:tc>
          <w:tcPr>
            <w:tcW w:w="1200" w:type="dxa"/>
            <w:vAlign w:val="center"/>
            <w:hideMark/>
          </w:tcPr>
          <w:p w14:paraId="1ADD4AC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19</w:t>
            </w:r>
          </w:p>
        </w:tc>
        <w:tc>
          <w:tcPr>
            <w:tcW w:w="2449" w:type="dxa"/>
            <w:vAlign w:val="center"/>
            <w:hideMark/>
          </w:tcPr>
          <w:p w14:paraId="36897D05" w14:textId="3FDE2899" w:rsidR="00F27FEE" w:rsidRPr="00581D40" w:rsidRDefault="00DC5B47" w:rsidP="00F27FEE">
            <w:pPr>
              <w:tabs>
                <w:tab w:val="clear" w:pos="1247"/>
                <w:tab w:val="clear" w:pos="1814"/>
                <w:tab w:val="clear" w:pos="2381"/>
                <w:tab w:val="clear" w:pos="2948"/>
                <w:tab w:val="clear" w:pos="3515"/>
              </w:tabs>
              <w:rPr>
                <w:sz w:val="18"/>
                <w:szCs w:val="18"/>
                <w:lang w:val="es-ES"/>
              </w:rPr>
            </w:pPr>
            <w:r w:rsidRPr="00581D40">
              <w:rPr>
                <w:sz w:val="18"/>
                <w:szCs w:val="18"/>
                <w:lang w:val="es-ES"/>
              </w:rPr>
              <w:t>Emiratos Árabes Unidos</w:t>
            </w:r>
          </w:p>
        </w:tc>
        <w:tc>
          <w:tcPr>
            <w:tcW w:w="1843" w:type="dxa"/>
            <w:vAlign w:val="center"/>
            <w:hideMark/>
          </w:tcPr>
          <w:p w14:paraId="538DF76A" w14:textId="42333059"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604</w:t>
            </w:r>
          </w:p>
        </w:tc>
        <w:tc>
          <w:tcPr>
            <w:tcW w:w="1831" w:type="dxa"/>
            <w:vAlign w:val="center"/>
            <w:hideMark/>
          </w:tcPr>
          <w:p w14:paraId="08598C1B" w14:textId="6BF5A28A"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812</w:t>
            </w:r>
          </w:p>
        </w:tc>
        <w:tc>
          <w:tcPr>
            <w:tcW w:w="1287" w:type="dxa"/>
            <w:vAlign w:val="center"/>
            <w:hideMark/>
          </w:tcPr>
          <w:p w14:paraId="6E609F2E" w14:textId="6ED5BD25"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26 701 </w:t>
            </w:r>
          </w:p>
        </w:tc>
      </w:tr>
      <w:tr w:rsidR="00F27FEE" w:rsidRPr="00581D40" w14:paraId="1B5A1550" w14:textId="77777777" w:rsidTr="00857B05">
        <w:trPr>
          <w:trHeight w:val="300"/>
        </w:trPr>
        <w:tc>
          <w:tcPr>
            <w:tcW w:w="1166" w:type="dxa"/>
            <w:vAlign w:val="center"/>
            <w:hideMark/>
          </w:tcPr>
          <w:p w14:paraId="0117E0A9"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45</w:t>
            </w:r>
          </w:p>
        </w:tc>
        <w:tc>
          <w:tcPr>
            <w:tcW w:w="1200" w:type="dxa"/>
            <w:vAlign w:val="center"/>
            <w:hideMark/>
          </w:tcPr>
          <w:p w14:paraId="0C125651" w14:textId="77777777"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20</w:t>
            </w:r>
          </w:p>
        </w:tc>
        <w:tc>
          <w:tcPr>
            <w:tcW w:w="2449" w:type="dxa"/>
            <w:vAlign w:val="center"/>
            <w:hideMark/>
          </w:tcPr>
          <w:p w14:paraId="36860744" w14:textId="18C63672" w:rsidR="00F27FEE" w:rsidRPr="00581D40" w:rsidRDefault="00F27FEE" w:rsidP="00F27FEE">
            <w:pPr>
              <w:tabs>
                <w:tab w:val="clear" w:pos="1247"/>
                <w:tab w:val="clear" w:pos="1814"/>
                <w:tab w:val="clear" w:pos="2381"/>
                <w:tab w:val="clear" w:pos="2948"/>
                <w:tab w:val="clear" w:pos="3515"/>
              </w:tabs>
              <w:rPr>
                <w:sz w:val="18"/>
                <w:szCs w:val="18"/>
                <w:lang w:val="es-ES"/>
              </w:rPr>
            </w:pPr>
            <w:r w:rsidRPr="00581D40">
              <w:rPr>
                <w:sz w:val="18"/>
                <w:szCs w:val="18"/>
                <w:lang w:val="es-ES"/>
              </w:rPr>
              <w:t>Viet Nam</w:t>
            </w:r>
          </w:p>
        </w:tc>
        <w:tc>
          <w:tcPr>
            <w:tcW w:w="1843" w:type="dxa"/>
            <w:vAlign w:val="center"/>
            <w:hideMark/>
          </w:tcPr>
          <w:p w14:paraId="4ED196A1" w14:textId="7115F79C"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058</w:t>
            </w:r>
          </w:p>
        </w:tc>
        <w:tc>
          <w:tcPr>
            <w:tcW w:w="1831" w:type="dxa"/>
            <w:vAlign w:val="center"/>
            <w:hideMark/>
          </w:tcPr>
          <w:p w14:paraId="598C7541" w14:textId="25DAEDBF"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078 </w:t>
            </w:r>
          </w:p>
        </w:tc>
        <w:tc>
          <w:tcPr>
            <w:tcW w:w="1287" w:type="dxa"/>
            <w:vAlign w:val="center"/>
            <w:hideMark/>
          </w:tcPr>
          <w:p w14:paraId="7C7B257D" w14:textId="089A1995" w:rsidR="00F27FEE" w:rsidRPr="00581D40" w:rsidRDefault="00F27FEE" w:rsidP="00F27FEE">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2 564</w:t>
            </w:r>
          </w:p>
        </w:tc>
      </w:tr>
      <w:tr w:rsidR="00B82C45" w:rsidRPr="00581D40" w14:paraId="49A0421E" w14:textId="77777777" w:rsidTr="00857B05">
        <w:trPr>
          <w:trHeight w:val="340"/>
        </w:trPr>
        <w:tc>
          <w:tcPr>
            <w:tcW w:w="1166" w:type="dxa"/>
            <w:vAlign w:val="center"/>
            <w:hideMark/>
          </w:tcPr>
          <w:p w14:paraId="69F05CED"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Total</w:t>
            </w:r>
          </w:p>
        </w:tc>
        <w:tc>
          <w:tcPr>
            <w:tcW w:w="1200" w:type="dxa"/>
            <w:vAlign w:val="center"/>
            <w:hideMark/>
          </w:tcPr>
          <w:p w14:paraId="4529D926"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Grupo</w:t>
            </w:r>
          </w:p>
        </w:tc>
        <w:tc>
          <w:tcPr>
            <w:tcW w:w="7410" w:type="dxa"/>
            <w:gridSpan w:val="4"/>
            <w:vAlign w:val="center"/>
            <w:hideMark/>
          </w:tcPr>
          <w:p w14:paraId="717C539A" w14:textId="77777777" w:rsidR="00B82C45" w:rsidRPr="00581D40" w:rsidRDefault="00B82C45" w:rsidP="00B82C45">
            <w:pPr>
              <w:tabs>
                <w:tab w:val="clear" w:pos="1247"/>
                <w:tab w:val="clear" w:pos="1814"/>
                <w:tab w:val="clear" w:pos="2381"/>
                <w:tab w:val="clear" w:pos="2948"/>
                <w:tab w:val="clear" w:pos="3515"/>
              </w:tabs>
              <w:ind w:right="234"/>
              <w:rPr>
                <w:b/>
                <w:bCs/>
                <w:sz w:val="18"/>
                <w:szCs w:val="18"/>
                <w:lang w:val="es-ES"/>
              </w:rPr>
            </w:pPr>
            <w:r w:rsidRPr="00581D40">
              <w:rPr>
                <w:b/>
                <w:bCs/>
                <w:sz w:val="18"/>
                <w:szCs w:val="18"/>
                <w:lang w:val="es-ES"/>
              </w:rPr>
              <w:t>Europa Central y Oriental</w:t>
            </w:r>
          </w:p>
        </w:tc>
      </w:tr>
      <w:tr w:rsidR="00DC5B47" w:rsidRPr="00581D40" w14:paraId="4407935F" w14:textId="77777777" w:rsidTr="00857B05">
        <w:trPr>
          <w:trHeight w:val="300"/>
        </w:trPr>
        <w:tc>
          <w:tcPr>
            <w:tcW w:w="1166" w:type="dxa"/>
            <w:vAlign w:val="center"/>
            <w:hideMark/>
          </w:tcPr>
          <w:p w14:paraId="2415467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46</w:t>
            </w:r>
          </w:p>
        </w:tc>
        <w:tc>
          <w:tcPr>
            <w:tcW w:w="1200" w:type="dxa"/>
            <w:vAlign w:val="center"/>
            <w:hideMark/>
          </w:tcPr>
          <w:p w14:paraId="5F3C838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w:t>
            </w:r>
          </w:p>
        </w:tc>
        <w:tc>
          <w:tcPr>
            <w:tcW w:w="2449" w:type="dxa"/>
            <w:vAlign w:val="center"/>
            <w:hideMark/>
          </w:tcPr>
          <w:p w14:paraId="2F8F3633" w14:textId="1AD42D8B"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Armenia</w:t>
            </w:r>
          </w:p>
        </w:tc>
        <w:tc>
          <w:tcPr>
            <w:tcW w:w="1843" w:type="dxa"/>
            <w:vAlign w:val="center"/>
            <w:hideMark/>
          </w:tcPr>
          <w:p w14:paraId="241F200A" w14:textId="4992BF7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006</w:t>
            </w:r>
          </w:p>
        </w:tc>
        <w:tc>
          <w:tcPr>
            <w:tcW w:w="1831" w:type="dxa"/>
            <w:vAlign w:val="center"/>
            <w:hideMark/>
          </w:tcPr>
          <w:p w14:paraId="591CED7B" w14:textId="77BB973F"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45CF7D52" w14:textId="53CAB07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46980810" w14:textId="77777777" w:rsidTr="00857B05">
        <w:trPr>
          <w:trHeight w:val="300"/>
        </w:trPr>
        <w:tc>
          <w:tcPr>
            <w:tcW w:w="1166" w:type="dxa"/>
            <w:vAlign w:val="center"/>
            <w:hideMark/>
          </w:tcPr>
          <w:p w14:paraId="71AD8285"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47</w:t>
            </w:r>
          </w:p>
        </w:tc>
        <w:tc>
          <w:tcPr>
            <w:tcW w:w="1200" w:type="dxa"/>
            <w:vAlign w:val="center"/>
            <w:hideMark/>
          </w:tcPr>
          <w:p w14:paraId="28750E7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2</w:t>
            </w:r>
          </w:p>
        </w:tc>
        <w:tc>
          <w:tcPr>
            <w:tcW w:w="2449" w:type="dxa"/>
            <w:vAlign w:val="center"/>
            <w:hideMark/>
          </w:tcPr>
          <w:p w14:paraId="2DB7F512" w14:textId="21E027A3"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Bulgaria</w:t>
            </w:r>
          </w:p>
        </w:tc>
        <w:tc>
          <w:tcPr>
            <w:tcW w:w="1843" w:type="dxa"/>
            <w:vAlign w:val="center"/>
            <w:hideMark/>
          </w:tcPr>
          <w:p w14:paraId="05417C39" w14:textId="6E8E7973"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045</w:t>
            </w:r>
          </w:p>
        </w:tc>
        <w:tc>
          <w:tcPr>
            <w:tcW w:w="1831" w:type="dxa"/>
            <w:vAlign w:val="center"/>
            <w:hideMark/>
          </w:tcPr>
          <w:p w14:paraId="3C475187" w14:textId="31AF9225"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060</w:t>
            </w:r>
          </w:p>
        </w:tc>
        <w:tc>
          <w:tcPr>
            <w:tcW w:w="1287" w:type="dxa"/>
            <w:vAlign w:val="center"/>
            <w:hideMark/>
          </w:tcPr>
          <w:p w14:paraId="170F7213" w14:textId="668103BD"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1 989 </w:t>
            </w:r>
          </w:p>
        </w:tc>
      </w:tr>
      <w:tr w:rsidR="00DC5B47" w:rsidRPr="00581D40" w14:paraId="7562BC36" w14:textId="77777777" w:rsidTr="00857B05">
        <w:trPr>
          <w:trHeight w:val="300"/>
        </w:trPr>
        <w:tc>
          <w:tcPr>
            <w:tcW w:w="1166" w:type="dxa"/>
            <w:vAlign w:val="center"/>
          </w:tcPr>
          <w:p w14:paraId="517A1A6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48</w:t>
            </w:r>
          </w:p>
        </w:tc>
        <w:tc>
          <w:tcPr>
            <w:tcW w:w="1200" w:type="dxa"/>
            <w:vAlign w:val="center"/>
          </w:tcPr>
          <w:p w14:paraId="54533A3B"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3</w:t>
            </w:r>
          </w:p>
        </w:tc>
        <w:tc>
          <w:tcPr>
            <w:tcW w:w="2449" w:type="dxa"/>
            <w:vAlign w:val="center"/>
          </w:tcPr>
          <w:p w14:paraId="17EDC35A" w14:textId="7E796836"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Croacia</w:t>
            </w:r>
          </w:p>
        </w:tc>
        <w:tc>
          <w:tcPr>
            <w:tcW w:w="1843" w:type="dxa"/>
            <w:vAlign w:val="center"/>
          </w:tcPr>
          <w:p w14:paraId="176C05FA" w14:textId="39BE81F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099</w:t>
            </w:r>
          </w:p>
        </w:tc>
        <w:tc>
          <w:tcPr>
            <w:tcW w:w="1831" w:type="dxa"/>
            <w:vAlign w:val="center"/>
          </w:tcPr>
          <w:p w14:paraId="262DF6BA" w14:textId="22F74A0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133</w:t>
            </w:r>
          </w:p>
        </w:tc>
        <w:tc>
          <w:tcPr>
            <w:tcW w:w="1287" w:type="dxa"/>
            <w:vAlign w:val="center"/>
          </w:tcPr>
          <w:p w14:paraId="4C5F0C2B" w14:textId="7DD9107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4 376 </w:t>
            </w:r>
          </w:p>
        </w:tc>
      </w:tr>
      <w:tr w:rsidR="00DC5B47" w:rsidRPr="00581D40" w14:paraId="0E11B2B2" w14:textId="77777777" w:rsidTr="00857B05">
        <w:trPr>
          <w:trHeight w:val="300"/>
        </w:trPr>
        <w:tc>
          <w:tcPr>
            <w:tcW w:w="1166" w:type="dxa"/>
            <w:vAlign w:val="center"/>
            <w:hideMark/>
          </w:tcPr>
          <w:p w14:paraId="67DB67B7"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49</w:t>
            </w:r>
          </w:p>
        </w:tc>
        <w:tc>
          <w:tcPr>
            <w:tcW w:w="1200" w:type="dxa"/>
            <w:vAlign w:val="center"/>
            <w:hideMark/>
          </w:tcPr>
          <w:p w14:paraId="6726BA4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w:t>
            </w:r>
          </w:p>
        </w:tc>
        <w:tc>
          <w:tcPr>
            <w:tcW w:w="2449" w:type="dxa"/>
            <w:vAlign w:val="center"/>
            <w:hideMark/>
          </w:tcPr>
          <w:p w14:paraId="53C658F1" w14:textId="0B592502"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Chequia</w:t>
            </w:r>
          </w:p>
        </w:tc>
        <w:tc>
          <w:tcPr>
            <w:tcW w:w="1843" w:type="dxa"/>
            <w:vAlign w:val="center"/>
            <w:hideMark/>
          </w:tcPr>
          <w:p w14:paraId="7B4EF322" w14:textId="0E5B2C83"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344</w:t>
            </w:r>
          </w:p>
        </w:tc>
        <w:tc>
          <w:tcPr>
            <w:tcW w:w="1831" w:type="dxa"/>
            <w:vAlign w:val="center"/>
            <w:hideMark/>
          </w:tcPr>
          <w:p w14:paraId="1ED25A89" w14:textId="2B3E8DB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462</w:t>
            </w:r>
          </w:p>
        </w:tc>
        <w:tc>
          <w:tcPr>
            <w:tcW w:w="1287" w:type="dxa"/>
            <w:vAlign w:val="center"/>
            <w:hideMark/>
          </w:tcPr>
          <w:p w14:paraId="06E804ED" w14:textId="7FFE9D1D"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15 207</w:t>
            </w:r>
          </w:p>
        </w:tc>
      </w:tr>
      <w:tr w:rsidR="00DC5B47" w:rsidRPr="00581D40" w14:paraId="01339CF2" w14:textId="77777777" w:rsidTr="00857B05">
        <w:trPr>
          <w:trHeight w:val="300"/>
        </w:trPr>
        <w:tc>
          <w:tcPr>
            <w:tcW w:w="1166" w:type="dxa"/>
            <w:vAlign w:val="center"/>
          </w:tcPr>
          <w:p w14:paraId="58010BC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50</w:t>
            </w:r>
          </w:p>
        </w:tc>
        <w:tc>
          <w:tcPr>
            <w:tcW w:w="1200" w:type="dxa"/>
            <w:vAlign w:val="center"/>
          </w:tcPr>
          <w:p w14:paraId="3B2E15E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w:t>
            </w:r>
          </w:p>
        </w:tc>
        <w:tc>
          <w:tcPr>
            <w:tcW w:w="2449" w:type="dxa"/>
            <w:vAlign w:val="center"/>
          </w:tcPr>
          <w:p w14:paraId="720B30BB" w14:textId="65DE6110"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Estonia</w:t>
            </w:r>
          </w:p>
        </w:tc>
        <w:tc>
          <w:tcPr>
            <w:tcW w:w="1843" w:type="dxa"/>
            <w:vAlign w:val="center"/>
          </w:tcPr>
          <w:p w14:paraId="325972C4" w14:textId="27DB3479"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038</w:t>
            </w:r>
          </w:p>
        </w:tc>
        <w:tc>
          <w:tcPr>
            <w:tcW w:w="1831" w:type="dxa"/>
            <w:vAlign w:val="center"/>
          </w:tcPr>
          <w:p w14:paraId="2C94945C" w14:textId="792EBDCC"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051 </w:t>
            </w:r>
          </w:p>
        </w:tc>
        <w:tc>
          <w:tcPr>
            <w:tcW w:w="1287" w:type="dxa"/>
            <w:vAlign w:val="center"/>
          </w:tcPr>
          <w:p w14:paraId="5B0C4804" w14:textId="3985CE4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1 680</w:t>
            </w:r>
          </w:p>
        </w:tc>
      </w:tr>
      <w:tr w:rsidR="00DC5B47" w:rsidRPr="00581D40" w14:paraId="1ACBADD9" w14:textId="77777777" w:rsidTr="00857B05">
        <w:trPr>
          <w:trHeight w:val="300"/>
        </w:trPr>
        <w:tc>
          <w:tcPr>
            <w:tcW w:w="1166" w:type="dxa"/>
            <w:vAlign w:val="center"/>
            <w:hideMark/>
          </w:tcPr>
          <w:p w14:paraId="34189B1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51</w:t>
            </w:r>
          </w:p>
        </w:tc>
        <w:tc>
          <w:tcPr>
            <w:tcW w:w="1200" w:type="dxa"/>
            <w:vAlign w:val="center"/>
            <w:hideMark/>
          </w:tcPr>
          <w:p w14:paraId="2F01F35C"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w:t>
            </w:r>
          </w:p>
        </w:tc>
        <w:tc>
          <w:tcPr>
            <w:tcW w:w="2449" w:type="dxa"/>
            <w:vAlign w:val="center"/>
            <w:hideMark/>
          </w:tcPr>
          <w:p w14:paraId="78E1CC06" w14:textId="5D463315"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Hungría </w:t>
            </w:r>
          </w:p>
        </w:tc>
        <w:tc>
          <w:tcPr>
            <w:tcW w:w="1843" w:type="dxa"/>
            <w:vAlign w:val="center"/>
            <w:hideMark/>
          </w:tcPr>
          <w:p w14:paraId="095D0233" w14:textId="1C75369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161</w:t>
            </w:r>
          </w:p>
        </w:tc>
        <w:tc>
          <w:tcPr>
            <w:tcW w:w="1831" w:type="dxa"/>
            <w:vAlign w:val="center"/>
            <w:hideMark/>
          </w:tcPr>
          <w:p w14:paraId="502A0BB5" w14:textId="4470D969"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216 </w:t>
            </w:r>
          </w:p>
        </w:tc>
        <w:tc>
          <w:tcPr>
            <w:tcW w:w="1287" w:type="dxa"/>
            <w:vAlign w:val="center"/>
            <w:hideMark/>
          </w:tcPr>
          <w:p w14:paraId="78100CE5" w14:textId="4B73F0E9"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7 117 </w:t>
            </w:r>
          </w:p>
        </w:tc>
      </w:tr>
      <w:tr w:rsidR="00DC5B47" w:rsidRPr="00581D40" w14:paraId="041D3F55" w14:textId="77777777" w:rsidTr="00857B05">
        <w:trPr>
          <w:trHeight w:val="300"/>
        </w:trPr>
        <w:tc>
          <w:tcPr>
            <w:tcW w:w="1166" w:type="dxa"/>
            <w:vAlign w:val="center"/>
          </w:tcPr>
          <w:p w14:paraId="12D90CA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52</w:t>
            </w:r>
          </w:p>
        </w:tc>
        <w:tc>
          <w:tcPr>
            <w:tcW w:w="1200" w:type="dxa"/>
            <w:vAlign w:val="center"/>
          </w:tcPr>
          <w:p w14:paraId="2BC79D6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w:t>
            </w:r>
          </w:p>
        </w:tc>
        <w:tc>
          <w:tcPr>
            <w:tcW w:w="2449" w:type="dxa"/>
            <w:vAlign w:val="center"/>
          </w:tcPr>
          <w:p w14:paraId="23EDD1AF" w14:textId="39EDFA0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Letonia</w:t>
            </w:r>
          </w:p>
        </w:tc>
        <w:tc>
          <w:tcPr>
            <w:tcW w:w="1843" w:type="dxa"/>
            <w:vAlign w:val="center"/>
          </w:tcPr>
          <w:p w14:paraId="7591DD92" w14:textId="23A51833"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050</w:t>
            </w:r>
          </w:p>
        </w:tc>
        <w:tc>
          <w:tcPr>
            <w:tcW w:w="1831" w:type="dxa"/>
            <w:vAlign w:val="center"/>
          </w:tcPr>
          <w:p w14:paraId="77EE1050" w14:textId="40094ED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067 </w:t>
            </w:r>
          </w:p>
        </w:tc>
        <w:tc>
          <w:tcPr>
            <w:tcW w:w="1287" w:type="dxa"/>
            <w:vAlign w:val="center"/>
          </w:tcPr>
          <w:p w14:paraId="02F4CB05" w14:textId="2517111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2 210</w:t>
            </w:r>
          </w:p>
        </w:tc>
      </w:tr>
      <w:tr w:rsidR="00DC5B47" w:rsidRPr="00581D40" w14:paraId="50E9A0D9" w14:textId="77777777" w:rsidTr="00857B05">
        <w:trPr>
          <w:trHeight w:val="300"/>
        </w:trPr>
        <w:tc>
          <w:tcPr>
            <w:tcW w:w="1166" w:type="dxa"/>
            <w:vAlign w:val="center"/>
            <w:hideMark/>
          </w:tcPr>
          <w:p w14:paraId="7113626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53</w:t>
            </w:r>
          </w:p>
        </w:tc>
        <w:tc>
          <w:tcPr>
            <w:tcW w:w="1200" w:type="dxa"/>
            <w:vAlign w:val="center"/>
            <w:hideMark/>
          </w:tcPr>
          <w:p w14:paraId="0FB378BC"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w:t>
            </w:r>
          </w:p>
        </w:tc>
        <w:tc>
          <w:tcPr>
            <w:tcW w:w="2449" w:type="dxa"/>
            <w:vAlign w:val="center"/>
            <w:hideMark/>
          </w:tcPr>
          <w:p w14:paraId="732B6EC7" w14:textId="00F7ED1D"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Lituania</w:t>
            </w:r>
          </w:p>
        </w:tc>
        <w:tc>
          <w:tcPr>
            <w:tcW w:w="1843" w:type="dxa"/>
            <w:vAlign w:val="center"/>
            <w:hideMark/>
          </w:tcPr>
          <w:p w14:paraId="6445C81E" w14:textId="60B86B2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072</w:t>
            </w:r>
          </w:p>
        </w:tc>
        <w:tc>
          <w:tcPr>
            <w:tcW w:w="1831" w:type="dxa"/>
            <w:vAlign w:val="center"/>
            <w:hideMark/>
          </w:tcPr>
          <w:p w14:paraId="641B229A" w14:textId="2E0478B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097 </w:t>
            </w:r>
          </w:p>
        </w:tc>
        <w:tc>
          <w:tcPr>
            <w:tcW w:w="1287" w:type="dxa"/>
            <w:vAlign w:val="center"/>
            <w:hideMark/>
          </w:tcPr>
          <w:p w14:paraId="000B69E2" w14:textId="5C105EB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3 183</w:t>
            </w:r>
          </w:p>
        </w:tc>
      </w:tr>
      <w:tr w:rsidR="00DC5B47" w:rsidRPr="00581D40" w14:paraId="0B6580D2" w14:textId="77777777" w:rsidTr="00857B05">
        <w:trPr>
          <w:trHeight w:val="300"/>
        </w:trPr>
        <w:tc>
          <w:tcPr>
            <w:tcW w:w="1166" w:type="dxa"/>
            <w:vAlign w:val="center"/>
            <w:hideMark/>
          </w:tcPr>
          <w:p w14:paraId="2DCC82F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54</w:t>
            </w:r>
          </w:p>
        </w:tc>
        <w:tc>
          <w:tcPr>
            <w:tcW w:w="1200" w:type="dxa"/>
            <w:vAlign w:val="center"/>
            <w:hideMark/>
          </w:tcPr>
          <w:p w14:paraId="19C8446D"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w:t>
            </w:r>
          </w:p>
        </w:tc>
        <w:tc>
          <w:tcPr>
            <w:tcW w:w="2449" w:type="dxa"/>
            <w:vAlign w:val="center"/>
            <w:hideMark/>
          </w:tcPr>
          <w:p w14:paraId="32F5BA27" w14:textId="7B0EA290"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Republica de Moldova </w:t>
            </w:r>
          </w:p>
        </w:tc>
        <w:tc>
          <w:tcPr>
            <w:tcW w:w="1843" w:type="dxa"/>
            <w:vAlign w:val="center"/>
            <w:hideMark/>
          </w:tcPr>
          <w:p w14:paraId="17F3389F" w14:textId="3F48847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004</w:t>
            </w:r>
          </w:p>
        </w:tc>
        <w:tc>
          <w:tcPr>
            <w:tcW w:w="1831" w:type="dxa"/>
            <w:vAlign w:val="center"/>
            <w:hideMark/>
          </w:tcPr>
          <w:p w14:paraId="68CFE60E" w14:textId="62075DBD"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0AB98D11" w14:textId="7583FBD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286A053A" w14:textId="77777777" w:rsidTr="00857B05">
        <w:trPr>
          <w:trHeight w:val="300"/>
        </w:trPr>
        <w:tc>
          <w:tcPr>
            <w:tcW w:w="1166" w:type="dxa"/>
            <w:vAlign w:val="center"/>
            <w:hideMark/>
          </w:tcPr>
          <w:p w14:paraId="500BC23E"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55</w:t>
            </w:r>
          </w:p>
        </w:tc>
        <w:tc>
          <w:tcPr>
            <w:tcW w:w="1200" w:type="dxa"/>
            <w:vAlign w:val="center"/>
            <w:hideMark/>
          </w:tcPr>
          <w:p w14:paraId="6E27A91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10</w:t>
            </w:r>
          </w:p>
        </w:tc>
        <w:tc>
          <w:tcPr>
            <w:tcW w:w="2449" w:type="dxa"/>
            <w:vAlign w:val="center"/>
            <w:hideMark/>
          </w:tcPr>
          <w:p w14:paraId="028E34F8" w14:textId="63608672"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Rumania</w:t>
            </w:r>
          </w:p>
        </w:tc>
        <w:tc>
          <w:tcPr>
            <w:tcW w:w="1843" w:type="dxa"/>
            <w:vAlign w:val="center"/>
            <w:hideMark/>
          </w:tcPr>
          <w:p w14:paraId="2492B356" w14:textId="6247279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184</w:t>
            </w:r>
          </w:p>
        </w:tc>
        <w:tc>
          <w:tcPr>
            <w:tcW w:w="1831" w:type="dxa"/>
            <w:vAlign w:val="center"/>
            <w:hideMark/>
          </w:tcPr>
          <w:p w14:paraId="2AF6A849" w14:textId="61B30F3F"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247</w:t>
            </w:r>
          </w:p>
        </w:tc>
        <w:tc>
          <w:tcPr>
            <w:tcW w:w="1287" w:type="dxa"/>
            <w:vAlign w:val="center"/>
            <w:hideMark/>
          </w:tcPr>
          <w:p w14:paraId="53A2D248" w14:textId="6CDB9B6C"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8 134 </w:t>
            </w:r>
          </w:p>
        </w:tc>
      </w:tr>
      <w:tr w:rsidR="00DC5B47" w:rsidRPr="00581D40" w14:paraId="04D71440" w14:textId="77777777" w:rsidTr="00857B05">
        <w:trPr>
          <w:trHeight w:val="300"/>
        </w:trPr>
        <w:tc>
          <w:tcPr>
            <w:tcW w:w="1166" w:type="dxa"/>
            <w:vAlign w:val="center"/>
            <w:hideMark/>
          </w:tcPr>
          <w:p w14:paraId="0657393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56</w:t>
            </w:r>
          </w:p>
        </w:tc>
        <w:tc>
          <w:tcPr>
            <w:tcW w:w="1200" w:type="dxa"/>
            <w:vAlign w:val="center"/>
            <w:hideMark/>
          </w:tcPr>
          <w:p w14:paraId="5B3AE73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11</w:t>
            </w:r>
          </w:p>
        </w:tc>
        <w:tc>
          <w:tcPr>
            <w:tcW w:w="2449" w:type="dxa"/>
            <w:vAlign w:val="center"/>
            <w:hideMark/>
          </w:tcPr>
          <w:p w14:paraId="7DC4386F" w14:textId="3FE65D3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Eslovaquia </w:t>
            </w:r>
          </w:p>
        </w:tc>
        <w:tc>
          <w:tcPr>
            <w:tcW w:w="1843" w:type="dxa"/>
            <w:vAlign w:val="center"/>
            <w:hideMark/>
          </w:tcPr>
          <w:p w14:paraId="6BB60145" w14:textId="5C87FBFA"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160</w:t>
            </w:r>
          </w:p>
        </w:tc>
        <w:tc>
          <w:tcPr>
            <w:tcW w:w="1831" w:type="dxa"/>
            <w:vAlign w:val="center"/>
            <w:hideMark/>
          </w:tcPr>
          <w:p w14:paraId="405B9327" w14:textId="49458FA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215 </w:t>
            </w:r>
          </w:p>
        </w:tc>
        <w:tc>
          <w:tcPr>
            <w:tcW w:w="1287" w:type="dxa"/>
            <w:vAlign w:val="center"/>
            <w:hideMark/>
          </w:tcPr>
          <w:p w14:paraId="142905FA" w14:textId="69B669F6"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7 073 </w:t>
            </w:r>
          </w:p>
        </w:tc>
      </w:tr>
      <w:tr w:rsidR="00DC5B47" w:rsidRPr="00581D40" w14:paraId="0C832E30" w14:textId="77777777" w:rsidTr="00857B05">
        <w:trPr>
          <w:trHeight w:val="300"/>
        </w:trPr>
        <w:tc>
          <w:tcPr>
            <w:tcW w:w="1166" w:type="dxa"/>
            <w:vAlign w:val="center"/>
            <w:hideMark/>
          </w:tcPr>
          <w:p w14:paraId="4A309937"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57</w:t>
            </w:r>
          </w:p>
        </w:tc>
        <w:tc>
          <w:tcPr>
            <w:tcW w:w="1200" w:type="dxa"/>
            <w:vAlign w:val="center"/>
            <w:hideMark/>
          </w:tcPr>
          <w:p w14:paraId="4572B52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12</w:t>
            </w:r>
          </w:p>
        </w:tc>
        <w:tc>
          <w:tcPr>
            <w:tcW w:w="2449" w:type="dxa"/>
            <w:vAlign w:val="center"/>
            <w:hideMark/>
          </w:tcPr>
          <w:p w14:paraId="5C9BD79B" w14:textId="160BE7AC"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Eslovenia</w:t>
            </w:r>
          </w:p>
        </w:tc>
        <w:tc>
          <w:tcPr>
            <w:tcW w:w="1843" w:type="dxa"/>
            <w:vAlign w:val="center"/>
            <w:hideMark/>
          </w:tcPr>
          <w:p w14:paraId="61AB319E" w14:textId="53715A4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084</w:t>
            </w:r>
          </w:p>
        </w:tc>
        <w:tc>
          <w:tcPr>
            <w:tcW w:w="1831" w:type="dxa"/>
            <w:vAlign w:val="center"/>
            <w:hideMark/>
          </w:tcPr>
          <w:p w14:paraId="7F9B7235" w14:textId="746C33A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113</w:t>
            </w:r>
          </w:p>
        </w:tc>
        <w:tc>
          <w:tcPr>
            <w:tcW w:w="1287" w:type="dxa"/>
            <w:vAlign w:val="center"/>
            <w:hideMark/>
          </w:tcPr>
          <w:p w14:paraId="0979461B" w14:textId="7CBCDFA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3 713</w:t>
            </w:r>
          </w:p>
        </w:tc>
      </w:tr>
      <w:tr w:rsidR="00B82C45" w:rsidRPr="00581D40" w14:paraId="13CEBEBA" w14:textId="77777777" w:rsidTr="00857B05">
        <w:trPr>
          <w:trHeight w:val="340"/>
        </w:trPr>
        <w:tc>
          <w:tcPr>
            <w:tcW w:w="1166" w:type="dxa"/>
            <w:vAlign w:val="center"/>
            <w:hideMark/>
          </w:tcPr>
          <w:p w14:paraId="1F8F99A4"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Total</w:t>
            </w:r>
          </w:p>
        </w:tc>
        <w:tc>
          <w:tcPr>
            <w:tcW w:w="1200" w:type="dxa"/>
            <w:vAlign w:val="center"/>
            <w:hideMark/>
          </w:tcPr>
          <w:p w14:paraId="6305F6E0"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Grupo</w:t>
            </w:r>
          </w:p>
        </w:tc>
        <w:tc>
          <w:tcPr>
            <w:tcW w:w="7410" w:type="dxa"/>
            <w:gridSpan w:val="4"/>
            <w:vAlign w:val="center"/>
            <w:hideMark/>
          </w:tcPr>
          <w:p w14:paraId="76DCE875" w14:textId="77777777" w:rsidR="00B82C45" w:rsidRPr="00581D40" w:rsidRDefault="00B82C45" w:rsidP="00B82C45">
            <w:pPr>
              <w:tabs>
                <w:tab w:val="clear" w:pos="1247"/>
                <w:tab w:val="clear" w:pos="1814"/>
                <w:tab w:val="clear" w:pos="2381"/>
                <w:tab w:val="clear" w:pos="2948"/>
                <w:tab w:val="clear" w:pos="3515"/>
              </w:tabs>
              <w:ind w:right="234"/>
              <w:rPr>
                <w:b/>
                <w:bCs/>
                <w:sz w:val="18"/>
                <w:szCs w:val="18"/>
                <w:lang w:val="es-ES"/>
              </w:rPr>
            </w:pPr>
            <w:r w:rsidRPr="00581D40">
              <w:rPr>
                <w:b/>
                <w:bCs/>
                <w:sz w:val="18"/>
                <w:szCs w:val="18"/>
                <w:lang w:val="es-ES"/>
              </w:rPr>
              <w:t>América Latina y el Caribe</w:t>
            </w:r>
          </w:p>
        </w:tc>
      </w:tr>
      <w:tr w:rsidR="00DC5B47" w:rsidRPr="00581D40" w14:paraId="50BFC8CE" w14:textId="77777777" w:rsidTr="00857B05">
        <w:trPr>
          <w:trHeight w:val="312"/>
        </w:trPr>
        <w:tc>
          <w:tcPr>
            <w:tcW w:w="1166" w:type="dxa"/>
            <w:vAlign w:val="center"/>
            <w:hideMark/>
          </w:tcPr>
          <w:p w14:paraId="7D77A08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58</w:t>
            </w:r>
          </w:p>
        </w:tc>
        <w:tc>
          <w:tcPr>
            <w:tcW w:w="1200" w:type="dxa"/>
            <w:vAlign w:val="center"/>
            <w:hideMark/>
          </w:tcPr>
          <w:p w14:paraId="7156A61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w:t>
            </w:r>
          </w:p>
        </w:tc>
        <w:tc>
          <w:tcPr>
            <w:tcW w:w="2449" w:type="dxa"/>
            <w:vAlign w:val="center"/>
            <w:hideMark/>
          </w:tcPr>
          <w:p w14:paraId="242EF084" w14:textId="63B7CD51"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Antigua y Barbuda</w:t>
            </w:r>
          </w:p>
        </w:tc>
        <w:tc>
          <w:tcPr>
            <w:tcW w:w="1843" w:type="dxa"/>
            <w:vAlign w:val="center"/>
            <w:hideMark/>
          </w:tcPr>
          <w:p w14:paraId="37CDACEE" w14:textId="08744FD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686FEA0B" w14:textId="7C3F8B3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2872A20E" w14:textId="28D6712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750AF913" w14:textId="77777777" w:rsidTr="00857B05">
        <w:trPr>
          <w:trHeight w:val="312"/>
        </w:trPr>
        <w:tc>
          <w:tcPr>
            <w:tcW w:w="1166" w:type="dxa"/>
            <w:vAlign w:val="center"/>
            <w:hideMark/>
          </w:tcPr>
          <w:p w14:paraId="688758E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59</w:t>
            </w:r>
          </w:p>
        </w:tc>
        <w:tc>
          <w:tcPr>
            <w:tcW w:w="1200" w:type="dxa"/>
            <w:vAlign w:val="center"/>
            <w:hideMark/>
          </w:tcPr>
          <w:p w14:paraId="2B69ABF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2</w:t>
            </w:r>
          </w:p>
        </w:tc>
        <w:tc>
          <w:tcPr>
            <w:tcW w:w="2449" w:type="dxa"/>
            <w:vAlign w:val="center"/>
            <w:hideMark/>
          </w:tcPr>
          <w:p w14:paraId="0FF72915" w14:textId="45BED1DC"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Argentina</w:t>
            </w:r>
          </w:p>
        </w:tc>
        <w:tc>
          <w:tcPr>
            <w:tcW w:w="1843" w:type="dxa"/>
            <w:vAlign w:val="center"/>
            <w:hideMark/>
          </w:tcPr>
          <w:p w14:paraId="17EFB1E5" w14:textId="5E58E7C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892</w:t>
            </w:r>
          </w:p>
        </w:tc>
        <w:tc>
          <w:tcPr>
            <w:tcW w:w="1831" w:type="dxa"/>
            <w:vAlign w:val="center"/>
            <w:hideMark/>
          </w:tcPr>
          <w:p w14:paraId="6188588F" w14:textId="39620FE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 xml:space="preserve">199 </w:t>
            </w:r>
          </w:p>
        </w:tc>
        <w:tc>
          <w:tcPr>
            <w:tcW w:w="1287" w:type="dxa"/>
            <w:vAlign w:val="center"/>
            <w:hideMark/>
          </w:tcPr>
          <w:p w14:paraId="46BA52E5" w14:textId="404FF4E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39 432 </w:t>
            </w:r>
          </w:p>
        </w:tc>
      </w:tr>
      <w:tr w:rsidR="00DC5B47" w:rsidRPr="00581D40" w14:paraId="76C238E8" w14:textId="77777777" w:rsidTr="00857B05">
        <w:trPr>
          <w:trHeight w:val="312"/>
        </w:trPr>
        <w:tc>
          <w:tcPr>
            <w:tcW w:w="1166" w:type="dxa"/>
            <w:vAlign w:val="center"/>
            <w:hideMark/>
          </w:tcPr>
          <w:p w14:paraId="41023E9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60</w:t>
            </w:r>
          </w:p>
        </w:tc>
        <w:tc>
          <w:tcPr>
            <w:tcW w:w="1200" w:type="dxa"/>
            <w:vAlign w:val="center"/>
            <w:hideMark/>
          </w:tcPr>
          <w:p w14:paraId="0E282E4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3</w:t>
            </w:r>
          </w:p>
        </w:tc>
        <w:tc>
          <w:tcPr>
            <w:tcW w:w="2449" w:type="dxa"/>
            <w:vAlign w:val="center"/>
            <w:hideMark/>
          </w:tcPr>
          <w:p w14:paraId="36832FB5" w14:textId="1D4C9A88"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Bolivia (Estado Plurinacional de)</w:t>
            </w:r>
          </w:p>
        </w:tc>
        <w:tc>
          <w:tcPr>
            <w:tcW w:w="1843" w:type="dxa"/>
            <w:vAlign w:val="center"/>
            <w:hideMark/>
          </w:tcPr>
          <w:p w14:paraId="61CA0027" w14:textId="510291E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012</w:t>
            </w:r>
          </w:p>
        </w:tc>
        <w:tc>
          <w:tcPr>
            <w:tcW w:w="1831" w:type="dxa"/>
            <w:vAlign w:val="center"/>
            <w:hideMark/>
          </w:tcPr>
          <w:p w14:paraId="1D74CA5C" w14:textId="6224345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016 </w:t>
            </w:r>
          </w:p>
        </w:tc>
        <w:tc>
          <w:tcPr>
            <w:tcW w:w="1287" w:type="dxa"/>
            <w:vAlign w:val="center"/>
            <w:hideMark/>
          </w:tcPr>
          <w:p w14:paraId="2483FE5F" w14:textId="6B3CA695"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530 </w:t>
            </w:r>
          </w:p>
        </w:tc>
      </w:tr>
      <w:tr w:rsidR="00DC5B47" w:rsidRPr="00581D40" w14:paraId="41D14911" w14:textId="77777777" w:rsidTr="00857B05">
        <w:trPr>
          <w:trHeight w:val="312"/>
        </w:trPr>
        <w:tc>
          <w:tcPr>
            <w:tcW w:w="1166" w:type="dxa"/>
            <w:vAlign w:val="center"/>
            <w:hideMark/>
          </w:tcPr>
          <w:p w14:paraId="140E178B"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61</w:t>
            </w:r>
          </w:p>
        </w:tc>
        <w:tc>
          <w:tcPr>
            <w:tcW w:w="1200" w:type="dxa"/>
            <w:vAlign w:val="center"/>
            <w:hideMark/>
          </w:tcPr>
          <w:p w14:paraId="7BA9DB5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w:t>
            </w:r>
          </w:p>
        </w:tc>
        <w:tc>
          <w:tcPr>
            <w:tcW w:w="2449" w:type="dxa"/>
            <w:vAlign w:val="center"/>
            <w:hideMark/>
          </w:tcPr>
          <w:p w14:paraId="3E500952" w14:textId="1ED121C9"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Brasil</w:t>
            </w:r>
          </w:p>
        </w:tc>
        <w:tc>
          <w:tcPr>
            <w:tcW w:w="1843" w:type="dxa"/>
            <w:vAlign w:val="center"/>
            <w:hideMark/>
          </w:tcPr>
          <w:p w14:paraId="1F826688" w14:textId="47B04A77"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3</w:t>
            </w:r>
            <w:r w:rsidR="00581D40" w:rsidRPr="00581D40">
              <w:rPr>
                <w:sz w:val="18"/>
                <w:szCs w:val="18"/>
                <w:lang w:val="es-ES"/>
              </w:rPr>
              <w:t>,</w:t>
            </w:r>
            <w:r w:rsidRPr="00581D40">
              <w:rPr>
                <w:sz w:val="18"/>
                <w:szCs w:val="18"/>
                <w:lang w:val="es-ES"/>
              </w:rPr>
              <w:t>823</w:t>
            </w:r>
          </w:p>
        </w:tc>
        <w:tc>
          <w:tcPr>
            <w:tcW w:w="1831" w:type="dxa"/>
            <w:vAlign w:val="center"/>
            <w:hideMark/>
          </w:tcPr>
          <w:p w14:paraId="68A43DC7" w14:textId="2888F93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5</w:t>
            </w:r>
            <w:r w:rsidR="00581D40" w:rsidRPr="00581D40">
              <w:rPr>
                <w:sz w:val="18"/>
                <w:szCs w:val="18"/>
                <w:lang w:val="es-ES"/>
              </w:rPr>
              <w:t>,</w:t>
            </w:r>
            <w:r w:rsidRPr="00581D40">
              <w:rPr>
                <w:sz w:val="18"/>
                <w:szCs w:val="18"/>
                <w:lang w:val="es-ES"/>
              </w:rPr>
              <w:t xml:space="preserve">139 </w:t>
            </w:r>
          </w:p>
        </w:tc>
        <w:tc>
          <w:tcPr>
            <w:tcW w:w="1287" w:type="dxa"/>
            <w:vAlign w:val="center"/>
            <w:hideMark/>
          </w:tcPr>
          <w:p w14:paraId="7FE2FB58" w14:textId="2A51ABDA"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169 001 </w:t>
            </w:r>
          </w:p>
        </w:tc>
      </w:tr>
      <w:tr w:rsidR="00DC5B47" w:rsidRPr="00581D40" w14:paraId="7F6B4BD9" w14:textId="77777777" w:rsidTr="00857B05">
        <w:trPr>
          <w:trHeight w:val="312"/>
        </w:trPr>
        <w:tc>
          <w:tcPr>
            <w:tcW w:w="1166" w:type="dxa"/>
            <w:vAlign w:val="center"/>
            <w:hideMark/>
          </w:tcPr>
          <w:p w14:paraId="14ECF2C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62</w:t>
            </w:r>
          </w:p>
        </w:tc>
        <w:tc>
          <w:tcPr>
            <w:tcW w:w="1200" w:type="dxa"/>
            <w:vAlign w:val="center"/>
            <w:hideMark/>
          </w:tcPr>
          <w:p w14:paraId="612BBCAC"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w:t>
            </w:r>
          </w:p>
        </w:tc>
        <w:tc>
          <w:tcPr>
            <w:tcW w:w="2449" w:type="dxa"/>
            <w:vAlign w:val="center"/>
            <w:hideMark/>
          </w:tcPr>
          <w:p w14:paraId="65F20BA4" w14:textId="1A3A8A1D"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Chile</w:t>
            </w:r>
          </w:p>
        </w:tc>
        <w:tc>
          <w:tcPr>
            <w:tcW w:w="1843" w:type="dxa"/>
            <w:vAlign w:val="center"/>
            <w:hideMark/>
          </w:tcPr>
          <w:p w14:paraId="11B587C5" w14:textId="6299B46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399</w:t>
            </w:r>
          </w:p>
        </w:tc>
        <w:tc>
          <w:tcPr>
            <w:tcW w:w="1831" w:type="dxa"/>
            <w:vAlign w:val="center"/>
            <w:hideMark/>
          </w:tcPr>
          <w:p w14:paraId="7C264756" w14:textId="3724467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536 </w:t>
            </w:r>
          </w:p>
        </w:tc>
        <w:tc>
          <w:tcPr>
            <w:tcW w:w="1287" w:type="dxa"/>
            <w:vAlign w:val="center"/>
            <w:hideMark/>
          </w:tcPr>
          <w:p w14:paraId="638BA5FA" w14:textId="53C0119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17 638 </w:t>
            </w:r>
          </w:p>
        </w:tc>
      </w:tr>
      <w:tr w:rsidR="00DC5B47" w:rsidRPr="00581D40" w14:paraId="4438BB08" w14:textId="77777777" w:rsidTr="00857B05">
        <w:trPr>
          <w:trHeight w:val="312"/>
        </w:trPr>
        <w:tc>
          <w:tcPr>
            <w:tcW w:w="1166" w:type="dxa"/>
            <w:vAlign w:val="center"/>
            <w:hideMark/>
          </w:tcPr>
          <w:p w14:paraId="5249B07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63</w:t>
            </w:r>
          </w:p>
        </w:tc>
        <w:tc>
          <w:tcPr>
            <w:tcW w:w="1200" w:type="dxa"/>
            <w:vAlign w:val="center"/>
            <w:hideMark/>
          </w:tcPr>
          <w:p w14:paraId="700420D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w:t>
            </w:r>
          </w:p>
        </w:tc>
        <w:tc>
          <w:tcPr>
            <w:tcW w:w="2449" w:type="dxa"/>
            <w:vAlign w:val="center"/>
            <w:hideMark/>
          </w:tcPr>
          <w:p w14:paraId="696CE737" w14:textId="2303FFB6"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Costa Rica</w:t>
            </w:r>
          </w:p>
        </w:tc>
        <w:tc>
          <w:tcPr>
            <w:tcW w:w="1843" w:type="dxa"/>
            <w:vAlign w:val="center"/>
            <w:hideMark/>
          </w:tcPr>
          <w:p w14:paraId="11EF26CA" w14:textId="56FDC0A6"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047</w:t>
            </w:r>
          </w:p>
        </w:tc>
        <w:tc>
          <w:tcPr>
            <w:tcW w:w="1831" w:type="dxa"/>
            <w:vAlign w:val="center"/>
            <w:hideMark/>
          </w:tcPr>
          <w:p w14:paraId="1EAFC5E3" w14:textId="77A354FD"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063 </w:t>
            </w:r>
          </w:p>
        </w:tc>
        <w:tc>
          <w:tcPr>
            <w:tcW w:w="1287" w:type="dxa"/>
            <w:vAlign w:val="center"/>
            <w:hideMark/>
          </w:tcPr>
          <w:p w14:paraId="58475946" w14:textId="17E5F03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2 078</w:t>
            </w:r>
          </w:p>
        </w:tc>
      </w:tr>
      <w:tr w:rsidR="00DC5B47" w:rsidRPr="00581D40" w14:paraId="659BFC31" w14:textId="77777777" w:rsidTr="00857B05">
        <w:trPr>
          <w:trHeight w:val="312"/>
        </w:trPr>
        <w:tc>
          <w:tcPr>
            <w:tcW w:w="1166" w:type="dxa"/>
            <w:vAlign w:val="center"/>
            <w:hideMark/>
          </w:tcPr>
          <w:p w14:paraId="4F6BEB4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64</w:t>
            </w:r>
          </w:p>
        </w:tc>
        <w:tc>
          <w:tcPr>
            <w:tcW w:w="1200" w:type="dxa"/>
            <w:vAlign w:val="center"/>
            <w:hideMark/>
          </w:tcPr>
          <w:p w14:paraId="7A2D3C8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w:t>
            </w:r>
          </w:p>
        </w:tc>
        <w:tc>
          <w:tcPr>
            <w:tcW w:w="2449" w:type="dxa"/>
            <w:vAlign w:val="center"/>
            <w:hideMark/>
          </w:tcPr>
          <w:p w14:paraId="347738E5" w14:textId="6B3C2851"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Cuba</w:t>
            </w:r>
          </w:p>
        </w:tc>
        <w:tc>
          <w:tcPr>
            <w:tcW w:w="1843" w:type="dxa"/>
            <w:vAlign w:val="center"/>
            <w:hideMark/>
          </w:tcPr>
          <w:p w14:paraId="5CCE71CC" w14:textId="3776CF5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065</w:t>
            </w:r>
          </w:p>
        </w:tc>
        <w:tc>
          <w:tcPr>
            <w:tcW w:w="1831" w:type="dxa"/>
            <w:vAlign w:val="center"/>
            <w:hideMark/>
          </w:tcPr>
          <w:p w14:paraId="76F07952" w14:textId="17E16A4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087 </w:t>
            </w:r>
          </w:p>
        </w:tc>
        <w:tc>
          <w:tcPr>
            <w:tcW w:w="1287" w:type="dxa"/>
            <w:vAlign w:val="center"/>
            <w:hideMark/>
          </w:tcPr>
          <w:p w14:paraId="026B334F" w14:textId="69C678A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2 873</w:t>
            </w:r>
          </w:p>
        </w:tc>
      </w:tr>
      <w:tr w:rsidR="00DC5B47" w:rsidRPr="00581D40" w14:paraId="3A9466B0" w14:textId="77777777" w:rsidTr="00857B05">
        <w:trPr>
          <w:trHeight w:val="312"/>
        </w:trPr>
        <w:tc>
          <w:tcPr>
            <w:tcW w:w="1166" w:type="dxa"/>
            <w:vAlign w:val="center"/>
            <w:hideMark/>
          </w:tcPr>
          <w:p w14:paraId="2C26E13C"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65</w:t>
            </w:r>
          </w:p>
        </w:tc>
        <w:tc>
          <w:tcPr>
            <w:tcW w:w="1200" w:type="dxa"/>
            <w:vAlign w:val="center"/>
            <w:hideMark/>
          </w:tcPr>
          <w:p w14:paraId="6A9B87D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w:t>
            </w:r>
          </w:p>
        </w:tc>
        <w:tc>
          <w:tcPr>
            <w:tcW w:w="2449" w:type="dxa"/>
            <w:vAlign w:val="center"/>
            <w:hideMark/>
          </w:tcPr>
          <w:p w14:paraId="6BB67900" w14:textId="7E0EB611"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República Dominicana</w:t>
            </w:r>
          </w:p>
        </w:tc>
        <w:tc>
          <w:tcPr>
            <w:tcW w:w="1843" w:type="dxa"/>
            <w:vAlign w:val="center"/>
            <w:hideMark/>
          </w:tcPr>
          <w:p w14:paraId="524CDC8D" w14:textId="088EE74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046</w:t>
            </w:r>
          </w:p>
        </w:tc>
        <w:tc>
          <w:tcPr>
            <w:tcW w:w="1831" w:type="dxa"/>
            <w:vAlign w:val="center"/>
            <w:hideMark/>
          </w:tcPr>
          <w:p w14:paraId="69B5E842" w14:textId="003F08EF"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062 </w:t>
            </w:r>
          </w:p>
        </w:tc>
        <w:tc>
          <w:tcPr>
            <w:tcW w:w="1287" w:type="dxa"/>
            <w:vAlign w:val="center"/>
            <w:hideMark/>
          </w:tcPr>
          <w:p w14:paraId="029C206B" w14:textId="5F3807D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2 033 </w:t>
            </w:r>
          </w:p>
        </w:tc>
      </w:tr>
      <w:tr w:rsidR="00DC5B47" w:rsidRPr="00581D40" w14:paraId="18C36578" w14:textId="77777777" w:rsidTr="00857B05">
        <w:trPr>
          <w:trHeight w:val="312"/>
        </w:trPr>
        <w:tc>
          <w:tcPr>
            <w:tcW w:w="1166" w:type="dxa"/>
            <w:vAlign w:val="center"/>
            <w:hideMark/>
          </w:tcPr>
          <w:p w14:paraId="6A34422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66</w:t>
            </w:r>
          </w:p>
        </w:tc>
        <w:tc>
          <w:tcPr>
            <w:tcW w:w="1200" w:type="dxa"/>
            <w:vAlign w:val="center"/>
            <w:hideMark/>
          </w:tcPr>
          <w:p w14:paraId="71DAEFA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w:t>
            </w:r>
          </w:p>
        </w:tc>
        <w:tc>
          <w:tcPr>
            <w:tcW w:w="2449" w:type="dxa"/>
            <w:vAlign w:val="center"/>
            <w:hideMark/>
          </w:tcPr>
          <w:p w14:paraId="7729459D" w14:textId="0391462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Ecuador</w:t>
            </w:r>
          </w:p>
        </w:tc>
        <w:tc>
          <w:tcPr>
            <w:tcW w:w="1843" w:type="dxa"/>
            <w:vAlign w:val="center"/>
            <w:hideMark/>
          </w:tcPr>
          <w:p w14:paraId="056097CB" w14:textId="618D597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067</w:t>
            </w:r>
          </w:p>
        </w:tc>
        <w:tc>
          <w:tcPr>
            <w:tcW w:w="1831" w:type="dxa"/>
            <w:vAlign w:val="center"/>
            <w:hideMark/>
          </w:tcPr>
          <w:p w14:paraId="65ABEEAE" w14:textId="509BA96C"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090 </w:t>
            </w:r>
          </w:p>
        </w:tc>
        <w:tc>
          <w:tcPr>
            <w:tcW w:w="1287" w:type="dxa"/>
            <w:vAlign w:val="center"/>
            <w:hideMark/>
          </w:tcPr>
          <w:p w14:paraId="0FF0824C" w14:textId="72E5919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2 962</w:t>
            </w:r>
          </w:p>
        </w:tc>
      </w:tr>
      <w:tr w:rsidR="00DC5B47" w:rsidRPr="00581D40" w14:paraId="79A3594B" w14:textId="77777777" w:rsidTr="00857B05">
        <w:trPr>
          <w:trHeight w:val="312"/>
        </w:trPr>
        <w:tc>
          <w:tcPr>
            <w:tcW w:w="1166" w:type="dxa"/>
            <w:vAlign w:val="center"/>
            <w:hideMark/>
          </w:tcPr>
          <w:p w14:paraId="1B18677D"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67</w:t>
            </w:r>
          </w:p>
        </w:tc>
        <w:tc>
          <w:tcPr>
            <w:tcW w:w="1200" w:type="dxa"/>
            <w:vAlign w:val="center"/>
            <w:hideMark/>
          </w:tcPr>
          <w:p w14:paraId="1246F76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10</w:t>
            </w:r>
          </w:p>
        </w:tc>
        <w:tc>
          <w:tcPr>
            <w:tcW w:w="2449" w:type="dxa"/>
            <w:vAlign w:val="center"/>
            <w:hideMark/>
          </w:tcPr>
          <w:p w14:paraId="478E382F" w14:textId="6C0F78D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El Salvador</w:t>
            </w:r>
          </w:p>
        </w:tc>
        <w:tc>
          <w:tcPr>
            <w:tcW w:w="1843" w:type="dxa"/>
            <w:vAlign w:val="center"/>
            <w:hideMark/>
          </w:tcPr>
          <w:p w14:paraId="360E3007" w14:textId="124D50CD"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014</w:t>
            </w:r>
          </w:p>
        </w:tc>
        <w:tc>
          <w:tcPr>
            <w:tcW w:w="1831" w:type="dxa"/>
            <w:vAlign w:val="center"/>
            <w:hideMark/>
          </w:tcPr>
          <w:p w14:paraId="595544EC" w14:textId="0DF072B6"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019 </w:t>
            </w:r>
          </w:p>
        </w:tc>
        <w:tc>
          <w:tcPr>
            <w:tcW w:w="1287" w:type="dxa"/>
            <w:vAlign w:val="center"/>
            <w:hideMark/>
          </w:tcPr>
          <w:p w14:paraId="3741FD68" w14:textId="703A7C15"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619 </w:t>
            </w:r>
          </w:p>
        </w:tc>
      </w:tr>
      <w:tr w:rsidR="00DC5B47" w:rsidRPr="00581D40" w14:paraId="5D69448D" w14:textId="77777777" w:rsidTr="00857B05">
        <w:trPr>
          <w:trHeight w:val="312"/>
        </w:trPr>
        <w:tc>
          <w:tcPr>
            <w:tcW w:w="1166" w:type="dxa"/>
            <w:vAlign w:val="center"/>
            <w:hideMark/>
          </w:tcPr>
          <w:p w14:paraId="0AA57C46"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68</w:t>
            </w:r>
          </w:p>
        </w:tc>
        <w:tc>
          <w:tcPr>
            <w:tcW w:w="1200" w:type="dxa"/>
            <w:vAlign w:val="center"/>
            <w:hideMark/>
          </w:tcPr>
          <w:p w14:paraId="099D3DC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11</w:t>
            </w:r>
          </w:p>
        </w:tc>
        <w:tc>
          <w:tcPr>
            <w:tcW w:w="2449" w:type="dxa"/>
            <w:vAlign w:val="center"/>
            <w:hideMark/>
          </w:tcPr>
          <w:p w14:paraId="7058E066" w14:textId="0EB73728"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Guyana</w:t>
            </w:r>
          </w:p>
        </w:tc>
        <w:tc>
          <w:tcPr>
            <w:tcW w:w="1843" w:type="dxa"/>
            <w:vAlign w:val="center"/>
            <w:hideMark/>
          </w:tcPr>
          <w:p w14:paraId="1CA59DB8" w14:textId="6E10B32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002</w:t>
            </w:r>
          </w:p>
        </w:tc>
        <w:tc>
          <w:tcPr>
            <w:tcW w:w="1831" w:type="dxa"/>
            <w:vAlign w:val="center"/>
            <w:hideMark/>
          </w:tcPr>
          <w:p w14:paraId="18A06EA4" w14:textId="2C947AA9"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5DC15867" w14:textId="13F5AEF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18679E70" w14:textId="77777777" w:rsidTr="00857B05">
        <w:trPr>
          <w:trHeight w:val="312"/>
        </w:trPr>
        <w:tc>
          <w:tcPr>
            <w:tcW w:w="1166" w:type="dxa"/>
            <w:vAlign w:val="center"/>
            <w:hideMark/>
          </w:tcPr>
          <w:p w14:paraId="2A77CCF6"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69</w:t>
            </w:r>
          </w:p>
        </w:tc>
        <w:tc>
          <w:tcPr>
            <w:tcW w:w="1200" w:type="dxa"/>
            <w:vAlign w:val="center"/>
            <w:hideMark/>
          </w:tcPr>
          <w:p w14:paraId="50FEB6E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12</w:t>
            </w:r>
          </w:p>
        </w:tc>
        <w:tc>
          <w:tcPr>
            <w:tcW w:w="2449" w:type="dxa"/>
            <w:vAlign w:val="center"/>
            <w:hideMark/>
          </w:tcPr>
          <w:p w14:paraId="56BADACF" w14:textId="53450C32"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Honduras</w:t>
            </w:r>
          </w:p>
        </w:tc>
        <w:tc>
          <w:tcPr>
            <w:tcW w:w="1843" w:type="dxa"/>
            <w:vAlign w:val="center"/>
            <w:hideMark/>
          </w:tcPr>
          <w:p w14:paraId="596927D1" w14:textId="440937D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008</w:t>
            </w:r>
          </w:p>
        </w:tc>
        <w:tc>
          <w:tcPr>
            <w:tcW w:w="1831" w:type="dxa"/>
            <w:vAlign w:val="center"/>
            <w:hideMark/>
          </w:tcPr>
          <w:p w14:paraId="322956FE" w14:textId="72DE0D2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76FB0E7C" w14:textId="665A74BA"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14D177CF" w14:textId="77777777" w:rsidTr="00857B05">
        <w:trPr>
          <w:trHeight w:val="312"/>
        </w:trPr>
        <w:tc>
          <w:tcPr>
            <w:tcW w:w="1166" w:type="dxa"/>
            <w:vAlign w:val="center"/>
            <w:hideMark/>
          </w:tcPr>
          <w:p w14:paraId="5A35FE0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70</w:t>
            </w:r>
          </w:p>
        </w:tc>
        <w:tc>
          <w:tcPr>
            <w:tcW w:w="1200" w:type="dxa"/>
            <w:vAlign w:val="center"/>
            <w:hideMark/>
          </w:tcPr>
          <w:p w14:paraId="645F86D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13</w:t>
            </w:r>
          </w:p>
        </w:tc>
        <w:tc>
          <w:tcPr>
            <w:tcW w:w="2449" w:type="dxa"/>
            <w:vAlign w:val="center"/>
            <w:hideMark/>
          </w:tcPr>
          <w:p w14:paraId="3FC4012D" w14:textId="373CE8E0"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Jamaica</w:t>
            </w:r>
          </w:p>
        </w:tc>
        <w:tc>
          <w:tcPr>
            <w:tcW w:w="1843" w:type="dxa"/>
            <w:vAlign w:val="center"/>
            <w:hideMark/>
          </w:tcPr>
          <w:p w14:paraId="5D6E01D9" w14:textId="27E247B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009</w:t>
            </w:r>
          </w:p>
        </w:tc>
        <w:tc>
          <w:tcPr>
            <w:tcW w:w="1831" w:type="dxa"/>
            <w:vAlign w:val="center"/>
            <w:hideMark/>
          </w:tcPr>
          <w:p w14:paraId="6049CE40" w14:textId="7032BE5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0A7A6716" w14:textId="597E85AC"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53DF2D90" w14:textId="77777777" w:rsidTr="00857B05">
        <w:trPr>
          <w:trHeight w:val="312"/>
        </w:trPr>
        <w:tc>
          <w:tcPr>
            <w:tcW w:w="1166" w:type="dxa"/>
            <w:vAlign w:val="center"/>
            <w:hideMark/>
          </w:tcPr>
          <w:p w14:paraId="42EDF83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71</w:t>
            </w:r>
          </w:p>
        </w:tc>
        <w:tc>
          <w:tcPr>
            <w:tcW w:w="1200" w:type="dxa"/>
            <w:vAlign w:val="center"/>
            <w:hideMark/>
          </w:tcPr>
          <w:p w14:paraId="3E595DA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14</w:t>
            </w:r>
          </w:p>
        </w:tc>
        <w:tc>
          <w:tcPr>
            <w:tcW w:w="2449" w:type="dxa"/>
            <w:vAlign w:val="center"/>
            <w:hideMark/>
          </w:tcPr>
          <w:p w14:paraId="0569D40A" w14:textId="65DB07E0"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México</w:t>
            </w:r>
          </w:p>
        </w:tc>
        <w:tc>
          <w:tcPr>
            <w:tcW w:w="1843" w:type="dxa"/>
            <w:vAlign w:val="center"/>
            <w:hideMark/>
          </w:tcPr>
          <w:p w14:paraId="47F84259" w14:textId="1005EE5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435</w:t>
            </w:r>
          </w:p>
        </w:tc>
        <w:tc>
          <w:tcPr>
            <w:tcW w:w="1831" w:type="dxa"/>
            <w:vAlign w:val="center"/>
            <w:hideMark/>
          </w:tcPr>
          <w:p w14:paraId="1A162B73" w14:textId="31055EA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929</w:t>
            </w:r>
          </w:p>
        </w:tc>
        <w:tc>
          <w:tcPr>
            <w:tcW w:w="1287" w:type="dxa"/>
            <w:vAlign w:val="center"/>
            <w:hideMark/>
          </w:tcPr>
          <w:p w14:paraId="5F8D8975" w14:textId="0C20174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63 436 </w:t>
            </w:r>
          </w:p>
        </w:tc>
      </w:tr>
      <w:tr w:rsidR="00DC5B47" w:rsidRPr="00581D40" w14:paraId="0F04742D" w14:textId="77777777" w:rsidTr="00857B05">
        <w:trPr>
          <w:trHeight w:val="312"/>
        </w:trPr>
        <w:tc>
          <w:tcPr>
            <w:tcW w:w="1166" w:type="dxa"/>
            <w:vAlign w:val="center"/>
            <w:hideMark/>
          </w:tcPr>
          <w:p w14:paraId="33E3C1E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72</w:t>
            </w:r>
          </w:p>
        </w:tc>
        <w:tc>
          <w:tcPr>
            <w:tcW w:w="1200" w:type="dxa"/>
            <w:vAlign w:val="center"/>
            <w:hideMark/>
          </w:tcPr>
          <w:p w14:paraId="4392BDE5"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15</w:t>
            </w:r>
          </w:p>
        </w:tc>
        <w:tc>
          <w:tcPr>
            <w:tcW w:w="2449" w:type="dxa"/>
            <w:vAlign w:val="center"/>
            <w:hideMark/>
          </w:tcPr>
          <w:p w14:paraId="6F8BC125" w14:textId="4628F28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Nicaragua </w:t>
            </w:r>
          </w:p>
        </w:tc>
        <w:tc>
          <w:tcPr>
            <w:tcW w:w="1843" w:type="dxa"/>
            <w:vAlign w:val="center"/>
            <w:hideMark/>
          </w:tcPr>
          <w:p w14:paraId="5F7DA92B" w14:textId="1BEA9CC3"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004</w:t>
            </w:r>
          </w:p>
        </w:tc>
        <w:tc>
          <w:tcPr>
            <w:tcW w:w="1831" w:type="dxa"/>
            <w:vAlign w:val="center"/>
            <w:hideMark/>
          </w:tcPr>
          <w:p w14:paraId="72CFB2DB" w14:textId="36D04C3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250D6C67" w14:textId="7B4CE811"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5378776D" w14:textId="77777777" w:rsidTr="00857B05">
        <w:trPr>
          <w:trHeight w:val="312"/>
        </w:trPr>
        <w:tc>
          <w:tcPr>
            <w:tcW w:w="1166" w:type="dxa"/>
            <w:vAlign w:val="center"/>
            <w:hideMark/>
          </w:tcPr>
          <w:p w14:paraId="38E9A42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73</w:t>
            </w:r>
          </w:p>
        </w:tc>
        <w:tc>
          <w:tcPr>
            <w:tcW w:w="1200" w:type="dxa"/>
            <w:vAlign w:val="center"/>
            <w:hideMark/>
          </w:tcPr>
          <w:p w14:paraId="764A989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16</w:t>
            </w:r>
          </w:p>
        </w:tc>
        <w:tc>
          <w:tcPr>
            <w:tcW w:w="2449" w:type="dxa"/>
            <w:vAlign w:val="center"/>
            <w:hideMark/>
          </w:tcPr>
          <w:p w14:paraId="26CDF7A9" w14:textId="506FC2C5"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Panamá</w:t>
            </w:r>
          </w:p>
        </w:tc>
        <w:tc>
          <w:tcPr>
            <w:tcW w:w="1843" w:type="dxa"/>
            <w:vAlign w:val="center"/>
            <w:hideMark/>
          </w:tcPr>
          <w:p w14:paraId="46A2D773" w14:textId="77C4AE99"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034</w:t>
            </w:r>
          </w:p>
        </w:tc>
        <w:tc>
          <w:tcPr>
            <w:tcW w:w="1831" w:type="dxa"/>
            <w:vAlign w:val="center"/>
            <w:hideMark/>
          </w:tcPr>
          <w:p w14:paraId="7030346F" w14:textId="5C3D284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046 </w:t>
            </w:r>
          </w:p>
        </w:tc>
        <w:tc>
          <w:tcPr>
            <w:tcW w:w="1287" w:type="dxa"/>
            <w:vAlign w:val="center"/>
            <w:hideMark/>
          </w:tcPr>
          <w:p w14:paraId="0458887B" w14:textId="572D89D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1 503</w:t>
            </w:r>
          </w:p>
        </w:tc>
      </w:tr>
      <w:tr w:rsidR="00DC5B47" w:rsidRPr="00581D40" w14:paraId="3DA74AFE" w14:textId="77777777" w:rsidTr="00857B05">
        <w:trPr>
          <w:trHeight w:val="312"/>
        </w:trPr>
        <w:tc>
          <w:tcPr>
            <w:tcW w:w="1166" w:type="dxa"/>
            <w:vAlign w:val="center"/>
            <w:hideMark/>
          </w:tcPr>
          <w:p w14:paraId="4F8A78E6"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74</w:t>
            </w:r>
          </w:p>
        </w:tc>
        <w:tc>
          <w:tcPr>
            <w:tcW w:w="1200" w:type="dxa"/>
            <w:vAlign w:val="center"/>
            <w:hideMark/>
          </w:tcPr>
          <w:p w14:paraId="0E4CE367"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17</w:t>
            </w:r>
          </w:p>
        </w:tc>
        <w:tc>
          <w:tcPr>
            <w:tcW w:w="2449" w:type="dxa"/>
            <w:vAlign w:val="center"/>
            <w:hideMark/>
          </w:tcPr>
          <w:p w14:paraId="36BCA3B6" w14:textId="090E052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Paraguay</w:t>
            </w:r>
          </w:p>
        </w:tc>
        <w:tc>
          <w:tcPr>
            <w:tcW w:w="1843" w:type="dxa"/>
            <w:vAlign w:val="center"/>
            <w:hideMark/>
          </w:tcPr>
          <w:p w14:paraId="7DE146EB" w14:textId="62FA1F9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014</w:t>
            </w:r>
          </w:p>
        </w:tc>
        <w:tc>
          <w:tcPr>
            <w:tcW w:w="1831" w:type="dxa"/>
            <w:vAlign w:val="center"/>
            <w:hideMark/>
          </w:tcPr>
          <w:p w14:paraId="466AA25A" w14:textId="52797DD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019 </w:t>
            </w:r>
          </w:p>
        </w:tc>
        <w:tc>
          <w:tcPr>
            <w:tcW w:w="1287" w:type="dxa"/>
            <w:vAlign w:val="center"/>
            <w:hideMark/>
          </w:tcPr>
          <w:p w14:paraId="03E32FA4" w14:textId="47C2CB95"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619 </w:t>
            </w:r>
          </w:p>
        </w:tc>
      </w:tr>
      <w:tr w:rsidR="00DC5B47" w:rsidRPr="00581D40" w14:paraId="63261D02" w14:textId="77777777" w:rsidTr="00857B05">
        <w:trPr>
          <w:trHeight w:val="312"/>
        </w:trPr>
        <w:tc>
          <w:tcPr>
            <w:tcW w:w="1166" w:type="dxa"/>
            <w:vAlign w:val="center"/>
          </w:tcPr>
          <w:p w14:paraId="55F4D6C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75</w:t>
            </w:r>
          </w:p>
        </w:tc>
        <w:tc>
          <w:tcPr>
            <w:tcW w:w="1200" w:type="dxa"/>
            <w:vAlign w:val="center"/>
          </w:tcPr>
          <w:p w14:paraId="2CDF73D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18</w:t>
            </w:r>
          </w:p>
        </w:tc>
        <w:tc>
          <w:tcPr>
            <w:tcW w:w="2449" w:type="dxa"/>
            <w:vAlign w:val="center"/>
          </w:tcPr>
          <w:p w14:paraId="136BF51F" w14:textId="1708FAAF"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Perú</w:t>
            </w:r>
          </w:p>
        </w:tc>
        <w:tc>
          <w:tcPr>
            <w:tcW w:w="1843" w:type="dxa"/>
            <w:vAlign w:val="center"/>
          </w:tcPr>
          <w:p w14:paraId="2FA75CF6" w14:textId="521B305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136</w:t>
            </w:r>
          </w:p>
        </w:tc>
        <w:tc>
          <w:tcPr>
            <w:tcW w:w="1831" w:type="dxa"/>
            <w:vAlign w:val="center"/>
          </w:tcPr>
          <w:p w14:paraId="42A613C5" w14:textId="3CFED9B8"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183 </w:t>
            </w:r>
          </w:p>
        </w:tc>
        <w:tc>
          <w:tcPr>
            <w:tcW w:w="1287" w:type="dxa"/>
            <w:vAlign w:val="center"/>
          </w:tcPr>
          <w:p w14:paraId="78515490" w14:textId="0E70F18E"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6 012 </w:t>
            </w:r>
          </w:p>
        </w:tc>
      </w:tr>
      <w:tr w:rsidR="00DC5B47" w:rsidRPr="00581D40" w14:paraId="366233C7" w14:textId="77777777" w:rsidTr="00857B05">
        <w:trPr>
          <w:trHeight w:val="312"/>
        </w:trPr>
        <w:tc>
          <w:tcPr>
            <w:tcW w:w="1166" w:type="dxa"/>
            <w:vAlign w:val="center"/>
            <w:hideMark/>
          </w:tcPr>
          <w:p w14:paraId="4833C9F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lastRenderedPageBreak/>
              <w:t>76</w:t>
            </w:r>
          </w:p>
        </w:tc>
        <w:tc>
          <w:tcPr>
            <w:tcW w:w="1200" w:type="dxa"/>
            <w:vAlign w:val="center"/>
            <w:hideMark/>
          </w:tcPr>
          <w:p w14:paraId="05D6F1D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19</w:t>
            </w:r>
          </w:p>
        </w:tc>
        <w:tc>
          <w:tcPr>
            <w:tcW w:w="2449" w:type="dxa"/>
            <w:vAlign w:val="center"/>
            <w:hideMark/>
          </w:tcPr>
          <w:p w14:paraId="22080C3D" w14:textId="6665653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Saint Kitts y Nevis</w:t>
            </w:r>
          </w:p>
        </w:tc>
        <w:tc>
          <w:tcPr>
            <w:tcW w:w="1843" w:type="dxa"/>
            <w:vAlign w:val="center"/>
            <w:hideMark/>
          </w:tcPr>
          <w:p w14:paraId="29CA38CF" w14:textId="66E44E0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001</w:t>
            </w:r>
          </w:p>
        </w:tc>
        <w:tc>
          <w:tcPr>
            <w:tcW w:w="1831" w:type="dxa"/>
            <w:vAlign w:val="center"/>
            <w:hideMark/>
          </w:tcPr>
          <w:p w14:paraId="4DF21CF6" w14:textId="6D6FC0CF"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5C4DF94F" w14:textId="532F729F"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1162DA46" w14:textId="77777777" w:rsidTr="00857B05">
        <w:trPr>
          <w:trHeight w:val="312"/>
        </w:trPr>
        <w:tc>
          <w:tcPr>
            <w:tcW w:w="1166" w:type="dxa"/>
            <w:vAlign w:val="center"/>
            <w:hideMark/>
          </w:tcPr>
          <w:p w14:paraId="7069183B"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77</w:t>
            </w:r>
          </w:p>
        </w:tc>
        <w:tc>
          <w:tcPr>
            <w:tcW w:w="1200" w:type="dxa"/>
            <w:vAlign w:val="center"/>
            <w:hideMark/>
          </w:tcPr>
          <w:p w14:paraId="0AD37F7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20</w:t>
            </w:r>
          </w:p>
        </w:tc>
        <w:tc>
          <w:tcPr>
            <w:tcW w:w="2449" w:type="dxa"/>
            <w:vAlign w:val="center"/>
            <w:hideMark/>
          </w:tcPr>
          <w:p w14:paraId="6ECD4DE5" w14:textId="5E4D12E1"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Suriname</w:t>
            </w:r>
          </w:p>
        </w:tc>
        <w:tc>
          <w:tcPr>
            <w:tcW w:w="1843" w:type="dxa"/>
            <w:vAlign w:val="center"/>
            <w:hideMark/>
          </w:tcPr>
          <w:p w14:paraId="55323257" w14:textId="2D19F769"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006</w:t>
            </w:r>
          </w:p>
        </w:tc>
        <w:tc>
          <w:tcPr>
            <w:tcW w:w="1831" w:type="dxa"/>
            <w:vAlign w:val="center"/>
            <w:hideMark/>
          </w:tcPr>
          <w:p w14:paraId="01C22008" w14:textId="11119DFB"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0F538004" w14:textId="444544D5"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329 </w:t>
            </w:r>
          </w:p>
        </w:tc>
      </w:tr>
      <w:tr w:rsidR="00DC5B47" w:rsidRPr="00581D40" w14:paraId="24111AA9" w14:textId="77777777" w:rsidTr="00857B05">
        <w:trPr>
          <w:trHeight w:val="312"/>
        </w:trPr>
        <w:tc>
          <w:tcPr>
            <w:tcW w:w="1166" w:type="dxa"/>
            <w:vAlign w:val="center"/>
            <w:hideMark/>
          </w:tcPr>
          <w:p w14:paraId="185C581E"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78</w:t>
            </w:r>
          </w:p>
        </w:tc>
        <w:tc>
          <w:tcPr>
            <w:tcW w:w="1200" w:type="dxa"/>
            <w:vAlign w:val="center"/>
            <w:hideMark/>
          </w:tcPr>
          <w:p w14:paraId="29AD429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21</w:t>
            </w:r>
          </w:p>
        </w:tc>
        <w:tc>
          <w:tcPr>
            <w:tcW w:w="2449" w:type="dxa"/>
            <w:vAlign w:val="center"/>
            <w:hideMark/>
          </w:tcPr>
          <w:p w14:paraId="76DFECC6" w14:textId="306E892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Uruguay</w:t>
            </w:r>
          </w:p>
        </w:tc>
        <w:tc>
          <w:tcPr>
            <w:tcW w:w="1843" w:type="dxa"/>
            <w:vAlign w:val="center"/>
            <w:hideMark/>
          </w:tcPr>
          <w:p w14:paraId="078B4CF0" w14:textId="7EE23BE0"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079</w:t>
            </w:r>
          </w:p>
        </w:tc>
        <w:tc>
          <w:tcPr>
            <w:tcW w:w="1831" w:type="dxa"/>
            <w:vAlign w:val="center"/>
            <w:hideMark/>
          </w:tcPr>
          <w:p w14:paraId="061340F9" w14:textId="0BD7A124"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106 </w:t>
            </w:r>
          </w:p>
        </w:tc>
        <w:tc>
          <w:tcPr>
            <w:tcW w:w="1287" w:type="dxa"/>
            <w:vAlign w:val="center"/>
            <w:hideMark/>
          </w:tcPr>
          <w:p w14:paraId="2BB04343" w14:textId="5EB014E2" w:rsidR="00DC5B47" w:rsidRPr="00581D40" w:rsidRDefault="00DC5B47" w:rsidP="00DC5B47">
            <w:pPr>
              <w:tabs>
                <w:tab w:val="clear" w:pos="1247"/>
                <w:tab w:val="clear" w:pos="1814"/>
                <w:tab w:val="clear" w:pos="2381"/>
                <w:tab w:val="clear" w:pos="2948"/>
                <w:tab w:val="clear" w:pos="3515"/>
              </w:tabs>
              <w:ind w:right="234"/>
              <w:jc w:val="right"/>
              <w:rPr>
                <w:sz w:val="18"/>
                <w:szCs w:val="18"/>
                <w:lang w:val="es-ES"/>
              </w:rPr>
            </w:pPr>
            <w:r w:rsidRPr="00581D40">
              <w:rPr>
                <w:sz w:val="18"/>
                <w:szCs w:val="18"/>
                <w:lang w:val="es-ES"/>
              </w:rPr>
              <w:t xml:space="preserve">3 492 </w:t>
            </w:r>
          </w:p>
        </w:tc>
      </w:tr>
      <w:tr w:rsidR="00B82C45" w:rsidRPr="00581D40" w14:paraId="11480343" w14:textId="77777777" w:rsidTr="00857B05">
        <w:trPr>
          <w:trHeight w:val="340"/>
        </w:trPr>
        <w:tc>
          <w:tcPr>
            <w:tcW w:w="1166" w:type="dxa"/>
            <w:vAlign w:val="center"/>
            <w:hideMark/>
          </w:tcPr>
          <w:p w14:paraId="3F389D83"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Total</w:t>
            </w:r>
          </w:p>
        </w:tc>
        <w:tc>
          <w:tcPr>
            <w:tcW w:w="1200" w:type="dxa"/>
            <w:vAlign w:val="center"/>
            <w:hideMark/>
          </w:tcPr>
          <w:p w14:paraId="79FF7571"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Grupo</w:t>
            </w:r>
          </w:p>
        </w:tc>
        <w:tc>
          <w:tcPr>
            <w:tcW w:w="7410" w:type="dxa"/>
            <w:gridSpan w:val="4"/>
            <w:vAlign w:val="center"/>
            <w:hideMark/>
          </w:tcPr>
          <w:p w14:paraId="58495B7F"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Estados de Europa Occidental y otros Estados</w:t>
            </w:r>
          </w:p>
        </w:tc>
      </w:tr>
      <w:tr w:rsidR="00DC5B47" w:rsidRPr="00581D40" w14:paraId="0A24E93B" w14:textId="77777777" w:rsidTr="00857B05">
        <w:trPr>
          <w:trHeight w:val="315"/>
        </w:trPr>
        <w:tc>
          <w:tcPr>
            <w:tcW w:w="1166" w:type="dxa"/>
            <w:vAlign w:val="center"/>
          </w:tcPr>
          <w:p w14:paraId="12B1D8F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79</w:t>
            </w:r>
          </w:p>
        </w:tc>
        <w:tc>
          <w:tcPr>
            <w:tcW w:w="1200" w:type="dxa"/>
            <w:vAlign w:val="center"/>
          </w:tcPr>
          <w:p w14:paraId="4BDC407C"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w:t>
            </w:r>
          </w:p>
        </w:tc>
        <w:tc>
          <w:tcPr>
            <w:tcW w:w="2449" w:type="dxa"/>
            <w:vAlign w:val="center"/>
          </w:tcPr>
          <w:p w14:paraId="5BA2B1F5" w14:textId="241DFF04"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Austria</w:t>
            </w:r>
          </w:p>
        </w:tc>
        <w:tc>
          <w:tcPr>
            <w:tcW w:w="1843" w:type="dxa"/>
            <w:vAlign w:val="center"/>
          </w:tcPr>
          <w:p w14:paraId="0B91E6D6" w14:textId="3E01D3AA"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720</w:t>
            </w:r>
          </w:p>
        </w:tc>
        <w:tc>
          <w:tcPr>
            <w:tcW w:w="1831" w:type="dxa"/>
            <w:vAlign w:val="center"/>
          </w:tcPr>
          <w:p w14:paraId="7751699E" w14:textId="1AC611B8"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968 </w:t>
            </w:r>
          </w:p>
        </w:tc>
        <w:tc>
          <w:tcPr>
            <w:tcW w:w="1287" w:type="dxa"/>
            <w:vAlign w:val="center"/>
          </w:tcPr>
          <w:p w14:paraId="094DD65A" w14:textId="4B8F7395"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31 829 </w:t>
            </w:r>
          </w:p>
        </w:tc>
      </w:tr>
      <w:tr w:rsidR="00DC5B47" w:rsidRPr="00581D40" w14:paraId="5C6CB617" w14:textId="77777777" w:rsidTr="00857B05">
        <w:trPr>
          <w:trHeight w:val="315"/>
        </w:trPr>
        <w:tc>
          <w:tcPr>
            <w:tcW w:w="1166" w:type="dxa"/>
            <w:vAlign w:val="center"/>
          </w:tcPr>
          <w:p w14:paraId="4514283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80</w:t>
            </w:r>
          </w:p>
        </w:tc>
        <w:tc>
          <w:tcPr>
            <w:tcW w:w="1200" w:type="dxa"/>
            <w:vAlign w:val="center"/>
          </w:tcPr>
          <w:p w14:paraId="3156BCA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2</w:t>
            </w:r>
          </w:p>
        </w:tc>
        <w:tc>
          <w:tcPr>
            <w:tcW w:w="2449" w:type="dxa"/>
            <w:vAlign w:val="center"/>
          </w:tcPr>
          <w:p w14:paraId="678F9513" w14:textId="5951E648"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Bélgica</w:t>
            </w:r>
          </w:p>
        </w:tc>
        <w:tc>
          <w:tcPr>
            <w:tcW w:w="1843" w:type="dxa"/>
            <w:vAlign w:val="center"/>
          </w:tcPr>
          <w:p w14:paraId="0A56EE45" w14:textId="61E705B1"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885</w:t>
            </w:r>
          </w:p>
        </w:tc>
        <w:tc>
          <w:tcPr>
            <w:tcW w:w="1831" w:type="dxa"/>
            <w:vAlign w:val="center"/>
          </w:tcPr>
          <w:p w14:paraId="43FF83EA" w14:textId="7C93B721"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190</w:t>
            </w:r>
          </w:p>
        </w:tc>
        <w:tc>
          <w:tcPr>
            <w:tcW w:w="1287" w:type="dxa"/>
            <w:vAlign w:val="center"/>
          </w:tcPr>
          <w:p w14:paraId="3C748059" w14:textId="1E235CB4"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39 123 </w:t>
            </w:r>
          </w:p>
        </w:tc>
      </w:tr>
      <w:tr w:rsidR="00DC5B47" w:rsidRPr="00581D40" w14:paraId="485AE225" w14:textId="77777777" w:rsidTr="00857B05">
        <w:trPr>
          <w:trHeight w:val="300"/>
        </w:trPr>
        <w:tc>
          <w:tcPr>
            <w:tcW w:w="1166" w:type="dxa"/>
            <w:vAlign w:val="center"/>
            <w:hideMark/>
          </w:tcPr>
          <w:p w14:paraId="51926F7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81</w:t>
            </w:r>
          </w:p>
        </w:tc>
        <w:tc>
          <w:tcPr>
            <w:tcW w:w="1200" w:type="dxa"/>
            <w:vAlign w:val="center"/>
            <w:hideMark/>
          </w:tcPr>
          <w:p w14:paraId="79CA08C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3</w:t>
            </w:r>
          </w:p>
        </w:tc>
        <w:tc>
          <w:tcPr>
            <w:tcW w:w="2449" w:type="dxa"/>
            <w:vAlign w:val="center"/>
            <w:hideMark/>
          </w:tcPr>
          <w:p w14:paraId="56BFCC7A" w14:textId="4DA830D8"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Canadá</w:t>
            </w:r>
          </w:p>
        </w:tc>
        <w:tc>
          <w:tcPr>
            <w:tcW w:w="1843" w:type="dxa"/>
            <w:vAlign w:val="center"/>
            <w:hideMark/>
          </w:tcPr>
          <w:p w14:paraId="17144CD9" w14:textId="01334735"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2</w:t>
            </w:r>
            <w:r w:rsidR="00581D40" w:rsidRPr="00581D40">
              <w:rPr>
                <w:sz w:val="18"/>
                <w:szCs w:val="18"/>
                <w:lang w:val="es-ES"/>
              </w:rPr>
              <w:t>,</w:t>
            </w:r>
            <w:r w:rsidRPr="00581D40">
              <w:rPr>
                <w:sz w:val="18"/>
                <w:szCs w:val="18"/>
                <w:lang w:val="es-ES"/>
              </w:rPr>
              <w:t>921</w:t>
            </w:r>
          </w:p>
        </w:tc>
        <w:tc>
          <w:tcPr>
            <w:tcW w:w="1831" w:type="dxa"/>
            <w:vAlign w:val="center"/>
            <w:hideMark/>
          </w:tcPr>
          <w:p w14:paraId="00D4E339" w14:textId="47E4C826"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3</w:t>
            </w:r>
            <w:r w:rsidR="00581D40" w:rsidRPr="00581D40">
              <w:rPr>
                <w:sz w:val="18"/>
                <w:szCs w:val="18"/>
                <w:lang w:val="es-ES"/>
              </w:rPr>
              <w:t>,</w:t>
            </w:r>
            <w:r w:rsidRPr="00581D40">
              <w:rPr>
                <w:sz w:val="18"/>
                <w:szCs w:val="18"/>
                <w:lang w:val="es-ES"/>
              </w:rPr>
              <w:t xml:space="preserve">926 </w:t>
            </w:r>
          </w:p>
        </w:tc>
        <w:tc>
          <w:tcPr>
            <w:tcW w:w="1287" w:type="dxa"/>
            <w:vAlign w:val="center"/>
            <w:hideMark/>
          </w:tcPr>
          <w:p w14:paraId="021DB2A4" w14:textId="344168D3"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129 127 </w:t>
            </w:r>
          </w:p>
        </w:tc>
      </w:tr>
      <w:tr w:rsidR="00DC5B47" w:rsidRPr="00581D40" w14:paraId="641BF6BD" w14:textId="77777777" w:rsidTr="00857B05">
        <w:trPr>
          <w:trHeight w:val="300"/>
        </w:trPr>
        <w:tc>
          <w:tcPr>
            <w:tcW w:w="1166" w:type="dxa"/>
            <w:vAlign w:val="center"/>
            <w:hideMark/>
          </w:tcPr>
          <w:p w14:paraId="61A27CFE"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82</w:t>
            </w:r>
          </w:p>
        </w:tc>
        <w:tc>
          <w:tcPr>
            <w:tcW w:w="1200" w:type="dxa"/>
            <w:vAlign w:val="center"/>
            <w:hideMark/>
          </w:tcPr>
          <w:p w14:paraId="31A1FBC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4</w:t>
            </w:r>
          </w:p>
        </w:tc>
        <w:tc>
          <w:tcPr>
            <w:tcW w:w="2449" w:type="dxa"/>
            <w:vAlign w:val="center"/>
            <w:hideMark/>
          </w:tcPr>
          <w:p w14:paraId="2E45FE61" w14:textId="4C5F2405"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Dinamarca</w:t>
            </w:r>
          </w:p>
        </w:tc>
        <w:tc>
          <w:tcPr>
            <w:tcW w:w="1843" w:type="dxa"/>
            <w:vAlign w:val="center"/>
            <w:hideMark/>
          </w:tcPr>
          <w:p w14:paraId="4E3CA255" w14:textId="4538B237"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584</w:t>
            </w:r>
          </w:p>
        </w:tc>
        <w:tc>
          <w:tcPr>
            <w:tcW w:w="1831" w:type="dxa"/>
            <w:vAlign w:val="center"/>
            <w:hideMark/>
          </w:tcPr>
          <w:p w14:paraId="072C8195" w14:textId="17F39288"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758 </w:t>
            </w:r>
          </w:p>
        </w:tc>
        <w:tc>
          <w:tcPr>
            <w:tcW w:w="1287" w:type="dxa"/>
            <w:vAlign w:val="center"/>
            <w:hideMark/>
          </w:tcPr>
          <w:p w14:paraId="5173D76B" w14:textId="68FEE115"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25 817 </w:t>
            </w:r>
          </w:p>
        </w:tc>
      </w:tr>
      <w:tr w:rsidR="00DC5B47" w:rsidRPr="00581D40" w14:paraId="6FD5557C" w14:textId="77777777" w:rsidTr="00857B05">
        <w:trPr>
          <w:trHeight w:val="300"/>
        </w:trPr>
        <w:tc>
          <w:tcPr>
            <w:tcW w:w="1166" w:type="dxa"/>
            <w:vAlign w:val="center"/>
            <w:hideMark/>
          </w:tcPr>
          <w:p w14:paraId="1FD5ACD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83</w:t>
            </w:r>
          </w:p>
        </w:tc>
        <w:tc>
          <w:tcPr>
            <w:tcW w:w="1200" w:type="dxa"/>
            <w:vAlign w:val="center"/>
            <w:hideMark/>
          </w:tcPr>
          <w:p w14:paraId="6353A6F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5</w:t>
            </w:r>
          </w:p>
        </w:tc>
        <w:tc>
          <w:tcPr>
            <w:tcW w:w="2449" w:type="dxa"/>
            <w:vAlign w:val="center"/>
            <w:hideMark/>
          </w:tcPr>
          <w:p w14:paraId="1B383D4D" w14:textId="150DD739"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Unión Europea</w:t>
            </w:r>
          </w:p>
        </w:tc>
        <w:tc>
          <w:tcPr>
            <w:tcW w:w="1843" w:type="dxa"/>
            <w:vAlign w:val="center"/>
            <w:hideMark/>
          </w:tcPr>
          <w:p w14:paraId="57946CF7" w14:textId="6E4994BC"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2</w:t>
            </w:r>
            <w:r w:rsidR="00581D40" w:rsidRPr="00581D40">
              <w:rPr>
                <w:sz w:val="18"/>
                <w:szCs w:val="18"/>
                <w:lang w:val="es-ES"/>
              </w:rPr>
              <w:t>,</w:t>
            </w:r>
            <w:r w:rsidRPr="00581D40">
              <w:rPr>
                <w:sz w:val="18"/>
                <w:szCs w:val="18"/>
                <w:lang w:val="es-ES"/>
              </w:rPr>
              <w:t>500</w:t>
            </w:r>
          </w:p>
        </w:tc>
        <w:tc>
          <w:tcPr>
            <w:tcW w:w="1831" w:type="dxa"/>
            <w:vAlign w:val="center"/>
            <w:hideMark/>
          </w:tcPr>
          <w:p w14:paraId="74253032" w14:textId="6C69A773"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2</w:t>
            </w:r>
            <w:r w:rsidR="00581D40" w:rsidRPr="00581D40">
              <w:rPr>
                <w:sz w:val="18"/>
                <w:szCs w:val="18"/>
                <w:lang w:val="es-ES"/>
              </w:rPr>
              <w:t>,</w:t>
            </w:r>
            <w:r w:rsidRPr="00581D40">
              <w:rPr>
                <w:sz w:val="18"/>
                <w:szCs w:val="18"/>
                <w:lang w:val="es-ES"/>
              </w:rPr>
              <w:t xml:space="preserve">500 </w:t>
            </w:r>
          </w:p>
        </w:tc>
        <w:tc>
          <w:tcPr>
            <w:tcW w:w="1287" w:type="dxa"/>
            <w:vAlign w:val="center"/>
            <w:hideMark/>
          </w:tcPr>
          <w:p w14:paraId="51B6E0A7" w14:textId="49747EC4"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82 215 </w:t>
            </w:r>
          </w:p>
        </w:tc>
      </w:tr>
      <w:tr w:rsidR="00DC5B47" w:rsidRPr="00581D40" w14:paraId="008EA83F" w14:textId="77777777" w:rsidTr="00857B05">
        <w:trPr>
          <w:trHeight w:val="300"/>
        </w:trPr>
        <w:tc>
          <w:tcPr>
            <w:tcW w:w="1166" w:type="dxa"/>
            <w:vAlign w:val="center"/>
          </w:tcPr>
          <w:p w14:paraId="663D68A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84</w:t>
            </w:r>
          </w:p>
        </w:tc>
        <w:tc>
          <w:tcPr>
            <w:tcW w:w="1200" w:type="dxa"/>
            <w:vAlign w:val="center"/>
          </w:tcPr>
          <w:p w14:paraId="5CE5FE7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6</w:t>
            </w:r>
          </w:p>
        </w:tc>
        <w:tc>
          <w:tcPr>
            <w:tcW w:w="2449" w:type="dxa"/>
            <w:vAlign w:val="center"/>
          </w:tcPr>
          <w:p w14:paraId="7E6086A7" w14:textId="374D8F90"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Finlandia </w:t>
            </w:r>
          </w:p>
        </w:tc>
        <w:tc>
          <w:tcPr>
            <w:tcW w:w="1843" w:type="dxa"/>
            <w:vAlign w:val="center"/>
          </w:tcPr>
          <w:p w14:paraId="581AA9EE" w14:textId="2968A5EE"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456</w:t>
            </w:r>
          </w:p>
        </w:tc>
        <w:tc>
          <w:tcPr>
            <w:tcW w:w="1831" w:type="dxa"/>
            <w:vAlign w:val="center"/>
          </w:tcPr>
          <w:p w14:paraId="11F5F3A5" w14:textId="0DEF0C4C"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613 </w:t>
            </w:r>
          </w:p>
        </w:tc>
        <w:tc>
          <w:tcPr>
            <w:tcW w:w="1287" w:type="dxa"/>
            <w:vAlign w:val="center"/>
          </w:tcPr>
          <w:p w14:paraId="2390AECD" w14:textId="64362362"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20 158 </w:t>
            </w:r>
          </w:p>
        </w:tc>
      </w:tr>
      <w:tr w:rsidR="00DC5B47" w:rsidRPr="00581D40" w14:paraId="72A49712" w14:textId="77777777" w:rsidTr="00857B05">
        <w:trPr>
          <w:trHeight w:val="300"/>
        </w:trPr>
        <w:tc>
          <w:tcPr>
            <w:tcW w:w="1166" w:type="dxa"/>
            <w:vAlign w:val="center"/>
            <w:hideMark/>
          </w:tcPr>
          <w:p w14:paraId="7BD92E15"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85</w:t>
            </w:r>
          </w:p>
        </w:tc>
        <w:tc>
          <w:tcPr>
            <w:tcW w:w="1200" w:type="dxa"/>
            <w:vAlign w:val="center"/>
            <w:hideMark/>
          </w:tcPr>
          <w:p w14:paraId="55C9DA7C"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7</w:t>
            </w:r>
          </w:p>
        </w:tc>
        <w:tc>
          <w:tcPr>
            <w:tcW w:w="2449" w:type="dxa"/>
            <w:vAlign w:val="center"/>
            <w:hideMark/>
          </w:tcPr>
          <w:p w14:paraId="3BCF99FE" w14:textId="0BF8404B"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Francia</w:t>
            </w:r>
          </w:p>
        </w:tc>
        <w:tc>
          <w:tcPr>
            <w:tcW w:w="1843" w:type="dxa"/>
            <w:vAlign w:val="center"/>
            <w:hideMark/>
          </w:tcPr>
          <w:p w14:paraId="26538209" w14:textId="66B2C591"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4</w:t>
            </w:r>
            <w:r w:rsidR="00581D40" w:rsidRPr="00581D40">
              <w:rPr>
                <w:sz w:val="18"/>
                <w:szCs w:val="18"/>
                <w:lang w:val="es-ES"/>
              </w:rPr>
              <w:t>,</w:t>
            </w:r>
            <w:r w:rsidRPr="00581D40">
              <w:rPr>
                <w:sz w:val="18"/>
                <w:szCs w:val="18"/>
                <w:lang w:val="es-ES"/>
              </w:rPr>
              <w:t>859</w:t>
            </w:r>
          </w:p>
        </w:tc>
        <w:tc>
          <w:tcPr>
            <w:tcW w:w="1831" w:type="dxa"/>
            <w:vAlign w:val="center"/>
            <w:hideMark/>
          </w:tcPr>
          <w:p w14:paraId="6CB06829" w14:textId="35B7799D"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6</w:t>
            </w:r>
            <w:r w:rsidR="00581D40" w:rsidRPr="00581D40">
              <w:rPr>
                <w:sz w:val="18"/>
                <w:szCs w:val="18"/>
                <w:lang w:val="es-ES"/>
              </w:rPr>
              <w:t>,</w:t>
            </w:r>
            <w:r w:rsidRPr="00581D40">
              <w:rPr>
                <w:sz w:val="18"/>
                <w:szCs w:val="18"/>
                <w:lang w:val="es-ES"/>
              </w:rPr>
              <w:t xml:space="preserve">532 </w:t>
            </w:r>
          </w:p>
        </w:tc>
        <w:tc>
          <w:tcPr>
            <w:tcW w:w="1287" w:type="dxa"/>
            <w:vAlign w:val="center"/>
            <w:hideMark/>
          </w:tcPr>
          <w:p w14:paraId="4698E561" w14:textId="66E92566"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214 799 </w:t>
            </w:r>
          </w:p>
        </w:tc>
      </w:tr>
      <w:tr w:rsidR="00DC5B47" w:rsidRPr="00581D40" w14:paraId="1AFAAA44" w14:textId="77777777" w:rsidTr="00857B05">
        <w:trPr>
          <w:trHeight w:val="300"/>
        </w:trPr>
        <w:tc>
          <w:tcPr>
            <w:tcW w:w="1166" w:type="dxa"/>
            <w:vAlign w:val="center"/>
            <w:hideMark/>
          </w:tcPr>
          <w:p w14:paraId="2F448FC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86</w:t>
            </w:r>
          </w:p>
        </w:tc>
        <w:tc>
          <w:tcPr>
            <w:tcW w:w="1200" w:type="dxa"/>
            <w:vAlign w:val="center"/>
            <w:hideMark/>
          </w:tcPr>
          <w:p w14:paraId="744C205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w:t>
            </w:r>
          </w:p>
        </w:tc>
        <w:tc>
          <w:tcPr>
            <w:tcW w:w="2449" w:type="dxa"/>
            <w:vAlign w:val="center"/>
            <w:hideMark/>
          </w:tcPr>
          <w:p w14:paraId="278207D8" w14:textId="194CB35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Alemania</w:t>
            </w:r>
          </w:p>
        </w:tc>
        <w:tc>
          <w:tcPr>
            <w:tcW w:w="1843" w:type="dxa"/>
            <w:vAlign w:val="center"/>
            <w:hideMark/>
          </w:tcPr>
          <w:p w14:paraId="4273B9B8" w14:textId="41E0B3E6"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6</w:t>
            </w:r>
            <w:r w:rsidR="00581D40" w:rsidRPr="00581D40">
              <w:rPr>
                <w:sz w:val="18"/>
                <w:szCs w:val="18"/>
                <w:lang w:val="es-ES"/>
              </w:rPr>
              <w:t>,</w:t>
            </w:r>
            <w:r w:rsidRPr="00581D40">
              <w:rPr>
                <w:sz w:val="18"/>
                <w:szCs w:val="18"/>
                <w:lang w:val="es-ES"/>
              </w:rPr>
              <w:t>389</w:t>
            </w:r>
          </w:p>
        </w:tc>
        <w:tc>
          <w:tcPr>
            <w:tcW w:w="1831" w:type="dxa"/>
            <w:vAlign w:val="center"/>
            <w:hideMark/>
          </w:tcPr>
          <w:p w14:paraId="6CA88FEC" w14:textId="2A5EFDF4"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8</w:t>
            </w:r>
            <w:r w:rsidR="00581D40" w:rsidRPr="00581D40">
              <w:rPr>
                <w:sz w:val="18"/>
                <w:szCs w:val="18"/>
                <w:lang w:val="es-ES"/>
              </w:rPr>
              <w:t>,</w:t>
            </w:r>
            <w:r w:rsidRPr="00581D40">
              <w:rPr>
                <w:sz w:val="18"/>
                <w:szCs w:val="18"/>
                <w:lang w:val="es-ES"/>
              </w:rPr>
              <w:t xml:space="preserve">588 </w:t>
            </w:r>
          </w:p>
        </w:tc>
        <w:tc>
          <w:tcPr>
            <w:tcW w:w="1287" w:type="dxa"/>
            <w:vAlign w:val="center"/>
            <w:hideMark/>
          </w:tcPr>
          <w:p w14:paraId="19A646E6" w14:textId="33299C3C"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282 435 </w:t>
            </w:r>
          </w:p>
        </w:tc>
      </w:tr>
      <w:tr w:rsidR="00DC5B47" w:rsidRPr="00581D40" w14:paraId="28662FDC" w14:textId="77777777" w:rsidTr="00857B05">
        <w:trPr>
          <w:trHeight w:val="300"/>
        </w:trPr>
        <w:tc>
          <w:tcPr>
            <w:tcW w:w="1166" w:type="dxa"/>
            <w:vAlign w:val="center"/>
            <w:hideMark/>
          </w:tcPr>
          <w:p w14:paraId="1D62BBD6"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87</w:t>
            </w:r>
          </w:p>
        </w:tc>
        <w:tc>
          <w:tcPr>
            <w:tcW w:w="1200" w:type="dxa"/>
            <w:vAlign w:val="center"/>
            <w:hideMark/>
          </w:tcPr>
          <w:p w14:paraId="6FCCBF0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w:t>
            </w:r>
          </w:p>
        </w:tc>
        <w:tc>
          <w:tcPr>
            <w:tcW w:w="2449" w:type="dxa"/>
            <w:vAlign w:val="center"/>
            <w:hideMark/>
          </w:tcPr>
          <w:p w14:paraId="1CC88765" w14:textId="5E5B86A2"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Islandia</w:t>
            </w:r>
          </w:p>
        </w:tc>
        <w:tc>
          <w:tcPr>
            <w:tcW w:w="1843" w:type="dxa"/>
            <w:vAlign w:val="center"/>
            <w:hideMark/>
          </w:tcPr>
          <w:p w14:paraId="53FEF53F" w14:textId="77DC41FE"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023</w:t>
            </w:r>
          </w:p>
        </w:tc>
        <w:tc>
          <w:tcPr>
            <w:tcW w:w="1831" w:type="dxa"/>
            <w:vAlign w:val="center"/>
            <w:hideMark/>
          </w:tcPr>
          <w:p w14:paraId="77135DA1" w14:textId="48A46B4F"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031 </w:t>
            </w:r>
          </w:p>
        </w:tc>
        <w:tc>
          <w:tcPr>
            <w:tcW w:w="1287" w:type="dxa"/>
            <w:vAlign w:val="center"/>
            <w:hideMark/>
          </w:tcPr>
          <w:p w14:paraId="3CFBF155" w14:textId="5413ADF8"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1 017 </w:t>
            </w:r>
          </w:p>
        </w:tc>
      </w:tr>
      <w:tr w:rsidR="00DC5B47" w:rsidRPr="00581D40" w14:paraId="0D35385C" w14:textId="77777777" w:rsidTr="00857B05">
        <w:trPr>
          <w:trHeight w:val="300"/>
        </w:trPr>
        <w:tc>
          <w:tcPr>
            <w:tcW w:w="1166" w:type="dxa"/>
            <w:vAlign w:val="center"/>
            <w:hideMark/>
          </w:tcPr>
          <w:p w14:paraId="7346C69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88</w:t>
            </w:r>
          </w:p>
        </w:tc>
        <w:tc>
          <w:tcPr>
            <w:tcW w:w="1200" w:type="dxa"/>
            <w:vAlign w:val="center"/>
            <w:hideMark/>
          </w:tcPr>
          <w:p w14:paraId="7D3C72A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10</w:t>
            </w:r>
          </w:p>
        </w:tc>
        <w:tc>
          <w:tcPr>
            <w:tcW w:w="2449" w:type="dxa"/>
            <w:vAlign w:val="center"/>
            <w:hideMark/>
          </w:tcPr>
          <w:p w14:paraId="13066F1F" w14:textId="1205E268"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Liechtenstein</w:t>
            </w:r>
          </w:p>
        </w:tc>
        <w:tc>
          <w:tcPr>
            <w:tcW w:w="1843" w:type="dxa"/>
            <w:vAlign w:val="center"/>
            <w:hideMark/>
          </w:tcPr>
          <w:p w14:paraId="78E1A9A3" w14:textId="5CBB250A"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007</w:t>
            </w:r>
          </w:p>
        </w:tc>
        <w:tc>
          <w:tcPr>
            <w:tcW w:w="1831" w:type="dxa"/>
            <w:vAlign w:val="center"/>
            <w:hideMark/>
          </w:tcPr>
          <w:p w14:paraId="0435C6F5" w14:textId="2592ACB5"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010 </w:t>
            </w:r>
          </w:p>
        </w:tc>
        <w:tc>
          <w:tcPr>
            <w:tcW w:w="1287" w:type="dxa"/>
            <w:vAlign w:val="center"/>
            <w:hideMark/>
          </w:tcPr>
          <w:p w14:paraId="1E1E587B" w14:textId="02A52313"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329</w:t>
            </w:r>
          </w:p>
        </w:tc>
      </w:tr>
      <w:tr w:rsidR="00DC5B47" w:rsidRPr="00581D40" w14:paraId="218B31C8" w14:textId="77777777" w:rsidTr="00857B05">
        <w:trPr>
          <w:trHeight w:val="300"/>
        </w:trPr>
        <w:tc>
          <w:tcPr>
            <w:tcW w:w="1166" w:type="dxa"/>
            <w:vAlign w:val="center"/>
            <w:hideMark/>
          </w:tcPr>
          <w:p w14:paraId="4DBFD473"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89</w:t>
            </w:r>
          </w:p>
        </w:tc>
        <w:tc>
          <w:tcPr>
            <w:tcW w:w="1200" w:type="dxa"/>
            <w:vAlign w:val="center"/>
            <w:hideMark/>
          </w:tcPr>
          <w:p w14:paraId="53460E0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11</w:t>
            </w:r>
          </w:p>
        </w:tc>
        <w:tc>
          <w:tcPr>
            <w:tcW w:w="2449" w:type="dxa"/>
            <w:vAlign w:val="center"/>
            <w:hideMark/>
          </w:tcPr>
          <w:p w14:paraId="4194081E" w14:textId="1B1D1C0C"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Luxemburgo</w:t>
            </w:r>
          </w:p>
        </w:tc>
        <w:tc>
          <w:tcPr>
            <w:tcW w:w="1843" w:type="dxa"/>
            <w:vAlign w:val="center"/>
            <w:hideMark/>
          </w:tcPr>
          <w:p w14:paraId="670832E0" w14:textId="025455F5"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064</w:t>
            </w:r>
          </w:p>
        </w:tc>
        <w:tc>
          <w:tcPr>
            <w:tcW w:w="1831" w:type="dxa"/>
            <w:vAlign w:val="center"/>
            <w:hideMark/>
          </w:tcPr>
          <w:p w14:paraId="40949C42" w14:textId="557E4B92"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086 </w:t>
            </w:r>
          </w:p>
        </w:tc>
        <w:tc>
          <w:tcPr>
            <w:tcW w:w="1287" w:type="dxa"/>
            <w:vAlign w:val="center"/>
            <w:hideMark/>
          </w:tcPr>
          <w:p w14:paraId="203B647F" w14:textId="06FDADDE"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2 829 </w:t>
            </w:r>
          </w:p>
        </w:tc>
      </w:tr>
      <w:tr w:rsidR="00DC5B47" w:rsidRPr="00581D40" w14:paraId="358314CB" w14:textId="77777777" w:rsidTr="00857B05">
        <w:trPr>
          <w:trHeight w:val="300"/>
        </w:trPr>
        <w:tc>
          <w:tcPr>
            <w:tcW w:w="1166" w:type="dxa"/>
            <w:vAlign w:val="center"/>
            <w:hideMark/>
          </w:tcPr>
          <w:p w14:paraId="740190BB"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90</w:t>
            </w:r>
          </w:p>
        </w:tc>
        <w:tc>
          <w:tcPr>
            <w:tcW w:w="1200" w:type="dxa"/>
            <w:vAlign w:val="center"/>
            <w:hideMark/>
          </w:tcPr>
          <w:p w14:paraId="7B1A564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12</w:t>
            </w:r>
          </w:p>
        </w:tc>
        <w:tc>
          <w:tcPr>
            <w:tcW w:w="2449" w:type="dxa"/>
            <w:vAlign w:val="center"/>
            <w:hideMark/>
          </w:tcPr>
          <w:p w14:paraId="3C6D0E34" w14:textId="4D03D5B2"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Malta</w:t>
            </w:r>
          </w:p>
        </w:tc>
        <w:tc>
          <w:tcPr>
            <w:tcW w:w="1843" w:type="dxa"/>
            <w:vAlign w:val="center"/>
            <w:hideMark/>
          </w:tcPr>
          <w:p w14:paraId="3EC6B915" w14:textId="71D03452"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016</w:t>
            </w:r>
          </w:p>
        </w:tc>
        <w:tc>
          <w:tcPr>
            <w:tcW w:w="1831" w:type="dxa"/>
            <w:vAlign w:val="center"/>
            <w:hideMark/>
          </w:tcPr>
          <w:p w14:paraId="68B72C73" w14:textId="10D654E3"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022</w:t>
            </w:r>
          </w:p>
        </w:tc>
        <w:tc>
          <w:tcPr>
            <w:tcW w:w="1287" w:type="dxa"/>
            <w:vAlign w:val="center"/>
            <w:hideMark/>
          </w:tcPr>
          <w:p w14:paraId="56311F1A" w14:textId="79306D97"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707 </w:t>
            </w:r>
          </w:p>
        </w:tc>
      </w:tr>
      <w:tr w:rsidR="00DC5B47" w:rsidRPr="00581D40" w14:paraId="70229E94" w14:textId="77777777" w:rsidTr="00857B05">
        <w:trPr>
          <w:trHeight w:val="300"/>
        </w:trPr>
        <w:tc>
          <w:tcPr>
            <w:tcW w:w="1166" w:type="dxa"/>
            <w:vAlign w:val="center"/>
            <w:hideMark/>
          </w:tcPr>
          <w:p w14:paraId="00C17C4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91</w:t>
            </w:r>
          </w:p>
        </w:tc>
        <w:tc>
          <w:tcPr>
            <w:tcW w:w="1200" w:type="dxa"/>
            <w:vAlign w:val="center"/>
            <w:hideMark/>
          </w:tcPr>
          <w:p w14:paraId="19C8683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13</w:t>
            </w:r>
          </w:p>
        </w:tc>
        <w:tc>
          <w:tcPr>
            <w:tcW w:w="2449" w:type="dxa"/>
            <w:vAlign w:val="center"/>
            <w:hideMark/>
          </w:tcPr>
          <w:p w14:paraId="3851B11C" w14:textId="46C9BD5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Mónaco</w:t>
            </w:r>
          </w:p>
        </w:tc>
        <w:tc>
          <w:tcPr>
            <w:tcW w:w="1843" w:type="dxa"/>
            <w:vAlign w:val="center"/>
            <w:hideMark/>
          </w:tcPr>
          <w:p w14:paraId="310462F1" w14:textId="0E6252E7"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010</w:t>
            </w:r>
          </w:p>
        </w:tc>
        <w:tc>
          <w:tcPr>
            <w:tcW w:w="1831" w:type="dxa"/>
            <w:vAlign w:val="center"/>
            <w:hideMark/>
          </w:tcPr>
          <w:p w14:paraId="10547897" w14:textId="1111A33D"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 xml:space="preserve">013 </w:t>
            </w:r>
          </w:p>
        </w:tc>
        <w:tc>
          <w:tcPr>
            <w:tcW w:w="1287" w:type="dxa"/>
            <w:vAlign w:val="center"/>
            <w:hideMark/>
          </w:tcPr>
          <w:p w14:paraId="13A305CF" w14:textId="44AE3DCB"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442 </w:t>
            </w:r>
          </w:p>
        </w:tc>
      </w:tr>
      <w:tr w:rsidR="00DC5B47" w:rsidRPr="00581D40" w14:paraId="5DE14B4A" w14:textId="77777777" w:rsidTr="00857B05">
        <w:trPr>
          <w:trHeight w:val="300"/>
        </w:trPr>
        <w:tc>
          <w:tcPr>
            <w:tcW w:w="1166" w:type="dxa"/>
            <w:vAlign w:val="center"/>
          </w:tcPr>
          <w:p w14:paraId="7B2A7F6F"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92</w:t>
            </w:r>
          </w:p>
        </w:tc>
        <w:tc>
          <w:tcPr>
            <w:tcW w:w="1200" w:type="dxa"/>
            <w:vAlign w:val="center"/>
          </w:tcPr>
          <w:p w14:paraId="2867C647"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14</w:t>
            </w:r>
          </w:p>
        </w:tc>
        <w:tc>
          <w:tcPr>
            <w:tcW w:w="2449" w:type="dxa"/>
            <w:vAlign w:val="center"/>
          </w:tcPr>
          <w:p w14:paraId="302E5C7F" w14:textId="33286FBB"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Pa</w:t>
            </w:r>
            <w:r w:rsidR="00581D40">
              <w:rPr>
                <w:sz w:val="18"/>
                <w:szCs w:val="18"/>
                <w:lang w:val="es-ES"/>
              </w:rPr>
              <w:t>í</w:t>
            </w:r>
            <w:r w:rsidRPr="00581D40">
              <w:rPr>
                <w:sz w:val="18"/>
                <w:szCs w:val="18"/>
                <w:lang w:val="es-ES"/>
              </w:rPr>
              <w:t>ses Bajos</w:t>
            </w:r>
          </w:p>
        </w:tc>
        <w:tc>
          <w:tcPr>
            <w:tcW w:w="1843" w:type="dxa"/>
            <w:vAlign w:val="center"/>
          </w:tcPr>
          <w:p w14:paraId="7D9F51A5" w14:textId="3881DCA6"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482</w:t>
            </w:r>
          </w:p>
        </w:tc>
        <w:tc>
          <w:tcPr>
            <w:tcW w:w="1831" w:type="dxa"/>
            <w:vAlign w:val="center"/>
          </w:tcPr>
          <w:p w14:paraId="640C1B27" w14:textId="6F88D05B"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 xml:space="preserve">992 </w:t>
            </w:r>
          </w:p>
        </w:tc>
        <w:tc>
          <w:tcPr>
            <w:tcW w:w="1287" w:type="dxa"/>
            <w:vAlign w:val="center"/>
          </w:tcPr>
          <w:p w14:paraId="3F7A9CE1" w14:textId="5F586FB8"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65 514 </w:t>
            </w:r>
          </w:p>
        </w:tc>
      </w:tr>
      <w:tr w:rsidR="00DC5B47" w:rsidRPr="00581D40" w14:paraId="38F1936B" w14:textId="77777777" w:rsidTr="00857B05">
        <w:trPr>
          <w:trHeight w:val="300"/>
        </w:trPr>
        <w:tc>
          <w:tcPr>
            <w:tcW w:w="1166" w:type="dxa"/>
            <w:vAlign w:val="center"/>
            <w:hideMark/>
          </w:tcPr>
          <w:p w14:paraId="271230C6"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93</w:t>
            </w:r>
          </w:p>
        </w:tc>
        <w:tc>
          <w:tcPr>
            <w:tcW w:w="1200" w:type="dxa"/>
            <w:vAlign w:val="center"/>
            <w:hideMark/>
          </w:tcPr>
          <w:p w14:paraId="7FE5DC11"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15</w:t>
            </w:r>
          </w:p>
        </w:tc>
        <w:tc>
          <w:tcPr>
            <w:tcW w:w="2449" w:type="dxa"/>
            <w:vAlign w:val="center"/>
            <w:hideMark/>
          </w:tcPr>
          <w:p w14:paraId="30386499" w14:textId="5EC2C2AE"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Noruega</w:t>
            </w:r>
          </w:p>
        </w:tc>
        <w:tc>
          <w:tcPr>
            <w:tcW w:w="1843" w:type="dxa"/>
            <w:vAlign w:val="center"/>
            <w:hideMark/>
          </w:tcPr>
          <w:p w14:paraId="7E781520" w14:textId="2B842801"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849</w:t>
            </w:r>
          </w:p>
        </w:tc>
        <w:tc>
          <w:tcPr>
            <w:tcW w:w="1831" w:type="dxa"/>
            <w:vAlign w:val="center"/>
            <w:hideMark/>
          </w:tcPr>
          <w:p w14:paraId="5FCF5AC5" w14:textId="6CCEF5F6"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 xml:space="preserve">141 </w:t>
            </w:r>
          </w:p>
        </w:tc>
        <w:tc>
          <w:tcPr>
            <w:tcW w:w="1287" w:type="dxa"/>
            <w:vAlign w:val="center"/>
            <w:hideMark/>
          </w:tcPr>
          <w:p w14:paraId="30DA1202" w14:textId="0AE53A35"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37 531 </w:t>
            </w:r>
          </w:p>
        </w:tc>
      </w:tr>
      <w:tr w:rsidR="00DC5B47" w:rsidRPr="00581D40" w14:paraId="113AF56B" w14:textId="77777777" w:rsidTr="00857B05">
        <w:trPr>
          <w:trHeight w:val="300"/>
        </w:trPr>
        <w:tc>
          <w:tcPr>
            <w:tcW w:w="1166" w:type="dxa"/>
            <w:vAlign w:val="center"/>
            <w:hideMark/>
          </w:tcPr>
          <w:p w14:paraId="26B14EA8"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94</w:t>
            </w:r>
          </w:p>
        </w:tc>
        <w:tc>
          <w:tcPr>
            <w:tcW w:w="1200" w:type="dxa"/>
            <w:vAlign w:val="center"/>
            <w:hideMark/>
          </w:tcPr>
          <w:p w14:paraId="7B23544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16</w:t>
            </w:r>
          </w:p>
        </w:tc>
        <w:tc>
          <w:tcPr>
            <w:tcW w:w="2449" w:type="dxa"/>
            <w:vAlign w:val="center"/>
            <w:hideMark/>
          </w:tcPr>
          <w:p w14:paraId="1564178F" w14:textId="16F6BC34"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Portugal</w:t>
            </w:r>
          </w:p>
        </w:tc>
        <w:tc>
          <w:tcPr>
            <w:tcW w:w="1843" w:type="dxa"/>
            <w:vAlign w:val="center"/>
            <w:hideMark/>
          </w:tcPr>
          <w:p w14:paraId="3BE8899D" w14:textId="678FD73B"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392</w:t>
            </w:r>
          </w:p>
        </w:tc>
        <w:tc>
          <w:tcPr>
            <w:tcW w:w="1831" w:type="dxa"/>
            <w:vAlign w:val="center"/>
            <w:hideMark/>
          </w:tcPr>
          <w:p w14:paraId="62F41C82" w14:textId="19F9D0C7"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527</w:t>
            </w:r>
          </w:p>
        </w:tc>
        <w:tc>
          <w:tcPr>
            <w:tcW w:w="1287" w:type="dxa"/>
            <w:vAlign w:val="center"/>
            <w:hideMark/>
          </w:tcPr>
          <w:p w14:paraId="49F68436" w14:textId="58A4C40E"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17 329 </w:t>
            </w:r>
          </w:p>
        </w:tc>
      </w:tr>
      <w:tr w:rsidR="00DC5B47" w:rsidRPr="00581D40" w14:paraId="5C1EFBC6" w14:textId="77777777" w:rsidTr="00857B05">
        <w:trPr>
          <w:trHeight w:val="300"/>
        </w:trPr>
        <w:tc>
          <w:tcPr>
            <w:tcW w:w="1166" w:type="dxa"/>
            <w:vAlign w:val="center"/>
          </w:tcPr>
          <w:p w14:paraId="1DE5CFA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95</w:t>
            </w:r>
          </w:p>
        </w:tc>
        <w:tc>
          <w:tcPr>
            <w:tcW w:w="1200" w:type="dxa"/>
            <w:vAlign w:val="center"/>
          </w:tcPr>
          <w:p w14:paraId="145B3174"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17</w:t>
            </w:r>
          </w:p>
        </w:tc>
        <w:tc>
          <w:tcPr>
            <w:tcW w:w="2449" w:type="dxa"/>
            <w:vAlign w:val="center"/>
          </w:tcPr>
          <w:p w14:paraId="0984DA14" w14:textId="44022461"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 xml:space="preserve">Suecia </w:t>
            </w:r>
          </w:p>
        </w:tc>
        <w:tc>
          <w:tcPr>
            <w:tcW w:w="1843" w:type="dxa"/>
            <w:vAlign w:val="center"/>
          </w:tcPr>
          <w:p w14:paraId="48AEE7D0" w14:textId="502B346A"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0</w:t>
            </w:r>
            <w:r w:rsidR="00581D40" w:rsidRPr="00581D40">
              <w:rPr>
                <w:sz w:val="18"/>
                <w:szCs w:val="18"/>
                <w:lang w:val="es-ES"/>
              </w:rPr>
              <w:t>,</w:t>
            </w:r>
            <w:r w:rsidRPr="00581D40">
              <w:rPr>
                <w:sz w:val="18"/>
                <w:szCs w:val="18"/>
                <w:lang w:val="es-ES"/>
              </w:rPr>
              <w:t>956</w:t>
            </w:r>
          </w:p>
        </w:tc>
        <w:tc>
          <w:tcPr>
            <w:tcW w:w="1831" w:type="dxa"/>
            <w:vAlign w:val="center"/>
          </w:tcPr>
          <w:p w14:paraId="78FFF964" w14:textId="5D18589D"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285</w:t>
            </w:r>
          </w:p>
        </w:tc>
        <w:tc>
          <w:tcPr>
            <w:tcW w:w="1287" w:type="dxa"/>
            <w:vAlign w:val="center"/>
          </w:tcPr>
          <w:p w14:paraId="0F0F6193" w14:textId="2E82D6A4"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42 261 </w:t>
            </w:r>
          </w:p>
        </w:tc>
      </w:tr>
      <w:tr w:rsidR="00DC5B47" w:rsidRPr="00581D40" w14:paraId="2FA811DE" w14:textId="77777777" w:rsidTr="00857B05">
        <w:trPr>
          <w:trHeight w:val="300"/>
        </w:trPr>
        <w:tc>
          <w:tcPr>
            <w:tcW w:w="1166" w:type="dxa"/>
            <w:vAlign w:val="center"/>
            <w:hideMark/>
          </w:tcPr>
          <w:p w14:paraId="2BADBDB0"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96</w:t>
            </w:r>
          </w:p>
        </w:tc>
        <w:tc>
          <w:tcPr>
            <w:tcW w:w="1200" w:type="dxa"/>
            <w:vAlign w:val="center"/>
            <w:hideMark/>
          </w:tcPr>
          <w:p w14:paraId="4352CBD9"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18</w:t>
            </w:r>
          </w:p>
        </w:tc>
        <w:tc>
          <w:tcPr>
            <w:tcW w:w="2449" w:type="dxa"/>
            <w:vAlign w:val="center"/>
            <w:hideMark/>
          </w:tcPr>
          <w:p w14:paraId="5A63258A" w14:textId="6C712798"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Suiza**</w:t>
            </w:r>
          </w:p>
        </w:tc>
        <w:tc>
          <w:tcPr>
            <w:tcW w:w="1843" w:type="dxa"/>
            <w:vAlign w:val="center"/>
            <w:hideMark/>
          </w:tcPr>
          <w:p w14:paraId="28A3F394" w14:textId="17E82D78"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140</w:t>
            </w:r>
          </w:p>
        </w:tc>
        <w:tc>
          <w:tcPr>
            <w:tcW w:w="1831" w:type="dxa"/>
            <w:vAlign w:val="center"/>
            <w:hideMark/>
          </w:tcPr>
          <w:p w14:paraId="34C44371" w14:textId="48C6DD44"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1</w:t>
            </w:r>
            <w:r w:rsidR="00581D40" w:rsidRPr="00581D40">
              <w:rPr>
                <w:sz w:val="18"/>
                <w:szCs w:val="18"/>
                <w:lang w:val="es-ES"/>
              </w:rPr>
              <w:t>,</w:t>
            </w:r>
            <w:r w:rsidRPr="00581D40">
              <w:rPr>
                <w:sz w:val="18"/>
                <w:szCs w:val="18"/>
                <w:lang w:val="es-ES"/>
              </w:rPr>
              <w:t>532</w:t>
            </w:r>
          </w:p>
        </w:tc>
        <w:tc>
          <w:tcPr>
            <w:tcW w:w="1287" w:type="dxa"/>
            <w:vAlign w:val="center"/>
            <w:hideMark/>
          </w:tcPr>
          <w:p w14:paraId="685C153F" w14:textId="034E9239"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50 395 </w:t>
            </w:r>
          </w:p>
        </w:tc>
      </w:tr>
      <w:tr w:rsidR="00DC5B47" w:rsidRPr="00581D40" w14:paraId="7CEC0BB9" w14:textId="77777777" w:rsidTr="00857B05">
        <w:trPr>
          <w:trHeight w:val="300"/>
        </w:trPr>
        <w:tc>
          <w:tcPr>
            <w:tcW w:w="1166" w:type="dxa"/>
            <w:vAlign w:val="center"/>
            <w:hideMark/>
          </w:tcPr>
          <w:p w14:paraId="5DC22E6A"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97</w:t>
            </w:r>
          </w:p>
        </w:tc>
        <w:tc>
          <w:tcPr>
            <w:tcW w:w="1200" w:type="dxa"/>
            <w:vAlign w:val="center"/>
            <w:hideMark/>
          </w:tcPr>
          <w:p w14:paraId="7D7B7E42"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19</w:t>
            </w:r>
          </w:p>
        </w:tc>
        <w:tc>
          <w:tcPr>
            <w:tcW w:w="2449" w:type="dxa"/>
            <w:vAlign w:val="center"/>
            <w:hideMark/>
          </w:tcPr>
          <w:p w14:paraId="05A79D72" w14:textId="784C501F"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Reino Unido de Gran Bretaña e Irlanda del Norte</w:t>
            </w:r>
            <w:r w:rsidRPr="00581D40" w:rsidDel="00B16F6F">
              <w:rPr>
                <w:sz w:val="18"/>
                <w:szCs w:val="18"/>
                <w:lang w:val="es-ES"/>
              </w:rPr>
              <w:t xml:space="preserve"> </w:t>
            </w:r>
          </w:p>
        </w:tc>
        <w:tc>
          <w:tcPr>
            <w:tcW w:w="1843" w:type="dxa"/>
            <w:vAlign w:val="center"/>
            <w:hideMark/>
          </w:tcPr>
          <w:p w14:paraId="0A4FCE72" w14:textId="36402D8F"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4</w:t>
            </w:r>
            <w:r w:rsidR="00581D40" w:rsidRPr="00581D40">
              <w:rPr>
                <w:sz w:val="18"/>
                <w:szCs w:val="18"/>
                <w:lang w:val="es-ES"/>
              </w:rPr>
              <w:t>,</w:t>
            </w:r>
            <w:r w:rsidRPr="00581D40">
              <w:rPr>
                <w:sz w:val="18"/>
                <w:szCs w:val="18"/>
                <w:lang w:val="es-ES"/>
              </w:rPr>
              <w:t>463</w:t>
            </w:r>
          </w:p>
        </w:tc>
        <w:tc>
          <w:tcPr>
            <w:tcW w:w="1831" w:type="dxa"/>
            <w:vAlign w:val="center"/>
            <w:hideMark/>
          </w:tcPr>
          <w:p w14:paraId="32AFAF73" w14:textId="15CE84B6"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5</w:t>
            </w:r>
            <w:r w:rsidR="00581D40" w:rsidRPr="00581D40">
              <w:rPr>
                <w:sz w:val="18"/>
                <w:szCs w:val="18"/>
                <w:lang w:val="es-ES"/>
              </w:rPr>
              <w:t>,</w:t>
            </w:r>
            <w:r w:rsidRPr="00581D40">
              <w:rPr>
                <w:sz w:val="18"/>
                <w:szCs w:val="18"/>
                <w:lang w:val="es-ES"/>
              </w:rPr>
              <w:t xml:space="preserve">999 </w:t>
            </w:r>
          </w:p>
        </w:tc>
        <w:tc>
          <w:tcPr>
            <w:tcW w:w="1287" w:type="dxa"/>
            <w:vAlign w:val="center"/>
            <w:hideMark/>
          </w:tcPr>
          <w:p w14:paraId="18EAA5EC" w14:textId="5BDAEA2D"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197 293 </w:t>
            </w:r>
          </w:p>
        </w:tc>
      </w:tr>
      <w:tr w:rsidR="00DC5B47" w:rsidRPr="00581D40" w14:paraId="3428120D" w14:textId="77777777" w:rsidTr="00857B05">
        <w:trPr>
          <w:trHeight w:val="300"/>
        </w:trPr>
        <w:tc>
          <w:tcPr>
            <w:tcW w:w="1166" w:type="dxa"/>
            <w:vAlign w:val="center"/>
          </w:tcPr>
          <w:p w14:paraId="068AB2DE"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98</w:t>
            </w:r>
          </w:p>
        </w:tc>
        <w:tc>
          <w:tcPr>
            <w:tcW w:w="1200" w:type="dxa"/>
            <w:vAlign w:val="center"/>
          </w:tcPr>
          <w:p w14:paraId="11FCAF77" w14:textId="77777777" w:rsidR="00DC5B47" w:rsidRPr="00581D40" w:rsidRDefault="00DC5B47" w:rsidP="00DC5B47">
            <w:pPr>
              <w:tabs>
                <w:tab w:val="clear" w:pos="1247"/>
                <w:tab w:val="clear" w:pos="1814"/>
                <w:tab w:val="clear" w:pos="2381"/>
                <w:tab w:val="clear" w:pos="2948"/>
                <w:tab w:val="clear" w:pos="3515"/>
              </w:tabs>
              <w:rPr>
                <w:sz w:val="18"/>
                <w:szCs w:val="18"/>
                <w:lang w:val="es-ES"/>
              </w:rPr>
            </w:pPr>
            <w:r w:rsidRPr="00581D40">
              <w:rPr>
                <w:sz w:val="18"/>
                <w:szCs w:val="18"/>
                <w:lang w:val="es-ES"/>
              </w:rPr>
              <w:t>20</w:t>
            </w:r>
          </w:p>
        </w:tc>
        <w:tc>
          <w:tcPr>
            <w:tcW w:w="2449" w:type="dxa"/>
            <w:vAlign w:val="center"/>
          </w:tcPr>
          <w:p w14:paraId="25E42047" w14:textId="7856B981" w:rsidR="00DC5B47" w:rsidRPr="00581D40" w:rsidRDefault="00581D40" w:rsidP="00DC5B47">
            <w:pPr>
              <w:tabs>
                <w:tab w:val="clear" w:pos="1247"/>
                <w:tab w:val="clear" w:pos="1814"/>
                <w:tab w:val="clear" w:pos="2381"/>
                <w:tab w:val="clear" w:pos="2948"/>
                <w:tab w:val="clear" w:pos="3515"/>
              </w:tabs>
              <w:rPr>
                <w:sz w:val="18"/>
                <w:szCs w:val="18"/>
                <w:lang w:val="es-ES"/>
              </w:rPr>
            </w:pPr>
            <w:r w:rsidRPr="00581D40">
              <w:rPr>
                <w:sz w:val="18"/>
                <w:szCs w:val="18"/>
                <w:lang w:val="es-ES"/>
              </w:rPr>
              <w:t>Estados Unidos de América</w:t>
            </w:r>
          </w:p>
        </w:tc>
        <w:tc>
          <w:tcPr>
            <w:tcW w:w="1843" w:type="dxa"/>
            <w:vAlign w:val="center"/>
          </w:tcPr>
          <w:p w14:paraId="3BB7188A" w14:textId="32177F0D" w:rsidR="00DC5B47" w:rsidRPr="00581D40" w:rsidRDefault="00DC5B47" w:rsidP="00DC5B47">
            <w:pPr>
              <w:tabs>
                <w:tab w:val="clear" w:pos="1247"/>
                <w:tab w:val="clear" w:pos="1814"/>
                <w:tab w:val="clear" w:pos="2381"/>
                <w:tab w:val="clear" w:pos="2948"/>
                <w:tab w:val="clear" w:pos="3515"/>
              </w:tabs>
              <w:ind w:right="223"/>
              <w:jc w:val="right"/>
              <w:rPr>
                <w:sz w:val="18"/>
                <w:szCs w:val="18"/>
                <w:lang w:val="es-ES"/>
              </w:rPr>
            </w:pPr>
            <w:r w:rsidRPr="00581D40">
              <w:rPr>
                <w:sz w:val="18"/>
                <w:szCs w:val="18"/>
                <w:lang w:val="es-ES"/>
              </w:rPr>
              <w:t>22</w:t>
            </w:r>
          </w:p>
        </w:tc>
        <w:tc>
          <w:tcPr>
            <w:tcW w:w="1831" w:type="dxa"/>
            <w:vAlign w:val="center"/>
          </w:tcPr>
          <w:p w14:paraId="7A352A50" w14:textId="79B197F7"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22</w:t>
            </w:r>
            <w:r w:rsidR="00581D40" w:rsidRPr="00581D40">
              <w:rPr>
                <w:sz w:val="18"/>
                <w:szCs w:val="18"/>
                <w:lang w:val="es-ES"/>
              </w:rPr>
              <w:t>,</w:t>
            </w:r>
            <w:r w:rsidRPr="00581D40">
              <w:rPr>
                <w:sz w:val="18"/>
                <w:szCs w:val="18"/>
                <w:lang w:val="es-ES"/>
              </w:rPr>
              <w:t xml:space="preserve">000 </w:t>
            </w:r>
          </w:p>
        </w:tc>
        <w:tc>
          <w:tcPr>
            <w:tcW w:w="1287" w:type="dxa"/>
            <w:vAlign w:val="center"/>
          </w:tcPr>
          <w:p w14:paraId="64A54A81" w14:textId="67B12820" w:rsidR="00DC5B47" w:rsidRPr="00581D40" w:rsidRDefault="00DC5B47" w:rsidP="00DC5B47">
            <w:pPr>
              <w:tabs>
                <w:tab w:val="clear" w:pos="1247"/>
                <w:tab w:val="clear" w:pos="1814"/>
                <w:tab w:val="clear" w:pos="2381"/>
                <w:tab w:val="clear" w:pos="2948"/>
                <w:tab w:val="clear" w:pos="3515"/>
              </w:tabs>
              <w:jc w:val="right"/>
              <w:rPr>
                <w:sz w:val="18"/>
                <w:szCs w:val="18"/>
                <w:lang w:val="es-ES"/>
              </w:rPr>
            </w:pPr>
            <w:r w:rsidRPr="00581D40">
              <w:rPr>
                <w:sz w:val="18"/>
                <w:szCs w:val="18"/>
                <w:lang w:val="es-ES"/>
              </w:rPr>
              <w:t xml:space="preserve">723 492 </w:t>
            </w:r>
          </w:p>
        </w:tc>
      </w:tr>
      <w:tr w:rsidR="00B82C45" w:rsidRPr="00581D40" w14:paraId="4BE50BA3" w14:textId="77777777" w:rsidTr="00857B05">
        <w:trPr>
          <w:trHeight w:val="300"/>
        </w:trPr>
        <w:tc>
          <w:tcPr>
            <w:tcW w:w="1166" w:type="dxa"/>
            <w:vAlign w:val="center"/>
          </w:tcPr>
          <w:p w14:paraId="004958BD" w14:textId="77777777" w:rsidR="00B82C45" w:rsidRPr="00581D40" w:rsidRDefault="00B82C45" w:rsidP="00B82C45">
            <w:pPr>
              <w:tabs>
                <w:tab w:val="clear" w:pos="1247"/>
                <w:tab w:val="clear" w:pos="1814"/>
                <w:tab w:val="clear" w:pos="2381"/>
                <w:tab w:val="clear" w:pos="2948"/>
                <w:tab w:val="clear" w:pos="3515"/>
              </w:tabs>
              <w:rPr>
                <w:sz w:val="18"/>
                <w:szCs w:val="18"/>
                <w:lang w:val="es-ES"/>
              </w:rPr>
            </w:pPr>
          </w:p>
        </w:tc>
        <w:tc>
          <w:tcPr>
            <w:tcW w:w="1200" w:type="dxa"/>
            <w:vAlign w:val="center"/>
          </w:tcPr>
          <w:p w14:paraId="18DE003D" w14:textId="77777777" w:rsidR="00B82C45" w:rsidRPr="00581D40" w:rsidRDefault="00B82C45" w:rsidP="00B82C45">
            <w:pPr>
              <w:tabs>
                <w:tab w:val="clear" w:pos="1247"/>
                <w:tab w:val="clear" w:pos="1814"/>
                <w:tab w:val="clear" w:pos="2381"/>
                <w:tab w:val="clear" w:pos="2948"/>
                <w:tab w:val="clear" w:pos="3515"/>
              </w:tabs>
              <w:rPr>
                <w:sz w:val="18"/>
                <w:szCs w:val="18"/>
                <w:lang w:val="es-ES"/>
              </w:rPr>
            </w:pPr>
          </w:p>
        </w:tc>
        <w:tc>
          <w:tcPr>
            <w:tcW w:w="2449" w:type="dxa"/>
            <w:vAlign w:val="center"/>
          </w:tcPr>
          <w:p w14:paraId="17BBD2C5" w14:textId="77777777" w:rsidR="00B82C45" w:rsidRPr="00581D40" w:rsidRDefault="00B82C45" w:rsidP="00B82C45">
            <w:pPr>
              <w:tabs>
                <w:tab w:val="clear" w:pos="1247"/>
                <w:tab w:val="clear" w:pos="1814"/>
                <w:tab w:val="clear" w:pos="2381"/>
                <w:tab w:val="clear" w:pos="2948"/>
                <w:tab w:val="clear" w:pos="3515"/>
              </w:tabs>
              <w:rPr>
                <w:sz w:val="18"/>
                <w:szCs w:val="18"/>
                <w:lang w:val="es-ES"/>
              </w:rPr>
            </w:pPr>
          </w:p>
        </w:tc>
        <w:tc>
          <w:tcPr>
            <w:tcW w:w="1843" w:type="dxa"/>
            <w:vAlign w:val="center"/>
          </w:tcPr>
          <w:p w14:paraId="1B9190AA" w14:textId="77777777" w:rsidR="00B82C45" w:rsidRPr="00581D40" w:rsidRDefault="00B82C45" w:rsidP="00B82C45">
            <w:pPr>
              <w:tabs>
                <w:tab w:val="clear" w:pos="1247"/>
                <w:tab w:val="clear" w:pos="1814"/>
                <w:tab w:val="clear" w:pos="2381"/>
                <w:tab w:val="clear" w:pos="2948"/>
                <w:tab w:val="clear" w:pos="3515"/>
              </w:tabs>
              <w:ind w:right="223"/>
              <w:jc w:val="right"/>
              <w:rPr>
                <w:sz w:val="18"/>
                <w:szCs w:val="18"/>
                <w:lang w:val="es-ES"/>
              </w:rPr>
            </w:pPr>
          </w:p>
        </w:tc>
        <w:tc>
          <w:tcPr>
            <w:tcW w:w="1831" w:type="dxa"/>
            <w:vAlign w:val="center"/>
          </w:tcPr>
          <w:p w14:paraId="3A677F2A" w14:textId="77777777" w:rsidR="00B82C45" w:rsidRPr="00581D40" w:rsidRDefault="00B82C45" w:rsidP="00B82C45">
            <w:pPr>
              <w:tabs>
                <w:tab w:val="clear" w:pos="1247"/>
                <w:tab w:val="clear" w:pos="1814"/>
                <w:tab w:val="clear" w:pos="2381"/>
                <w:tab w:val="clear" w:pos="2948"/>
                <w:tab w:val="clear" w:pos="3515"/>
              </w:tabs>
              <w:jc w:val="right"/>
              <w:rPr>
                <w:sz w:val="18"/>
                <w:szCs w:val="18"/>
                <w:lang w:val="es-ES"/>
              </w:rPr>
            </w:pPr>
          </w:p>
        </w:tc>
        <w:tc>
          <w:tcPr>
            <w:tcW w:w="1287" w:type="dxa"/>
            <w:vAlign w:val="center"/>
          </w:tcPr>
          <w:p w14:paraId="2F863D29" w14:textId="77777777" w:rsidR="00B82C45" w:rsidRPr="00581D40" w:rsidRDefault="00B82C45" w:rsidP="00B82C45">
            <w:pPr>
              <w:tabs>
                <w:tab w:val="clear" w:pos="1247"/>
                <w:tab w:val="clear" w:pos="1814"/>
                <w:tab w:val="clear" w:pos="2381"/>
                <w:tab w:val="clear" w:pos="2948"/>
                <w:tab w:val="clear" w:pos="3515"/>
              </w:tabs>
              <w:jc w:val="right"/>
              <w:rPr>
                <w:sz w:val="18"/>
                <w:szCs w:val="18"/>
                <w:lang w:val="es-ES"/>
              </w:rPr>
            </w:pPr>
          </w:p>
        </w:tc>
      </w:tr>
      <w:tr w:rsidR="00B82C45" w:rsidRPr="00581D40" w14:paraId="19ABCC24" w14:textId="77777777" w:rsidTr="00857B05">
        <w:trPr>
          <w:trHeight w:val="359"/>
        </w:trPr>
        <w:tc>
          <w:tcPr>
            <w:tcW w:w="4815" w:type="dxa"/>
            <w:gridSpan w:val="3"/>
            <w:vAlign w:val="center"/>
            <w:hideMark/>
          </w:tcPr>
          <w:p w14:paraId="2CFC3978" w14:textId="77777777" w:rsidR="00B82C45" w:rsidRPr="00581D40" w:rsidRDefault="00B82C45" w:rsidP="00B82C45">
            <w:pPr>
              <w:tabs>
                <w:tab w:val="clear" w:pos="1247"/>
                <w:tab w:val="clear" w:pos="1814"/>
                <w:tab w:val="clear" w:pos="2381"/>
                <w:tab w:val="clear" w:pos="2948"/>
                <w:tab w:val="clear" w:pos="3515"/>
              </w:tabs>
              <w:rPr>
                <w:b/>
                <w:bCs/>
                <w:sz w:val="18"/>
                <w:szCs w:val="18"/>
                <w:lang w:val="es-ES"/>
              </w:rPr>
            </w:pPr>
            <w:r w:rsidRPr="00581D40">
              <w:rPr>
                <w:b/>
                <w:bCs/>
                <w:sz w:val="18"/>
                <w:szCs w:val="18"/>
                <w:lang w:val="es-ES"/>
              </w:rPr>
              <w:t>Total general</w:t>
            </w:r>
          </w:p>
        </w:tc>
        <w:tc>
          <w:tcPr>
            <w:tcW w:w="1843" w:type="dxa"/>
            <w:vAlign w:val="center"/>
            <w:hideMark/>
          </w:tcPr>
          <w:p w14:paraId="63356E7C" w14:textId="77777777" w:rsidR="00B82C45" w:rsidRPr="00581D40" w:rsidRDefault="00B82C45" w:rsidP="00B82C45">
            <w:pPr>
              <w:tabs>
                <w:tab w:val="clear" w:pos="1247"/>
                <w:tab w:val="clear" w:pos="1814"/>
                <w:tab w:val="clear" w:pos="2381"/>
                <w:tab w:val="clear" w:pos="2948"/>
                <w:tab w:val="clear" w:pos="3515"/>
              </w:tabs>
              <w:ind w:right="223"/>
              <w:jc w:val="right"/>
              <w:rPr>
                <w:b/>
                <w:bCs/>
                <w:sz w:val="18"/>
                <w:szCs w:val="18"/>
                <w:lang w:val="es-ES"/>
              </w:rPr>
            </w:pPr>
          </w:p>
        </w:tc>
        <w:tc>
          <w:tcPr>
            <w:tcW w:w="1831" w:type="dxa"/>
            <w:vAlign w:val="center"/>
            <w:hideMark/>
          </w:tcPr>
          <w:p w14:paraId="13DC663D" w14:textId="77777777" w:rsidR="00B82C45" w:rsidRPr="00581D40" w:rsidRDefault="00B82C45" w:rsidP="00B82C45">
            <w:pPr>
              <w:tabs>
                <w:tab w:val="clear" w:pos="1247"/>
                <w:tab w:val="clear" w:pos="1814"/>
                <w:tab w:val="clear" w:pos="2381"/>
                <w:tab w:val="clear" w:pos="2948"/>
                <w:tab w:val="clear" w:pos="3515"/>
              </w:tabs>
              <w:jc w:val="right"/>
              <w:rPr>
                <w:b/>
                <w:bCs/>
                <w:sz w:val="18"/>
                <w:szCs w:val="18"/>
                <w:lang w:val="es-ES"/>
              </w:rPr>
            </w:pPr>
            <w:r w:rsidRPr="00581D40">
              <w:rPr>
                <w:sz w:val="18"/>
                <w:szCs w:val="18"/>
                <w:lang w:val="es-ES"/>
              </w:rPr>
              <w:t xml:space="preserve">100,00 </w:t>
            </w:r>
          </w:p>
        </w:tc>
        <w:tc>
          <w:tcPr>
            <w:tcW w:w="1287" w:type="dxa"/>
            <w:vAlign w:val="center"/>
            <w:hideMark/>
          </w:tcPr>
          <w:p w14:paraId="094AE7D0" w14:textId="77777777" w:rsidR="00B82C45" w:rsidRPr="00581D40" w:rsidRDefault="00B82C45" w:rsidP="00B82C45">
            <w:pPr>
              <w:tabs>
                <w:tab w:val="clear" w:pos="1247"/>
                <w:tab w:val="clear" w:pos="1814"/>
                <w:tab w:val="clear" w:pos="2381"/>
                <w:tab w:val="clear" w:pos="2948"/>
                <w:tab w:val="clear" w:pos="3515"/>
              </w:tabs>
              <w:jc w:val="right"/>
              <w:rPr>
                <w:b/>
                <w:bCs/>
                <w:sz w:val="18"/>
                <w:szCs w:val="18"/>
                <w:lang w:val="es-ES"/>
              </w:rPr>
            </w:pPr>
            <w:r w:rsidRPr="00581D40">
              <w:rPr>
                <w:b/>
                <w:bCs/>
                <w:sz w:val="18"/>
                <w:szCs w:val="18"/>
                <w:lang w:val="es-ES"/>
              </w:rPr>
              <w:t>3 288 599</w:t>
            </w:r>
            <w:r w:rsidRPr="00581D40">
              <w:rPr>
                <w:sz w:val="18"/>
                <w:szCs w:val="18"/>
                <w:lang w:val="es-ES"/>
              </w:rPr>
              <w:t xml:space="preserve"> </w:t>
            </w:r>
          </w:p>
        </w:tc>
      </w:tr>
    </w:tbl>
    <w:p w14:paraId="144B4211" w14:textId="67AF33D5" w:rsidR="00231473" w:rsidRPr="00581D40" w:rsidRDefault="00B82C45" w:rsidP="00581D40">
      <w:pPr>
        <w:tabs>
          <w:tab w:val="clear" w:pos="1247"/>
          <w:tab w:val="clear" w:pos="1814"/>
          <w:tab w:val="clear" w:pos="2381"/>
          <w:tab w:val="clear" w:pos="2948"/>
          <w:tab w:val="clear" w:pos="3515"/>
        </w:tabs>
        <w:spacing w:before="60"/>
        <w:rPr>
          <w:sz w:val="16"/>
          <w:szCs w:val="16"/>
        </w:rPr>
      </w:pPr>
      <w:r w:rsidRPr="00581D40">
        <w:rPr>
          <w:sz w:val="16"/>
          <w:szCs w:val="16"/>
        </w:rPr>
        <w:t>*</w:t>
      </w:r>
      <w:r w:rsidR="00231473" w:rsidRPr="00581D40">
        <w:rPr>
          <w:sz w:val="16"/>
          <w:szCs w:val="16"/>
        </w:rPr>
        <w:t xml:space="preserve"> El presente cuadro relativ</w:t>
      </w:r>
      <w:r w:rsidR="00581D40" w:rsidRPr="00581D40">
        <w:rPr>
          <w:sz w:val="16"/>
          <w:szCs w:val="16"/>
        </w:rPr>
        <w:t>o</w:t>
      </w:r>
      <w:r w:rsidR="00231473" w:rsidRPr="00581D40">
        <w:rPr>
          <w:sz w:val="16"/>
          <w:szCs w:val="16"/>
        </w:rPr>
        <w:t xml:space="preserve"> a las contribuciones se basa en el estado de la ratificación a 18 de septiembre de 2018 de 98 Partes en el Convenio de Minamata sobre el Mercur</w:t>
      </w:r>
      <w:r w:rsidR="00B63D26">
        <w:rPr>
          <w:sz w:val="16"/>
          <w:szCs w:val="16"/>
        </w:rPr>
        <w:t>io</w:t>
      </w:r>
      <w:r w:rsidR="00231473" w:rsidRPr="00581D40">
        <w:rPr>
          <w:sz w:val="16"/>
          <w:szCs w:val="16"/>
        </w:rPr>
        <w:t>.</w:t>
      </w:r>
    </w:p>
    <w:p w14:paraId="6EC32FAE" w14:textId="34AAB76B" w:rsidR="00B82C45" w:rsidRPr="00581D40" w:rsidRDefault="00231473" w:rsidP="00582959">
      <w:pPr>
        <w:tabs>
          <w:tab w:val="clear" w:pos="1247"/>
          <w:tab w:val="clear" w:pos="1814"/>
          <w:tab w:val="clear" w:pos="2381"/>
          <w:tab w:val="clear" w:pos="2948"/>
          <w:tab w:val="clear" w:pos="3515"/>
        </w:tabs>
        <w:spacing w:before="60"/>
        <w:rPr>
          <w:sz w:val="16"/>
          <w:szCs w:val="16"/>
        </w:rPr>
      </w:pPr>
      <w:r w:rsidRPr="00581D40">
        <w:rPr>
          <w:sz w:val="16"/>
          <w:szCs w:val="16"/>
        </w:rPr>
        <w:t>**</w:t>
      </w:r>
      <w:r w:rsidR="00B82C45" w:rsidRPr="00581D40">
        <w:rPr>
          <w:sz w:val="16"/>
          <w:szCs w:val="16"/>
        </w:rPr>
        <w:t xml:space="preserve"> La contribución de Suiza en calidad de país anfitrión incluye su contribución al Fondo Fiduciario General, que se muestra aquí a título informativo. </w:t>
      </w:r>
    </w:p>
    <w:p w14:paraId="510925AA" w14:textId="77777777" w:rsidR="00BA03F8" w:rsidRPr="00581D40" w:rsidRDefault="00BA03F8" w:rsidP="00B82C45">
      <w:pPr>
        <w:pStyle w:val="ZZAnxheader"/>
        <w:sectPr w:rsidR="00BA03F8" w:rsidRPr="00581D40" w:rsidSect="00B82C45">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720"/>
          <w:titlePg/>
        </w:sectPr>
      </w:pPr>
    </w:p>
    <w:p w14:paraId="66F6C38C" w14:textId="229E525A" w:rsidR="00B82C45" w:rsidRPr="00581D40" w:rsidRDefault="00B82C45" w:rsidP="00B82C45">
      <w:pPr>
        <w:pStyle w:val="ZZAnxheader"/>
      </w:pPr>
      <w:r w:rsidRPr="00581D40">
        <w:lastRenderedPageBreak/>
        <w:t>Anexo III</w:t>
      </w:r>
    </w:p>
    <w:p w14:paraId="23B8B511" w14:textId="46A24178" w:rsidR="00B82C45" w:rsidRDefault="00B82C45" w:rsidP="00B82C45">
      <w:pPr>
        <w:pStyle w:val="ZZAnxtitle"/>
      </w:pPr>
      <w:r w:rsidRPr="00581D40">
        <w:t>Organigrama de la Secretaría del Convenio de Minamata</w:t>
      </w:r>
      <w:r w:rsidRPr="00581D40">
        <w:rPr>
          <w:rStyle w:val="Appelnotedebasdep"/>
          <w:rFonts w:eastAsia="Cambria"/>
        </w:rPr>
        <w:footnoteReference w:id="12"/>
      </w:r>
    </w:p>
    <w:p w14:paraId="2CE75FC6" w14:textId="77777777" w:rsidR="00581D40" w:rsidRPr="007959C2" w:rsidRDefault="00581D40" w:rsidP="00581D40">
      <w:pPr>
        <w:pStyle w:val="Normal-pool"/>
      </w:pPr>
      <w:r w:rsidRPr="00DD7071">
        <w:rPr>
          <w:noProof/>
          <w:color w:val="000000" w:themeColor="text1"/>
          <w:lang w:val="fr-FR" w:eastAsia="zh-CN"/>
        </w:rPr>
        <mc:AlternateContent>
          <mc:Choice Requires="wps">
            <w:drawing>
              <wp:anchor distT="0" distB="0" distL="114300" distR="114300" simplePos="0" relativeHeight="251664384" behindDoc="0" locked="0" layoutInCell="1" allowOverlap="1" wp14:anchorId="435204DF" wp14:editId="3C91C5F7">
                <wp:simplePos x="0" y="0"/>
                <wp:positionH relativeFrom="page">
                  <wp:posOffset>906448</wp:posOffset>
                </wp:positionH>
                <wp:positionV relativeFrom="paragraph">
                  <wp:posOffset>132439</wp:posOffset>
                </wp:positionV>
                <wp:extent cx="9450953" cy="0"/>
                <wp:effectExtent l="0" t="0" r="36195" b="19050"/>
                <wp:wrapNone/>
                <wp:docPr id="4" name="Straight Connector 15">
                  <a:extLst xmlns:a="http://schemas.openxmlformats.org/drawingml/2006/main">
                    <a:ext uri="{FF2B5EF4-FFF2-40B4-BE49-F238E27FC236}">
                      <a16:creationId xmlns:a16="http://schemas.microsoft.com/office/drawing/2014/main" id="{C64AE529-4809-456D-9C86-F57C5C0F5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50953" cy="0"/>
                        </a:xfrm>
                        <a:prstGeom prst="line">
                          <a:avLst/>
                        </a:prstGeom>
                        <a:noFill/>
                        <a:ln w="19050" cap="flat" cmpd="sng" algn="ctr">
                          <a:solidFill>
                            <a:schemeClr val="tx1"/>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17B1DC4" id="Straight Connector 15"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35pt,10.45pt" to="81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" strokecolor="black [3213]" strokeweight="1.5pt">
                <o:lock v:ext="edit" shapetype="f"/>
                <w10:wrap anchorx="page"/>
              </v:line>
            </w:pict>
          </mc:Fallback>
        </mc:AlternateContent>
      </w:r>
    </w:p>
    <w:p w14:paraId="4B7948A3" w14:textId="08510730" w:rsidR="00F27FEE" w:rsidRPr="00581D40" w:rsidRDefault="00F27FEE" w:rsidP="00F27FEE">
      <w:pPr>
        <w:pStyle w:val="Normal-pool"/>
      </w:pPr>
    </w:p>
    <w:p w14:paraId="5114FB37" w14:textId="225499D5" w:rsidR="00F27FEE" w:rsidRPr="00581D40" w:rsidRDefault="00F27FEE" w:rsidP="00F27FEE">
      <w:pPr>
        <w:tabs>
          <w:tab w:val="clear" w:pos="1247"/>
          <w:tab w:val="clear" w:pos="1814"/>
          <w:tab w:val="clear" w:pos="2381"/>
          <w:tab w:val="clear" w:pos="2948"/>
          <w:tab w:val="clear" w:pos="3515"/>
        </w:tabs>
      </w:pPr>
      <w:r w:rsidRPr="00581D40">
        <w:rPr>
          <w:noProof/>
          <w:lang w:val="fr-FR" w:eastAsia="zh-CN"/>
        </w:rPr>
        <mc:AlternateContent>
          <mc:Choice Requires="wpg">
            <w:drawing>
              <wp:anchor distT="0" distB="0" distL="114300" distR="114300" simplePos="0" relativeHeight="251662336" behindDoc="0" locked="0" layoutInCell="1" allowOverlap="1" wp14:anchorId="760DF944" wp14:editId="06398377">
                <wp:simplePos x="0" y="0"/>
                <wp:positionH relativeFrom="column">
                  <wp:posOffset>13970</wp:posOffset>
                </wp:positionH>
                <wp:positionV relativeFrom="paragraph">
                  <wp:posOffset>116868</wp:posOffset>
                </wp:positionV>
                <wp:extent cx="9346565" cy="3501464"/>
                <wp:effectExtent l="0" t="0" r="26035" b="22860"/>
                <wp:wrapNone/>
                <wp:docPr id="37" name="Group 37"/>
                <wp:cNvGraphicFramePr/>
                <a:graphic xmlns:a="http://schemas.openxmlformats.org/drawingml/2006/main">
                  <a:graphicData uri="http://schemas.microsoft.com/office/word/2010/wordprocessingGroup">
                    <wpg:wgp>
                      <wpg:cNvGrpSpPr/>
                      <wpg:grpSpPr>
                        <a:xfrm>
                          <a:off x="0" y="0"/>
                          <a:ext cx="9346565" cy="3501464"/>
                          <a:chOff x="299355" y="1395614"/>
                          <a:chExt cx="11436518" cy="3834797"/>
                        </a:xfrm>
                      </wpg:grpSpPr>
                      <wps:wsp>
                        <wps:cNvPr id="44" name="Rectangle 44">
                          <a:extLst/>
                        </wps:cNvPr>
                        <wps:cNvSpPr/>
                        <wps:spPr>
                          <a:xfrm>
                            <a:off x="4920758" y="1395614"/>
                            <a:ext cx="1727269" cy="574745"/>
                          </a:xfrm>
                          <a:prstGeom prst="rect">
                            <a:avLst/>
                          </a:prstGeom>
                          <a:solidFill>
                            <a:sysClr val="window" lastClr="FFFFFF"/>
                          </a:solidFill>
                          <a:ln w="19050" cap="flat" cmpd="sng" algn="ctr">
                            <a:solidFill>
                              <a:sysClr val="windowText" lastClr="000000"/>
                            </a:solidFill>
                            <a:prstDash val="solid"/>
                          </a:ln>
                          <a:effectLst/>
                        </wps:spPr>
                        <wps:txbx>
                          <w:txbxContent>
                            <w:p w14:paraId="2498D5FB" w14:textId="0F978299"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Secretaria Ejecutiva (D-1)</w:t>
                              </w:r>
                            </w:p>
                          </w:txbxContent>
                        </wps:txbx>
                        <wps:bodyPr rtlCol="0" anchor="ctr"/>
                      </wps:wsp>
                      <wps:wsp>
                        <wps:cNvPr id="45" name="Rectangle 45">
                          <a:extLst/>
                        </wps:cNvPr>
                        <wps:cNvSpPr/>
                        <wps:spPr>
                          <a:xfrm>
                            <a:off x="4895284" y="2510270"/>
                            <a:ext cx="1752743" cy="826933"/>
                          </a:xfrm>
                          <a:prstGeom prst="rect">
                            <a:avLst/>
                          </a:prstGeom>
                          <a:solidFill>
                            <a:sysClr val="window" lastClr="FFFFFF"/>
                          </a:solidFill>
                          <a:ln w="19050" cap="flat" cmpd="sng" algn="ctr">
                            <a:solidFill>
                              <a:sysClr val="windowText" lastClr="000000"/>
                            </a:solidFill>
                            <a:prstDash val="solid"/>
                          </a:ln>
                          <a:effectLst/>
                        </wps:spPr>
                        <wps:txbx>
                          <w:txbxContent>
                            <w:p w14:paraId="0801C94F"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políticas</w:t>
                              </w:r>
                              <w:r w:rsidRPr="00581D40">
                                <w:rPr>
                                  <w:sz w:val="18"/>
                                  <w:szCs w:val="18"/>
                                  <w:lang w:val="es-ES"/>
                                </w:rPr>
                                <w:t xml:space="preserve"> </w:t>
                              </w:r>
                            </w:p>
                            <w:p w14:paraId="47949971" w14:textId="77777777" w:rsidR="00581D40" w:rsidRPr="00581D40" w:rsidRDefault="00581D40" w:rsidP="00F27FEE">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Oficial de Coordinación</w:t>
                              </w:r>
                              <w:r w:rsidRPr="00581D40">
                                <w:rPr>
                                  <w:sz w:val="18"/>
                                  <w:szCs w:val="18"/>
                                  <w:lang w:val="es-ES"/>
                                </w:rPr>
                                <w:t xml:space="preserve"> </w:t>
                              </w:r>
                            </w:p>
                            <w:p w14:paraId="3A5945BF" w14:textId="62BB24FD" w:rsidR="00581D40" w:rsidRPr="00581D40" w:rsidRDefault="00581D40" w:rsidP="00F27FEE">
                              <w:pPr>
                                <w:pStyle w:val="NormalWeb"/>
                                <w:spacing w:before="0" w:beforeAutospacing="0" w:after="0" w:afterAutospacing="0"/>
                                <w:jc w:val="center"/>
                                <w:textAlignment w:val="baseline"/>
                                <w:rPr>
                                  <w:bCs/>
                                  <w:color w:val="000000"/>
                                  <w:sz w:val="18"/>
                                  <w:szCs w:val="18"/>
                                  <w:lang w:val="en-US"/>
                                </w:rPr>
                              </w:pPr>
                              <w:r w:rsidRPr="00581D40" w:rsidDel="00F27FEE">
                                <w:rPr>
                                  <w:bCs/>
                                  <w:color w:val="000000"/>
                                  <w:sz w:val="18"/>
                                  <w:szCs w:val="18"/>
                                  <w:lang w:val="es-ES"/>
                                </w:rPr>
                                <w:t xml:space="preserve"> </w:t>
                              </w:r>
                              <w:r w:rsidRPr="00581D40">
                                <w:rPr>
                                  <w:bCs/>
                                  <w:color w:val="000000"/>
                                  <w:sz w:val="18"/>
                                  <w:szCs w:val="18"/>
                                  <w:lang w:val="en-US"/>
                                </w:rPr>
                                <w:t>(P-5)</w:t>
                              </w:r>
                            </w:p>
                          </w:txbxContent>
                        </wps:txbx>
                        <wps:bodyPr rtlCol="0" anchor="ctr"/>
                      </wps:wsp>
                      <wps:wsp>
                        <wps:cNvPr id="46" name="Straight Connector 46">
                          <a:extLst/>
                        </wps:cNvPr>
                        <wps:cNvCnPr>
                          <a:cxnSpLocks/>
                          <a:stCxn id="44" idx="2"/>
                          <a:endCxn id="45" idx="0"/>
                        </wps:cNvCnPr>
                        <wps:spPr>
                          <a:xfrm flipH="1">
                            <a:off x="5771655" y="1970255"/>
                            <a:ext cx="12738" cy="53981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47" name="Rectangle 47">
                          <a:extLst/>
                        </wps:cNvPr>
                        <wps:cNvSpPr/>
                        <wps:spPr>
                          <a:xfrm>
                            <a:off x="7352857" y="3660475"/>
                            <a:ext cx="2094890" cy="562242"/>
                          </a:xfrm>
                          <a:prstGeom prst="rect">
                            <a:avLst/>
                          </a:prstGeom>
                          <a:solidFill>
                            <a:sysClr val="window" lastClr="FFFFFF">
                              <a:alpha val="99000"/>
                            </a:sysClr>
                          </a:solidFill>
                          <a:ln w="19050" cap="flat" cmpd="sng" algn="ctr">
                            <a:solidFill>
                              <a:sysClr val="windowText" lastClr="000000"/>
                            </a:solidFill>
                            <a:prstDash val="solid"/>
                          </a:ln>
                          <a:effectLst/>
                        </wps:spPr>
                        <wps:txbx>
                          <w:txbxContent>
                            <w:p w14:paraId="4AE4AD91"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p>
                            <w:p w14:paraId="0156A1C6" w14:textId="5A109036"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Ciencia y tecnología (P-4)</w:t>
                              </w:r>
                            </w:p>
                          </w:txbxContent>
                        </wps:txbx>
                        <wps:bodyPr rtlCol="0" anchor="ctr"/>
                      </wps:wsp>
                      <wps:wsp>
                        <wps:cNvPr id="48" name="Rectangle 48">
                          <a:extLst/>
                        </wps:cNvPr>
                        <wps:cNvSpPr/>
                        <wps:spPr>
                          <a:xfrm>
                            <a:off x="4775544" y="3712645"/>
                            <a:ext cx="2069478" cy="594265"/>
                          </a:xfrm>
                          <a:prstGeom prst="rect">
                            <a:avLst/>
                          </a:prstGeom>
                          <a:solidFill>
                            <a:sysClr val="window" lastClr="FFFFFF"/>
                          </a:solidFill>
                          <a:ln w="19050" cap="flat" cmpd="sng" algn="ctr">
                            <a:solidFill>
                              <a:sysClr val="windowText" lastClr="000000"/>
                            </a:solidFill>
                            <a:prstDash val="solid"/>
                          </a:ln>
                          <a:effectLst/>
                        </wps:spPr>
                        <wps:txbx>
                          <w:txbxContent>
                            <w:p w14:paraId="319D7356"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w:t>
                              </w:r>
                              <w:r w:rsidRPr="00581D40">
                                <w:rPr>
                                  <w:sz w:val="18"/>
                                  <w:szCs w:val="18"/>
                                  <w:lang w:val="es-ES"/>
                                </w:rPr>
                                <w:t xml:space="preserve"> </w:t>
                              </w:r>
                            </w:p>
                            <w:p w14:paraId="005E8822"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para Creación de capacidad y asistencia técnica (P-4)</w:t>
                              </w:r>
                            </w:p>
                          </w:txbxContent>
                        </wps:txbx>
                        <wps:bodyPr rtlCol="0" anchor="ctr"/>
                      </wps:wsp>
                      <wps:wsp>
                        <wps:cNvPr id="49" name="Rectangle 49">
                          <a:extLst/>
                        </wps:cNvPr>
                        <wps:cNvSpPr/>
                        <wps:spPr>
                          <a:xfrm>
                            <a:off x="2178996" y="3678240"/>
                            <a:ext cx="2069477" cy="535718"/>
                          </a:xfrm>
                          <a:prstGeom prst="rect">
                            <a:avLst/>
                          </a:prstGeom>
                          <a:solidFill>
                            <a:sysClr val="window" lastClr="FFFFFF"/>
                          </a:solidFill>
                          <a:ln w="19050" cap="flat" cmpd="sng" algn="ctr">
                            <a:solidFill>
                              <a:sysClr val="windowText" lastClr="000000"/>
                            </a:solidFill>
                            <a:prstDash val="solid"/>
                          </a:ln>
                          <a:effectLst/>
                        </wps:spPr>
                        <wps:txbx>
                          <w:txbxContent>
                            <w:p w14:paraId="41780418" w14:textId="677522C7"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Oficial Jurídico y de Programas (P-3)</w:t>
                              </w:r>
                            </w:p>
                          </w:txbxContent>
                        </wps:txbx>
                        <wps:bodyPr rtlCol="0" anchor="ctr"/>
                      </wps:wsp>
                      <wps:wsp>
                        <wps:cNvPr id="50" name="Rectangle 50">
                          <a:extLst/>
                        </wps:cNvPr>
                        <wps:cNvSpPr/>
                        <wps:spPr>
                          <a:xfrm>
                            <a:off x="6861635" y="1730776"/>
                            <a:ext cx="2773710" cy="595534"/>
                          </a:xfrm>
                          <a:prstGeom prst="rect">
                            <a:avLst/>
                          </a:prstGeom>
                          <a:solidFill>
                            <a:sysClr val="window" lastClr="FFFFFF"/>
                          </a:solidFill>
                          <a:ln w="19050" cap="flat" cmpd="sng" algn="ctr">
                            <a:solidFill>
                              <a:sysClr val="windowText" lastClr="000000"/>
                            </a:solidFill>
                            <a:prstDash val="solid"/>
                          </a:ln>
                          <a:effectLst/>
                        </wps:spPr>
                        <wps:txbx>
                          <w:txbxContent>
                            <w:p w14:paraId="15862681"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r w:rsidRPr="00581D40">
                                <w:rPr>
                                  <w:sz w:val="18"/>
                                  <w:szCs w:val="18"/>
                                  <w:lang w:val="es-ES"/>
                                </w:rPr>
                                <w:t xml:space="preserve"> </w:t>
                              </w:r>
                            </w:p>
                            <w:p w14:paraId="52460D21" w14:textId="4279F2BD" w:rsidR="00581D40" w:rsidRPr="00B63D26" w:rsidRDefault="00581D40" w:rsidP="00F27FEE">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Comunicación y gestión de los conocimientos (P-3)</w:t>
                              </w:r>
                            </w:p>
                          </w:txbxContent>
                        </wps:txbx>
                        <wps:bodyPr rtlCol="0" anchor="ctr"/>
                      </wps:wsp>
                      <wps:wsp>
                        <wps:cNvPr id="51" name="Rectangle 51">
                          <a:extLst/>
                        </wps:cNvPr>
                        <wps:cNvSpPr/>
                        <wps:spPr>
                          <a:xfrm>
                            <a:off x="2451729" y="2649187"/>
                            <a:ext cx="1738725" cy="580249"/>
                          </a:xfrm>
                          <a:prstGeom prst="rect">
                            <a:avLst/>
                          </a:prstGeom>
                          <a:solidFill>
                            <a:sysClr val="window" lastClr="FFFFFF"/>
                          </a:solidFill>
                          <a:ln w="19050" cap="flat" cmpd="sng" algn="ctr">
                            <a:solidFill>
                              <a:sysClr val="windowText" lastClr="000000"/>
                            </a:solidFill>
                            <a:prstDash val="solid"/>
                          </a:ln>
                          <a:effectLst/>
                        </wps:spPr>
                        <wps:txbx>
                          <w:txbxContent>
                            <w:p w14:paraId="197B1DE3" w14:textId="13C40F20"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Oficial Administrativo* (P-3)</w:t>
                              </w:r>
                            </w:p>
                          </w:txbxContent>
                        </wps:txbx>
                        <wps:bodyPr rtlCol="0" anchor="ctr"/>
                      </wps:wsp>
                      <wps:wsp>
                        <wps:cNvPr id="52" name="Rectangle 52">
                          <a:extLst/>
                        </wps:cNvPr>
                        <wps:cNvSpPr/>
                        <wps:spPr>
                          <a:xfrm>
                            <a:off x="299355" y="2653381"/>
                            <a:ext cx="1861009" cy="575926"/>
                          </a:xfrm>
                          <a:prstGeom prst="rect">
                            <a:avLst/>
                          </a:prstGeom>
                          <a:noFill/>
                          <a:ln w="19050" cap="flat" cmpd="sng" algn="ctr">
                            <a:solidFill>
                              <a:sysClr val="windowText" lastClr="000000"/>
                            </a:solidFill>
                            <a:prstDash val="solid"/>
                          </a:ln>
                          <a:effectLst/>
                        </wps:spPr>
                        <wps:txbx>
                          <w:txbxContent>
                            <w:p w14:paraId="756E77D0" w14:textId="63850881"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Auxiliar de Finanzas*(G-5)</w:t>
                              </w:r>
                            </w:p>
                          </w:txbxContent>
                        </wps:txbx>
                        <wps:bodyPr rtlCol="0" anchor="ctr"/>
                      </wps:wsp>
                      <wps:wsp>
                        <wps:cNvPr id="53" name="Straight Connector 53">
                          <a:extLst/>
                        </wps:cNvPr>
                        <wps:cNvCnPr>
                          <a:cxnSpLocks/>
                          <a:stCxn id="4294967295" idx="1"/>
                          <a:endCxn id="4294967295" idx="3"/>
                        </wps:cNvCnPr>
                        <wps:spPr>
                          <a:xfrm flipH="1">
                            <a:off x="2160364" y="2939311"/>
                            <a:ext cx="291365" cy="2002"/>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54" name="Rectangle 54">
                          <a:extLst/>
                        </wps:cNvPr>
                        <wps:cNvSpPr/>
                        <wps:spPr>
                          <a:xfrm>
                            <a:off x="9983130" y="1731399"/>
                            <a:ext cx="1752743" cy="635680"/>
                          </a:xfrm>
                          <a:prstGeom prst="rect">
                            <a:avLst/>
                          </a:prstGeom>
                          <a:noFill/>
                          <a:ln w="19050" cap="flat" cmpd="sng" algn="ctr">
                            <a:solidFill>
                              <a:sysClr val="windowText" lastClr="000000"/>
                            </a:solidFill>
                            <a:prstDash val="solid"/>
                          </a:ln>
                          <a:effectLst/>
                        </wps:spPr>
                        <wps:txbx>
                          <w:txbxContent>
                            <w:p w14:paraId="10907D29" w14:textId="5B6202C1"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Auxiliar de Información Pública (G-5)</w:t>
                              </w:r>
                              <w:r w:rsidRPr="00581D40">
                                <w:rPr>
                                  <w:sz w:val="18"/>
                                  <w:szCs w:val="18"/>
                                  <w:lang w:val="es-ES"/>
                                </w:rPr>
                                <w:t xml:space="preserve"> </w:t>
                              </w:r>
                            </w:p>
                          </w:txbxContent>
                        </wps:txbx>
                        <wps:bodyPr rtlCol="0" anchor="ctr"/>
                      </wps:wsp>
                      <wps:wsp>
                        <wps:cNvPr id="55" name="Rectangle 55">
                          <a:extLst/>
                        </wps:cNvPr>
                        <wps:cNvSpPr/>
                        <wps:spPr>
                          <a:xfrm>
                            <a:off x="2950106" y="1798972"/>
                            <a:ext cx="1733713" cy="620554"/>
                          </a:xfrm>
                          <a:prstGeom prst="rect">
                            <a:avLst/>
                          </a:prstGeom>
                          <a:noFill/>
                          <a:ln w="19050" cap="flat" cmpd="sng" algn="ctr">
                            <a:solidFill>
                              <a:sysClr val="windowText" lastClr="000000"/>
                            </a:solidFill>
                            <a:prstDash val="solid"/>
                          </a:ln>
                          <a:effectLst/>
                        </wps:spPr>
                        <wps:txbx>
                          <w:txbxContent>
                            <w:p w14:paraId="2FEF31F7" w14:textId="01A41A74"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Auxiliar de Gestión de Programas (G-5)</w:t>
                              </w:r>
                            </w:p>
                          </w:txbxContent>
                        </wps:txbx>
                        <wps:bodyPr rtlCol="0" anchor="ctr"/>
                      </wps:wsp>
                      <wps:wsp>
                        <wps:cNvPr id="56" name="Rectangle 56">
                          <a:extLst/>
                        </wps:cNvPr>
                        <wps:cNvSpPr/>
                        <wps:spPr>
                          <a:xfrm>
                            <a:off x="6282275" y="4811190"/>
                            <a:ext cx="1771306" cy="419216"/>
                          </a:xfrm>
                          <a:prstGeom prst="rect">
                            <a:avLst/>
                          </a:prstGeom>
                          <a:noFill/>
                          <a:ln w="19050" cap="flat" cmpd="sng" algn="ctr">
                            <a:solidFill>
                              <a:sysClr val="windowText" lastClr="000000"/>
                            </a:solidFill>
                            <a:prstDash val="solid"/>
                          </a:ln>
                          <a:effectLst/>
                        </wps:spPr>
                        <wps:txbx>
                          <w:txbxContent>
                            <w:p w14:paraId="2C44D1FF" w14:textId="48794940"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wps:txbx>
                        <wps:bodyPr rtlCol="0" anchor="ctr"/>
                      </wps:wsp>
                      <wps:wsp>
                        <wps:cNvPr id="57" name="Straight Connector 57">
                          <a:extLst/>
                        </wps:cNvPr>
                        <wps:cNvCnPr>
                          <a:cxnSpLocks/>
                        </wps:cNvCnPr>
                        <wps:spPr>
                          <a:xfrm flipV="1">
                            <a:off x="3174382" y="4514264"/>
                            <a:ext cx="6799021" cy="663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58" name="Straight Connector 58">
                          <a:extLst/>
                        </wps:cNvPr>
                        <wps:cNvCnPr>
                          <a:cxnSpLocks/>
                        </wps:cNvCnPr>
                        <wps:spPr>
                          <a:xfrm>
                            <a:off x="8411132" y="3393771"/>
                            <a:ext cx="6472" cy="26670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59" name="Straight Connector 59">
                          <a:extLst/>
                        </wps:cNvPr>
                        <wps:cNvCnPr>
                          <a:cxnSpLocks/>
                          <a:stCxn id="4294967295" idx="2"/>
                        </wps:cNvCnPr>
                        <wps:spPr>
                          <a:xfrm>
                            <a:off x="5810197" y="4306613"/>
                            <a:ext cx="0" cy="20720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0" name="Straight Connector 60">
                          <a:extLst/>
                        </wps:cNvPr>
                        <wps:cNvCnPr>
                          <a:cxnSpLocks/>
                          <a:endCxn id="4294967295" idx="0"/>
                        </wps:cNvCnPr>
                        <wps:spPr>
                          <a:xfrm>
                            <a:off x="7089027" y="4513627"/>
                            <a:ext cx="0" cy="29818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1" name="Straight Connector 61">
                          <a:extLst/>
                        </wps:cNvPr>
                        <wps:cNvCnPr>
                          <a:cxnSpLocks/>
                          <a:endCxn id="4294967295" idx="0"/>
                        </wps:cNvCnPr>
                        <wps:spPr>
                          <a:xfrm>
                            <a:off x="4623757" y="4520330"/>
                            <a:ext cx="0" cy="26081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2" name="Rectangle 62">
                          <a:extLst/>
                        </wps:cNvPr>
                        <wps:cNvSpPr/>
                        <wps:spPr>
                          <a:xfrm>
                            <a:off x="3817006" y="4781141"/>
                            <a:ext cx="1736153" cy="449270"/>
                          </a:xfrm>
                          <a:prstGeom prst="rect">
                            <a:avLst/>
                          </a:prstGeom>
                          <a:noFill/>
                          <a:ln w="19050" cap="flat" cmpd="sng" algn="ctr">
                            <a:solidFill>
                              <a:sysClr val="windowText" lastClr="000000"/>
                            </a:solidFill>
                            <a:prstDash val="solid"/>
                          </a:ln>
                          <a:effectLst/>
                        </wps:spPr>
                        <wps:txbx>
                          <w:txbxContent>
                            <w:p w14:paraId="0ED734B7" w14:textId="6FFBE9B9"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wps:txbx>
                        <wps:bodyPr rtlCol="0" anchor="ctr"/>
                      </wps:wsp>
                      <wps:wsp>
                        <wps:cNvPr id="63" name="Straight Connector 63">
                          <a:extLst/>
                        </wps:cNvPr>
                        <wps:cNvCnPr>
                          <a:cxnSpLocks/>
                          <a:stCxn id="4294967295" idx="3"/>
                          <a:endCxn id="4294967295" idx="1"/>
                        </wps:cNvCnPr>
                        <wps:spPr>
                          <a:xfrm flipV="1">
                            <a:off x="6648027" y="2929465"/>
                            <a:ext cx="704831"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4" name="Straight Connector 64">
                          <a:extLst/>
                        </wps:cNvPr>
                        <wps:cNvCnPr>
                          <a:cxnSpLocks/>
                          <a:stCxn id="4294967295" idx="1"/>
                          <a:endCxn id="4294967295" idx="3"/>
                        </wps:cNvCnPr>
                        <wps:spPr>
                          <a:xfrm flipH="1">
                            <a:off x="6648026" y="2028543"/>
                            <a:ext cx="213609" cy="907636"/>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5" name="Rectangle 65">
                          <a:extLst/>
                        </wps:cNvPr>
                        <wps:cNvSpPr/>
                        <wps:spPr>
                          <a:xfrm>
                            <a:off x="7352858" y="2653511"/>
                            <a:ext cx="1752743" cy="551907"/>
                          </a:xfrm>
                          <a:prstGeom prst="rect">
                            <a:avLst/>
                          </a:prstGeom>
                          <a:solidFill>
                            <a:sysClr val="window" lastClr="FFFFFF"/>
                          </a:solidFill>
                          <a:ln w="19050" cap="flat" cmpd="sng" algn="ctr">
                            <a:solidFill>
                              <a:sysClr val="windowText" lastClr="000000"/>
                            </a:solidFill>
                            <a:prstDash val="solid"/>
                          </a:ln>
                          <a:effectLst/>
                        </wps:spPr>
                        <wps:txbx>
                          <w:txbxContent>
                            <w:p w14:paraId="6CD5E365"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Gestión de Proyectos** (P-5)</w:t>
                              </w:r>
                            </w:p>
                            <w:p w14:paraId="40089334" w14:textId="3BC0DD88" w:rsidR="00581D40" w:rsidRPr="00B63D26" w:rsidRDefault="00581D40" w:rsidP="00F27FEE">
                              <w:pPr>
                                <w:pStyle w:val="NormalWeb"/>
                                <w:spacing w:before="0" w:beforeAutospacing="0" w:after="0" w:afterAutospacing="0"/>
                                <w:jc w:val="center"/>
                                <w:textAlignment w:val="baseline"/>
                                <w:rPr>
                                  <w:bCs/>
                                  <w:color w:val="000000"/>
                                  <w:sz w:val="18"/>
                                  <w:szCs w:val="18"/>
                                  <w:lang w:val="es-ES"/>
                                </w:rPr>
                              </w:pPr>
                            </w:p>
                          </w:txbxContent>
                        </wps:txbx>
                        <wps:bodyPr rtlCol="0" anchor="ctr"/>
                      </wps:wsp>
                      <wps:wsp>
                        <wps:cNvPr id="66" name="Straight Connector 66">
                          <a:extLst/>
                        </wps:cNvPr>
                        <wps:cNvCnPr>
                          <a:cxnSpLocks/>
                          <a:stCxn id="4294967295" idx="3"/>
                          <a:endCxn id="4294967295" idx="1"/>
                        </wps:cNvCnPr>
                        <wps:spPr>
                          <a:xfrm>
                            <a:off x="6648026" y="1682935"/>
                            <a:ext cx="213609" cy="34560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7" name="Straight Connector 67">
                          <a:extLst/>
                        </wps:cNvPr>
                        <wps:cNvCnPr>
                          <a:cxnSpLocks/>
                        </wps:cNvCnPr>
                        <wps:spPr>
                          <a:xfrm flipV="1">
                            <a:off x="3174383" y="3393771"/>
                            <a:ext cx="5240383" cy="25029"/>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8" name="Straight Connector 68">
                          <a:extLst/>
                        </wps:cNvPr>
                        <wps:cNvCnPr>
                          <a:cxnSpLocks/>
                          <a:stCxn id="4294967295" idx="1"/>
                          <a:endCxn id="4294967295" idx="3"/>
                        </wps:cNvCnPr>
                        <wps:spPr>
                          <a:xfrm flipH="1">
                            <a:off x="4683820" y="1682935"/>
                            <a:ext cx="236938" cy="4263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69" name="Straight Connector 69">
                          <a:extLst/>
                        </wps:cNvPr>
                        <wps:cNvCnPr>
                          <a:cxnSpLocks/>
                          <a:stCxn id="4294967295" idx="1"/>
                          <a:endCxn id="4294967295" idx="3"/>
                        </wps:cNvCnPr>
                        <wps:spPr>
                          <a:xfrm flipH="1" flipV="1">
                            <a:off x="4683794" y="2109249"/>
                            <a:ext cx="211490" cy="826931"/>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0" name="Straight Connector 70">
                          <a:extLst/>
                        </wps:cNvPr>
                        <wps:cNvCnPr>
                          <a:cxnSpLocks/>
                        </wps:cNvCnPr>
                        <wps:spPr>
                          <a:xfrm>
                            <a:off x="9105602" y="2898625"/>
                            <a:ext cx="877529" cy="335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1" name="Straight Connector 71">
                          <a:extLst/>
                        </wps:cNvPr>
                        <wps:cNvCnPr>
                          <a:cxnSpLocks/>
                        </wps:cNvCnPr>
                        <wps:spPr>
                          <a:xfrm>
                            <a:off x="9982980" y="2901763"/>
                            <a:ext cx="1" cy="16114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2" name="Straight Connector 72">
                          <a:extLst/>
                        </wps:cNvPr>
                        <wps:cNvCnPr>
                          <a:cxnSpLocks/>
                        </wps:cNvCnPr>
                        <wps:spPr>
                          <a:xfrm flipH="1">
                            <a:off x="9645312" y="2009346"/>
                            <a:ext cx="337668" cy="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3" name="Straight Connector 73">
                          <a:extLst/>
                        </wps:cNvPr>
                        <wps:cNvCnPr>
                          <a:cxnSpLocks/>
                        </wps:cNvCnPr>
                        <wps:spPr>
                          <a:xfrm flipV="1">
                            <a:off x="4184158" y="2901983"/>
                            <a:ext cx="704830" cy="6715"/>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4" name="Straight Connector 74">
                          <a:extLst/>
                        </wps:cNvPr>
                        <wps:cNvCnPr>
                          <a:cxnSpLocks/>
                        </wps:cNvCnPr>
                        <wps:spPr>
                          <a:xfrm>
                            <a:off x="8414639" y="4229260"/>
                            <a:ext cx="0" cy="283468"/>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5" name="Straight Connector 75">
                          <a:extLst/>
                        </wps:cNvPr>
                        <wps:cNvCnPr>
                          <a:cxnSpLocks/>
                        </wps:cNvCnPr>
                        <wps:spPr>
                          <a:xfrm flipH="1">
                            <a:off x="3180434" y="4222717"/>
                            <a:ext cx="7763" cy="304527"/>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6" name="Straight Connector 76">
                          <a:extLst/>
                        </wps:cNvPr>
                        <wps:cNvCnPr>
                          <a:cxnSpLocks/>
                        </wps:cNvCnPr>
                        <wps:spPr>
                          <a:xfrm>
                            <a:off x="3178089" y="3423105"/>
                            <a:ext cx="0" cy="237370"/>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7" name="Straight Connector 77">
                          <a:extLst/>
                        </wps:cNvPr>
                        <wps:cNvCnPr>
                          <a:cxnSpLocks/>
                          <a:stCxn id="4294967295" idx="2"/>
                        </wps:cNvCnPr>
                        <wps:spPr>
                          <a:xfrm>
                            <a:off x="5771571" y="3211869"/>
                            <a:ext cx="0" cy="221263"/>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s:wsp>
                        <wps:cNvPr id="78" name="Straight Connector 78">
                          <a:extLst/>
                        </wps:cNvPr>
                        <wps:cNvCnPr>
                          <a:cxnSpLocks/>
                        </wps:cNvCnPr>
                        <wps:spPr>
                          <a:xfrm>
                            <a:off x="5771655" y="3403250"/>
                            <a:ext cx="0" cy="309444"/>
                          </a:xfrm>
                          <a:prstGeom prst="line">
                            <a:avLst/>
                          </a:prstGeom>
                          <a:noFill/>
                          <a:ln w="9525" cap="flat" cmpd="sng" algn="ctr">
                            <a:solidFill>
                              <a:schemeClr val="tx1"/>
                            </a:solidFill>
                            <a:prstDash val="soli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60DF944" id="Group 37" o:spid="_x0000_s1026" style="position:absolute;margin-left:1.1pt;margin-top:9.2pt;width:735.95pt;height:275.7pt;z-index:251662336;mso-width-relative:margin;mso-height-relative:margin" coordorigin="2993,13956" coordsize="114365,3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">
                <v:rect id="Rectangle 44" o:spid="_x0000_s1027" style="position:absolute;left:49207;top:13956;width:17273;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" fillcolor="window" strokecolor="windowText" strokeweight="1.5pt">
                  <v:textbox>
                    <w:txbxContent>
                      <w:p w14:paraId="2498D5FB" w14:textId="0F978299"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Secretaria Ejecutiva (D-1)</w:t>
                        </w:r>
                      </w:p>
                    </w:txbxContent>
                  </v:textbox>
                </v:rect>
                <v:rect id="Rectangle 45" o:spid="_x0000_s1028" style="position:absolute;left:48952;top:25102;width:17528;height:8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" fillcolor="window" strokecolor="windowText" strokeweight="1.5pt">
                  <v:textbox>
                    <w:txbxContent>
                      <w:p w14:paraId="0801C94F"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políticas</w:t>
                        </w:r>
                        <w:r w:rsidRPr="00581D40">
                          <w:rPr>
                            <w:sz w:val="18"/>
                            <w:szCs w:val="18"/>
                            <w:lang w:val="es-ES"/>
                          </w:rPr>
                          <w:t xml:space="preserve"> </w:t>
                        </w:r>
                      </w:p>
                      <w:p w14:paraId="47949971" w14:textId="77777777" w:rsidR="00581D40" w:rsidRPr="00581D40" w:rsidRDefault="00581D40" w:rsidP="00F27FEE">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Oficial de Coordinación</w:t>
                        </w:r>
                        <w:r w:rsidRPr="00581D40">
                          <w:rPr>
                            <w:sz w:val="18"/>
                            <w:szCs w:val="18"/>
                            <w:lang w:val="es-ES"/>
                          </w:rPr>
                          <w:t xml:space="preserve"> </w:t>
                        </w:r>
                      </w:p>
                      <w:p w14:paraId="3A5945BF" w14:textId="62BB24FD" w:rsidR="00581D40" w:rsidRPr="00581D40" w:rsidRDefault="00581D40" w:rsidP="00F27FEE">
                        <w:pPr>
                          <w:pStyle w:val="NormalWeb"/>
                          <w:spacing w:before="0" w:beforeAutospacing="0" w:after="0" w:afterAutospacing="0"/>
                          <w:jc w:val="center"/>
                          <w:textAlignment w:val="baseline"/>
                          <w:rPr>
                            <w:bCs/>
                            <w:color w:val="000000"/>
                            <w:sz w:val="18"/>
                            <w:szCs w:val="18"/>
                            <w:lang w:val="en-US"/>
                          </w:rPr>
                        </w:pPr>
                        <w:r w:rsidRPr="00581D40" w:rsidDel="00F27FEE">
                          <w:rPr>
                            <w:bCs/>
                            <w:color w:val="000000"/>
                            <w:sz w:val="18"/>
                            <w:szCs w:val="18"/>
                            <w:lang w:val="es-ES"/>
                          </w:rPr>
                          <w:t xml:space="preserve"> </w:t>
                        </w:r>
                        <w:r w:rsidRPr="00581D40">
                          <w:rPr>
                            <w:bCs/>
                            <w:color w:val="000000"/>
                            <w:sz w:val="18"/>
                            <w:szCs w:val="18"/>
                            <w:lang w:val="en-US"/>
                          </w:rPr>
                          <w:t>(P-5)</w:t>
                        </w:r>
                      </w:p>
                    </w:txbxContent>
                  </v:textbox>
                </v:rect>
                <v:line id="Straight Connector 46" o:spid="_x0000_s1029" style="position:absolute;flip:x;visibility:visible;mso-wrap-style:square" from="57716,19702" to="57843,25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" strokecolor="black [3213]">
                  <v:shadow on="t" color="black" opacity="24903f" origin=",.5" offset="0,.55556mm"/>
                  <o:lock v:ext="edit" shapetype="f"/>
                </v:line>
                <v:rect id="Rectangle 47" o:spid="_x0000_s1030" style="position:absolute;left:73528;top:36604;width:20949;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" fillcolor="window" strokecolor="windowText" strokeweight="1.5pt">
                  <v:fill opacity="64764f"/>
                  <v:textbox>
                    <w:txbxContent>
                      <w:p w14:paraId="4AE4AD91"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p>
                      <w:p w14:paraId="0156A1C6" w14:textId="5A109036"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Ciencia y tecnología (P-4)</w:t>
                        </w:r>
                      </w:p>
                    </w:txbxContent>
                  </v:textbox>
                </v:rect>
                <v:rect id="Rectangle 48" o:spid="_x0000_s1031" style="position:absolute;left:47755;top:37126;width:20695;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" fillcolor="window" strokecolor="windowText" strokeweight="1.5pt">
                  <v:textbox>
                    <w:txbxContent>
                      <w:p w14:paraId="319D7356"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w:t>
                        </w:r>
                        <w:r w:rsidRPr="00581D40">
                          <w:rPr>
                            <w:sz w:val="18"/>
                            <w:szCs w:val="18"/>
                            <w:lang w:val="es-ES"/>
                          </w:rPr>
                          <w:t xml:space="preserve"> </w:t>
                        </w:r>
                      </w:p>
                      <w:p w14:paraId="005E8822"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para Creación de capacidad y asistencia técnica (P-4)</w:t>
                        </w:r>
                      </w:p>
                    </w:txbxContent>
                  </v:textbox>
                </v:rect>
                <v:rect id="Rectangle 49" o:spid="_x0000_s1032"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" fillcolor="window" strokecolor="windowText" strokeweight="1.5pt">
                  <v:textbox>
                    <w:txbxContent>
                      <w:p w14:paraId="41780418" w14:textId="677522C7"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Oficial Jurídico y de Programas (P-3)</w:t>
                        </w:r>
                      </w:p>
                    </w:txbxContent>
                  </v:textbox>
                </v:rect>
                <v:rect id="Rectangle 50" o:spid="_x0000_s1033" style="position:absolute;left:68616;top:17307;width:27737;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" fillcolor="window" strokecolor="windowText" strokeweight="1.5pt">
                  <v:textbox>
                    <w:txbxContent>
                      <w:p w14:paraId="15862681"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de Programas para</w:t>
                        </w:r>
                        <w:r w:rsidRPr="00581D40">
                          <w:rPr>
                            <w:sz w:val="18"/>
                            <w:szCs w:val="18"/>
                            <w:lang w:val="es-ES"/>
                          </w:rPr>
                          <w:t xml:space="preserve"> </w:t>
                        </w:r>
                      </w:p>
                      <w:p w14:paraId="52460D21" w14:textId="4279F2BD" w:rsidR="00581D40" w:rsidRPr="00B63D26" w:rsidRDefault="00581D40" w:rsidP="00F27FEE">
                        <w:pPr>
                          <w:pStyle w:val="NormalWeb"/>
                          <w:spacing w:before="0" w:beforeAutospacing="0" w:after="0" w:afterAutospacing="0"/>
                          <w:jc w:val="center"/>
                          <w:textAlignment w:val="baseline"/>
                          <w:rPr>
                            <w:bCs/>
                            <w:color w:val="000000"/>
                            <w:sz w:val="18"/>
                            <w:szCs w:val="18"/>
                            <w:lang w:val="es-ES"/>
                          </w:rPr>
                        </w:pPr>
                        <w:r w:rsidRPr="00581D40">
                          <w:rPr>
                            <w:bCs/>
                            <w:sz w:val="18"/>
                            <w:szCs w:val="18"/>
                            <w:lang w:val="es-ES"/>
                          </w:rPr>
                          <w:t>Comunicación y gestión de los conocimientos (P-3)</w:t>
                        </w:r>
                      </w:p>
                    </w:txbxContent>
                  </v:textbox>
                </v:rect>
                <v:rect id="Rectangle 51" o:spid="_x0000_s1034" style="position:absolute;left:24517;top:26491;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" fillcolor="window" strokecolor="windowText" strokeweight="1.5pt">
                  <v:textbox>
                    <w:txbxContent>
                      <w:p w14:paraId="197B1DE3" w14:textId="13C40F20"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Oficial Administrativo* (P-3)</w:t>
                        </w:r>
                      </w:p>
                    </w:txbxContent>
                  </v:textbox>
                </v:rect>
                <v:rect id="Rectangle 52" o:spid="_x0000_s1035" style="position:absolute;left:2993;top:26533;width:1861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" filled="f" strokecolor="windowText" strokeweight="1.5pt">
                  <v:textbox>
                    <w:txbxContent>
                      <w:p w14:paraId="756E77D0" w14:textId="63850881"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Auxiliar de Finanzas*(G-5)</w:t>
                        </w:r>
                      </w:p>
                    </w:txbxContent>
                  </v:textbox>
                </v:rect>
                <v:line id="Straight Connector 53" o:spid="_x0000_s1036" style="position:absolute;flip:x;visibility:visible;mso-wrap-style:square" from="21603,29393" to="24517,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" strokecolor="black [3213]">
                  <v:shadow on="t" color="black" opacity="24903f" origin=",.5" offset="0,.55556mm"/>
                  <o:lock v:ext="edit" shapetype="f"/>
                </v:line>
                <v:rect id="Rectangle 54" o:spid="_x0000_s1037" style="position:absolute;left:99831;top:17313;width:17527;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" filled="f" strokecolor="windowText" strokeweight="1.5pt">
                  <v:textbox>
                    <w:txbxContent>
                      <w:p w14:paraId="10907D29" w14:textId="5B6202C1"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Auxiliar de Información Pública (G-5)</w:t>
                        </w:r>
                        <w:r w:rsidRPr="00581D40">
                          <w:rPr>
                            <w:sz w:val="18"/>
                            <w:szCs w:val="18"/>
                            <w:lang w:val="es-ES"/>
                          </w:rPr>
                          <w:t xml:space="preserve"> </w:t>
                        </w:r>
                      </w:p>
                    </w:txbxContent>
                  </v:textbox>
                </v:rect>
                <v:rect id="Rectangle 55" o:spid="_x0000_s1038" style="position:absolute;left:29501;top:17989;width:1733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" filled="f" strokecolor="windowText" strokeweight="1.5pt">
                  <v:textbox>
                    <w:txbxContent>
                      <w:p w14:paraId="2FEF31F7" w14:textId="01A41A74" w:rsidR="00581D40" w:rsidRPr="00AF70A5" w:rsidRDefault="00581D40" w:rsidP="00AF70A5">
                        <w:pPr>
                          <w:pStyle w:val="NormalWeb"/>
                          <w:spacing w:before="0" w:beforeAutospacing="0" w:after="0" w:afterAutospacing="0"/>
                          <w:jc w:val="center"/>
                          <w:textAlignment w:val="baseline"/>
                          <w:rPr>
                            <w:sz w:val="18"/>
                            <w:szCs w:val="18"/>
                            <w:lang w:val="es-ES"/>
                          </w:rPr>
                        </w:pPr>
                        <w:r w:rsidRPr="00581D40">
                          <w:rPr>
                            <w:bCs/>
                            <w:sz w:val="18"/>
                            <w:szCs w:val="18"/>
                            <w:lang w:val="es-ES"/>
                          </w:rPr>
                          <w:t>Auxiliar de Gestión de Programas (G-5)</w:t>
                        </w:r>
                      </w:p>
                    </w:txbxContent>
                  </v:textbox>
                </v:rect>
                <v:rect id="Rectangle 56" o:spid="_x0000_s1039" style="position:absolute;left:62822;top:48111;width:17713;height:4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" filled="f" strokecolor="windowText" strokeweight="1.5pt">
                  <v:textbox>
                    <w:txbxContent>
                      <w:p w14:paraId="2C44D1FF" w14:textId="48794940"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v:textbox>
                </v:rect>
                <v:line id="Straight Connector 57" o:spid="_x0000_s1040"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" strokecolor="black [3213]">
                  <v:shadow on="t" color="black" opacity="24903f" origin=",.5" offset="0,.55556mm"/>
                  <o:lock v:ext="edit" shapetype="f"/>
                </v:line>
                <v:line id="Straight Connector 58" o:spid="_x0000_s1041" style="position:absolute;visibility:visible;mso-wrap-style:square" from="84111,33937" to="84176,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" strokecolor="black [3213]">
                  <v:shadow on="t" color="black" opacity="24903f" origin=",.5" offset="0,.55556mm"/>
                  <o:lock v:ext="edit" shapetype="f"/>
                </v:line>
                <v:line id="Straight Connector 59" o:spid="_x0000_s1042" style="position:absolute;visibility:visible;mso-wrap-style:square" from="58101,43066" to="58101,4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" strokecolor="black [3213]">
                  <v:shadow on="t" color="black" opacity="24903f" origin=",.5" offset="0,.55556mm"/>
                  <o:lock v:ext="edit" shapetype="f"/>
                </v:line>
                <v:line id="Straight Connector 60" o:spid="_x0000_s1043"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" strokecolor="black [3213]">
                  <v:shadow on="t" color="black" opacity="24903f" origin=",.5" offset="0,.55556mm"/>
                  <o:lock v:ext="edit" shapetype="f"/>
                </v:line>
                <v:line id="Straight Connector 61" o:spid="_x0000_s1044" style="position:absolute;visibility:visible;mso-wrap-style:square" from="46237,45203" to="46237,4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" strokecolor="black [3213]">
                  <v:shadow on="t" color="black" opacity="24903f" origin=",.5" offset="0,.55556mm"/>
                  <o:lock v:ext="edit" shapetype="f"/>
                </v:line>
                <v:rect id="Rectangle 62" o:spid="_x0000_s1045" style="position:absolute;left:38170;top:47811;width:17361;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" filled="f" strokecolor="windowText" strokeweight="1.5pt">
                  <v:textbox>
                    <w:txbxContent>
                      <w:p w14:paraId="0ED734B7" w14:textId="6FFBE9B9" w:rsidR="00581D40" w:rsidRPr="00AF70A5" w:rsidRDefault="00581D40" w:rsidP="00AF70A5">
                        <w:pPr>
                          <w:pStyle w:val="NormalWeb"/>
                          <w:spacing w:before="0" w:beforeAutospacing="0" w:after="0" w:afterAutospacing="0"/>
                          <w:jc w:val="center"/>
                          <w:textAlignment w:val="baseline"/>
                          <w:rPr>
                            <w:sz w:val="18"/>
                            <w:szCs w:val="18"/>
                          </w:rPr>
                        </w:pPr>
                        <w:r w:rsidRPr="00581D40">
                          <w:rPr>
                            <w:bCs/>
                            <w:sz w:val="18"/>
                            <w:szCs w:val="18"/>
                            <w:lang w:val="es-ES"/>
                          </w:rPr>
                          <w:t>Auxiliar de Equipo (G-4)</w:t>
                        </w:r>
                      </w:p>
                    </w:txbxContent>
                  </v:textbox>
                </v:rect>
                <v:line id="Straight Connector 63" o:spid="_x0000_s1046"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" strokecolor="black [3213]">
                  <v:shadow on="t" color="black" opacity="24903f" origin=",.5" offset="0,.55556mm"/>
                  <o:lock v:ext="edit" shapetype="f"/>
                </v:line>
                <v:line id="Straight Connector 64" o:spid="_x0000_s1047"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" strokecolor="black [3213]">
                  <v:shadow on="t" color="black" opacity="24903f" origin=",.5" offset="0,.55556mm"/>
                  <o:lock v:ext="edit" shapetype="f"/>
                </v:line>
                <v:rect id="Rectangle 65" o:spid="_x0000_s1048"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" fillcolor="window" strokecolor="windowText" strokeweight="1.5pt">
                  <v:textbox>
                    <w:txbxContent>
                      <w:p w14:paraId="6CD5E365" w14:textId="77777777" w:rsidR="00581D40" w:rsidRPr="00581D40" w:rsidRDefault="00581D40" w:rsidP="00F27FEE">
                        <w:pPr>
                          <w:pStyle w:val="NormalWeb"/>
                          <w:spacing w:before="0" w:beforeAutospacing="0" w:after="0" w:afterAutospacing="0"/>
                          <w:jc w:val="center"/>
                          <w:textAlignment w:val="baseline"/>
                          <w:rPr>
                            <w:sz w:val="18"/>
                            <w:szCs w:val="18"/>
                            <w:lang w:val="es-ES"/>
                          </w:rPr>
                        </w:pPr>
                        <w:r w:rsidRPr="00581D40">
                          <w:rPr>
                            <w:bCs/>
                            <w:sz w:val="18"/>
                            <w:szCs w:val="18"/>
                            <w:lang w:val="es-ES"/>
                          </w:rPr>
                          <w:t>Oficial Superior de Gestión de Proyectos** (P-5)</w:t>
                        </w:r>
                      </w:p>
                      <w:p w14:paraId="40089334" w14:textId="3BC0DD88" w:rsidR="00581D40" w:rsidRPr="00B63D26" w:rsidRDefault="00581D40" w:rsidP="00F27FEE">
                        <w:pPr>
                          <w:pStyle w:val="NormalWeb"/>
                          <w:spacing w:before="0" w:beforeAutospacing="0" w:after="0" w:afterAutospacing="0"/>
                          <w:jc w:val="center"/>
                          <w:textAlignment w:val="baseline"/>
                          <w:rPr>
                            <w:bCs/>
                            <w:color w:val="000000"/>
                            <w:sz w:val="18"/>
                            <w:szCs w:val="18"/>
                            <w:lang w:val="es-ES"/>
                          </w:rPr>
                        </w:pPr>
                      </w:p>
                    </w:txbxContent>
                  </v:textbox>
                </v:rect>
                <v:line id="Straight Connector 66" o:spid="_x0000_s1049" style="position:absolute;visibility:visible;mso-wrap-style:square" from="66480,16829"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" strokecolor="black [3213]">
                  <v:shadow on="t" color="black" opacity="24903f" origin=",.5" offset="0,.55556mm"/>
                  <o:lock v:ext="edit" shapetype="f"/>
                </v:line>
                <v:line id="Straight Connector 67" o:spid="_x0000_s1050" style="position:absolute;flip:y;visibility:visible;mso-wrap-style:square" from="31743,33937" to="84147,3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" strokecolor="black [3213]">
                  <v:shadow on="t" color="black" opacity="24903f" origin=",.5" offset="0,.55556mm"/>
                  <o:lock v:ext="edit" shapetype="f"/>
                </v:line>
                <v:line id="Straight Connector 68" o:spid="_x0000_s1051" style="position:absolute;flip:x;visibility:visible;mso-wrap-style:square" from="46838,16829" to="49207,2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" strokecolor="black [3213]">
                  <v:shadow on="t" color="black" opacity="24903f" origin=",.5" offset="0,.55556mm"/>
                  <o:lock v:ext="edit" shapetype="f"/>
                </v:line>
                <v:line id="Straight Connector 69" o:spid="_x0000_s1052" style="position:absolute;flip:x y;visibility:visible;mso-wrap-style:square" from="46837,21092"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" strokecolor="black [3213]">
                  <v:shadow on="t" color="black" opacity="24903f" origin=",.5" offset="0,.55556mm"/>
                  <o:lock v:ext="edit" shapetype="f"/>
                </v:line>
                <v:line id="Straight Connector 70" o:spid="_x0000_s1053"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" strokecolor="black [3213]">
                  <v:shadow on="t" color="black" opacity="24903f" origin=",.5" offset="0,.55556mm"/>
                  <o:lock v:ext="edit" shapetype="f"/>
                </v:line>
                <v:line id="Straight Connector 71" o:spid="_x0000_s1054" style="position:absolute;visibility:visible;mso-wrap-style:square" from="99829,29017" to="99829,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" strokecolor="black [3213]">
                  <v:shadow on="t" color="black" opacity="24903f" origin=",.5" offset="0,.55556mm"/>
                  <o:lock v:ext="edit" shapetype="f"/>
                </v:line>
                <v:line id="Straight Connector 72" o:spid="_x0000_s1055" style="position:absolute;flip:x;visibility:visible;mso-wrap-style:square" from="96453,20093" to="99829,2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" strokecolor="black [3213]">
                  <v:shadow on="t" color="black" opacity="24903f" origin=",.5" offset="0,.55556mm"/>
                  <o:lock v:ext="edit" shapetype="f"/>
                </v:line>
                <v:line id="Straight Connector 73" o:spid="_x0000_s1056" style="position:absolute;flip:y;visibility:visible;mso-wrap-style:square" from="41841,29019" to="48889,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" strokecolor="black [3213]">
                  <v:shadow on="t" color="black" opacity="24903f" origin=",.5" offset="0,.55556mm"/>
                  <o:lock v:ext="edit" shapetype="f"/>
                </v:line>
                <v:line id="Straight Connector 74" o:spid="_x0000_s1057" style="position:absolute;visibility:visible;mso-wrap-style:square" from="84146,42292" to="84146,45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" strokecolor="black [3213]">
                  <v:shadow on="t" color="black" opacity="24903f" origin=",.5" offset="0,.55556mm"/>
                  <o:lock v:ext="edit" shapetype="f"/>
                </v:line>
                <v:line id="Straight Connector 75" o:spid="_x0000_s1058" style="position:absolute;flip:x;visibility:visible;mso-wrap-style:square" from="31804,42227" to="3188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" strokecolor="black [3213]">
                  <v:shadow on="t" color="black" opacity="24903f" origin=",.5" offset="0,.55556mm"/>
                  <o:lock v:ext="edit" shapetype="f"/>
                </v:line>
                <v:line id="Straight Connector 76" o:spid="_x0000_s1059"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" strokecolor="black [3213]">
                  <v:shadow on="t" color="black" opacity="24903f" origin=",.5" offset="0,.55556mm"/>
                  <o:lock v:ext="edit" shapetype="f"/>
                </v:line>
                <v:line id="Straight Connector 77" o:spid="_x0000_s1060" style="position:absolute;visibility:visible;mso-wrap-style:square" from="57715,32118" to="57715,3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" strokecolor="black [3213]">
                  <v:shadow on="t" color="black" opacity="24903f" origin=",.5" offset="0,.55556mm"/>
                  <o:lock v:ext="edit" shapetype="f"/>
                </v:line>
                <v:line id="Straight Connector 78" o:spid="_x0000_s1061" style="position:absolute;visibility:visible;mso-wrap-style:square" from="57716,34032"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" strokecolor="black [3213]">
                  <v:shadow on="t" color="black" opacity="24903f" origin=",.5" offset="0,.55556mm"/>
                  <o:lock v:ext="edit" shapetype="f"/>
                </v:line>
              </v:group>
            </w:pict>
          </mc:Fallback>
        </mc:AlternateContent>
      </w:r>
    </w:p>
    <w:p w14:paraId="2CF65F06" w14:textId="77777777" w:rsidR="00F27FEE" w:rsidRPr="00581D40" w:rsidRDefault="00F27FEE" w:rsidP="00F27FEE">
      <w:pPr>
        <w:tabs>
          <w:tab w:val="clear" w:pos="1247"/>
          <w:tab w:val="clear" w:pos="1814"/>
          <w:tab w:val="clear" w:pos="2381"/>
          <w:tab w:val="clear" w:pos="2948"/>
          <w:tab w:val="clear" w:pos="3515"/>
        </w:tabs>
      </w:pPr>
    </w:p>
    <w:p w14:paraId="02A82E31" w14:textId="77777777" w:rsidR="00F27FEE" w:rsidRPr="00581D40" w:rsidRDefault="00F27FEE" w:rsidP="00F27FEE">
      <w:pPr>
        <w:tabs>
          <w:tab w:val="clear" w:pos="1247"/>
          <w:tab w:val="clear" w:pos="1814"/>
          <w:tab w:val="clear" w:pos="2381"/>
          <w:tab w:val="clear" w:pos="2948"/>
          <w:tab w:val="clear" w:pos="3515"/>
        </w:tabs>
      </w:pPr>
    </w:p>
    <w:p w14:paraId="0900CC72" w14:textId="77777777" w:rsidR="00F27FEE" w:rsidRPr="00581D40" w:rsidRDefault="00F27FEE" w:rsidP="00F27FEE">
      <w:pPr>
        <w:tabs>
          <w:tab w:val="clear" w:pos="1247"/>
          <w:tab w:val="clear" w:pos="1814"/>
          <w:tab w:val="clear" w:pos="2381"/>
          <w:tab w:val="clear" w:pos="2948"/>
          <w:tab w:val="clear" w:pos="3515"/>
        </w:tabs>
      </w:pPr>
    </w:p>
    <w:p w14:paraId="7EAFDF32" w14:textId="77777777" w:rsidR="00F27FEE" w:rsidRPr="00581D40" w:rsidRDefault="00F27FEE" w:rsidP="00F27FEE">
      <w:pPr>
        <w:tabs>
          <w:tab w:val="clear" w:pos="1247"/>
          <w:tab w:val="clear" w:pos="1814"/>
          <w:tab w:val="clear" w:pos="2381"/>
          <w:tab w:val="clear" w:pos="2948"/>
          <w:tab w:val="clear" w:pos="3515"/>
        </w:tabs>
      </w:pPr>
    </w:p>
    <w:p w14:paraId="3C127153" w14:textId="77777777" w:rsidR="00F27FEE" w:rsidRPr="00581D40" w:rsidRDefault="00F27FEE" w:rsidP="00F27FEE">
      <w:pPr>
        <w:tabs>
          <w:tab w:val="clear" w:pos="1247"/>
          <w:tab w:val="clear" w:pos="1814"/>
          <w:tab w:val="clear" w:pos="2381"/>
          <w:tab w:val="clear" w:pos="2948"/>
          <w:tab w:val="clear" w:pos="3515"/>
        </w:tabs>
      </w:pPr>
    </w:p>
    <w:p w14:paraId="2A924490" w14:textId="77777777" w:rsidR="00F27FEE" w:rsidRPr="00581D40" w:rsidRDefault="00F27FEE" w:rsidP="00F27FEE">
      <w:pPr>
        <w:tabs>
          <w:tab w:val="clear" w:pos="1247"/>
          <w:tab w:val="clear" w:pos="1814"/>
          <w:tab w:val="clear" w:pos="2381"/>
          <w:tab w:val="clear" w:pos="2948"/>
          <w:tab w:val="clear" w:pos="3515"/>
        </w:tabs>
      </w:pPr>
    </w:p>
    <w:p w14:paraId="485CFFC2" w14:textId="77777777" w:rsidR="00F27FEE" w:rsidRPr="00581D40" w:rsidRDefault="00F27FEE" w:rsidP="00F27FEE">
      <w:pPr>
        <w:tabs>
          <w:tab w:val="clear" w:pos="1247"/>
          <w:tab w:val="clear" w:pos="1814"/>
          <w:tab w:val="clear" w:pos="2381"/>
          <w:tab w:val="clear" w:pos="2948"/>
          <w:tab w:val="clear" w:pos="3515"/>
        </w:tabs>
      </w:pPr>
    </w:p>
    <w:p w14:paraId="32CC9F34" w14:textId="77777777" w:rsidR="00F27FEE" w:rsidRPr="00581D40" w:rsidRDefault="00F27FEE" w:rsidP="00F27FEE">
      <w:pPr>
        <w:tabs>
          <w:tab w:val="clear" w:pos="1247"/>
          <w:tab w:val="clear" w:pos="1814"/>
          <w:tab w:val="clear" w:pos="2381"/>
          <w:tab w:val="clear" w:pos="2948"/>
          <w:tab w:val="clear" w:pos="3515"/>
        </w:tabs>
      </w:pPr>
    </w:p>
    <w:p w14:paraId="6F044CAE" w14:textId="77777777" w:rsidR="00F27FEE" w:rsidRPr="00581D40" w:rsidRDefault="00F27FEE" w:rsidP="00F27FEE">
      <w:pPr>
        <w:tabs>
          <w:tab w:val="clear" w:pos="1247"/>
          <w:tab w:val="clear" w:pos="1814"/>
          <w:tab w:val="clear" w:pos="2381"/>
          <w:tab w:val="clear" w:pos="2948"/>
          <w:tab w:val="clear" w:pos="3515"/>
        </w:tabs>
      </w:pPr>
    </w:p>
    <w:p w14:paraId="12FE914C" w14:textId="77777777" w:rsidR="00F27FEE" w:rsidRPr="00581D40" w:rsidRDefault="00F27FEE" w:rsidP="00F27FEE">
      <w:pPr>
        <w:tabs>
          <w:tab w:val="clear" w:pos="1247"/>
          <w:tab w:val="clear" w:pos="1814"/>
          <w:tab w:val="clear" w:pos="2381"/>
          <w:tab w:val="clear" w:pos="2948"/>
          <w:tab w:val="clear" w:pos="3515"/>
        </w:tabs>
      </w:pPr>
    </w:p>
    <w:p w14:paraId="4B18BB3E" w14:textId="77777777" w:rsidR="00F27FEE" w:rsidRPr="00581D40" w:rsidRDefault="00F27FEE" w:rsidP="00F27FEE">
      <w:pPr>
        <w:tabs>
          <w:tab w:val="clear" w:pos="1247"/>
          <w:tab w:val="clear" w:pos="1814"/>
          <w:tab w:val="clear" w:pos="2381"/>
          <w:tab w:val="clear" w:pos="2948"/>
          <w:tab w:val="clear" w:pos="3515"/>
        </w:tabs>
      </w:pPr>
    </w:p>
    <w:p w14:paraId="0ED420EE" w14:textId="77777777" w:rsidR="00F27FEE" w:rsidRPr="00581D40" w:rsidRDefault="00F27FEE" w:rsidP="00F27FEE">
      <w:pPr>
        <w:tabs>
          <w:tab w:val="clear" w:pos="1247"/>
          <w:tab w:val="clear" w:pos="1814"/>
          <w:tab w:val="clear" w:pos="2381"/>
          <w:tab w:val="clear" w:pos="2948"/>
          <w:tab w:val="clear" w:pos="3515"/>
        </w:tabs>
      </w:pPr>
    </w:p>
    <w:p w14:paraId="7AFFF10C" w14:textId="77777777" w:rsidR="00F27FEE" w:rsidRPr="00581D40" w:rsidRDefault="00F27FEE" w:rsidP="00F27FEE">
      <w:pPr>
        <w:tabs>
          <w:tab w:val="clear" w:pos="1247"/>
          <w:tab w:val="clear" w:pos="1814"/>
          <w:tab w:val="clear" w:pos="2381"/>
          <w:tab w:val="clear" w:pos="2948"/>
          <w:tab w:val="clear" w:pos="3515"/>
        </w:tabs>
      </w:pPr>
    </w:p>
    <w:p w14:paraId="47CF481A" w14:textId="77777777" w:rsidR="00F27FEE" w:rsidRPr="00581D40" w:rsidRDefault="00F27FEE" w:rsidP="00F27FEE">
      <w:pPr>
        <w:tabs>
          <w:tab w:val="clear" w:pos="1247"/>
          <w:tab w:val="clear" w:pos="1814"/>
          <w:tab w:val="clear" w:pos="2381"/>
          <w:tab w:val="clear" w:pos="2948"/>
          <w:tab w:val="clear" w:pos="3515"/>
        </w:tabs>
      </w:pPr>
    </w:p>
    <w:p w14:paraId="6E1008CC" w14:textId="7A32AFF2" w:rsidR="008E4356" w:rsidRPr="00581D40" w:rsidRDefault="008E4356"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0594D266" w14:textId="395853B8"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0C908A52" w14:textId="2017226A"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328FFFF2" w14:textId="595AACAC"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069F2073" w14:textId="56A942A9"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1826FAB0" w14:textId="476459EE" w:rsidR="00F27FEE"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6FDADA59" w14:textId="039BCA2C" w:rsidR="00B63D26" w:rsidRDefault="00B63D26"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16EB53EF" w14:textId="2E42575E" w:rsidR="00F27FEE" w:rsidRPr="00581D40" w:rsidRDefault="00F27FEE" w:rsidP="00F27FEE">
      <w:pPr>
        <w:pStyle w:val="NormalWeb"/>
        <w:spacing w:before="0" w:beforeAutospacing="0" w:after="0" w:afterAutospacing="0"/>
        <w:rPr>
          <w:sz w:val="18"/>
          <w:szCs w:val="18"/>
          <w:lang w:val="es-ES"/>
        </w:rPr>
      </w:pPr>
      <w:r w:rsidRPr="00581D40">
        <w:rPr>
          <w:sz w:val="18"/>
          <w:szCs w:val="18"/>
          <w:lang w:val="es-ES"/>
        </w:rPr>
        <w:t>*</w:t>
      </w:r>
      <w:r w:rsidR="00AF70A5">
        <w:rPr>
          <w:sz w:val="18"/>
          <w:szCs w:val="18"/>
          <w:lang w:val="es-ES"/>
        </w:rPr>
        <w:t xml:space="preserve"> </w:t>
      </w:r>
      <w:r w:rsidRPr="00581D40">
        <w:rPr>
          <w:sz w:val="18"/>
          <w:szCs w:val="18"/>
          <w:lang w:val="es-ES"/>
        </w:rPr>
        <w:t>Puestos sufragados con recursos de apoyo a los programas.</w:t>
      </w:r>
    </w:p>
    <w:p w14:paraId="5CFFA6A7" w14:textId="77777777" w:rsidR="00F27FEE" w:rsidRPr="00581D40" w:rsidRDefault="00F27FEE" w:rsidP="00F27FEE">
      <w:pPr>
        <w:pStyle w:val="NormalWeb"/>
        <w:spacing w:before="0" w:beforeAutospacing="0" w:after="0" w:afterAutospacing="0"/>
        <w:rPr>
          <w:sz w:val="18"/>
          <w:szCs w:val="18"/>
          <w:lang w:val="es-ES"/>
        </w:rPr>
      </w:pPr>
      <w:r w:rsidRPr="00581D40">
        <w:rPr>
          <w:sz w:val="18"/>
          <w:szCs w:val="18"/>
          <w:lang w:val="es-ES"/>
        </w:rPr>
        <w:t>** Puesto sufragado con contribuciones voluntarias.</w:t>
      </w:r>
    </w:p>
    <w:p w14:paraId="533AEEE3" w14:textId="3B514ACF"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38AFC4A3" w14:textId="4A176819"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7F015A79" w14:textId="71F8DA87"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p w14:paraId="72E44F92" w14:textId="3BCD8ED9"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F27FEE" w:rsidRPr="00581D40" w14:paraId="1E38962F" w14:textId="77777777" w:rsidTr="00DC5B47">
        <w:tc>
          <w:tcPr>
            <w:tcW w:w="2883" w:type="dxa"/>
          </w:tcPr>
          <w:p w14:paraId="5D26CF4C" w14:textId="77777777" w:rsidR="00F27FEE" w:rsidRPr="00581D40" w:rsidRDefault="00F27FEE" w:rsidP="00DC5B47">
            <w:pPr>
              <w:pStyle w:val="Normal-pool"/>
              <w:spacing w:before="520"/>
              <w:rPr>
                <w:sz w:val="18"/>
                <w:szCs w:val="18"/>
                <w:lang w:val="es-ES"/>
              </w:rPr>
            </w:pPr>
          </w:p>
        </w:tc>
        <w:tc>
          <w:tcPr>
            <w:tcW w:w="2883" w:type="dxa"/>
          </w:tcPr>
          <w:p w14:paraId="34EB6C1B" w14:textId="77777777" w:rsidR="00F27FEE" w:rsidRPr="00581D40" w:rsidRDefault="00F27FEE" w:rsidP="00DC5B47">
            <w:pPr>
              <w:pStyle w:val="Normal-pool"/>
              <w:spacing w:before="520"/>
              <w:rPr>
                <w:sz w:val="18"/>
                <w:szCs w:val="18"/>
                <w:lang w:val="es-ES"/>
              </w:rPr>
            </w:pPr>
          </w:p>
        </w:tc>
        <w:tc>
          <w:tcPr>
            <w:tcW w:w="2884" w:type="dxa"/>
            <w:tcBorders>
              <w:bottom w:val="single" w:sz="4" w:space="0" w:color="auto"/>
            </w:tcBorders>
          </w:tcPr>
          <w:p w14:paraId="469F04F3" w14:textId="77777777" w:rsidR="00F27FEE" w:rsidRPr="00581D40" w:rsidRDefault="00F27FEE" w:rsidP="00DC5B47">
            <w:pPr>
              <w:pStyle w:val="Normal-pool"/>
              <w:spacing w:before="520"/>
              <w:rPr>
                <w:sz w:val="18"/>
                <w:szCs w:val="18"/>
                <w:lang w:val="es-ES"/>
              </w:rPr>
            </w:pPr>
          </w:p>
        </w:tc>
        <w:tc>
          <w:tcPr>
            <w:tcW w:w="2884" w:type="dxa"/>
          </w:tcPr>
          <w:p w14:paraId="5D8DC082" w14:textId="77777777" w:rsidR="00F27FEE" w:rsidRPr="00581D40" w:rsidRDefault="00F27FEE" w:rsidP="00DC5B47">
            <w:pPr>
              <w:pStyle w:val="Normal-pool"/>
              <w:spacing w:before="520"/>
              <w:rPr>
                <w:sz w:val="18"/>
                <w:szCs w:val="18"/>
                <w:lang w:val="es-ES"/>
              </w:rPr>
            </w:pPr>
          </w:p>
        </w:tc>
        <w:tc>
          <w:tcPr>
            <w:tcW w:w="2884" w:type="dxa"/>
          </w:tcPr>
          <w:p w14:paraId="221F1A17" w14:textId="77777777" w:rsidR="00F27FEE" w:rsidRPr="00581D40" w:rsidRDefault="00F27FEE" w:rsidP="00DC5B47">
            <w:pPr>
              <w:pStyle w:val="Normal-pool"/>
              <w:spacing w:before="520"/>
              <w:rPr>
                <w:sz w:val="18"/>
                <w:szCs w:val="18"/>
                <w:lang w:val="es-ES"/>
              </w:rPr>
            </w:pPr>
          </w:p>
        </w:tc>
      </w:tr>
    </w:tbl>
    <w:p w14:paraId="57EDE995" w14:textId="77777777" w:rsidR="00F27FEE" w:rsidRPr="00581D40" w:rsidRDefault="00F27FEE" w:rsidP="00B82C45">
      <w:pPr>
        <w:pStyle w:val="AATitle"/>
        <w:keepNext w:val="0"/>
        <w:keepLines w:val="0"/>
        <w:tabs>
          <w:tab w:val="left" w:pos="4368"/>
          <w:tab w:val="left" w:pos="4992"/>
          <w:tab w:val="left" w:pos="5616"/>
          <w:tab w:val="left" w:pos="6240"/>
          <w:tab w:val="left" w:pos="6864"/>
          <w:tab w:val="left" w:pos="7488"/>
          <w:tab w:val="left" w:pos="8112"/>
          <w:tab w:val="left" w:pos="8736"/>
        </w:tabs>
        <w:rPr>
          <w:b w:val="0"/>
        </w:rPr>
      </w:pPr>
    </w:p>
    <w:sectPr w:rsidR="00F27FEE" w:rsidRPr="00581D40" w:rsidSect="00581D40">
      <w:headerReference w:type="first" r:id="rId27"/>
      <w:footerReference w:type="first" r:id="rId28"/>
      <w:footnotePr>
        <w:numRestart w:val="eachSect"/>
      </w:footnotePr>
      <w:pgSz w:w="16838" w:h="11906" w:orient="landscape" w:code="9"/>
      <w:pgMar w:top="907" w:right="992" w:bottom="1418" w:left="1418" w:header="53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4831" w14:textId="77777777" w:rsidR="00581D40" w:rsidRDefault="00581D40">
      <w:r>
        <w:separator/>
      </w:r>
    </w:p>
  </w:endnote>
  <w:endnote w:type="continuationSeparator" w:id="0">
    <w:p w14:paraId="03E393CE" w14:textId="77777777" w:rsidR="00581D40" w:rsidRDefault="0058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454A" w14:textId="0A652590" w:rsidR="00581D40" w:rsidRDefault="00581D40">
    <w:pPr>
      <w:pStyle w:val="Pieddepage"/>
    </w:pPr>
    <w:r>
      <w:rPr>
        <w:rStyle w:val="Numrodepage"/>
      </w:rPr>
      <w:fldChar w:fldCharType="begin"/>
    </w:r>
    <w:r>
      <w:rPr>
        <w:rStyle w:val="Numrodepage"/>
      </w:rPr>
      <w:instrText xml:space="preserve"> PAGE </w:instrText>
    </w:r>
    <w:r>
      <w:rPr>
        <w:rStyle w:val="Numrodepage"/>
      </w:rPr>
      <w:fldChar w:fldCharType="separate"/>
    </w:r>
    <w:r w:rsidR="00D61DD7">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A7EB" w14:textId="46CB7E3F" w:rsidR="00581D40" w:rsidRDefault="00581D40" w:rsidP="00B82C45">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61DD7">
      <w:rPr>
        <w:rStyle w:val="Numrodepage"/>
        <w:noProof/>
      </w:rPr>
      <w:t>11</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6332" w14:textId="1653D908" w:rsidR="00581D40" w:rsidRPr="00E3777B" w:rsidRDefault="00581D40" w:rsidP="00B82C45">
    <w:pPr>
      <w:pStyle w:val="Pieddepage"/>
      <w:rPr>
        <w:sz w:val="20"/>
      </w:rPr>
    </w:pPr>
    <w:r>
      <w:rPr>
        <w:sz w:val="20"/>
      </w:rPr>
      <w:t>K1802636</w:t>
    </w:r>
    <w:r>
      <w:rPr>
        <w:sz w:val="20"/>
      </w:rPr>
      <w:tab/>
      <w:t>0</w:t>
    </w:r>
    <w:r w:rsidR="00B63D26">
      <w:rPr>
        <w:sz w:val="20"/>
      </w:rPr>
      <w:t>7</w:t>
    </w:r>
    <w:r>
      <w:rPr>
        <w:sz w:val="20"/>
      </w:rPr>
      <w:t>11</w:t>
    </w:r>
    <w:r w:rsidRPr="00E3777B">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1637" w14:textId="302DFD60" w:rsidR="00581D40" w:rsidRDefault="00581D40">
    <w:pPr>
      <w:pStyle w:val="Pieddepage"/>
    </w:pPr>
    <w:r>
      <w:rPr>
        <w:rStyle w:val="Numrodepage"/>
      </w:rPr>
      <w:fldChar w:fldCharType="begin"/>
    </w:r>
    <w:r>
      <w:rPr>
        <w:rStyle w:val="Numrodepage"/>
      </w:rPr>
      <w:instrText xml:space="preserve"> PAGE </w:instrText>
    </w:r>
    <w:r>
      <w:rPr>
        <w:rStyle w:val="Numrodepage"/>
      </w:rPr>
      <w:fldChar w:fldCharType="separate"/>
    </w:r>
    <w:r w:rsidR="00D61DD7">
      <w:rPr>
        <w:rStyle w:val="Numrodepage"/>
        <w:noProof/>
      </w:rPr>
      <w:t>14</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6C80" w14:textId="2D5FB9F6" w:rsidR="00581D40" w:rsidRPr="00EC3F22" w:rsidRDefault="00581D40" w:rsidP="00B82C45">
    <w:pPr>
      <w:pStyle w:val="Pieddepage"/>
      <w:jc w:val="right"/>
      <w:rPr>
        <w:b/>
      </w:rPr>
    </w:pPr>
    <w:r w:rsidRPr="00EC3F22">
      <w:rPr>
        <w:b/>
      </w:rPr>
      <w:fldChar w:fldCharType="begin"/>
    </w:r>
    <w:r w:rsidRPr="00EC3F22">
      <w:rPr>
        <w:b/>
      </w:rPr>
      <w:instrText xml:space="preserve"> PAGE   \* MERGEFORMAT </w:instrText>
    </w:r>
    <w:r w:rsidRPr="00EC3F22">
      <w:rPr>
        <w:b/>
      </w:rPr>
      <w:fldChar w:fldCharType="separate"/>
    </w:r>
    <w:r w:rsidR="00D61DD7">
      <w:rPr>
        <w:b/>
        <w:noProof/>
      </w:rPr>
      <w:t>13</w:t>
    </w:r>
    <w:r w:rsidRPr="00EC3F22">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10176"/>
      <w:docPartObj>
        <w:docPartGallery w:val="Page Numbers (Bottom of Page)"/>
        <w:docPartUnique/>
      </w:docPartObj>
    </w:sdtPr>
    <w:sdtEndPr>
      <w:rPr>
        <w:b/>
        <w:noProof/>
      </w:rPr>
    </w:sdtEndPr>
    <w:sdtContent>
      <w:p w14:paraId="232722B0" w14:textId="3E67B0F3" w:rsidR="00581D40" w:rsidRPr="00B82C45" w:rsidRDefault="00581D40">
        <w:pPr>
          <w:pStyle w:val="Pieddepage"/>
          <w:rPr>
            <w:b/>
            <w:noProof/>
            <w:sz w:val="20"/>
          </w:rPr>
        </w:pPr>
        <w:r w:rsidRPr="006C3657">
          <w:rPr>
            <w:b/>
          </w:rPr>
          <w:fldChar w:fldCharType="begin"/>
        </w:r>
        <w:r w:rsidRPr="006C3657">
          <w:rPr>
            <w:b/>
          </w:rPr>
          <w:instrText xml:space="preserve"> PAGE   \* MERGEFORMAT </w:instrText>
        </w:r>
        <w:r w:rsidRPr="006C3657">
          <w:rPr>
            <w:b/>
          </w:rPr>
          <w:fldChar w:fldCharType="separate"/>
        </w:r>
        <w:r w:rsidR="00D61DD7">
          <w:rPr>
            <w:b/>
            <w:noProof/>
          </w:rPr>
          <w:t>16</w:t>
        </w:r>
        <w:r w:rsidRPr="006C3657">
          <w:rPr>
            <w:b/>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639485"/>
      <w:docPartObj>
        <w:docPartGallery w:val="Page Numbers (Bottom of Page)"/>
        <w:docPartUnique/>
      </w:docPartObj>
    </w:sdtPr>
    <w:sdtEndPr>
      <w:rPr>
        <w:b/>
        <w:noProof/>
      </w:rPr>
    </w:sdtEndPr>
    <w:sdtContent>
      <w:p w14:paraId="249A8327" w14:textId="271503D5" w:rsidR="00581D40" w:rsidRPr="00B82C45" w:rsidRDefault="00581D40" w:rsidP="00B82C45">
        <w:pPr>
          <w:pStyle w:val="Pieddepage"/>
          <w:jc w:val="right"/>
          <w:rPr>
            <w:b/>
            <w:noProof/>
            <w:sz w:val="20"/>
          </w:rPr>
        </w:pPr>
        <w:r w:rsidRPr="006C3657">
          <w:rPr>
            <w:b/>
          </w:rPr>
          <w:fldChar w:fldCharType="begin"/>
        </w:r>
        <w:r w:rsidRPr="006C3657">
          <w:rPr>
            <w:b/>
          </w:rPr>
          <w:instrText xml:space="preserve"> PAGE   \* MERGEFORMAT </w:instrText>
        </w:r>
        <w:r w:rsidRPr="006C3657">
          <w:rPr>
            <w:b/>
          </w:rPr>
          <w:fldChar w:fldCharType="separate"/>
        </w:r>
        <w:r w:rsidR="00D61DD7">
          <w:rPr>
            <w:b/>
            <w:noProof/>
          </w:rPr>
          <w:t>17</w:t>
        </w:r>
        <w:r w:rsidRPr="006C3657">
          <w:rPr>
            <w:b/>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08BC" w14:textId="081F0312" w:rsidR="00581D40" w:rsidRPr="000A7092" w:rsidRDefault="00581D40" w:rsidP="000A7092">
    <w:pPr>
      <w:pStyle w:val="Pieddepage"/>
      <w:jc w:val="right"/>
      <w:rPr>
        <w:b/>
      </w:rPr>
    </w:pPr>
    <w:r w:rsidRPr="00EC3F22">
      <w:rPr>
        <w:b/>
      </w:rPr>
      <w:fldChar w:fldCharType="begin"/>
    </w:r>
    <w:r w:rsidRPr="00EC3F22">
      <w:rPr>
        <w:b/>
      </w:rPr>
      <w:instrText xml:space="preserve"> PAGE   \* MERGEFORMAT </w:instrText>
    </w:r>
    <w:r w:rsidRPr="00EC3F22">
      <w:rPr>
        <w:b/>
      </w:rPr>
      <w:fldChar w:fldCharType="separate"/>
    </w:r>
    <w:r w:rsidR="00D61DD7">
      <w:rPr>
        <w:b/>
        <w:noProof/>
      </w:rPr>
      <w:t>15</w:t>
    </w:r>
    <w:r w:rsidRPr="00EC3F22">
      <w:rPr>
        <w:b/>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0900"/>
      <w:docPartObj>
        <w:docPartGallery w:val="Page Numbers (Bottom of Page)"/>
        <w:docPartUnique/>
      </w:docPartObj>
    </w:sdtPr>
    <w:sdtEndPr>
      <w:rPr>
        <w:b/>
        <w:noProof/>
      </w:rPr>
    </w:sdtEndPr>
    <w:sdtContent>
      <w:p w14:paraId="692547F1" w14:textId="0D5EB843" w:rsidR="00581D40" w:rsidRPr="00BA03F8" w:rsidRDefault="00581D40" w:rsidP="00BA03F8">
        <w:pPr>
          <w:pStyle w:val="Pieddepage"/>
          <w:rPr>
            <w:b/>
            <w:noProof/>
            <w:sz w:val="20"/>
          </w:rPr>
        </w:pPr>
        <w:r w:rsidRPr="006C3657">
          <w:rPr>
            <w:b/>
          </w:rPr>
          <w:fldChar w:fldCharType="begin"/>
        </w:r>
        <w:r w:rsidRPr="006C3657">
          <w:rPr>
            <w:b/>
          </w:rPr>
          <w:instrText xml:space="preserve"> PAGE   \* MERGEFORMAT </w:instrText>
        </w:r>
        <w:r w:rsidRPr="006C3657">
          <w:rPr>
            <w:b/>
          </w:rPr>
          <w:fldChar w:fldCharType="separate"/>
        </w:r>
        <w:r w:rsidR="00D61DD7">
          <w:rPr>
            <w:b/>
            <w:noProof/>
          </w:rPr>
          <w:t>18</w:t>
        </w:r>
        <w:r w:rsidRPr="006C3657">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EFE3" w14:textId="77777777" w:rsidR="00581D40" w:rsidRDefault="00581D40" w:rsidP="00AF7E69">
      <w:pPr>
        <w:spacing w:before="20" w:after="40"/>
        <w:ind w:left="624"/>
      </w:pPr>
      <w:r>
        <w:separator/>
      </w:r>
    </w:p>
  </w:footnote>
  <w:footnote w:type="continuationSeparator" w:id="0">
    <w:p w14:paraId="5BBEF558" w14:textId="77777777" w:rsidR="00581D40" w:rsidRDefault="00581D40" w:rsidP="006F3E4C">
      <w:pPr>
        <w:ind w:left="624"/>
      </w:pPr>
      <w:r>
        <w:continuationSeparator/>
      </w:r>
    </w:p>
  </w:footnote>
  <w:footnote w:id="1">
    <w:p w14:paraId="52390157" w14:textId="77777777" w:rsidR="00581D40" w:rsidRPr="00B63D26" w:rsidRDefault="00581D40" w:rsidP="00BA03F8">
      <w:pPr>
        <w:tabs>
          <w:tab w:val="left" w:pos="624"/>
        </w:tabs>
        <w:spacing w:before="20" w:after="40"/>
        <w:ind w:left="1247"/>
        <w:rPr>
          <w:sz w:val="18"/>
          <w:szCs w:val="18"/>
        </w:rPr>
      </w:pPr>
      <w:r w:rsidRPr="00B63D26">
        <w:rPr>
          <w:sz w:val="18"/>
          <w:szCs w:val="18"/>
        </w:rPr>
        <w:t>* UNEP/MC/COP.2/1.</w:t>
      </w:r>
    </w:p>
  </w:footnote>
  <w:footnote w:id="2">
    <w:p w14:paraId="6FF54FF4" w14:textId="0EFD37C4"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 xml:space="preserve">La Junta Directiva del Programa internacional específico celebró su primera reunión en Ginebra los días 15 y 16 de mayo de 2018. La primera ronda de presentación de solicitudes al Programa internacional específico se abrió el 5 de junio de 2018 y se cerró el 31 de agosto de 2018. La segunda reunión de la Junta Directiva se celebrará en Oslo los días 2 y 3 de octubre de 2018. </w:t>
      </w:r>
    </w:p>
  </w:footnote>
  <w:footnote w:id="3">
    <w:p w14:paraId="31092C51"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 xml:space="preserve">La primera reunión del Comité de Aplicación y Cumplimiento se celebró en Ginebra los días 29 y 30 de mayo de 2018. </w:t>
      </w:r>
    </w:p>
  </w:footnote>
  <w:footnote w:id="4">
    <w:p w14:paraId="47F5EFD3"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rPr>
        <w:t xml:space="preserve"> La escala de cuotas usada en el cuadro de las contribuciones al Fondo Fiduciario General se atiene al párrafo 1 del artículo 5 de la reglamentación financiera y se basa en la escala de cuotas de las Naciones Unidas correspondiente a 2016-2018, aprobada por la Asamblea General en su resolución 70/245. La escala de cuotas se ha ajustado para tener en cuenta que no todos los Estados Miembros de las Naciones Unidas son Partes en el Convenio.</w:t>
      </w:r>
    </w:p>
  </w:footnote>
  <w:footnote w:id="5">
    <w:p w14:paraId="40FE47AC"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rPr>
        <w:t xml:space="preserve"> UNEP/MC/COP.2/18.</w:t>
      </w:r>
    </w:p>
  </w:footnote>
  <w:footnote w:id="6">
    <w:p w14:paraId="7610590A"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UNEP/MC/COP.2/17, anexo.</w:t>
      </w:r>
    </w:p>
  </w:footnote>
  <w:footnote w:id="7">
    <w:p w14:paraId="6C34C061"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UNEP/MC/COP.2/INF/9.</w:t>
      </w:r>
    </w:p>
  </w:footnote>
  <w:footnote w:id="8">
    <w:p w14:paraId="3EC52ADF"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UNEP/MC/COP.2/18.</w:t>
      </w:r>
    </w:p>
  </w:footnote>
  <w:footnote w:id="9">
    <w:p w14:paraId="2D0A7A90"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 xml:space="preserve">UNEP/MC/COP.2/17, anexo. </w:t>
      </w:r>
    </w:p>
  </w:footnote>
  <w:footnote w:id="10">
    <w:p w14:paraId="060CC015"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UNEP/MC/COP.2/INF/9.</w:t>
      </w:r>
    </w:p>
  </w:footnote>
  <w:footnote w:id="11">
    <w:p w14:paraId="323189F8"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vertAlign w:val="superscript"/>
        </w:rPr>
        <w:t xml:space="preserve"> </w:t>
      </w:r>
      <w:r w:rsidRPr="00B63D26">
        <w:rPr>
          <w:szCs w:val="18"/>
        </w:rPr>
        <w:t>UNEP/MC/COP.2/9, anexo.</w:t>
      </w:r>
    </w:p>
  </w:footnote>
  <w:footnote w:id="12">
    <w:p w14:paraId="3186CC9B" w14:textId="77777777" w:rsidR="00581D40" w:rsidRPr="00B63D26" w:rsidRDefault="00581D40" w:rsidP="00BA03F8">
      <w:pPr>
        <w:pStyle w:val="Notedebasdepage"/>
        <w:rPr>
          <w:szCs w:val="18"/>
        </w:rPr>
      </w:pPr>
      <w:r w:rsidRPr="00B63D26">
        <w:rPr>
          <w:rStyle w:val="Appelnotedebasdep"/>
          <w:rFonts w:eastAsia="Cambria"/>
          <w:sz w:val="18"/>
          <w:szCs w:val="18"/>
          <w:vertAlign w:val="superscript"/>
        </w:rPr>
        <w:footnoteRef/>
      </w:r>
      <w:r w:rsidRPr="00B63D26">
        <w:rPr>
          <w:szCs w:val="18"/>
        </w:rPr>
        <w:t xml:space="preserve"> Al 31 de agosto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0BC3" w14:textId="77777777" w:rsidR="00581D40" w:rsidRPr="00CA5CA9" w:rsidRDefault="00581D40" w:rsidP="00B82C45">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651D" w14:textId="24CA75CC" w:rsidR="00581D40" w:rsidRDefault="00581D40" w:rsidP="00BA03F8">
    <w:pPr>
      <w:pStyle w:val="En-tte"/>
      <w:tabs>
        <w:tab w:val="left" w:pos="9360"/>
        <w:tab w:val="left" w:pos="9984"/>
        <w:tab w:val="left" w:pos="10608"/>
        <w:tab w:val="left" w:pos="11232"/>
        <w:tab w:val="left" w:pos="11856"/>
        <w:tab w:val="left" w:pos="12480"/>
        <w:tab w:val="left" w:pos="13104"/>
        <w:tab w:val="left" w:pos="13728"/>
        <w:tab w:val="left" w:pos="14352"/>
        <w:tab w:val="left" w:pos="14976"/>
        <w:tab w:val="left" w:pos="15600"/>
      </w:tabs>
    </w:pPr>
    <w:r>
      <w:t>UNEP/MC/COP.2/18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61FC" w14:textId="77777777" w:rsidR="00581D40" w:rsidRPr="00CA5CA9" w:rsidRDefault="00581D40" w:rsidP="00B82C45">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AE90" w14:textId="77777777" w:rsidR="00581D40" w:rsidRDefault="00581D40" w:rsidP="00B82C45">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7235" w14:textId="77777777" w:rsidR="00581D40" w:rsidRDefault="00581D40">
    <w:pPr>
      <w:pStyle w:val="En-tte"/>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D1BA" w14:textId="77777777" w:rsidR="00581D40" w:rsidRPr="00CA5CA9" w:rsidRDefault="00581D40" w:rsidP="00B82C45">
    <w:pPr>
      <w:pStyle w:val="En-tte"/>
      <w:rPr>
        <w:szCs w:val="18"/>
      </w:rPr>
    </w:pPr>
    <w:r>
      <w:rPr>
        <w:noProof/>
        <w:lang w:val="fr-FR" w:eastAsia="zh-CN"/>
      </w:rPr>
      <mc:AlternateContent>
        <mc:Choice Requires="wps">
          <w:drawing>
            <wp:anchor distT="0" distB="0" distL="114300" distR="114300" simplePos="0" relativeHeight="251657216" behindDoc="1" locked="0" layoutInCell="0" allowOverlap="1" wp14:anchorId="1774AEC1" wp14:editId="7260E792">
              <wp:simplePos x="0" y="0"/>
              <wp:positionH relativeFrom="margin">
                <wp:align>center</wp:align>
              </wp:positionH>
              <wp:positionV relativeFrom="margin">
                <wp:align>center</wp:align>
              </wp:positionV>
              <wp:extent cx="6847840" cy="1956435"/>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7840" cy="1956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BCA612" w14:textId="77777777" w:rsidR="00581D40" w:rsidRDefault="00581D40" w:rsidP="00B82C45">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774AEC1" id="_x0000_t202" coordsize="21600,21600" o:spt="202" path="m,l,21600r21600,l21600,xe">
              <v:stroke joinstyle="miter"/>
              <v:path gradientshapeok="t" o:connecttype="rect"/>
            </v:shapetype>
            <v:shape id="WordArt 11" o:spid="_x0000_s1062" type="#_x0000_t202" style="position:absolute;margin-left:0;margin-top:0;width:539.2pt;height:154.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" o:allowincell="f" filled="f" stroked="f">
              <v:stroke joinstyle="round"/>
              <o:lock v:ext="edit" shapetype="t"/>
              <v:textbox style="mso-fit-shape-to-text:t">
                <w:txbxContent>
                  <w:p w14:paraId="39BCA612" w14:textId="77777777" w:rsidR="00581D40" w:rsidRDefault="00581D40" w:rsidP="00B82C45">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p w14:paraId="1248B014" w14:textId="77777777" w:rsidR="00581D40" w:rsidRDefault="00D61DD7">
    <w:pPr>
      <w:pStyle w:val="En-tte"/>
    </w:pPr>
    <w:r>
      <w:rPr>
        <w:noProof/>
        <w:lang w:val="en-GB" w:eastAsia="en-US"/>
      </w:rPr>
      <w:pict w14:anchorId="0AA0B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7952083" o:spid="_x0000_s2054" type="#_x0000_t136" style="position:absolute;margin-left:0;margin-top:0;width:539.2pt;height:154.05pt;rotation:315;z-index:-25165824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F005" w14:textId="77777777" w:rsidR="00581D40" w:rsidRPr="00CA5CA9" w:rsidRDefault="00581D40" w:rsidP="00B82C45">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3A46" w14:textId="77777777" w:rsidR="00581D40" w:rsidRDefault="00581D40">
    <w:pPr>
      <w:pStyle w:val="En-tte"/>
      <w:tabs>
        <w:tab w:val="left" w:pos="9360"/>
        <w:tab w:val="left" w:pos="9984"/>
        <w:tab w:val="left" w:pos="10608"/>
        <w:tab w:val="left" w:pos="11232"/>
        <w:tab w:val="left" w:pos="11856"/>
        <w:tab w:val="left" w:pos="12480"/>
        <w:tab w:val="left" w:pos="13104"/>
        <w:tab w:val="left" w:pos="13728"/>
        <w:tab w:val="left" w:pos="14352"/>
        <w:tab w:val="left" w:pos="14976"/>
        <w:tab w:val="left" w:pos="15600"/>
      </w:tabs>
    </w:pPr>
    <w:r>
      <w:t>UNEP/MC/COP.2/18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E810" w14:textId="77777777" w:rsidR="00581D40" w:rsidRDefault="00581D40">
    <w:pPr>
      <w:pStyle w:val="En-tte"/>
      <w:tabs>
        <w:tab w:val="left" w:pos="9360"/>
        <w:tab w:val="left" w:pos="9984"/>
        <w:tab w:val="left" w:pos="10608"/>
        <w:tab w:val="left" w:pos="11232"/>
        <w:tab w:val="left" w:pos="11856"/>
        <w:tab w:val="left" w:pos="12480"/>
        <w:tab w:val="left" w:pos="13104"/>
        <w:tab w:val="left" w:pos="13728"/>
        <w:tab w:val="left" w:pos="14352"/>
        <w:tab w:val="left" w:pos="14976"/>
        <w:tab w:val="left" w:pos="15600"/>
      </w:tabs>
      <w:jc w:val="right"/>
    </w:pPr>
    <w:r>
      <w:t>UNEP/MC/COP.2/18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0092" w14:textId="675378E0" w:rsidR="00581D40" w:rsidRDefault="00581D40">
    <w:pPr>
      <w:pStyle w:val="En-tte"/>
      <w:tabs>
        <w:tab w:val="left" w:pos="9360"/>
        <w:tab w:val="left" w:pos="9984"/>
        <w:tab w:val="left" w:pos="10608"/>
        <w:tab w:val="left" w:pos="11232"/>
        <w:tab w:val="left" w:pos="11856"/>
        <w:tab w:val="left" w:pos="12480"/>
        <w:tab w:val="left" w:pos="13104"/>
        <w:tab w:val="left" w:pos="13728"/>
        <w:tab w:val="left" w:pos="14352"/>
        <w:tab w:val="left" w:pos="14976"/>
        <w:tab w:val="left" w:pos="15600"/>
      </w:tabs>
      <w:jc w:val="right"/>
    </w:pPr>
    <w:r>
      <w:t>UNEP/MC/COP.2/18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450"/>
    <w:multiLevelType w:val="hybridMultilevel"/>
    <w:tmpl w:val="8C4A62CE"/>
    <w:lvl w:ilvl="0" w:tplc="04090017">
      <w:start w:val="1"/>
      <w:numFmt w:val="lowerLetter"/>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 w15:restartNumberingAfterBreak="0">
    <w:nsid w:val="128701CB"/>
    <w:multiLevelType w:val="singleLevel"/>
    <w:tmpl w:val="F540286E"/>
    <w:lvl w:ilvl="0">
      <w:start w:val="1"/>
      <w:numFmt w:val="upperLetter"/>
      <w:pStyle w:val="Titre9"/>
      <w:lvlText w:val="%1."/>
      <w:lvlJc w:val="left"/>
      <w:pPr>
        <w:tabs>
          <w:tab w:val="num" w:pos="360"/>
        </w:tabs>
        <w:ind w:left="360" w:hanging="360"/>
      </w:pPr>
      <w:rPr>
        <w:rFonts w:ascii="Times New Roman" w:eastAsia="Times New Roman" w:hAnsi="Times New Roman" w:hint="default"/>
        <w:b w:val="0"/>
        <w:i w:val="0"/>
        <w:strike w:val="0"/>
        <w:color w:val="auto"/>
        <w:position w:val="0"/>
        <w:sz w:val="20"/>
        <w:u w:val="single"/>
        <w:shd w:val="clear" w:color="auto" w:fill="auto"/>
      </w:rPr>
    </w:lvl>
  </w:abstractNum>
  <w:abstractNum w:abstractNumId="2" w15:restartNumberingAfterBreak="0">
    <w:nsid w:val="266C40B8"/>
    <w:multiLevelType w:val="singleLevel"/>
    <w:tmpl w:val="3BC0BB86"/>
    <w:lvl w:ilvl="0">
      <w:start w:val="1"/>
      <w:numFmt w:val="decimal"/>
      <w:pStyle w:val="Articleheading"/>
      <w:lvlText w:val="%1."/>
      <w:lvlJc w:val="left"/>
      <w:pPr>
        <w:ind w:left="1247" w:firstLine="0"/>
      </w:pPr>
      <w:rPr>
        <w:rFonts w:ascii="Times New Roman" w:eastAsia="Times New Roman" w:hAnsi="Times New Roman" w:hint="default"/>
        <w:b w:val="0"/>
        <w:i w:val="0"/>
        <w:strike w:val="0"/>
        <w:color w:val="auto"/>
        <w:position w:val="0"/>
        <w:sz w:val="28"/>
        <w:u w:val="none"/>
        <w:shd w:val="clear" w:color="auto" w:fill="auto"/>
      </w:rPr>
    </w:lvl>
  </w:abstractNum>
  <w:abstractNum w:abstractNumId="3" w15:restartNumberingAfterBreak="0">
    <w:nsid w:val="3F276B4D"/>
    <w:multiLevelType w:val="singleLevel"/>
    <w:tmpl w:val="4E706E4E"/>
    <w:lvl w:ilvl="0">
      <w:start w:val="1"/>
      <w:numFmt w:val="upperRoman"/>
      <w:pStyle w:val="Titre8"/>
      <w:lvlText w:val="%1."/>
      <w:lvlJc w:val="left"/>
      <w:pPr>
        <w:tabs>
          <w:tab w:val="num" w:pos="720"/>
        </w:tabs>
        <w:ind w:left="720" w:hanging="720"/>
      </w:pPr>
      <w:rPr>
        <w:rFonts w:ascii="Times New Roman" w:eastAsia="Times New Roman" w:hAnsi="Times New Roman" w:hint="default"/>
        <w:b w:val="0"/>
        <w:i w:val="0"/>
        <w:strike w:val="0"/>
        <w:color w:val="auto"/>
        <w:position w:val="0"/>
        <w:sz w:val="20"/>
        <w:u w:val="single"/>
        <w:shd w:val="clear" w:color="auto" w:fill="auto"/>
      </w:rPr>
    </w:lvl>
  </w:abstractNum>
  <w:abstractNum w:abstractNumId="4" w15:restartNumberingAfterBreak="0">
    <w:nsid w:val="3F525D5D"/>
    <w:multiLevelType w:val="singleLevel"/>
    <w:tmpl w:val="F236B0AE"/>
    <w:lvl w:ilvl="0">
      <w:start w:val="1"/>
      <w:numFmt w:val="decimal"/>
      <w:pStyle w:val="Normalnumber"/>
      <w:lvlText w:val="%1."/>
      <w:lvlJc w:val="left"/>
      <w:pPr>
        <w:tabs>
          <w:tab w:val="num" w:pos="2591"/>
        </w:tabs>
        <w:ind w:left="2591" w:hanging="360"/>
      </w:pPr>
      <w:rPr>
        <w:rFonts w:ascii="Times New Roman" w:eastAsia="Times New Roman" w:hAnsi="Times New Roman" w:hint="default"/>
        <w:b w:val="0"/>
        <w:i w:val="0"/>
        <w:strike w:val="0"/>
        <w:color w:val="auto"/>
        <w:position w:val="0"/>
        <w:sz w:val="20"/>
        <w:u w:val="none"/>
        <w:shd w:val="clear" w:color="auto" w:fill="auto"/>
      </w:rPr>
    </w:lvl>
  </w:abstractNum>
  <w:abstractNum w:abstractNumId="5" w15:restartNumberingAfterBreak="0">
    <w:nsid w:val="52A66A9D"/>
    <w:multiLevelType w:val="multilevel"/>
    <w:tmpl w:val="BEAEA6C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0"/>
  </w:num>
  <w:num w:numId="9">
    <w:abstractNumId w:val="4"/>
  </w:num>
  <w:num w:numId="10">
    <w:abstractNumId w:val="4"/>
  </w:num>
  <w:num w:numId="11">
    <w:abstractNumId w:val="4"/>
  </w:num>
  <w:num w:numId="12">
    <w:abstractNumId w:val="4"/>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624"/>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56"/>
    <w:rsid w:val="00024037"/>
    <w:rsid w:val="000429C2"/>
    <w:rsid w:val="00092A87"/>
    <w:rsid w:val="000A7092"/>
    <w:rsid w:val="00106556"/>
    <w:rsid w:val="00122CC2"/>
    <w:rsid w:val="001A1C78"/>
    <w:rsid w:val="00205711"/>
    <w:rsid w:val="00231473"/>
    <w:rsid w:val="002A6667"/>
    <w:rsid w:val="002C0FDD"/>
    <w:rsid w:val="002C2CCB"/>
    <w:rsid w:val="003033ED"/>
    <w:rsid w:val="003B6040"/>
    <w:rsid w:val="003C68A8"/>
    <w:rsid w:val="0045253F"/>
    <w:rsid w:val="00581D40"/>
    <w:rsid w:val="00582959"/>
    <w:rsid w:val="005A3F86"/>
    <w:rsid w:val="005A5834"/>
    <w:rsid w:val="00637F9F"/>
    <w:rsid w:val="0066788F"/>
    <w:rsid w:val="006701C8"/>
    <w:rsid w:val="006F3E4C"/>
    <w:rsid w:val="00737F2E"/>
    <w:rsid w:val="00843473"/>
    <w:rsid w:val="00857B05"/>
    <w:rsid w:val="008E4356"/>
    <w:rsid w:val="0090211F"/>
    <w:rsid w:val="00960C45"/>
    <w:rsid w:val="00A51718"/>
    <w:rsid w:val="00AF70A5"/>
    <w:rsid w:val="00AF7E69"/>
    <w:rsid w:val="00B16903"/>
    <w:rsid w:val="00B25375"/>
    <w:rsid w:val="00B63D26"/>
    <w:rsid w:val="00B6447D"/>
    <w:rsid w:val="00B82C45"/>
    <w:rsid w:val="00BA03F8"/>
    <w:rsid w:val="00BD79CB"/>
    <w:rsid w:val="00C412CF"/>
    <w:rsid w:val="00D27FE1"/>
    <w:rsid w:val="00D61DD7"/>
    <w:rsid w:val="00DB5CB3"/>
    <w:rsid w:val="00DC5B47"/>
    <w:rsid w:val="00F27F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8430CA"/>
  <w15:docId w15:val="{BCED0042-956C-4B02-8202-2ADBBAF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s-ES" w:eastAsia="es-ES" w:bidi="ar-SA"/>
      </w:rPr>
    </w:rPrDefault>
    <w:pPrDefault>
      <w:pPr>
        <w:spacing w:after="160" w:line="259" w:lineRule="auto"/>
      </w:pPr>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atentStyles>
  <w:style w:type="paragraph" w:default="1" w:styleId="Normal">
    <w:name w:val="Normal"/>
    <w:qFormat/>
    <w:pPr>
      <w:tabs>
        <w:tab w:val="left" w:pos="1247"/>
        <w:tab w:val="left" w:pos="1814"/>
        <w:tab w:val="left" w:pos="2381"/>
        <w:tab w:val="left" w:pos="2948"/>
        <w:tab w:val="left" w:pos="3515"/>
      </w:tabs>
      <w:spacing w:after="0" w:line="240" w:lineRule="auto"/>
    </w:pPr>
    <w:rPr>
      <w:rFonts w:ascii="Times New Roman"/>
      <w:sz w:val="20"/>
    </w:rPr>
  </w:style>
  <w:style w:type="paragraph" w:styleId="Titre1">
    <w:name w:val="heading 1"/>
    <w:basedOn w:val="Normal"/>
    <w:next w:val="Normalnumber"/>
    <w:qFormat/>
    <w:pPr>
      <w:keepNext/>
      <w:spacing w:before="240" w:after="120"/>
      <w:ind w:left="1247" w:hanging="680"/>
      <w:outlineLvl w:val="0"/>
    </w:pPr>
    <w:rPr>
      <w:b/>
      <w:sz w:val="28"/>
    </w:rPr>
  </w:style>
  <w:style w:type="paragraph" w:styleId="Titre2">
    <w:name w:val="heading 2"/>
    <w:basedOn w:val="Normal"/>
    <w:next w:val="Normalnumber"/>
    <w:qFormat/>
    <w:pPr>
      <w:keepNext/>
      <w:spacing w:before="240" w:after="120"/>
      <w:ind w:left="1247" w:hanging="680"/>
      <w:outlineLvl w:val="1"/>
    </w:pPr>
    <w:rPr>
      <w:b/>
      <w:sz w:val="24"/>
    </w:rPr>
  </w:style>
  <w:style w:type="paragraph" w:styleId="Titre3">
    <w:name w:val="heading 3"/>
    <w:basedOn w:val="Normal"/>
    <w:next w:val="Normalnumber"/>
    <w:qFormat/>
    <w:pPr>
      <w:spacing w:after="120"/>
      <w:ind w:left="1247" w:hanging="680"/>
      <w:outlineLvl w:val="2"/>
    </w:pPr>
    <w:rPr>
      <w:b/>
    </w:rPr>
  </w:style>
  <w:style w:type="paragraph" w:styleId="Titre4">
    <w:name w:val="heading 4"/>
    <w:basedOn w:val="Titre3"/>
    <w:next w:val="Normalnumber"/>
    <w:qFormat/>
    <w:pPr>
      <w:keepNext/>
      <w:outlineLvl w:val="3"/>
    </w:pPr>
  </w:style>
  <w:style w:type="paragraph" w:styleId="Titre5">
    <w:name w:val="heading 5"/>
    <w:basedOn w:val="Normal"/>
    <w:next w:val="Normal"/>
    <w:qFormat/>
    <w:pPr>
      <w:keepNext/>
      <w:outlineLvl w:val="4"/>
    </w:pPr>
    <w:rPr>
      <w:rFonts w:ascii="Univers" w:eastAsia="Univers" w:hAnsi="Univers"/>
      <w:b/>
      <w:sz w:val="24"/>
    </w:rPr>
  </w:style>
  <w:style w:type="paragraph" w:styleId="Titre6">
    <w:name w:val="heading 6"/>
    <w:basedOn w:val="Normal"/>
    <w:next w:val="Normal"/>
    <w:qFormat/>
    <w:pPr>
      <w:keepNext/>
      <w:ind w:left="578"/>
      <w:outlineLvl w:val="5"/>
    </w:pPr>
    <w:rPr>
      <w:b/>
      <w:sz w:val="24"/>
    </w:rPr>
  </w:style>
  <w:style w:type="paragraph" w:styleId="Titre7">
    <w:name w:val="heading 7"/>
    <w:basedOn w:val="Normal"/>
    <w:next w:val="Normal"/>
    <w:qFormat/>
    <w:pPr>
      <w:keepNext/>
      <w:widowControl w:val="0"/>
      <w:jc w:val="center"/>
      <w:outlineLvl w:val="6"/>
    </w:pPr>
    <w:rPr>
      <w:u w:val="single"/>
    </w:rPr>
  </w:style>
  <w:style w:type="paragraph" w:styleId="Titre8">
    <w:name w:val="heading 8"/>
    <w:basedOn w:val="Normal"/>
    <w:next w:val="Normal"/>
    <w:qFormat/>
    <w:pPr>
      <w:keepNext/>
      <w:widowControl w:val="0"/>
      <w:numPr>
        <w:numId w:val="1"/>
      </w:numPr>
      <w:tabs>
        <w:tab w:val="left" w:pos="720"/>
      </w:tabs>
      <w:jc w:val="center"/>
      <w:outlineLvl w:val="7"/>
    </w:pPr>
    <w:rPr>
      <w:u w:val="single"/>
    </w:rPr>
  </w:style>
  <w:style w:type="paragraph" w:styleId="Titre9">
    <w:name w:val="heading 9"/>
    <w:basedOn w:val="Normal"/>
    <w:next w:val="Normal"/>
    <w:qFormat/>
    <w:pPr>
      <w:keepNext/>
      <w:widowControl w:val="0"/>
      <w:numPr>
        <w:numId w:val="2"/>
      </w:numPr>
      <w:tabs>
        <w:tab w:val="left" w:pos="360"/>
      </w:tabs>
      <w:jc w:val="center"/>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En-tte">
    <w:name w:val="header"/>
    <w:basedOn w:val="Normal"/>
    <w:qFormat/>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styleId="Pieddepage">
    <w:name w:val="footer"/>
    <w:basedOn w:val="Normal"/>
    <w:qFormat/>
    <w:pPr>
      <w:tabs>
        <w:tab w:val="center" w:pos="4320"/>
        <w:tab w:val="right" w:pos="8640"/>
      </w:tabs>
      <w:spacing w:before="60" w:after="120"/>
    </w:pPr>
    <w:rPr>
      <w:sz w:val="18"/>
    </w:rPr>
  </w:style>
  <w:style w:type="paragraph" w:styleId="Paragraphedeliste">
    <w:name w:val="List Paragraph"/>
    <w:basedOn w:val="Normal"/>
    <w:uiPriority w:val="34"/>
    <w:qFormat/>
    <w:pPr>
      <w:ind w:left="720"/>
    </w:pPr>
  </w:style>
  <w:style w:type="paragraph" w:styleId="En-ttedetabledesmatires">
    <w:name w:val="TOC Heading"/>
    <w:basedOn w:val="Titre1"/>
    <w:next w:val="Normal"/>
    <w:qFormat/>
    <w:pPr>
      <w:keepLines/>
      <w:spacing w:after="0"/>
      <w:ind w:left="0" w:firstLine="0"/>
    </w:pPr>
    <w:rPr>
      <w:rFonts w:ascii="Cambria" w:eastAsia="Cambria" w:hAnsi="Cambria"/>
      <w:b w:val="0"/>
      <w:color w:val="365F91"/>
      <w:sz w:val="32"/>
    </w:rPr>
  </w:style>
  <w:style w:type="paragraph" w:styleId="TM6">
    <w:name w:val="toc 6"/>
    <w:basedOn w:val="Normal"/>
    <w:next w:val="Normal"/>
    <w:qFormat/>
    <w:pPr>
      <w:tabs>
        <w:tab w:val="clear" w:pos="1814"/>
        <w:tab w:val="clear" w:pos="2381"/>
        <w:tab w:val="clear" w:pos="2948"/>
        <w:tab w:val="clear" w:pos="3515"/>
      </w:tabs>
      <w:ind w:left="1000"/>
    </w:pPr>
    <w:rPr>
      <w:sz w:val="18"/>
    </w:rPr>
  </w:style>
  <w:style w:type="paragraph" w:styleId="TM7">
    <w:name w:val="toc 7"/>
    <w:basedOn w:val="Normal"/>
    <w:next w:val="Normal"/>
    <w:qFormat/>
    <w:pPr>
      <w:tabs>
        <w:tab w:val="clear" w:pos="1814"/>
        <w:tab w:val="clear" w:pos="2381"/>
        <w:tab w:val="clear" w:pos="2948"/>
        <w:tab w:val="clear" w:pos="3515"/>
      </w:tabs>
      <w:ind w:left="1200"/>
    </w:pPr>
    <w:rPr>
      <w:sz w:val="18"/>
    </w:rPr>
  </w:style>
  <w:style w:type="paragraph" w:styleId="TM8">
    <w:name w:val="toc 8"/>
    <w:basedOn w:val="Normal"/>
    <w:next w:val="Normal"/>
    <w:qFormat/>
    <w:pPr>
      <w:tabs>
        <w:tab w:val="clear" w:pos="1814"/>
        <w:tab w:val="clear" w:pos="2381"/>
        <w:tab w:val="clear" w:pos="2948"/>
        <w:tab w:val="clear" w:pos="3515"/>
      </w:tabs>
      <w:ind w:left="1400"/>
    </w:pPr>
    <w:rPr>
      <w:sz w:val="18"/>
    </w:rPr>
  </w:style>
  <w:style w:type="paragraph" w:styleId="TM9">
    <w:name w:val="toc 9"/>
    <w:basedOn w:val="Normal"/>
    <w:next w:val="Normal"/>
    <w:qFormat/>
    <w:pPr>
      <w:tabs>
        <w:tab w:val="clear" w:pos="1814"/>
        <w:tab w:val="clear" w:pos="2381"/>
        <w:tab w:val="clear" w:pos="2948"/>
        <w:tab w:val="clear" w:pos="3515"/>
      </w:tabs>
      <w:ind w:left="1600"/>
    </w:pPr>
    <w:rPr>
      <w:sz w:val="18"/>
    </w:rPr>
  </w:style>
  <w:style w:type="paragraph" w:styleId="Tabledesillustrations">
    <w:name w:val="table of figures"/>
    <w:basedOn w:val="Normal"/>
    <w:next w:val="Normal"/>
    <w:qFormat/>
    <w:pPr>
      <w:tabs>
        <w:tab w:val="clear" w:pos="1814"/>
        <w:tab w:val="clear" w:pos="2381"/>
        <w:tab w:val="clear" w:pos="2948"/>
        <w:tab w:val="clear" w:pos="3515"/>
      </w:tabs>
      <w:ind w:left="1814" w:hanging="567"/>
    </w:pPr>
  </w:style>
  <w:style w:type="paragraph" w:customStyle="1" w:styleId="Footerpool">
    <w:name w:val="Footer_pool"/>
    <w:basedOn w:val="Normal"/>
    <w:next w:val="Normal"/>
    <w:qFormat/>
    <w:pPr>
      <w:tabs>
        <w:tab w:val="left" w:pos="4321"/>
        <w:tab w:val="right" w:pos="8641"/>
      </w:tabs>
      <w:spacing w:before="60" w:after="120"/>
    </w:pPr>
    <w:rPr>
      <w:b/>
      <w:sz w:val="18"/>
    </w:rPr>
  </w:style>
  <w:style w:type="paragraph" w:customStyle="1" w:styleId="Headerpool">
    <w:name w:val="Header_pool"/>
    <w:basedOn w:val="Normal"/>
    <w:next w:val="Normal"/>
    <w:qFormat/>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styleId="Commentaire">
    <w:name w:val="annotation text"/>
    <w:basedOn w:val="Normal"/>
    <w:qFormat/>
  </w:style>
  <w:style w:type="paragraph" w:styleId="Objetducommentaire">
    <w:name w:val="annotation subject"/>
    <w:basedOn w:val="Commentaire"/>
    <w:next w:val="Commentaire"/>
    <w:qFormat/>
    <w:rPr>
      <w:b/>
    </w:rPr>
  </w:style>
  <w:style w:type="paragraph" w:styleId="Textedebulles">
    <w:name w:val="Balloon Text"/>
    <w:basedOn w:val="Normal"/>
    <w:qFormat/>
    <w:rPr>
      <w:rFonts w:ascii="Tahoma" w:eastAsia="Tahoma" w:hAnsi="Tahoma"/>
      <w:sz w:val="16"/>
    </w:rPr>
  </w:style>
  <w:style w:type="paragraph" w:styleId="TM5">
    <w:name w:val="toc 5"/>
    <w:basedOn w:val="Normal"/>
    <w:next w:val="Normal"/>
    <w:qFormat/>
    <w:pPr>
      <w:tabs>
        <w:tab w:val="clear" w:pos="1814"/>
        <w:tab w:val="clear" w:pos="2381"/>
        <w:tab w:val="clear" w:pos="2948"/>
        <w:tab w:val="clear" w:pos="3515"/>
      </w:tabs>
      <w:ind w:left="800"/>
    </w:pPr>
    <w:rPr>
      <w:sz w:val="18"/>
    </w:rPr>
  </w:style>
  <w:style w:type="character" w:styleId="Accentuation">
    <w:name w:val="Emphasis"/>
    <w:qFormat/>
    <w:rPr>
      <w:i/>
    </w:rPr>
  </w:style>
  <w:style w:type="character" w:customStyle="1" w:styleId="UnresolvedMention1">
    <w:name w:val="Unresolved Mention1"/>
    <w:qFormat/>
    <w:rPr>
      <w:color w:val="808080"/>
      <w:shd w:val="clear" w:color="auto" w:fill="E6E6E6"/>
    </w:rPr>
  </w:style>
  <w:style w:type="paragraph" w:customStyle="1" w:styleId="Articleheading">
    <w:name w:val="Article heading"/>
    <w:basedOn w:val="Normal"/>
    <w:next w:val="Sous-titre"/>
    <w:qFormat/>
    <w:pPr>
      <w:numPr>
        <w:numId w:val="3"/>
      </w:numPr>
      <w:tabs>
        <w:tab w:val="clear" w:pos="1247"/>
        <w:tab w:val="clear" w:pos="1814"/>
        <w:tab w:val="clear" w:pos="2381"/>
        <w:tab w:val="clear" w:pos="2948"/>
        <w:tab w:val="clear" w:pos="3515"/>
      </w:tabs>
      <w:spacing w:after="240"/>
    </w:pPr>
    <w:rPr>
      <w:sz w:val="28"/>
    </w:rPr>
  </w:style>
  <w:style w:type="paragraph" w:styleId="Sous-titre">
    <w:name w:val="Subtitle"/>
    <w:basedOn w:val="Normal"/>
    <w:next w:val="Normal"/>
    <w:qFormat/>
    <w:pPr>
      <w:spacing w:after="60"/>
      <w:jc w:val="center"/>
    </w:pPr>
    <w:rPr>
      <w:rFonts w:ascii="Cambria" w:eastAsia="Cambria" w:hAnsi="Cambria"/>
      <w:sz w:val="24"/>
    </w:rPr>
  </w:style>
  <w:style w:type="character" w:customStyle="1" w:styleId="SubtitleChar">
    <w:name w:val="Subtitle Char"/>
    <w:qFormat/>
    <w:rPr>
      <w:rFonts w:ascii="Cambria" w:eastAsia="Cambria" w:hAnsi="Cambria"/>
      <w:sz w:val="24"/>
    </w:rPr>
  </w:style>
  <w:style w:type="character" w:customStyle="1" w:styleId="apple-converted-space">
    <w:name w:val="apple-converted-space"/>
    <w:qFormat/>
  </w:style>
  <w:style w:type="character" w:customStyle="1" w:styleId="FooterChar">
    <w:name w:val="Footer Char"/>
    <w:uiPriority w:val="99"/>
    <w:qFormat/>
    <w:rPr>
      <w:sz w:val="18"/>
    </w:rPr>
  </w:style>
  <w:style w:type="character" w:customStyle="1" w:styleId="UnresolvedMention2">
    <w:name w:val="Unresolved Mention2"/>
    <w:qFormat/>
    <w:rPr>
      <w:color w:val="808080"/>
      <w:shd w:val="clear" w:color="auto" w:fill="E6E6E6"/>
    </w:rPr>
  </w:style>
  <w:style w:type="character" w:styleId="Numrodepage">
    <w:name w:val="page number"/>
    <w:qFormat/>
    <w:rPr>
      <w:rFonts w:ascii="Times New Roman" w:eastAsia="Times New Roman" w:hAnsi="Times New Roman"/>
      <w:b/>
      <w:sz w:val="18"/>
    </w:rPr>
  </w:style>
  <w:style w:type="paragraph" w:customStyle="1" w:styleId="Normalpool">
    <w:name w:val="Normal_pool"/>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47"/>
        <w:tab w:val="left" w:pos="1814"/>
        <w:tab w:val="left" w:pos="2381"/>
        <w:tab w:val="left" w:pos="2948"/>
        <w:tab w:val="left" w:pos="3515"/>
        <w:tab w:val="left" w:pos="4082"/>
      </w:tabs>
    </w:pPr>
    <w:rPr>
      <w:rFonts w:ascii="Times New Roman" w:eastAsia="Times New Roman" w:hAnsi="Times New Roman"/>
      <w:sz w:val="20"/>
    </w:rPr>
  </w:style>
  <w:style w:type="paragraph" w:customStyle="1" w:styleId="AATitle">
    <w:name w:val="AA_Title"/>
    <w:basedOn w:val="Normalpool"/>
    <w:qFormat/>
    <w:pPr>
      <w:keepNext/>
      <w:keepLines/>
      <w:ind w:right="5103"/>
    </w:pPr>
    <w:rPr>
      <w:b/>
    </w:rPr>
  </w:style>
  <w:style w:type="paragraph" w:customStyle="1" w:styleId="AATitle2">
    <w:name w:val="AA_Title2"/>
    <w:basedOn w:val="AATitle"/>
    <w:qFormat/>
    <w:pPr>
      <w:tabs>
        <w:tab w:val="clear" w:pos="4082"/>
      </w:tabs>
      <w:spacing w:before="120" w:after="120"/>
      <w:ind w:right="4536"/>
    </w:pPr>
  </w:style>
  <w:style w:type="paragraph" w:customStyle="1" w:styleId="BBTitle">
    <w:name w:val="BB_Title"/>
    <w:basedOn w:val="Normalpool"/>
    <w:qFormat/>
    <w:pPr>
      <w:keepNext/>
      <w:keepLines/>
      <w:spacing w:before="320" w:after="240"/>
      <w:ind w:left="1247" w:right="567"/>
    </w:pPr>
    <w:rPr>
      <w:b/>
      <w:sz w:val="28"/>
    </w:rPr>
  </w:style>
  <w:style w:type="paragraph" w:customStyle="1" w:styleId="CH2">
    <w:name w:val="CH2"/>
    <w:basedOn w:val="Normalpool"/>
    <w:next w:val="Normalnumber"/>
    <w:qFormat/>
    <w:pPr>
      <w:keepNext/>
      <w:keepLines/>
      <w:tabs>
        <w:tab w:val="right" w:pos="851"/>
      </w:tabs>
      <w:spacing w:before="80" w:after="120"/>
      <w:ind w:left="1247" w:right="284" w:hanging="1247"/>
    </w:pPr>
    <w:rPr>
      <w:b/>
      <w:sz w:val="24"/>
    </w:rPr>
  </w:style>
  <w:style w:type="paragraph" w:customStyle="1" w:styleId="Normalnumber">
    <w:name w:val="Normal_number"/>
    <w:basedOn w:val="Normalpool"/>
    <w:qFormat/>
    <w:pPr>
      <w:numPr>
        <w:numId w:val="4"/>
      </w:numPr>
      <w:tabs>
        <w:tab w:val="clear" w:pos="1247"/>
        <w:tab w:val="clear" w:pos="1814"/>
        <w:tab w:val="clear" w:pos="2381"/>
        <w:tab w:val="clear" w:pos="2948"/>
        <w:tab w:val="clear" w:pos="3515"/>
        <w:tab w:val="clear" w:pos="4082"/>
      </w:tabs>
      <w:spacing w:after="120"/>
    </w:pPr>
  </w:style>
  <w:style w:type="paragraph" w:customStyle="1" w:styleId="ZZAnxheader">
    <w:name w:val="ZZ_Anx_header"/>
    <w:basedOn w:val="Normalpool"/>
    <w:qFormat/>
    <w:rPr>
      <w:b/>
      <w:sz w:val="28"/>
    </w:rPr>
  </w:style>
  <w:style w:type="paragraph" w:customStyle="1" w:styleId="ZZAnxtitle">
    <w:name w:val="ZZ_Anx_title"/>
    <w:basedOn w:val="Normalpool"/>
    <w:qFormat/>
    <w:pPr>
      <w:spacing w:before="360" w:after="120"/>
      <w:ind w:left="1247"/>
    </w:pPr>
    <w:rPr>
      <w:b/>
      <w:sz w:val="28"/>
    </w:rPr>
  </w:style>
  <w:style w:type="paragraph" w:customStyle="1" w:styleId="CH1">
    <w:name w:val="CH1"/>
    <w:basedOn w:val="Normalpool"/>
    <w:next w:val="CH2"/>
    <w:qFormat/>
    <w:pPr>
      <w:keepNext/>
      <w:keepLines/>
      <w:tabs>
        <w:tab w:val="right" w:pos="851"/>
      </w:tabs>
      <w:spacing w:before="240" w:after="120"/>
      <w:ind w:left="1247" w:right="284" w:hanging="1247"/>
    </w:pPr>
    <w:rPr>
      <w:b/>
      <w:sz w:val="28"/>
    </w:rPr>
  </w:style>
  <w:style w:type="paragraph" w:styleId="TM1">
    <w:name w:val="toc 1"/>
    <w:basedOn w:val="Normalpool"/>
    <w:next w:val="Normalpool"/>
    <w:qFormat/>
    <w:pPr>
      <w:tabs>
        <w:tab w:val="clear" w:pos="2381"/>
        <w:tab w:val="clear" w:pos="2948"/>
        <w:tab w:val="clear" w:pos="3515"/>
        <w:tab w:val="clear" w:pos="4082"/>
        <w:tab w:val="right" w:pos="9486"/>
      </w:tabs>
      <w:spacing w:before="240"/>
      <w:ind w:left="1814" w:hanging="567"/>
    </w:pPr>
  </w:style>
  <w:style w:type="paragraph" w:styleId="TM2">
    <w:name w:val="toc 2"/>
    <w:basedOn w:val="Normalpool"/>
    <w:next w:val="Normalpool"/>
    <w:qFormat/>
    <w:pPr>
      <w:tabs>
        <w:tab w:val="clear" w:pos="1814"/>
        <w:tab w:val="clear" w:pos="2948"/>
        <w:tab w:val="clear" w:pos="3515"/>
        <w:tab w:val="clear" w:pos="4082"/>
        <w:tab w:val="right" w:pos="9486"/>
      </w:tabs>
      <w:ind w:left="2381" w:hanging="567"/>
    </w:pPr>
  </w:style>
  <w:style w:type="paragraph" w:customStyle="1" w:styleId="Titletable">
    <w:name w:val="Title_table"/>
    <w:basedOn w:val="Normalpool"/>
    <w:qFormat/>
    <w:pPr>
      <w:keepNext/>
      <w:keepLines/>
      <w:spacing w:after="60"/>
      <w:ind w:left="1247"/>
    </w:pPr>
    <w:rPr>
      <w:b/>
    </w:rPr>
  </w:style>
  <w:style w:type="paragraph" w:customStyle="1" w:styleId="Titlefigure">
    <w:name w:val="Title_figure"/>
    <w:basedOn w:val="Titletable"/>
    <w:next w:val="NormalNonumber"/>
    <w:qFormat/>
  </w:style>
  <w:style w:type="paragraph" w:customStyle="1" w:styleId="CH3">
    <w:name w:val="CH3"/>
    <w:basedOn w:val="Normalpool"/>
    <w:next w:val="Normalnumber"/>
    <w:qFormat/>
    <w:pPr>
      <w:keepNext/>
      <w:keepLines/>
      <w:tabs>
        <w:tab w:val="right" w:pos="851"/>
      </w:tabs>
      <w:spacing w:after="120"/>
      <w:ind w:left="1247" w:right="284" w:hanging="1247"/>
    </w:pPr>
    <w:rPr>
      <w:b/>
    </w:rPr>
  </w:style>
  <w:style w:type="paragraph" w:customStyle="1" w:styleId="CH4">
    <w:name w:val="CH4"/>
    <w:basedOn w:val="Normalpool"/>
    <w:next w:val="Normalnumber"/>
    <w:qFormat/>
    <w:pPr>
      <w:keepNext/>
      <w:keepLines/>
      <w:tabs>
        <w:tab w:val="right" w:pos="851"/>
      </w:tabs>
      <w:spacing w:after="120"/>
      <w:ind w:left="1247" w:right="284" w:hanging="1247"/>
    </w:pPr>
    <w:rPr>
      <w:b/>
    </w:rPr>
  </w:style>
  <w:style w:type="paragraph" w:customStyle="1" w:styleId="CH5">
    <w:name w:val="CH5"/>
    <w:basedOn w:val="Normalpool"/>
    <w:next w:val="Normalnumber"/>
    <w:qFormat/>
    <w:pPr>
      <w:keepNext/>
      <w:keepLines/>
      <w:tabs>
        <w:tab w:val="right" w:pos="851"/>
      </w:tabs>
      <w:spacing w:after="120"/>
      <w:ind w:left="1247" w:right="284" w:hanging="1247"/>
    </w:pPr>
    <w:rPr>
      <w:b/>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uiPriority w:val="99"/>
    <w:qFormat/>
    <w:pPr>
      <w:spacing w:before="20" w:after="40"/>
      <w:ind w:left="1247"/>
    </w:pPr>
    <w:rPr>
      <w:sz w:val="18"/>
    </w:rPr>
  </w:style>
  <w:style w:type="paragraph" w:customStyle="1" w:styleId="NormalNonumber">
    <w:name w:val="Normal_No_number"/>
    <w:basedOn w:val="Normalpool"/>
    <w:qFormat/>
    <w:pPr>
      <w:spacing w:after="120"/>
      <w:ind w:left="1247"/>
    </w:pPr>
  </w:style>
  <w:style w:type="paragraph" w:styleId="TM3">
    <w:name w:val="toc 3"/>
    <w:basedOn w:val="Normalpool"/>
    <w:next w:val="Normalpool"/>
    <w:qFormat/>
    <w:pPr>
      <w:tabs>
        <w:tab w:val="clear" w:pos="1814"/>
        <w:tab w:val="clear" w:pos="2381"/>
        <w:tab w:val="clear" w:pos="2948"/>
        <w:tab w:val="clear" w:pos="3515"/>
        <w:tab w:val="right" w:pos="9486"/>
      </w:tabs>
      <w:ind w:left="2948" w:hanging="567"/>
    </w:pPr>
  </w:style>
  <w:style w:type="paragraph" w:styleId="TM4">
    <w:name w:val="toc 4"/>
    <w:basedOn w:val="Normalpool"/>
    <w:next w:val="Normalpool"/>
    <w:qFormat/>
    <w:pPr>
      <w:tabs>
        <w:tab w:val="clear" w:pos="1814"/>
        <w:tab w:val="clear" w:pos="2381"/>
        <w:tab w:val="clear" w:pos="2948"/>
        <w:tab w:val="clear" w:pos="3515"/>
        <w:tab w:val="left" w:pos="1000"/>
        <w:tab w:val="right" w:pos="9486"/>
      </w:tabs>
      <w:ind w:left="3515" w:hanging="567"/>
    </w:pPr>
  </w:style>
  <w:style w:type="paragraph" w:customStyle="1" w:styleId="Normal-pool">
    <w:name w:val="Normal-pool"/>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247"/>
        <w:tab w:val="left" w:pos="1814"/>
        <w:tab w:val="left" w:pos="2381"/>
        <w:tab w:val="left" w:pos="2948"/>
        <w:tab w:val="left" w:pos="3515"/>
        <w:tab w:val="left" w:pos="4082"/>
      </w:tabs>
    </w:pPr>
    <w:rPr>
      <w:rFonts w:ascii="Times New Roman" w:eastAsia="Times New Roman" w:hAnsi="Times New Roman"/>
      <w:sz w:val="20"/>
    </w:rPr>
  </w:style>
  <w:style w:type="paragraph" w:customStyle="1" w:styleId="Footer-pool">
    <w:name w:val="Footer-pool"/>
    <w:basedOn w:val="Normal-pool"/>
    <w:next w:val="Normal-pool"/>
    <w:qFormat/>
    <w:pPr>
      <w:tabs>
        <w:tab w:val="left" w:pos="4321"/>
        <w:tab w:val="right" w:pos="8641"/>
      </w:tabs>
      <w:spacing w:before="60" w:after="120"/>
    </w:pPr>
    <w:rPr>
      <w:b/>
      <w:sz w:val="18"/>
    </w:rPr>
  </w:style>
  <w:style w:type="paragraph" w:customStyle="1" w:styleId="Header-pool">
    <w:name w:val="Header-pool"/>
    <w:basedOn w:val="Normal-pool"/>
    <w:next w:val="Normal-pool"/>
    <w:qFormat/>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qFormat/>
    <w:rPr>
      <w:rFonts w:ascii="Times New Roman" w:eastAsia="Times New Roman" w:hAnsi="Times New Roman"/>
      <w:color w:val="auto"/>
      <w:sz w:val="20"/>
    </w:rPr>
  </w:style>
  <w:style w:type="character" w:styleId="Appelnotedebasdep">
    <w:name w:val="footnote reference"/>
    <w:aliases w:val="16 Point,Superscript 6 Point,ftref,(Ref. de nota al pie),number,SUPERS,Footnote Reference Superscript"/>
    <w:qFormat/>
    <w:rPr>
      <w:rFonts w:ascii="Times New Roman" w:eastAsia="Times New Roman" w:hAnsi="Times New Roman"/>
      <w:color w:val="auto"/>
      <w:position w:val="5"/>
      <w:sz w:val="20"/>
    </w:rPr>
  </w:style>
  <w:style w:type="character" w:styleId="Marquedecommentaire">
    <w:name w:val="annotation reference"/>
    <w:qFormat/>
    <w:rPr>
      <w:sz w:val="16"/>
    </w:rPr>
  </w:style>
  <w:style w:type="character" w:customStyle="1" w:styleId="CommentTextChar">
    <w:name w:val="Comment Text Char"/>
    <w:qFormat/>
  </w:style>
  <w:style w:type="character" w:customStyle="1" w:styleId="CommentSubjectChar">
    <w:name w:val="Comment Subject Char"/>
    <w:qFormat/>
    <w:rPr>
      <w:b/>
    </w:rPr>
  </w:style>
  <w:style w:type="character" w:customStyle="1" w:styleId="BalloonTextChar">
    <w:name w:val="Balloon Text Char"/>
    <w:qFormat/>
    <w:rPr>
      <w:rFonts w:ascii="Tahoma" w:eastAsia="Tahoma" w:hAnsi="Tahoma"/>
      <w:sz w:val="16"/>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uiPriority w:val="99"/>
    <w:qFormat/>
    <w:rPr>
      <w:sz w:val="18"/>
    </w:rPr>
  </w:style>
  <w:style w:type="paragraph" w:styleId="Rvision">
    <w:name w:val="Revision"/>
    <w:basedOn w:val="Normal0"/>
    <w:uiPriority w:val="99"/>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 w:type="character" w:customStyle="1" w:styleId="BBTitleChar">
    <w:name w:val="BB_Title Char"/>
    <w:qFormat/>
    <w:rPr>
      <w:b/>
      <w:sz w:val="28"/>
    </w:rPr>
  </w:style>
  <w:style w:type="character" w:customStyle="1" w:styleId="ZZAnxtitleChar">
    <w:name w:val="ZZ_Anx_title Char"/>
    <w:qFormat/>
    <w:rPr>
      <w:b/>
      <w:sz w:val="28"/>
    </w:rPr>
  </w:style>
  <w:style w:type="character" w:customStyle="1" w:styleId="CH2Char">
    <w:name w:val="CH2 Char"/>
    <w:qFormat/>
    <w:rPr>
      <w:b/>
      <w:sz w:val="24"/>
    </w:rPr>
  </w:style>
  <w:style w:type="character" w:customStyle="1" w:styleId="NormalNonumberChar">
    <w:name w:val="Normal_No_number Char"/>
    <w:qFormat/>
  </w:style>
  <w:style w:type="character" w:customStyle="1" w:styleId="ZZAnxheaderChar">
    <w:name w:val="ZZ_Anx_header Char"/>
    <w:qFormat/>
    <w:rPr>
      <w:b/>
      <w:sz w:val="28"/>
    </w:rPr>
  </w:style>
  <w:style w:type="character" w:customStyle="1" w:styleId="Normal-poolChar">
    <w:name w:val="Normal-pool Char"/>
    <w:qFormat/>
  </w:style>
  <w:style w:type="character" w:customStyle="1" w:styleId="NormalnumberChar">
    <w:name w:val="Normal_number Char"/>
    <w:qFormat/>
  </w:style>
  <w:style w:type="character" w:customStyle="1" w:styleId="CH3Char">
    <w:name w:val="CH3 Char"/>
    <w:qFormat/>
    <w:rPr>
      <w:b/>
    </w:rPr>
  </w:style>
  <w:style w:type="character" w:customStyle="1" w:styleId="Inget">
    <w:name w:val="Inget"/>
    <w:qFormat/>
  </w:style>
  <w:style w:type="character" w:customStyle="1" w:styleId="Hyperlink0">
    <w:name w:val="Hyperlink.0"/>
    <w:qFormat/>
  </w:style>
  <w:style w:type="paragraph" w:customStyle="1" w:styleId="Default">
    <w:name w:val="Default"/>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color w:val="000000"/>
    </w:rPr>
  </w:style>
  <w:style w:type="numbering" w:customStyle="1" w:styleId="Normallist">
    <w:name w:val="Normal_list"/>
    <w:basedOn w:val="Aucuneliste"/>
    <w:rsid w:val="00B82C45"/>
    <w:pPr>
      <w:numPr>
        <w:numId w:val="5"/>
      </w:numPr>
    </w:pPr>
  </w:style>
  <w:style w:type="table" w:customStyle="1" w:styleId="Tabledocright">
    <w:name w:val="Table_doc_right"/>
    <w:basedOn w:val="TableauNormal"/>
    <w:rsid w:val="00B82C45"/>
    <w:pPr>
      <w:spacing w:before="40" w:after="40" w:line="240" w:lineRule="auto"/>
    </w:pPr>
    <w:rPr>
      <w:rFonts w:ascii="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
    <w:name w:val="Footer_table"/>
    <w:basedOn w:val="TableauNormal"/>
    <w:semiHidden/>
    <w:rsid w:val="00B82C45"/>
    <w:pPr>
      <w:spacing w:after="0" w:line="240" w:lineRule="auto"/>
    </w:pPr>
    <w:rPr>
      <w:rFonts w:hAnsi="Arial"/>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styleId="Grilledutableau">
    <w:name w:val="Table Grid"/>
    <w:basedOn w:val="TableauNormal"/>
    <w:uiPriority w:val="59"/>
    <w:rsid w:val="00B82C45"/>
    <w:pPr>
      <w:spacing w:after="0" w:line="240" w:lineRule="auto"/>
    </w:pPr>
    <w:rPr>
      <w:rFonts w:ascii="Times New Roman"/>
      <w:sz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auNormal"/>
    <w:semiHidden/>
    <w:rsid w:val="00B82C45"/>
    <w:pPr>
      <w:spacing w:after="0" w:line="240" w:lineRule="auto"/>
    </w:pPr>
    <w:rPr>
      <w:rFonts w:ascii="Times New Roman"/>
      <w:sz w:val="20"/>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styleId="NormalWeb">
    <w:name w:val="Normal (Web)"/>
    <w:basedOn w:val="Normal"/>
    <w:uiPriority w:val="99"/>
    <w:unhideWhenUsed/>
    <w:rsid w:val="00B82C45"/>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2B44-01B9-4685-A536-B61C9D08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7917</Words>
  <Characters>43544</Characters>
  <Application>Microsoft Office Word</Application>
  <DocSecurity>0</DocSecurity>
  <Lines>362</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51359</CharactersWithSpaces>
  <SharedDoc>false</SharedDoc>
  <HyperlinkBase>F:\18 fin\S-18\MC DTIE\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Serrano</dc:creator>
  <cp:lastModifiedBy>Stephanie Laruelle</cp:lastModifiedBy>
  <cp:revision>2</cp:revision>
  <cp:lastPrinted>2018-10-23T10:41:00Z</cp:lastPrinted>
  <dcterms:created xsi:type="dcterms:W3CDTF">2018-11-08T12:56:00Z</dcterms:created>
  <dcterms:modified xsi:type="dcterms:W3CDTF">2018-11-08T12:56:00Z</dcterms:modified>
</cp:coreProperties>
</file>