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710"/>
        <w:gridCol w:w="4451"/>
        <w:gridCol w:w="3335"/>
      </w:tblGrid>
      <w:tr w:rsidR="00032E4E" w:rsidRPr="00A46B4D" w14:paraId="4B9F0F9B" w14:textId="77777777" w:rsidTr="00A20103">
        <w:trPr>
          <w:cantSplit/>
          <w:trHeight w:val="850"/>
          <w:jc w:val="right"/>
        </w:trPr>
        <w:tc>
          <w:tcPr>
            <w:tcW w:w="1710" w:type="dxa"/>
          </w:tcPr>
          <w:p w14:paraId="2A9B9F9D" w14:textId="5DCF247A" w:rsidR="00032E4E" w:rsidRPr="00A46B4D" w:rsidRDefault="00A20103" w:rsidP="009B5E5A">
            <w:pPr>
              <w:tabs>
                <w:tab w:val="left" w:pos="624"/>
                <w:tab w:val="left" w:pos="1871"/>
                <w:tab w:val="left" w:pos="2495"/>
              </w:tabs>
              <w:rPr>
                <w:rFonts w:ascii="Arial" w:hAnsi="Arial" w:cs="Arial"/>
                <w:b/>
                <w:noProof/>
                <w:sz w:val="27"/>
                <w:szCs w:val="27"/>
                <w:lang w:val="es-ES"/>
              </w:rPr>
            </w:pPr>
            <w:bookmarkStart w:id="0" w:name="_GoBack"/>
            <w:bookmarkEnd w:id="0"/>
            <w:r w:rsidRPr="00A46B4D">
              <w:rPr>
                <w:rFonts w:ascii="Arial" w:hAnsi="Arial" w:cs="Arial"/>
                <w:b/>
                <w:noProof/>
                <w:sz w:val="27"/>
                <w:szCs w:val="27"/>
                <w:lang w:val="es-ES"/>
              </w:rPr>
              <w:t xml:space="preserve">NACIONES UNIDAS </w:t>
            </w:r>
          </w:p>
        </w:tc>
        <w:tc>
          <w:tcPr>
            <w:tcW w:w="4451" w:type="dxa"/>
          </w:tcPr>
          <w:p w14:paraId="2F47229A" w14:textId="77777777" w:rsidR="00032E4E" w:rsidRPr="00A46B4D" w:rsidRDefault="00032E4E" w:rsidP="009B5E5A">
            <w:pPr>
              <w:tabs>
                <w:tab w:val="left" w:pos="624"/>
                <w:tab w:val="left" w:pos="1871"/>
                <w:tab w:val="left" w:pos="2495"/>
              </w:tabs>
              <w:rPr>
                <w:rFonts w:ascii="Univers" w:hAnsi="Univers"/>
                <w:b/>
                <w:sz w:val="27"/>
                <w:szCs w:val="27"/>
                <w:lang w:val="es-ES"/>
              </w:rPr>
            </w:pPr>
          </w:p>
        </w:tc>
        <w:tc>
          <w:tcPr>
            <w:tcW w:w="3335" w:type="dxa"/>
          </w:tcPr>
          <w:p w14:paraId="57073C3F" w14:textId="06EDB4AB" w:rsidR="00032E4E" w:rsidRPr="00A46B4D" w:rsidRDefault="00A20103" w:rsidP="009B5E5A">
            <w:pPr>
              <w:tabs>
                <w:tab w:val="left" w:pos="624"/>
                <w:tab w:val="left" w:pos="1871"/>
                <w:tab w:val="left" w:pos="2495"/>
              </w:tabs>
              <w:jc w:val="right"/>
              <w:rPr>
                <w:rFonts w:ascii="Arial" w:hAnsi="Arial" w:cs="Arial"/>
                <w:b/>
                <w:sz w:val="64"/>
                <w:szCs w:val="64"/>
                <w:lang w:val="es-ES"/>
              </w:rPr>
            </w:pPr>
            <w:r w:rsidRPr="00A46B4D">
              <w:rPr>
                <w:rFonts w:ascii="Arial" w:hAnsi="Arial" w:cs="Arial"/>
                <w:b/>
                <w:sz w:val="64"/>
                <w:szCs w:val="64"/>
                <w:lang w:val="es-ES"/>
              </w:rPr>
              <w:t>MC</w:t>
            </w:r>
          </w:p>
        </w:tc>
      </w:tr>
      <w:tr w:rsidR="00032E4E" w:rsidRPr="00A46B4D" w14:paraId="0DEAC680" w14:textId="77777777" w:rsidTr="00A20103">
        <w:trPr>
          <w:cantSplit/>
          <w:trHeight w:val="281"/>
          <w:jc w:val="right"/>
        </w:trPr>
        <w:tc>
          <w:tcPr>
            <w:tcW w:w="1710" w:type="dxa"/>
            <w:tcBorders>
              <w:bottom w:val="single" w:sz="4" w:space="0" w:color="auto"/>
            </w:tcBorders>
          </w:tcPr>
          <w:p w14:paraId="30269B88" w14:textId="77777777" w:rsidR="00032E4E" w:rsidRPr="00A46B4D" w:rsidRDefault="00032E4E" w:rsidP="009B5E5A">
            <w:pPr>
              <w:tabs>
                <w:tab w:val="left" w:pos="624"/>
                <w:tab w:val="left" w:pos="1871"/>
                <w:tab w:val="left" w:pos="2495"/>
              </w:tabs>
              <w:rPr>
                <w:noProof/>
                <w:sz w:val="18"/>
                <w:szCs w:val="18"/>
                <w:lang w:val="es-ES"/>
              </w:rPr>
            </w:pPr>
          </w:p>
        </w:tc>
        <w:tc>
          <w:tcPr>
            <w:tcW w:w="4451" w:type="dxa"/>
            <w:tcBorders>
              <w:bottom w:val="single" w:sz="4" w:space="0" w:color="auto"/>
            </w:tcBorders>
          </w:tcPr>
          <w:p w14:paraId="54296B4D" w14:textId="77777777" w:rsidR="00032E4E" w:rsidRPr="00A46B4D" w:rsidRDefault="00032E4E" w:rsidP="009B5E5A">
            <w:pPr>
              <w:tabs>
                <w:tab w:val="left" w:pos="624"/>
                <w:tab w:val="left" w:pos="1871"/>
                <w:tab w:val="left" w:pos="2495"/>
              </w:tabs>
              <w:rPr>
                <w:rFonts w:ascii="Univers" w:hAnsi="Univers"/>
                <w:b/>
                <w:sz w:val="18"/>
                <w:szCs w:val="18"/>
                <w:lang w:val="es-ES"/>
              </w:rPr>
            </w:pPr>
          </w:p>
        </w:tc>
        <w:tc>
          <w:tcPr>
            <w:tcW w:w="3335" w:type="dxa"/>
            <w:tcBorders>
              <w:bottom w:val="single" w:sz="4" w:space="0" w:color="auto"/>
            </w:tcBorders>
          </w:tcPr>
          <w:p w14:paraId="540639F8" w14:textId="422DF2FB" w:rsidR="00032E4E" w:rsidRPr="00A46B4D" w:rsidRDefault="00032E4E" w:rsidP="009B5E5A">
            <w:pPr>
              <w:tabs>
                <w:tab w:val="left" w:pos="624"/>
                <w:tab w:val="left" w:pos="1871"/>
                <w:tab w:val="left" w:pos="2495"/>
              </w:tabs>
              <w:rPr>
                <w:noProof/>
                <w:sz w:val="18"/>
                <w:szCs w:val="18"/>
                <w:lang w:val="es-ES"/>
              </w:rPr>
            </w:pPr>
            <w:r w:rsidRPr="00A46B4D">
              <w:rPr>
                <w:b/>
                <w:sz w:val="28"/>
                <w:szCs w:val="28"/>
                <w:lang w:val="es-ES"/>
              </w:rPr>
              <w:t>UNEP</w:t>
            </w:r>
            <w:r w:rsidRPr="00A46B4D">
              <w:rPr>
                <w:lang w:val="es-ES"/>
              </w:rPr>
              <w:t>/MC/COP.2/13</w:t>
            </w:r>
            <w:bookmarkStart w:id="1" w:name="OLE_LINK1"/>
            <w:bookmarkStart w:id="2" w:name="OLE_LINK2"/>
            <w:bookmarkEnd w:id="1"/>
            <w:bookmarkEnd w:id="2"/>
            <w:r w:rsidR="00EA10A4" w:rsidRPr="009B5E5A">
              <w:rPr>
                <w:rStyle w:val="Appelnotedebasdep"/>
                <w:vertAlign w:val="baseline"/>
                <w:lang w:val="es-ES"/>
              </w:rPr>
              <w:footnoteReference w:customMarkFollows="1" w:id="1"/>
              <w:t>*</w:t>
            </w:r>
          </w:p>
        </w:tc>
      </w:tr>
      <w:bookmarkStart w:id="3" w:name="_MON_1021710510"/>
      <w:bookmarkEnd w:id="3"/>
      <w:bookmarkStart w:id="4" w:name="_MON_1021710482"/>
      <w:bookmarkEnd w:id="4"/>
      <w:tr w:rsidR="00032E4E" w:rsidRPr="00A46B4D" w14:paraId="34AA74B4" w14:textId="77777777" w:rsidTr="00A20103">
        <w:trPr>
          <w:cantSplit/>
          <w:trHeight w:val="2549"/>
          <w:jc w:val="right"/>
        </w:trPr>
        <w:tc>
          <w:tcPr>
            <w:tcW w:w="1710" w:type="dxa"/>
            <w:tcBorders>
              <w:top w:val="single" w:sz="4" w:space="0" w:color="auto"/>
              <w:bottom w:val="single" w:sz="24" w:space="0" w:color="auto"/>
            </w:tcBorders>
          </w:tcPr>
          <w:p w14:paraId="02CDC318" w14:textId="77777777" w:rsidR="00032E4E" w:rsidRPr="00A46B4D" w:rsidRDefault="0082144F" w:rsidP="009B5E5A">
            <w:pPr>
              <w:tabs>
                <w:tab w:val="left" w:pos="624"/>
                <w:tab w:val="left" w:pos="1871"/>
                <w:tab w:val="left" w:pos="2495"/>
              </w:tabs>
              <w:rPr>
                <w:noProof/>
                <w:lang w:val="es-ES"/>
              </w:rPr>
            </w:pPr>
            <w:r w:rsidRPr="00A46B4D">
              <w:rPr>
                <w:noProof/>
                <w:lang w:val="es-ES"/>
              </w:rPr>
              <w:object w:dxaOrig="1831" w:dyaOrig="1726" w14:anchorId="22F92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25pt;height:62.25pt;mso-width-percent:0;mso-height-percent:0;mso-width-percent:0;mso-height-percent:0" o:ole="" fillcolor="window">
                  <v:imagedata r:id="rId8" o:title=""/>
                </v:shape>
                <o:OLEObject Type="Embed" ProgID="Word.Picture.8" ShapeID="_x0000_i1025" DrawAspect="Content" ObjectID="_1603876959" r:id="rId9"/>
              </w:object>
            </w:r>
            <w:r w:rsidR="00011A16" w:rsidRPr="00A46B4D">
              <w:rPr>
                <w:noProof/>
                <w:lang w:val="fr-FR"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451" w:type="dxa"/>
            <w:tcBorders>
              <w:top w:val="single" w:sz="4" w:space="0" w:color="auto"/>
              <w:bottom w:val="single" w:sz="24" w:space="0" w:color="auto"/>
            </w:tcBorders>
          </w:tcPr>
          <w:p w14:paraId="2AC211BD" w14:textId="1FDBB377" w:rsidR="00032E4E" w:rsidRPr="00A46B4D" w:rsidRDefault="00032E4E" w:rsidP="009B5E5A">
            <w:pPr>
              <w:tabs>
                <w:tab w:val="left" w:pos="624"/>
                <w:tab w:val="left" w:pos="1871"/>
                <w:tab w:val="left" w:pos="2495"/>
              </w:tabs>
              <w:spacing w:before="1200"/>
              <w:rPr>
                <w:rFonts w:ascii="Arial" w:hAnsi="Arial" w:cs="Arial"/>
                <w:b/>
                <w:sz w:val="32"/>
                <w:szCs w:val="32"/>
                <w:lang w:val="es-ES"/>
              </w:rPr>
            </w:pPr>
            <w:r w:rsidRPr="00A46B4D">
              <w:rPr>
                <w:rFonts w:ascii="Arial" w:hAnsi="Arial" w:cs="Arial"/>
                <w:b/>
                <w:bCs/>
                <w:sz w:val="32"/>
                <w:szCs w:val="32"/>
                <w:lang w:val="es-ES"/>
              </w:rPr>
              <w:t xml:space="preserve">Programa de las </w:t>
            </w:r>
            <w:r w:rsidR="00A20103" w:rsidRPr="00A46B4D">
              <w:rPr>
                <w:rFonts w:ascii="Arial" w:hAnsi="Arial" w:cs="Arial"/>
                <w:b/>
                <w:bCs/>
                <w:sz w:val="32"/>
                <w:szCs w:val="32"/>
                <w:lang w:val="es-ES"/>
              </w:rPr>
              <w:br/>
            </w:r>
            <w:r w:rsidRPr="00A46B4D">
              <w:rPr>
                <w:rFonts w:ascii="Arial" w:hAnsi="Arial" w:cs="Arial"/>
                <w:b/>
                <w:bCs/>
                <w:sz w:val="32"/>
                <w:szCs w:val="32"/>
                <w:lang w:val="es-ES"/>
              </w:rPr>
              <w:t xml:space="preserve">Naciones Unidas </w:t>
            </w:r>
            <w:r w:rsidR="00A20103" w:rsidRPr="00A46B4D">
              <w:rPr>
                <w:rFonts w:ascii="Arial" w:hAnsi="Arial" w:cs="Arial"/>
                <w:b/>
                <w:bCs/>
                <w:sz w:val="32"/>
                <w:szCs w:val="32"/>
                <w:lang w:val="es-ES"/>
              </w:rPr>
              <w:br/>
            </w:r>
            <w:r w:rsidRPr="00A46B4D">
              <w:rPr>
                <w:rFonts w:ascii="Arial" w:hAnsi="Arial" w:cs="Arial"/>
                <w:b/>
                <w:bCs/>
                <w:sz w:val="32"/>
                <w:szCs w:val="32"/>
                <w:lang w:val="es-ES"/>
              </w:rPr>
              <w:t>para el Medio Ambiente</w:t>
            </w:r>
          </w:p>
        </w:tc>
        <w:tc>
          <w:tcPr>
            <w:tcW w:w="3335" w:type="dxa"/>
            <w:tcBorders>
              <w:top w:val="single" w:sz="4" w:space="0" w:color="auto"/>
              <w:bottom w:val="single" w:sz="24" w:space="0" w:color="auto"/>
            </w:tcBorders>
          </w:tcPr>
          <w:p w14:paraId="722F44F8" w14:textId="177623BB" w:rsidR="00032E4E" w:rsidRPr="00A46B4D" w:rsidRDefault="00032E4E" w:rsidP="009B5E5A">
            <w:pPr>
              <w:tabs>
                <w:tab w:val="left" w:pos="624"/>
                <w:tab w:val="left" w:pos="1871"/>
                <w:tab w:val="left" w:pos="2495"/>
              </w:tabs>
              <w:spacing w:before="120"/>
              <w:rPr>
                <w:lang w:val="es-ES"/>
              </w:rPr>
            </w:pPr>
            <w:r w:rsidRPr="00A46B4D">
              <w:rPr>
                <w:lang w:val="es-ES"/>
              </w:rPr>
              <w:t xml:space="preserve">Distr. general </w:t>
            </w:r>
            <w:r w:rsidR="00A20103" w:rsidRPr="00A46B4D">
              <w:rPr>
                <w:lang w:val="es-ES"/>
              </w:rPr>
              <w:br/>
            </w:r>
            <w:r w:rsidRPr="00A46B4D">
              <w:rPr>
                <w:lang w:val="es-ES"/>
              </w:rPr>
              <w:t>25 de septiembre de 2018</w:t>
            </w:r>
          </w:p>
          <w:p w14:paraId="1A75CF9D" w14:textId="2A4568D8" w:rsidR="00032E4E" w:rsidRPr="00A46B4D" w:rsidRDefault="00032E4E" w:rsidP="009B5E5A">
            <w:pPr>
              <w:tabs>
                <w:tab w:val="left" w:pos="624"/>
                <w:tab w:val="left" w:pos="1871"/>
                <w:tab w:val="left" w:pos="2495"/>
              </w:tabs>
              <w:spacing w:before="240"/>
              <w:rPr>
                <w:lang w:val="es-ES"/>
              </w:rPr>
            </w:pPr>
            <w:r w:rsidRPr="00A46B4D">
              <w:rPr>
                <w:lang w:val="es-ES"/>
              </w:rPr>
              <w:t xml:space="preserve">Español </w:t>
            </w:r>
            <w:r w:rsidR="00A20103" w:rsidRPr="00A46B4D">
              <w:rPr>
                <w:lang w:val="es-ES"/>
              </w:rPr>
              <w:br/>
            </w:r>
            <w:r w:rsidRPr="00A46B4D">
              <w:rPr>
                <w:lang w:val="es-ES"/>
              </w:rPr>
              <w:t>Original: inglés</w:t>
            </w:r>
          </w:p>
        </w:tc>
      </w:tr>
    </w:tbl>
    <w:p w14:paraId="0A4BFFDA" w14:textId="30575E0E" w:rsidR="00E976AB" w:rsidRPr="00A46B4D" w:rsidRDefault="00CB007D" w:rsidP="009B5E5A">
      <w:pPr>
        <w:pStyle w:val="AATitle"/>
        <w:keepNext w:val="0"/>
        <w:keepLines w:val="0"/>
        <w:tabs>
          <w:tab w:val="left" w:pos="624"/>
          <w:tab w:val="left" w:pos="1871"/>
          <w:tab w:val="left" w:pos="2495"/>
        </w:tabs>
        <w:rPr>
          <w:lang w:val="es-ES"/>
        </w:rPr>
      </w:pPr>
      <w:r w:rsidRPr="00A46B4D">
        <w:rPr>
          <w:bCs/>
          <w:lang w:val="es-ES"/>
        </w:rPr>
        <w:t>Conferencia de las Partes en el Convenio de Minamata sobre el Mercurio</w:t>
      </w:r>
    </w:p>
    <w:p w14:paraId="26A6CAA0" w14:textId="77194A37" w:rsidR="00E976AB" w:rsidRPr="00A46B4D" w:rsidRDefault="00434321" w:rsidP="009B5E5A">
      <w:pPr>
        <w:pStyle w:val="AATitle"/>
        <w:keepNext w:val="0"/>
        <w:keepLines w:val="0"/>
        <w:tabs>
          <w:tab w:val="left" w:pos="624"/>
          <w:tab w:val="left" w:pos="1871"/>
          <w:tab w:val="left" w:pos="2495"/>
        </w:tabs>
        <w:rPr>
          <w:lang w:val="es-ES"/>
        </w:rPr>
      </w:pPr>
      <w:r w:rsidRPr="00A46B4D">
        <w:rPr>
          <w:bCs/>
          <w:lang w:val="es-ES"/>
        </w:rPr>
        <w:t>Segunda reunión</w:t>
      </w:r>
    </w:p>
    <w:p w14:paraId="67B82F12" w14:textId="44A10B65" w:rsidR="00787688" w:rsidRPr="00A46B4D" w:rsidRDefault="00787688" w:rsidP="009B5E5A">
      <w:pPr>
        <w:pStyle w:val="AATitle"/>
        <w:tabs>
          <w:tab w:val="left" w:pos="624"/>
          <w:tab w:val="left" w:pos="1871"/>
          <w:tab w:val="left" w:pos="2495"/>
        </w:tabs>
        <w:rPr>
          <w:b w:val="0"/>
          <w:lang w:val="es-ES"/>
        </w:rPr>
      </w:pPr>
      <w:r w:rsidRPr="00A46B4D">
        <w:rPr>
          <w:b w:val="0"/>
          <w:lang w:val="es-ES"/>
        </w:rPr>
        <w:t>Ginebra, 19 a 23 de noviembre de 2018</w:t>
      </w:r>
    </w:p>
    <w:p w14:paraId="68A9C0C4" w14:textId="77CF5076" w:rsidR="001D2D56" w:rsidRPr="00A46B4D" w:rsidRDefault="001D2D56" w:rsidP="009B5E5A">
      <w:pPr>
        <w:pStyle w:val="AATitle"/>
        <w:rPr>
          <w:b w:val="0"/>
          <w:lang w:val="es-ES"/>
        </w:rPr>
      </w:pPr>
      <w:bookmarkStart w:id="5" w:name="_Hlk517786179"/>
      <w:r w:rsidRPr="00A46B4D">
        <w:rPr>
          <w:b w:val="0"/>
          <w:lang w:val="es-ES"/>
        </w:rPr>
        <w:t>Tema 5 i) del programa provisional</w:t>
      </w:r>
      <w:r w:rsidR="009B5E5A" w:rsidRPr="009B5E5A">
        <w:rPr>
          <w:rStyle w:val="Appelnotedebasdep"/>
          <w:b w:val="0"/>
          <w:vertAlign w:val="baseline"/>
          <w:lang w:val="es-ES"/>
        </w:rPr>
        <w:footnoteReference w:customMarkFollows="1" w:id="2"/>
        <w:t>**</w:t>
      </w:r>
    </w:p>
    <w:p w14:paraId="0D122519" w14:textId="1E7DF52A" w:rsidR="00306F47" w:rsidRPr="00A46B4D" w:rsidRDefault="001D2D56" w:rsidP="009B5E5A">
      <w:pPr>
        <w:pStyle w:val="AATitle2"/>
        <w:spacing w:before="60"/>
        <w:rPr>
          <w:lang w:val="es-ES"/>
        </w:rPr>
      </w:pPr>
      <w:r w:rsidRPr="00A46B4D">
        <w:rPr>
          <w:bCs/>
          <w:lang w:val="es-ES"/>
        </w:rPr>
        <w:t xml:space="preserve">Cuestiones para el examen o la adopción de medidas por la Conferencia de las Partes: </w:t>
      </w:r>
      <w:r w:rsidR="00A20103" w:rsidRPr="00A46B4D">
        <w:rPr>
          <w:bCs/>
          <w:lang w:val="es-ES"/>
        </w:rPr>
        <w:t>evaluación</w:t>
      </w:r>
      <w:r w:rsidRPr="00A46B4D">
        <w:rPr>
          <w:bCs/>
          <w:lang w:val="es-ES"/>
        </w:rPr>
        <w:t xml:space="preserve"> de la eficacia</w:t>
      </w:r>
    </w:p>
    <w:p w14:paraId="356599F9" w14:textId="77777777" w:rsidR="00306F47" w:rsidRPr="00A46B4D" w:rsidRDefault="00306F47" w:rsidP="009B5E5A">
      <w:pPr>
        <w:pStyle w:val="BBTitle"/>
        <w:rPr>
          <w:lang w:val="es-ES"/>
        </w:rPr>
      </w:pPr>
      <w:r w:rsidRPr="00A46B4D">
        <w:rPr>
          <w:bCs/>
          <w:lang w:val="es-ES"/>
        </w:rPr>
        <w:t>Informe sobre el esbozo, el plan y los elementos del marco de evaluación de la eficacia</w:t>
      </w:r>
    </w:p>
    <w:p w14:paraId="15D0B94E" w14:textId="0C408972" w:rsidR="00306F47" w:rsidRPr="00A46B4D" w:rsidRDefault="00306F47" w:rsidP="009B5E5A">
      <w:pPr>
        <w:pStyle w:val="CH2"/>
        <w:rPr>
          <w:lang w:val="es-ES"/>
        </w:rPr>
      </w:pPr>
      <w:r w:rsidRPr="00A46B4D">
        <w:rPr>
          <w:lang w:val="es-ES"/>
        </w:rPr>
        <w:tab/>
      </w:r>
      <w:r w:rsidRPr="00A46B4D">
        <w:rPr>
          <w:lang w:val="es-ES"/>
        </w:rPr>
        <w:tab/>
      </w:r>
      <w:r w:rsidRPr="00A46B4D">
        <w:rPr>
          <w:bCs/>
          <w:lang w:val="es-ES"/>
        </w:rPr>
        <w:t xml:space="preserve">Nota de la </w:t>
      </w:r>
      <w:r w:rsidR="00A46B4D">
        <w:rPr>
          <w:bCs/>
          <w:lang w:val="es-ES"/>
        </w:rPr>
        <w:t>Secretaría</w:t>
      </w:r>
    </w:p>
    <w:p w14:paraId="0361A2A2" w14:textId="6BFB50C1" w:rsidR="00306F47" w:rsidRPr="00A46B4D" w:rsidRDefault="00306F47" w:rsidP="009B5E5A">
      <w:pPr>
        <w:pStyle w:val="Normalnumber"/>
        <w:numPr>
          <w:ilvl w:val="0"/>
          <w:numId w:val="39"/>
        </w:numPr>
        <w:tabs>
          <w:tab w:val="clear" w:pos="1247"/>
          <w:tab w:val="clear" w:pos="1814"/>
          <w:tab w:val="clear" w:pos="2381"/>
          <w:tab w:val="clear" w:pos="2948"/>
          <w:tab w:val="clear" w:pos="3515"/>
          <w:tab w:val="clear" w:pos="4082"/>
          <w:tab w:val="left" w:pos="624"/>
        </w:tabs>
        <w:ind w:left="1247" w:firstLine="0"/>
        <w:rPr>
          <w:lang w:val="es-ES"/>
        </w:rPr>
      </w:pPr>
      <w:r w:rsidRPr="00A46B4D">
        <w:rPr>
          <w:lang w:val="es-ES"/>
        </w:rPr>
        <w:t xml:space="preserve">En su primera reunión la Conferencia de las Partes aprobó, en su decisión MC-1/9, una hoja de ruta para el establecimiento de arreglos para </w:t>
      </w:r>
      <w:r w:rsidR="00057251">
        <w:rPr>
          <w:lang w:val="es-ES"/>
        </w:rPr>
        <w:t>facilitar</w:t>
      </w:r>
      <w:r w:rsidR="001A035D" w:rsidRPr="00A46B4D">
        <w:rPr>
          <w:lang w:val="es-ES"/>
        </w:rPr>
        <w:t xml:space="preserve"> </w:t>
      </w:r>
      <w:r w:rsidRPr="00A46B4D">
        <w:rPr>
          <w:lang w:val="es-ES"/>
        </w:rPr>
        <w:t>datos monitorizados comparables</w:t>
      </w:r>
      <w:r w:rsidR="00057251" w:rsidRPr="00057251">
        <w:rPr>
          <w:lang w:val="es-ES"/>
        </w:rPr>
        <w:t xml:space="preserve"> </w:t>
      </w:r>
      <w:r w:rsidR="00057251" w:rsidRPr="00A46B4D">
        <w:rPr>
          <w:lang w:val="es-ES"/>
        </w:rPr>
        <w:t>a la Conferencia de las Partes</w:t>
      </w:r>
      <w:r w:rsidRPr="00A46B4D">
        <w:rPr>
          <w:lang w:val="es-ES"/>
        </w:rPr>
        <w:t xml:space="preserve"> y elementos de un marco de evaluación de la eficacia </w:t>
      </w:r>
      <w:r w:rsidR="001A035D" w:rsidRPr="00A46B4D">
        <w:rPr>
          <w:lang w:val="es-ES"/>
        </w:rPr>
        <w:t xml:space="preserve">de conformidad </w:t>
      </w:r>
      <w:r w:rsidRPr="00A46B4D">
        <w:rPr>
          <w:lang w:val="es-ES"/>
        </w:rPr>
        <w:t xml:space="preserve">con </w:t>
      </w:r>
      <w:r w:rsidR="001A035D" w:rsidRPr="00A46B4D">
        <w:rPr>
          <w:lang w:val="es-ES"/>
        </w:rPr>
        <w:t>e</w:t>
      </w:r>
      <w:r w:rsidRPr="00A46B4D">
        <w:rPr>
          <w:lang w:val="es-ES"/>
        </w:rPr>
        <w:t xml:space="preserve">l artículo 22 del Convenio de Minamata sobre el Mercurio, que </w:t>
      </w:r>
      <w:r w:rsidR="00057251">
        <w:rPr>
          <w:lang w:val="es-ES"/>
        </w:rPr>
        <w:t>figura</w:t>
      </w:r>
      <w:r w:rsidRPr="00A46B4D">
        <w:rPr>
          <w:lang w:val="es-ES"/>
        </w:rPr>
        <w:t xml:space="preserve"> en el anexo I de la decisión. En la hoja de ruta se incluyó una reunión presencial de un grupo especial de expertos con la finalidad de preparar un proyecto de informe que abarcara</w:t>
      </w:r>
      <w:r w:rsidR="00082D11" w:rsidRPr="00A46B4D">
        <w:rPr>
          <w:lang w:val="es-ES"/>
        </w:rPr>
        <w:t xml:space="preserve"> el</w:t>
      </w:r>
      <w:r w:rsidRPr="00A46B4D">
        <w:rPr>
          <w:lang w:val="es-ES"/>
        </w:rPr>
        <w:t xml:space="preserve"> esbozo, </w:t>
      </w:r>
      <w:r w:rsidR="00082D11" w:rsidRPr="00A46B4D">
        <w:rPr>
          <w:lang w:val="es-ES"/>
        </w:rPr>
        <w:t xml:space="preserve">el </w:t>
      </w:r>
      <w:r w:rsidRPr="00A46B4D">
        <w:rPr>
          <w:lang w:val="es-ES"/>
        </w:rPr>
        <w:t>plan y los elementos del marco de evaluación de la eficacia.</w:t>
      </w:r>
    </w:p>
    <w:p w14:paraId="53A8C44B" w14:textId="44FE9D55" w:rsidR="00306F47" w:rsidRPr="00A46B4D" w:rsidRDefault="00306F47" w:rsidP="009B5E5A">
      <w:pPr>
        <w:pStyle w:val="Normalnumber"/>
        <w:numPr>
          <w:ilvl w:val="0"/>
          <w:numId w:val="39"/>
        </w:numPr>
        <w:tabs>
          <w:tab w:val="clear" w:pos="1247"/>
          <w:tab w:val="clear" w:pos="1814"/>
          <w:tab w:val="clear" w:pos="2381"/>
          <w:tab w:val="clear" w:pos="2948"/>
          <w:tab w:val="clear" w:pos="3515"/>
          <w:tab w:val="clear" w:pos="4082"/>
          <w:tab w:val="left" w:pos="624"/>
        </w:tabs>
        <w:ind w:left="1247" w:firstLine="0"/>
        <w:rPr>
          <w:lang w:val="es-ES"/>
        </w:rPr>
      </w:pPr>
      <w:r w:rsidRPr="00A46B4D">
        <w:rPr>
          <w:lang w:val="es-ES"/>
        </w:rPr>
        <w:t>El grupo especial de expertos se estableció de conformidad con el mandato descrito en el anexo II de la decisión MC-1/9</w:t>
      </w:r>
      <w:r w:rsidR="009D3350">
        <w:rPr>
          <w:lang w:val="es-ES"/>
        </w:rPr>
        <w:t xml:space="preserve"> </w:t>
      </w:r>
      <w:r w:rsidRPr="00A46B4D">
        <w:rPr>
          <w:lang w:val="es-ES"/>
        </w:rPr>
        <w:t xml:space="preserve">y se reunió en Ottawa del 5 al 9 de marzo de 2018. </w:t>
      </w:r>
      <w:r w:rsidR="009D3350">
        <w:rPr>
          <w:lang w:val="es-ES"/>
        </w:rPr>
        <w:t>Sus</w:t>
      </w:r>
      <w:r w:rsidRPr="00A46B4D">
        <w:rPr>
          <w:lang w:val="es-ES"/>
        </w:rPr>
        <w:t xml:space="preserve"> recomendaciones se reproducen en el anexo de la presente nota. El informe sobre la labor del grupo especial de expertos sobre la evaluación de la eficacia puede consultarse en el documento UNEP/MC/COP.2/INF/8.</w:t>
      </w:r>
    </w:p>
    <w:p w14:paraId="0C7F47DE" w14:textId="674EB16E" w:rsidR="00306F47" w:rsidRPr="00A46B4D" w:rsidRDefault="00306F47" w:rsidP="009B5E5A">
      <w:pPr>
        <w:pStyle w:val="Normalnumber"/>
        <w:numPr>
          <w:ilvl w:val="0"/>
          <w:numId w:val="39"/>
        </w:numPr>
        <w:tabs>
          <w:tab w:val="clear" w:pos="1247"/>
          <w:tab w:val="clear" w:pos="1814"/>
          <w:tab w:val="clear" w:pos="2381"/>
          <w:tab w:val="clear" w:pos="2948"/>
          <w:tab w:val="clear" w:pos="3515"/>
          <w:tab w:val="clear" w:pos="4082"/>
        </w:tabs>
        <w:ind w:left="1247" w:firstLine="0"/>
        <w:rPr>
          <w:lang w:val="es-ES"/>
        </w:rPr>
      </w:pPr>
      <w:r w:rsidRPr="00A46B4D">
        <w:rPr>
          <w:lang w:val="es-ES"/>
        </w:rPr>
        <w:t xml:space="preserve">Como se establece en la hoja de ruta, el proyecto de informe sobre la labor del grupo fue facilitado por la </w:t>
      </w:r>
      <w:r w:rsidR="00A46B4D">
        <w:rPr>
          <w:lang w:val="es-ES"/>
        </w:rPr>
        <w:t>Secretaría</w:t>
      </w:r>
      <w:r w:rsidRPr="00A46B4D">
        <w:rPr>
          <w:lang w:val="es-ES"/>
        </w:rPr>
        <w:t xml:space="preserve"> en el sitio web del Convenio de Minamata desde mayo de 2018 para que se formularan observaciones al respecto. Algunas Partes y otras entidades presentaron observaciones</w:t>
      </w:r>
      <w:r w:rsidR="009D3350">
        <w:rPr>
          <w:lang w:val="es-ES"/>
        </w:rPr>
        <w:t xml:space="preserve">, que figuran </w:t>
      </w:r>
      <w:r w:rsidR="00A6482E" w:rsidRPr="00A46B4D">
        <w:rPr>
          <w:lang w:val="es-ES"/>
        </w:rPr>
        <w:t>en</w:t>
      </w:r>
      <w:r w:rsidRPr="00A46B4D">
        <w:rPr>
          <w:lang w:val="es-ES"/>
        </w:rPr>
        <w:t xml:space="preserve"> el documento UNEP/MC/COP.2/INF/</w:t>
      </w:r>
      <w:r w:rsidR="00E45796">
        <w:rPr>
          <w:lang w:val="es-ES"/>
        </w:rPr>
        <w:t>15</w:t>
      </w:r>
      <w:r w:rsidRPr="00A46B4D">
        <w:rPr>
          <w:lang w:val="es-ES"/>
        </w:rPr>
        <w:t xml:space="preserve">. El informe fue revisado y </w:t>
      </w:r>
      <w:r w:rsidR="005B56F4" w:rsidRPr="00A46B4D">
        <w:rPr>
          <w:lang w:val="es-ES"/>
        </w:rPr>
        <w:t>completado</w:t>
      </w:r>
      <w:r w:rsidRPr="00A46B4D">
        <w:rPr>
          <w:lang w:val="es-ES"/>
        </w:rPr>
        <w:t xml:space="preserve"> sobre la base de esas observaciones. Algunas de las observaciones requ</w:t>
      </w:r>
      <w:r w:rsidR="00A6482E" w:rsidRPr="00A46B4D">
        <w:rPr>
          <w:lang w:val="es-ES"/>
        </w:rPr>
        <w:t>erirán</w:t>
      </w:r>
      <w:r w:rsidRPr="00A46B4D">
        <w:rPr>
          <w:lang w:val="es-ES"/>
        </w:rPr>
        <w:t xml:space="preserve">, no obstante, un examen más detallado del grupo, con la orientación de la Conferencia de las Partes, y, por lo tanto, no </w:t>
      </w:r>
      <w:r w:rsidR="005B56F4" w:rsidRPr="00A46B4D">
        <w:rPr>
          <w:lang w:val="es-ES"/>
        </w:rPr>
        <w:t>han podido</w:t>
      </w:r>
      <w:r w:rsidRPr="00A46B4D">
        <w:rPr>
          <w:lang w:val="es-ES"/>
        </w:rPr>
        <w:t xml:space="preserve"> </w:t>
      </w:r>
      <w:r w:rsidR="005B56F4" w:rsidRPr="00A46B4D">
        <w:rPr>
          <w:lang w:val="es-ES"/>
        </w:rPr>
        <w:t>quedar recogidas</w:t>
      </w:r>
      <w:r w:rsidRPr="00A46B4D">
        <w:rPr>
          <w:lang w:val="es-ES"/>
        </w:rPr>
        <w:t xml:space="preserve"> en el informe. </w:t>
      </w:r>
      <w:r w:rsidR="009D3350">
        <w:rPr>
          <w:lang w:val="es-ES"/>
        </w:rPr>
        <w:t>Es</w:t>
      </w:r>
      <w:r w:rsidRPr="00A46B4D">
        <w:rPr>
          <w:lang w:val="es-ES"/>
        </w:rPr>
        <w:t>as observaciones son las siguientes:</w:t>
      </w:r>
    </w:p>
    <w:p w14:paraId="0DCBF5DA" w14:textId="49D86BF0" w:rsidR="00306F47" w:rsidRPr="00A46B4D" w:rsidRDefault="001A035D" w:rsidP="009B5E5A">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sidRPr="00A46B4D">
        <w:rPr>
          <w:lang w:val="es-ES"/>
        </w:rPr>
        <w:tab/>
        <w:t>a)</w:t>
      </w:r>
      <w:r w:rsidRPr="00A46B4D">
        <w:rPr>
          <w:lang w:val="es-ES"/>
        </w:rPr>
        <w:tab/>
      </w:r>
      <w:r w:rsidR="00306F47" w:rsidRPr="00A46B4D">
        <w:rPr>
          <w:lang w:val="es-ES"/>
        </w:rPr>
        <w:t xml:space="preserve">Una </w:t>
      </w:r>
      <w:r w:rsidR="00A20103" w:rsidRPr="00A46B4D">
        <w:rPr>
          <w:lang w:val="es-ES"/>
        </w:rPr>
        <w:t>P</w:t>
      </w:r>
      <w:r w:rsidR="00306F47" w:rsidRPr="00A46B4D">
        <w:rPr>
          <w:lang w:val="es-ES"/>
        </w:rPr>
        <w:t>arte señaló que el grupo especial debería revisar el proyecto de informe para</w:t>
      </w:r>
      <w:r w:rsidR="00A46B4D">
        <w:rPr>
          <w:lang w:val="es-ES"/>
        </w:rPr>
        <w:t> </w:t>
      </w:r>
      <w:r w:rsidR="00306F47" w:rsidRPr="00A46B4D">
        <w:rPr>
          <w:lang w:val="es-ES"/>
        </w:rPr>
        <w:t xml:space="preserve">ajustarlo mejor al </w:t>
      </w:r>
      <w:r w:rsidR="005B56F4" w:rsidRPr="00A46B4D">
        <w:rPr>
          <w:lang w:val="es-ES"/>
        </w:rPr>
        <w:t>á</w:t>
      </w:r>
      <w:r w:rsidR="00306F47" w:rsidRPr="00A46B4D">
        <w:rPr>
          <w:lang w:val="es-ES"/>
        </w:rPr>
        <w:t xml:space="preserve">mbito de </w:t>
      </w:r>
      <w:r w:rsidR="00A46B4D" w:rsidRPr="00A46B4D">
        <w:rPr>
          <w:lang w:val="es-ES"/>
        </w:rPr>
        <w:t>aplicación</w:t>
      </w:r>
      <w:r w:rsidR="00306F47" w:rsidRPr="00A46B4D">
        <w:rPr>
          <w:lang w:val="es-ES"/>
        </w:rPr>
        <w:t xml:space="preserve"> del mandato, como se establece en el a</w:t>
      </w:r>
      <w:r w:rsidR="00A6482E" w:rsidRPr="00A46B4D">
        <w:rPr>
          <w:lang w:val="es-ES"/>
        </w:rPr>
        <w:t>nexo II de la decisión</w:t>
      </w:r>
      <w:r w:rsidR="00A46B4D">
        <w:rPr>
          <w:lang w:val="es-ES"/>
        </w:rPr>
        <w:t> </w:t>
      </w:r>
      <w:r w:rsidR="00A6482E" w:rsidRPr="00A46B4D">
        <w:rPr>
          <w:lang w:val="es-ES"/>
        </w:rPr>
        <w:t>MC-1/9. Esa Parte señal</w:t>
      </w:r>
      <w:r w:rsidR="00306F47" w:rsidRPr="00A46B4D">
        <w:rPr>
          <w:lang w:val="es-ES"/>
        </w:rPr>
        <w:t xml:space="preserve">ó como ejemplos </w:t>
      </w:r>
      <w:r w:rsidR="00A6482E" w:rsidRPr="00A46B4D">
        <w:rPr>
          <w:lang w:val="es-ES"/>
        </w:rPr>
        <w:t>d</w:t>
      </w:r>
      <w:r w:rsidR="00306F47" w:rsidRPr="00A46B4D">
        <w:rPr>
          <w:lang w:val="es-ES"/>
        </w:rPr>
        <w:t>e que el grupo no se había ceñido a su mandato el</w:t>
      </w:r>
      <w:r w:rsidR="00A46B4D">
        <w:rPr>
          <w:lang w:val="es-ES"/>
        </w:rPr>
        <w:t> </w:t>
      </w:r>
      <w:r w:rsidR="00306F47" w:rsidRPr="00A46B4D">
        <w:rPr>
          <w:lang w:val="es-ES"/>
        </w:rPr>
        <w:t>no haber examinado otros marcos de evaluación de la eficacia de los acuerdos ambientales multilaterales a no ser el del Convenio de Estocolmo sobre Contaminantes Orgánicos Persistentes, y</w:t>
      </w:r>
      <w:r w:rsidR="00A46B4D">
        <w:rPr>
          <w:lang w:val="es-ES"/>
        </w:rPr>
        <w:t> </w:t>
      </w:r>
      <w:r w:rsidR="00306F47" w:rsidRPr="00A46B4D">
        <w:rPr>
          <w:lang w:val="es-ES"/>
        </w:rPr>
        <w:t xml:space="preserve">no haber evaluado en detalle </w:t>
      </w:r>
      <w:r w:rsidR="004415D2" w:rsidRPr="00A46B4D">
        <w:rPr>
          <w:lang w:val="es-ES"/>
        </w:rPr>
        <w:t>de qué manera</w:t>
      </w:r>
      <w:r w:rsidR="00306F47" w:rsidRPr="00A46B4D">
        <w:rPr>
          <w:lang w:val="es-ES"/>
        </w:rPr>
        <w:t xml:space="preserve"> la información obtenida de los programas de vigilancia</w:t>
      </w:r>
      <w:r w:rsidR="00A46B4D">
        <w:rPr>
          <w:lang w:val="es-ES"/>
        </w:rPr>
        <w:t> </w:t>
      </w:r>
      <w:r w:rsidR="00306F47" w:rsidRPr="00A46B4D">
        <w:rPr>
          <w:lang w:val="es-ES"/>
        </w:rPr>
        <w:t>e</w:t>
      </w:r>
      <w:r w:rsidR="004415D2" w:rsidRPr="00A46B4D">
        <w:rPr>
          <w:lang w:val="es-ES"/>
        </w:rPr>
        <w:t>xistentes</w:t>
      </w:r>
      <w:r w:rsidR="00306F47" w:rsidRPr="00A46B4D">
        <w:rPr>
          <w:lang w:val="es-ES"/>
        </w:rPr>
        <w:t xml:space="preserve"> podría integrarse </w:t>
      </w:r>
      <w:r w:rsidR="009D3350">
        <w:rPr>
          <w:lang w:val="es-ES"/>
        </w:rPr>
        <w:t>en la evaluación de la eficacia.</w:t>
      </w:r>
      <w:r w:rsidRPr="00A46B4D">
        <w:rPr>
          <w:lang w:val="es-ES"/>
        </w:rPr>
        <w:tab/>
        <w:t>b)</w:t>
      </w:r>
      <w:r w:rsidRPr="00A46B4D">
        <w:rPr>
          <w:lang w:val="es-ES"/>
        </w:rPr>
        <w:tab/>
      </w:r>
      <w:r w:rsidR="00306F47" w:rsidRPr="00A46B4D">
        <w:rPr>
          <w:lang w:val="es-ES"/>
        </w:rPr>
        <w:t xml:space="preserve">Se </w:t>
      </w:r>
      <w:r w:rsidR="004415D2" w:rsidRPr="00A46B4D">
        <w:rPr>
          <w:lang w:val="es-ES"/>
        </w:rPr>
        <w:t>expresó preocupación</w:t>
      </w:r>
      <w:r w:rsidR="00306F47" w:rsidRPr="00A46B4D">
        <w:rPr>
          <w:lang w:val="es-ES"/>
        </w:rPr>
        <w:t xml:space="preserve"> acerca de la propuesta de elaborar un plan de vigilancia mundial,</w:t>
      </w:r>
      <w:r w:rsidR="004415D2" w:rsidRPr="00A46B4D">
        <w:rPr>
          <w:lang w:val="es-ES"/>
        </w:rPr>
        <w:t xml:space="preserve"> </w:t>
      </w:r>
      <w:r w:rsidR="009D3350">
        <w:rPr>
          <w:lang w:val="es-ES"/>
        </w:rPr>
        <w:t>dado que</w:t>
      </w:r>
      <w:r w:rsidR="00306F47" w:rsidRPr="00A46B4D">
        <w:rPr>
          <w:lang w:val="es-ES"/>
        </w:rPr>
        <w:t xml:space="preserve"> en el artículo 22 del </w:t>
      </w:r>
      <w:r w:rsidR="00306F47" w:rsidRPr="00A46B4D">
        <w:rPr>
          <w:lang w:val="es-ES"/>
        </w:rPr>
        <w:lastRenderedPageBreak/>
        <w:t>Convenio se establece que la evaluación de la eficacia deberá realizarse sobre la base de la información disponible. Se hizo notar que en el Convenio de Minamata no se exig</w:t>
      </w:r>
      <w:r w:rsidR="004415D2" w:rsidRPr="00A46B4D">
        <w:rPr>
          <w:lang w:val="es-ES"/>
        </w:rPr>
        <w:t>ía</w:t>
      </w:r>
      <w:r w:rsidR="00306F47" w:rsidRPr="00A46B4D">
        <w:rPr>
          <w:lang w:val="es-ES"/>
        </w:rPr>
        <w:t xml:space="preserve"> a las Partes que se ocup</w:t>
      </w:r>
      <w:r w:rsidR="004415D2" w:rsidRPr="00A46B4D">
        <w:rPr>
          <w:lang w:val="es-ES"/>
        </w:rPr>
        <w:t>as</w:t>
      </w:r>
      <w:r w:rsidR="00306F47" w:rsidRPr="00A46B4D">
        <w:rPr>
          <w:lang w:val="es-ES"/>
        </w:rPr>
        <w:t>en de la vigilancia ni se p</w:t>
      </w:r>
      <w:r w:rsidR="004415D2" w:rsidRPr="00A46B4D">
        <w:rPr>
          <w:lang w:val="es-ES"/>
        </w:rPr>
        <w:t>edía</w:t>
      </w:r>
      <w:r w:rsidR="00306F47" w:rsidRPr="00A46B4D">
        <w:rPr>
          <w:lang w:val="es-ES"/>
        </w:rPr>
        <w:t xml:space="preserve"> la elaboración de un </w:t>
      </w:r>
      <w:r w:rsidR="00A20103" w:rsidRPr="00A46B4D">
        <w:rPr>
          <w:lang w:val="es-ES"/>
        </w:rPr>
        <w:t>informe</w:t>
      </w:r>
      <w:r w:rsidR="009D3350">
        <w:rPr>
          <w:lang w:val="es-ES"/>
        </w:rPr>
        <w:t xml:space="preserve"> sobre ese aspecto.</w:t>
      </w:r>
    </w:p>
    <w:p w14:paraId="64A36A4F" w14:textId="1A220331" w:rsidR="00306F47" w:rsidRPr="00A46B4D" w:rsidRDefault="001A035D" w:rsidP="009B5E5A">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sidRPr="00A46B4D">
        <w:rPr>
          <w:lang w:val="es-ES"/>
        </w:rPr>
        <w:tab/>
        <w:t>c)</w:t>
      </w:r>
      <w:r w:rsidRPr="00A46B4D">
        <w:rPr>
          <w:lang w:val="es-ES"/>
        </w:rPr>
        <w:tab/>
      </w:r>
      <w:r w:rsidR="009D3350">
        <w:rPr>
          <w:lang w:val="es-ES"/>
        </w:rPr>
        <w:t>S</w:t>
      </w:r>
      <w:r w:rsidR="00306F47" w:rsidRPr="00A46B4D">
        <w:rPr>
          <w:lang w:val="es-ES"/>
        </w:rPr>
        <w:t>e formularon algun</w:t>
      </w:r>
      <w:r w:rsidR="009D3350">
        <w:rPr>
          <w:lang w:val="es-ES"/>
        </w:rPr>
        <w:t>as observaciones</w:t>
      </w:r>
      <w:r w:rsidR="00306F47" w:rsidRPr="00A46B4D">
        <w:rPr>
          <w:lang w:val="es-ES"/>
        </w:rPr>
        <w:t xml:space="preserve"> en cuanto a la conclusión del grupo de que se deberían recopilar datos de vigilancia sobre los niveles de mercurio en el aire, la biota y los seres humanos (cabello y sangre del cordón umbilical), </w:t>
      </w:r>
      <w:r w:rsidR="00A6482E" w:rsidRPr="00A46B4D">
        <w:rPr>
          <w:lang w:val="es-ES"/>
        </w:rPr>
        <w:t xml:space="preserve">de ahí la necesidad de </w:t>
      </w:r>
      <w:r w:rsidR="00306F47" w:rsidRPr="00A46B4D">
        <w:rPr>
          <w:lang w:val="es-ES"/>
        </w:rPr>
        <w:t>seguir considerando otras matrice</w:t>
      </w:r>
      <w:r w:rsidR="009D3350">
        <w:rPr>
          <w:lang w:val="es-ES"/>
        </w:rPr>
        <w:t>s para la recopilación de datos.</w:t>
      </w:r>
    </w:p>
    <w:p w14:paraId="6C3248CA" w14:textId="116CBB3A" w:rsidR="00306F47" w:rsidRPr="00A46B4D" w:rsidRDefault="001A035D" w:rsidP="009B5E5A">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sidRPr="00A46B4D">
        <w:rPr>
          <w:lang w:val="es-ES"/>
        </w:rPr>
        <w:tab/>
        <w:t>d)</w:t>
      </w:r>
      <w:r w:rsidRPr="00A46B4D">
        <w:rPr>
          <w:lang w:val="es-ES"/>
        </w:rPr>
        <w:tab/>
      </w:r>
      <w:r w:rsidR="00306F47" w:rsidRPr="00A46B4D">
        <w:rPr>
          <w:lang w:val="es-ES"/>
        </w:rPr>
        <w:t xml:space="preserve">Una Parte recomendó en su comunicación que se elaborara una </w:t>
      </w:r>
      <w:r w:rsidR="00CC3587">
        <w:rPr>
          <w:lang w:val="es-ES"/>
        </w:rPr>
        <w:t>“</w:t>
      </w:r>
      <w:r w:rsidR="00306F47" w:rsidRPr="00A46B4D">
        <w:rPr>
          <w:lang w:val="es-ES"/>
        </w:rPr>
        <w:t xml:space="preserve">guía </w:t>
      </w:r>
      <w:r w:rsidR="00A20103" w:rsidRPr="00A46B4D">
        <w:rPr>
          <w:lang w:val="es-ES"/>
        </w:rPr>
        <w:t>técnica para</w:t>
      </w:r>
      <w:r w:rsidR="00306F47" w:rsidRPr="00A46B4D">
        <w:rPr>
          <w:lang w:val="es-ES"/>
        </w:rPr>
        <w:t xml:space="preserve"> la vigilancia mundial del mercurio</w:t>
      </w:r>
      <w:r w:rsidR="00CC3587">
        <w:rPr>
          <w:lang w:val="es-ES"/>
        </w:rPr>
        <w:t>”</w:t>
      </w:r>
      <w:r w:rsidR="00306F47" w:rsidRPr="00A46B4D">
        <w:rPr>
          <w:lang w:val="es-ES"/>
        </w:rPr>
        <w:t xml:space="preserve"> a fin de facilitar la recopilación de datos comparables. En otras observaciones se señaló la necesidad de creación de capacidad y de cooperación con la sociedad civil;</w:t>
      </w:r>
    </w:p>
    <w:p w14:paraId="601F6365" w14:textId="7DB37062" w:rsidR="00306F47" w:rsidRPr="00A46B4D" w:rsidRDefault="001A035D" w:rsidP="009B5E5A">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sidRPr="00A46B4D">
        <w:rPr>
          <w:lang w:val="es-ES"/>
        </w:rPr>
        <w:tab/>
        <w:t>e)</w:t>
      </w:r>
      <w:r w:rsidRPr="00A46B4D">
        <w:rPr>
          <w:lang w:val="es-ES"/>
        </w:rPr>
        <w:tab/>
      </w:r>
      <w:r w:rsidR="00306F47" w:rsidRPr="00A46B4D">
        <w:rPr>
          <w:lang w:val="es-ES"/>
        </w:rPr>
        <w:t xml:space="preserve">También se expresó preocupación en el sentido </w:t>
      </w:r>
      <w:r w:rsidR="00A20103" w:rsidRPr="00A46B4D">
        <w:rPr>
          <w:lang w:val="es-ES"/>
        </w:rPr>
        <w:t>de que</w:t>
      </w:r>
      <w:r w:rsidR="00306F47" w:rsidRPr="00A46B4D">
        <w:rPr>
          <w:lang w:val="es-ES"/>
        </w:rPr>
        <w:t xml:space="preserve"> el grupo de expertos no había proporcionado opciones de posibles enfoques para llevar a cabo la evaluación de la eficacia, pero había abundado en detalles sobre un enfoque que incluía proponer indicadores del </w:t>
      </w:r>
      <w:r w:rsidR="009D3350">
        <w:rPr>
          <w:lang w:val="es-ES"/>
        </w:rPr>
        <w:t>desempeño artículo por artículo.</w:t>
      </w:r>
    </w:p>
    <w:p w14:paraId="2F34F6D4" w14:textId="5AB3BE40" w:rsidR="00306F47" w:rsidRPr="00A46B4D" w:rsidRDefault="00495AA9" w:rsidP="009B5E5A">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sidRPr="00A46B4D">
        <w:rPr>
          <w:lang w:val="es-ES"/>
        </w:rPr>
        <w:tab/>
        <w:t>f)</w:t>
      </w:r>
      <w:r w:rsidRPr="00A46B4D">
        <w:rPr>
          <w:lang w:val="es-ES"/>
        </w:rPr>
        <w:tab/>
      </w:r>
      <w:r w:rsidR="00306F47" w:rsidRPr="00A46B4D">
        <w:rPr>
          <w:lang w:val="es-ES"/>
        </w:rPr>
        <w:t xml:space="preserve">En </w:t>
      </w:r>
      <w:r w:rsidR="00A6482E" w:rsidRPr="00A46B4D">
        <w:rPr>
          <w:lang w:val="es-ES"/>
        </w:rPr>
        <w:t xml:space="preserve">relación con </w:t>
      </w:r>
      <w:r w:rsidR="00306F47" w:rsidRPr="00A46B4D">
        <w:rPr>
          <w:lang w:val="es-ES"/>
        </w:rPr>
        <w:t xml:space="preserve">las fuentes de información para la evaluación de la eficacia, una Parte señaló que la evaluación de la eficacia debería basarse en las comunicaciones que las Partes presentaban a la </w:t>
      </w:r>
      <w:r w:rsidR="00A46B4D">
        <w:rPr>
          <w:lang w:val="es-ES"/>
        </w:rPr>
        <w:t>Secretaría</w:t>
      </w:r>
      <w:r w:rsidR="00306F47" w:rsidRPr="00A46B4D">
        <w:rPr>
          <w:lang w:val="es-ES"/>
        </w:rPr>
        <w:t xml:space="preserve"> de conformidad con los requisitos del Convenio, y propuso que la referencia a otras fuentes de información se suprimiera del marco de vigilancia y de la lista de posibles indicadores. Sin embargo, en otras observaciones presentadas se expresó apoyo al uso de otras fuentes de información, en particular en diversos info</w:t>
      </w:r>
      <w:r w:rsidR="009D3350">
        <w:rPr>
          <w:lang w:val="es-ES"/>
        </w:rPr>
        <w:t>rmes sobre proyectos.</w:t>
      </w:r>
    </w:p>
    <w:p w14:paraId="1DEDF464" w14:textId="1D2B44E0" w:rsidR="00306F47" w:rsidRPr="00A46B4D" w:rsidRDefault="00495AA9" w:rsidP="009B5E5A">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r w:rsidRPr="00A46B4D">
        <w:rPr>
          <w:lang w:val="es-ES"/>
        </w:rPr>
        <w:tab/>
        <w:t>g)</w:t>
      </w:r>
      <w:r w:rsidRPr="00A46B4D">
        <w:rPr>
          <w:lang w:val="es-ES"/>
        </w:rPr>
        <w:tab/>
      </w:r>
      <w:r w:rsidR="00306F47" w:rsidRPr="00A46B4D">
        <w:rPr>
          <w:lang w:val="es-ES"/>
        </w:rPr>
        <w:t xml:space="preserve">Una Parte observó que el proyecto de informe contenía algunas afirmaciones en las que no se aclaraba </w:t>
      </w:r>
      <w:r w:rsidR="00057251">
        <w:rPr>
          <w:lang w:val="es-ES"/>
        </w:rPr>
        <w:t xml:space="preserve">cómo </w:t>
      </w:r>
      <w:r w:rsidR="00306F47" w:rsidRPr="00A46B4D">
        <w:rPr>
          <w:lang w:val="es-ES"/>
        </w:rPr>
        <w:t xml:space="preserve">había llegado a sus conclusiones </w:t>
      </w:r>
      <w:r w:rsidR="00057251" w:rsidRPr="00A46B4D">
        <w:rPr>
          <w:lang w:val="es-ES"/>
        </w:rPr>
        <w:t xml:space="preserve">el grupo especial </w:t>
      </w:r>
      <w:r w:rsidR="00306F47" w:rsidRPr="00A46B4D">
        <w:rPr>
          <w:lang w:val="es-ES"/>
        </w:rPr>
        <w:t>ni se aportaban pruebas científicas justificativas</w:t>
      </w:r>
      <w:r w:rsidR="00057251">
        <w:rPr>
          <w:lang w:val="es-ES"/>
        </w:rPr>
        <w:t xml:space="preserve">, como </w:t>
      </w:r>
      <w:r w:rsidR="00306F47" w:rsidRPr="00A46B4D">
        <w:rPr>
          <w:lang w:val="es-ES"/>
        </w:rPr>
        <w:t>citas de documentos e informes científicos, para apoyar sus</w:t>
      </w:r>
      <w:r w:rsidR="005B56F4" w:rsidRPr="00A46B4D">
        <w:rPr>
          <w:lang w:val="es-ES"/>
        </w:rPr>
        <w:t xml:space="preserve"> opiniones</w:t>
      </w:r>
      <w:r w:rsidR="00306F47" w:rsidRPr="00A46B4D">
        <w:rPr>
          <w:lang w:val="es-ES"/>
        </w:rPr>
        <w:t xml:space="preserve">. Se dio a entender que la </w:t>
      </w:r>
      <w:r w:rsidR="00277F52" w:rsidRPr="00A46B4D">
        <w:rPr>
          <w:lang w:val="es-ES"/>
        </w:rPr>
        <w:t>ausencia</w:t>
      </w:r>
      <w:r w:rsidR="00306F47" w:rsidRPr="00A46B4D">
        <w:rPr>
          <w:lang w:val="es-ES"/>
        </w:rPr>
        <w:t xml:space="preserve"> de esa aclaración o de pruebas justificativas </w:t>
      </w:r>
      <w:r w:rsidR="00277F52" w:rsidRPr="00A46B4D">
        <w:rPr>
          <w:lang w:val="es-ES"/>
        </w:rPr>
        <w:t xml:space="preserve">había </w:t>
      </w:r>
      <w:r w:rsidR="005B56F4" w:rsidRPr="00A46B4D">
        <w:rPr>
          <w:lang w:val="es-ES"/>
        </w:rPr>
        <w:t>limita</w:t>
      </w:r>
      <w:r w:rsidR="00277F52" w:rsidRPr="00A46B4D">
        <w:rPr>
          <w:lang w:val="es-ES"/>
        </w:rPr>
        <w:t xml:space="preserve">do la capacidad de </w:t>
      </w:r>
      <w:r w:rsidR="00306F47" w:rsidRPr="00A46B4D">
        <w:rPr>
          <w:lang w:val="es-ES"/>
        </w:rPr>
        <w:t>la</w:t>
      </w:r>
      <w:r w:rsidR="005B56F4" w:rsidRPr="00A46B4D">
        <w:rPr>
          <w:lang w:val="es-ES"/>
        </w:rPr>
        <w:t>s</w:t>
      </w:r>
      <w:r w:rsidR="00306F47" w:rsidRPr="00A46B4D">
        <w:rPr>
          <w:lang w:val="es-ES"/>
        </w:rPr>
        <w:t xml:space="preserve"> Partes</w:t>
      </w:r>
      <w:r w:rsidR="005B56F4" w:rsidRPr="00A46B4D">
        <w:rPr>
          <w:lang w:val="es-ES"/>
        </w:rPr>
        <w:t xml:space="preserve"> </w:t>
      </w:r>
      <w:r w:rsidR="00277F52" w:rsidRPr="00A46B4D">
        <w:rPr>
          <w:lang w:val="es-ES"/>
        </w:rPr>
        <w:t>para</w:t>
      </w:r>
      <w:r w:rsidR="00306F47" w:rsidRPr="00A46B4D">
        <w:rPr>
          <w:lang w:val="es-ES"/>
        </w:rPr>
        <w:t xml:space="preserve"> comprender el contexto de esas sugerencias.</w:t>
      </w:r>
    </w:p>
    <w:p w14:paraId="4CC55DD8" w14:textId="18CCA42A" w:rsidR="00306F47" w:rsidRPr="00A46B4D" w:rsidRDefault="00015336" w:rsidP="009B5E5A">
      <w:pPr>
        <w:pStyle w:val="CH2"/>
        <w:rPr>
          <w:lang w:val="es-ES"/>
        </w:rPr>
      </w:pPr>
      <w:r w:rsidRPr="00A46B4D">
        <w:rPr>
          <w:lang w:val="es-ES"/>
        </w:rPr>
        <w:tab/>
      </w:r>
      <w:r w:rsidRPr="00A46B4D">
        <w:rPr>
          <w:lang w:val="es-ES"/>
        </w:rPr>
        <w:tab/>
      </w:r>
      <w:r w:rsidRPr="00A46B4D">
        <w:rPr>
          <w:bCs/>
          <w:lang w:val="es-ES"/>
        </w:rPr>
        <w:t>Medida que podría adoptar la Conferencia de las Partes</w:t>
      </w:r>
    </w:p>
    <w:p w14:paraId="4AAE062E" w14:textId="62B710FA" w:rsidR="00306F47" w:rsidRPr="00A46B4D" w:rsidRDefault="00306F47" w:rsidP="009B5E5A">
      <w:pPr>
        <w:pStyle w:val="Normalnumber"/>
        <w:numPr>
          <w:ilvl w:val="0"/>
          <w:numId w:val="39"/>
        </w:numPr>
        <w:tabs>
          <w:tab w:val="clear" w:pos="1247"/>
          <w:tab w:val="clear" w:pos="1814"/>
          <w:tab w:val="clear" w:pos="2381"/>
          <w:tab w:val="clear" w:pos="2948"/>
          <w:tab w:val="clear" w:pos="3515"/>
          <w:tab w:val="clear" w:pos="4082"/>
        </w:tabs>
        <w:ind w:left="1247" w:firstLine="0"/>
        <w:rPr>
          <w:lang w:val="es-ES"/>
        </w:rPr>
      </w:pPr>
      <w:r w:rsidRPr="00A46B4D">
        <w:rPr>
          <w:lang w:val="es-ES"/>
        </w:rPr>
        <w:t>La Conferencia de las Partes tal vez dese</w:t>
      </w:r>
      <w:r w:rsidR="00057251">
        <w:rPr>
          <w:lang w:val="es-ES"/>
        </w:rPr>
        <w:t>ará</w:t>
      </w:r>
      <w:r w:rsidRPr="00A46B4D">
        <w:rPr>
          <w:lang w:val="es-ES"/>
        </w:rPr>
        <w:t xml:space="preserve"> examinar las recomendaciones del grupo especial de expertos, así como las comunicaciones de las Partes y otras entidades en relación con el informe del grupo. La Conferencia de las Partes tal vez dese</w:t>
      </w:r>
      <w:r w:rsidR="00057251">
        <w:rPr>
          <w:lang w:val="es-ES"/>
        </w:rPr>
        <w:t>ará</w:t>
      </w:r>
      <w:r w:rsidRPr="00A46B4D">
        <w:rPr>
          <w:lang w:val="es-ES"/>
        </w:rPr>
        <w:t xml:space="preserve"> solicitar al grupo especial de expertos que prosiga su</w:t>
      </w:r>
      <w:r w:rsidR="00A46B4D">
        <w:rPr>
          <w:lang w:val="es-ES"/>
        </w:rPr>
        <w:t> </w:t>
      </w:r>
      <w:r w:rsidRPr="00A46B4D">
        <w:rPr>
          <w:lang w:val="es-ES"/>
        </w:rPr>
        <w:t>labor y examine sus recomendaciones, teniendo en cuenta las deliberaciones sobre la cuestión y la</w:t>
      </w:r>
      <w:r w:rsidR="00A46B4D">
        <w:rPr>
          <w:lang w:val="es-ES"/>
        </w:rPr>
        <w:t> </w:t>
      </w:r>
      <w:r w:rsidRPr="00A46B4D">
        <w:rPr>
          <w:lang w:val="es-ES"/>
        </w:rPr>
        <w:t>orientación impartida por la Conferencia de las Partes en su segunda reunión, así como otras cuestiones e intereses que pudieran plantearse en la reunión, y que presente un informe, en el que se analicen en detalle los arreglos propuestos en relación con los datos de vigilancia comparables y los elementos de un marco de evaluación de la eficacia</w:t>
      </w:r>
      <w:r w:rsidR="00961F04" w:rsidRPr="00A46B4D">
        <w:rPr>
          <w:lang w:val="es-ES"/>
        </w:rPr>
        <w:t>,</w:t>
      </w:r>
      <w:r w:rsidRPr="00A46B4D">
        <w:rPr>
          <w:lang w:val="es-ES"/>
        </w:rPr>
        <w:t xml:space="preserve"> </w:t>
      </w:r>
      <w:r w:rsidR="00961F04" w:rsidRPr="00A46B4D">
        <w:rPr>
          <w:lang w:val="es-ES"/>
        </w:rPr>
        <w:t xml:space="preserve">para su examen por </w:t>
      </w:r>
      <w:r w:rsidRPr="00A46B4D">
        <w:rPr>
          <w:lang w:val="es-ES"/>
        </w:rPr>
        <w:t xml:space="preserve">la Conferencia de las Partes en su tercera reunión. </w:t>
      </w:r>
    </w:p>
    <w:p w14:paraId="743CC9CB" w14:textId="77777777" w:rsidR="00306F47" w:rsidRPr="00A46B4D" w:rsidRDefault="00306F47" w:rsidP="009B5E5A">
      <w:pPr>
        <w:tabs>
          <w:tab w:val="clear" w:pos="1247"/>
          <w:tab w:val="clear" w:pos="1814"/>
          <w:tab w:val="clear" w:pos="2381"/>
          <w:tab w:val="clear" w:pos="2948"/>
          <w:tab w:val="clear" w:pos="3515"/>
        </w:tabs>
        <w:rPr>
          <w:b/>
          <w:sz w:val="28"/>
          <w:szCs w:val="28"/>
          <w:lang w:val="es-ES"/>
        </w:rPr>
      </w:pPr>
      <w:r w:rsidRPr="00A46B4D">
        <w:rPr>
          <w:lang w:val="es-ES"/>
        </w:rPr>
        <w:br w:type="page"/>
      </w:r>
    </w:p>
    <w:p w14:paraId="5B165752" w14:textId="77777777" w:rsidR="00306F47" w:rsidRPr="00A46B4D" w:rsidRDefault="00306F47" w:rsidP="009B5E5A">
      <w:pPr>
        <w:pStyle w:val="ZZAnxheader"/>
        <w:rPr>
          <w:lang w:val="es-ES"/>
        </w:rPr>
      </w:pPr>
      <w:r w:rsidRPr="00A46B4D">
        <w:rPr>
          <w:lang w:val="es-ES"/>
        </w:rPr>
        <w:lastRenderedPageBreak/>
        <w:t>Anexo</w:t>
      </w:r>
    </w:p>
    <w:p w14:paraId="1E150BEF" w14:textId="1B1A521B" w:rsidR="00306F47" w:rsidRPr="00A46B4D" w:rsidRDefault="00306F47" w:rsidP="009B5E5A">
      <w:pPr>
        <w:pStyle w:val="ZZAnxtitle"/>
        <w:rPr>
          <w:b w:val="0"/>
          <w:bCs w:val="0"/>
          <w:lang w:val="es-ES"/>
        </w:rPr>
      </w:pPr>
      <w:r w:rsidRPr="00A46B4D">
        <w:rPr>
          <w:lang w:val="es-ES"/>
        </w:rPr>
        <w:t>Recomendaciones del grupo especial de expertos en relación con la vigilancia</w:t>
      </w:r>
      <w:bookmarkStart w:id="6" w:name="_Hlk523214865"/>
    </w:p>
    <w:p w14:paraId="28778CE5" w14:textId="77777777" w:rsidR="00306F47" w:rsidRPr="00A46B4D" w:rsidRDefault="00306F47" w:rsidP="009B5E5A">
      <w:pPr>
        <w:pStyle w:val="Text"/>
        <w:spacing w:line="240" w:lineRule="auto"/>
        <w:ind w:left="1247"/>
        <w:rPr>
          <w:rFonts w:ascii="Times New Roman" w:hAnsi="Times New Roman" w:cs="Times New Roman"/>
          <w:b/>
          <w:bCs/>
          <w:color w:val="auto"/>
          <w:sz w:val="24"/>
          <w:szCs w:val="24"/>
          <w:lang w:val="es-ES"/>
        </w:rPr>
      </w:pPr>
      <w:r w:rsidRPr="00A46B4D">
        <w:rPr>
          <w:rFonts w:ascii="Times New Roman" w:hAnsi="Times New Roman" w:cs="Times New Roman"/>
          <w:b/>
          <w:bCs/>
          <w:sz w:val="24"/>
          <w:szCs w:val="24"/>
          <w:lang w:val="es-ES"/>
        </w:rPr>
        <w:t>Recomendaciones relativas a los arreglos sobre los datos de vigilancia</w:t>
      </w:r>
    </w:p>
    <w:bookmarkEnd w:id="6"/>
    <w:p w14:paraId="0D64F919" w14:textId="75F7407B" w:rsidR="00306F47" w:rsidRPr="00A46B4D" w:rsidRDefault="00961F04" w:rsidP="009B5E5A">
      <w:pPr>
        <w:pStyle w:val="Text"/>
        <w:spacing w:after="120" w:line="240" w:lineRule="auto"/>
        <w:ind w:left="1247"/>
        <w:rPr>
          <w:rFonts w:ascii="Times New Roman" w:hAnsi="Times New Roman" w:cs="Times New Roman"/>
          <w:color w:val="auto"/>
          <w:sz w:val="20"/>
          <w:szCs w:val="20"/>
          <w:lang w:val="es-ES"/>
        </w:rPr>
      </w:pPr>
      <w:r w:rsidRPr="00A46B4D">
        <w:rPr>
          <w:rFonts w:ascii="Times New Roman" w:hAnsi="Times New Roman" w:cs="Times New Roman"/>
          <w:b/>
          <w:bCs/>
          <w:sz w:val="20"/>
          <w:szCs w:val="20"/>
          <w:lang w:val="es-ES"/>
        </w:rPr>
        <w:t>Esbozar</w:t>
      </w:r>
      <w:r w:rsidR="00306F47" w:rsidRPr="00A46B4D">
        <w:rPr>
          <w:rFonts w:ascii="Times New Roman" w:hAnsi="Times New Roman" w:cs="Times New Roman"/>
          <w:b/>
          <w:bCs/>
          <w:sz w:val="20"/>
          <w:szCs w:val="20"/>
          <w:lang w:val="es-ES"/>
        </w:rPr>
        <w:t xml:space="preserve"> los tipos de datos que podrían compararse a nivel mundial</w:t>
      </w:r>
      <w:r w:rsidR="009D3350">
        <w:rPr>
          <w:rFonts w:ascii="Times New Roman" w:hAnsi="Times New Roman" w:cs="Times New Roman"/>
          <w:b/>
          <w:bCs/>
          <w:sz w:val="20"/>
          <w:szCs w:val="20"/>
          <w:lang w:val="es-ES"/>
        </w:rPr>
        <w:t xml:space="preserve"> y</w:t>
      </w:r>
      <w:r w:rsidR="00512F1F" w:rsidRPr="00A46B4D">
        <w:rPr>
          <w:rFonts w:ascii="Times New Roman" w:hAnsi="Times New Roman" w:cs="Times New Roman"/>
          <w:b/>
          <w:bCs/>
          <w:sz w:val="20"/>
          <w:szCs w:val="20"/>
          <w:lang w:val="es-ES"/>
        </w:rPr>
        <w:t xml:space="preserve"> s</w:t>
      </w:r>
      <w:r w:rsidR="00306F47" w:rsidRPr="00A46B4D">
        <w:rPr>
          <w:rFonts w:ascii="Times New Roman" w:hAnsi="Times New Roman" w:cs="Times New Roman"/>
          <w:b/>
          <w:bCs/>
          <w:sz w:val="20"/>
          <w:szCs w:val="20"/>
          <w:lang w:val="es-ES"/>
        </w:rPr>
        <w:t>u disponibilidad</w:t>
      </w:r>
      <w:r w:rsidR="009D3350" w:rsidRPr="00A46B4D">
        <w:rPr>
          <w:rFonts w:ascii="Times New Roman" w:hAnsi="Times New Roman" w:cs="Times New Roman"/>
          <w:b/>
          <w:bCs/>
          <w:sz w:val="20"/>
          <w:szCs w:val="20"/>
          <w:lang w:val="es-ES"/>
        </w:rPr>
        <w:t xml:space="preserve">, así como </w:t>
      </w:r>
      <w:r w:rsidR="00306F47" w:rsidRPr="00A46B4D">
        <w:rPr>
          <w:rFonts w:ascii="Times New Roman" w:hAnsi="Times New Roman" w:cs="Times New Roman"/>
          <w:b/>
          <w:bCs/>
          <w:sz w:val="20"/>
          <w:szCs w:val="20"/>
          <w:lang w:val="es-ES"/>
        </w:rPr>
        <w:t>un proyecto de plan para integrar resultados comparables para la vigilancia futur</w:t>
      </w:r>
      <w:r w:rsidR="00512F1F" w:rsidRPr="00A46B4D">
        <w:rPr>
          <w:rFonts w:ascii="Times New Roman" w:hAnsi="Times New Roman" w:cs="Times New Roman"/>
          <w:b/>
          <w:bCs/>
          <w:sz w:val="20"/>
          <w:szCs w:val="20"/>
          <w:lang w:val="es-ES"/>
        </w:rPr>
        <w:t>a</w:t>
      </w:r>
    </w:p>
    <w:p w14:paraId="75B4E7A1" w14:textId="27F36008" w:rsidR="00306F47" w:rsidRPr="00A46B4D" w:rsidRDefault="00306F47" w:rsidP="009B5E5A">
      <w:pPr>
        <w:pStyle w:val="Text"/>
        <w:numPr>
          <w:ilvl w:val="0"/>
          <w:numId w:val="65"/>
        </w:numPr>
        <w:spacing w:after="120" w:line="240" w:lineRule="auto"/>
        <w:ind w:left="1871" w:hanging="624"/>
        <w:rPr>
          <w:rFonts w:ascii="Times New Roman" w:hAnsi="Times New Roman" w:cs="Times New Roman"/>
          <w:color w:val="auto"/>
          <w:sz w:val="20"/>
          <w:szCs w:val="20"/>
          <w:lang w:val="es-ES"/>
        </w:rPr>
      </w:pPr>
      <w:r w:rsidRPr="00A46B4D">
        <w:rPr>
          <w:rFonts w:ascii="Times New Roman" w:hAnsi="Times New Roman" w:cs="Times New Roman"/>
          <w:sz w:val="20"/>
          <w:szCs w:val="20"/>
          <w:lang w:val="es-ES"/>
        </w:rPr>
        <w:t>La Conferencia de las Partes debería:</w:t>
      </w:r>
    </w:p>
    <w:p w14:paraId="38270A7E" w14:textId="387DA4B2" w:rsidR="00306F47" w:rsidRPr="00A46B4D" w:rsidRDefault="00B00100" w:rsidP="009B5E5A">
      <w:pPr>
        <w:pStyle w:val="Text"/>
        <w:numPr>
          <w:ilvl w:val="0"/>
          <w:numId w:val="44"/>
        </w:numPr>
        <w:spacing w:after="120" w:line="240" w:lineRule="auto"/>
        <w:ind w:left="2495" w:hanging="624"/>
        <w:rPr>
          <w:rFonts w:ascii="Times New Roman" w:hAnsi="Times New Roman" w:cs="Times New Roman"/>
          <w:color w:val="auto"/>
          <w:sz w:val="20"/>
          <w:szCs w:val="20"/>
          <w:lang w:val="es-ES"/>
        </w:rPr>
      </w:pPr>
      <w:r w:rsidRPr="00A46B4D">
        <w:rPr>
          <w:rFonts w:ascii="Times New Roman" w:hAnsi="Times New Roman" w:cs="Times New Roman"/>
          <w:sz w:val="20"/>
          <w:szCs w:val="20"/>
          <w:lang w:val="es-ES"/>
        </w:rPr>
        <w:t xml:space="preserve">Establecer relaciones por medio de la </w:t>
      </w:r>
      <w:r w:rsidR="00A46B4D">
        <w:rPr>
          <w:rFonts w:ascii="Times New Roman" w:hAnsi="Times New Roman" w:cs="Times New Roman"/>
          <w:sz w:val="20"/>
          <w:szCs w:val="20"/>
          <w:lang w:val="es-ES"/>
        </w:rPr>
        <w:t>Secretaría</w:t>
      </w:r>
      <w:r w:rsidRPr="00A46B4D">
        <w:rPr>
          <w:rFonts w:ascii="Times New Roman" w:hAnsi="Times New Roman" w:cs="Times New Roman"/>
          <w:sz w:val="20"/>
          <w:szCs w:val="20"/>
          <w:lang w:val="es-ES"/>
        </w:rPr>
        <w:t xml:space="preserve"> con los órganos que ges</w:t>
      </w:r>
      <w:r w:rsidR="00E74725">
        <w:rPr>
          <w:rFonts w:ascii="Times New Roman" w:hAnsi="Times New Roman" w:cs="Times New Roman"/>
          <w:sz w:val="20"/>
          <w:szCs w:val="20"/>
          <w:lang w:val="es-ES"/>
        </w:rPr>
        <w:t>tionan la información existente;</w:t>
      </w:r>
    </w:p>
    <w:p w14:paraId="4CCA591E" w14:textId="4F74A9C2" w:rsidR="00306F47" w:rsidRPr="00A46B4D" w:rsidRDefault="00B00100" w:rsidP="009B5E5A">
      <w:pPr>
        <w:pStyle w:val="Text"/>
        <w:numPr>
          <w:ilvl w:val="0"/>
          <w:numId w:val="44"/>
        </w:numPr>
        <w:spacing w:after="120" w:line="240" w:lineRule="auto"/>
        <w:ind w:left="2495" w:hanging="624"/>
        <w:rPr>
          <w:rFonts w:ascii="Times New Roman" w:hAnsi="Times New Roman" w:cs="Times New Roman"/>
          <w:color w:val="auto"/>
          <w:sz w:val="20"/>
          <w:szCs w:val="20"/>
          <w:lang w:val="es-ES"/>
        </w:rPr>
      </w:pPr>
      <w:r w:rsidRPr="00A46B4D">
        <w:rPr>
          <w:rFonts w:ascii="Times New Roman" w:hAnsi="Times New Roman" w:cs="Times New Roman"/>
          <w:sz w:val="20"/>
          <w:szCs w:val="20"/>
          <w:lang w:val="es-ES"/>
        </w:rPr>
        <w:t>Pedir a los expertos que elaboren el mandato para los arreglos sobre vigilancia y para la ejecución del plan propuesto</w:t>
      </w:r>
      <w:r w:rsidR="00E74725">
        <w:rPr>
          <w:rFonts w:ascii="Times New Roman" w:hAnsi="Times New Roman" w:cs="Times New Roman"/>
          <w:sz w:val="20"/>
          <w:szCs w:val="20"/>
          <w:lang w:val="es-ES"/>
        </w:rPr>
        <w:t>;</w:t>
      </w:r>
    </w:p>
    <w:p w14:paraId="09C9A978" w14:textId="1E76D460" w:rsidR="00306F47" w:rsidRPr="00A46B4D" w:rsidRDefault="00B00100" w:rsidP="009B5E5A">
      <w:pPr>
        <w:pStyle w:val="Text"/>
        <w:numPr>
          <w:ilvl w:val="0"/>
          <w:numId w:val="44"/>
        </w:numPr>
        <w:spacing w:after="120" w:line="240" w:lineRule="auto"/>
        <w:ind w:left="2495" w:hanging="624"/>
        <w:rPr>
          <w:rFonts w:ascii="Times New Roman" w:hAnsi="Times New Roman" w:cs="Times New Roman"/>
          <w:color w:val="auto"/>
          <w:sz w:val="20"/>
          <w:szCs w:val="20"/>
          <w:lang w:val="es-ES"/>
        </w:rPr>
      </w:pPr>
      <w:r w:rsidRPr="00A46B4D">
        <w:rPr>
          <w:rFonts w:ascii="Times New Roman" w:hAnsi="Times New Roman" w:cs="Times New Roman"/>
          <w:sz w:val="20"/>
          <w:szCs w:val="20"/>
          <w:lang w:val="es-ES"/>
        </w:rPr>
        <w:t>Formular una recomendación al Fondo para el Medio Ambiente Mundial (FMAM)</w:t>
      </w:r>
      <w:r w:rsidR="00512F1F" w:rsidRPr="00A46B4D">
        <w:rPr>
          <w:rStyle w:val="Appelnotedebasdep"/>
          <w:rFonts w:cs="Times New Roman"/>
          <w:szCs w:val="20"/>
          <w:lang w:val="es-ES"/>
        </w:rPr>
        <w:footnoteReference w:id="3"/>
      </w:r>
      <w:r w:rsidRPr="00A46B4D">
        <w:rPr>
          <w:rFonts w:ascii="Times New Roman" w:hAnsi="Times New Roman" w:cs="Times New Roman"/>
          <w:sz w:val="20"/>
          <w:szCs w:val="20"/>
          <w:lang w:val="es-ES"/>
        </w:rPr>
        <w:t xml:space="preserve"> acerca de la necesidad de apoyar la recopilación de datos esenciales y facilitar el aporte sostenible de información de vigilancia para la evaluación de la eficacia.</w:t>
      </w:r>
    </w:p>
    <w:p w14:paraId="187724B5" w14:textId="77777777" w:rsidR="00306F47" w:rsidRPr="00A46B4D" w:rsidRDefault="00306F47" w:rsidP="009B5E5A">
      <w:pPr>
        <w:pStyle w:val="Text"/>
        <w:spacing w:after="120" w:line="240" w:lineRule="auto"/>
        <w:ind w:left="1247"/>
        <w:rPr>
          <w:rFonts w:ascii="Times New Roman" w:hAnsi="Times New Roman" w:cs="Times New Roman"/>
          <w:b/>
          <w:bCs/>
          <w:color w:val="auto"/>
          <w:sz w:val="20"/>
          <w:szCs w:val="20"/>
          <w:lang w:val="es-ES"/>
        </w:rPr>
      </w:pPr>
      <w:r w:rsidRPr="00A46B4D">
        <w:rPr>
          <w:rFonts w:ascii="Times New Roman" w:hAnsi="Times New Roman" w:cs="Times New Roman"/>
          <w:b/>
          <w:bCs/>
          <w:sz w:val="20"/>
          <w:szCs w:val="20"/>
          <w:lang w:val="es-ES"/>
        </w:rPr>
        <w:t>Examinar la información sobre los programas de vigilancia existentes</w:t>
      </w:r>
    </w:p>
    <w:p w14:paraId="2DC7EB81" w14:textId="4B7B9B10" w:rsidR="00306F47" w:rsidRPr="00A46B4D" w:rsidRDefault="00306F47" w:rsidP="009B5E5A">
      <w:pPr>
        <w:pStyle w:val="Text"/>
        <w:numPr>
          <w:ilvl w:val="0"/>
          <w:numId w:val="65"/>
        </w:numPr>
        <w:spacing w:after="120" w:line="240" w:lineRule="auto"/>
        <w:ind w:left="1247" w:firstLine="0"/>
        <w:rPr>
          <w:rFonts w:ascii="Times New Roman" w:hAnsi="Times New Roman" w:cs="Times New Roman"/>
          <w:color w:val="auto"/>
          <w:sz w:val="20"/>
          <w:szCs w:val="20"/>
          <w:lang w:val="es-ES"/>
        </w:rPr>
      </w:pPr>
      <w:r w:rsidRPr="00A46B4D">
        <w:rPr>
          <w:rFonts w:ascii="Times New Roman" w:hAnsi="Times New Roman" w:cs="Times New Roman"/>
          <w:sz w:val="20"/>
          <w:szCs w:val="20"/>
          <w:lang w:val="es-ES"/>
        </w:rPr>
        <w:t xml:space="preserve">La Conferencia de las Partes debería pedir a los países y </w:t>
      </w:r>
      <w:r w:rsidR="00512F1F" w:rsidRPr="00A46B4D">
        <w:rPr>
          <w:rFonts w:ascii="Times New Roman" w:hAnsi="Times New Roman" w:cs="Times New Roman"/>
          <w:sz w:val="20"/>
          <w:szCs w:val="20"/>
          <w:lang w:val="es-ES"/>
        </w:rPr>
        <w:t xml:space="preserve">a </w:t>
      </w:r>
      <w:r w:rsidRPr="00A46B4D">
        <w:rPr>
          <w:rFonts w:ascii="Times New Roman" w:hAnsi="Times New Roman" w:cs="Times New Roman"/>
          <w:sz w:val="20"/>
          <w:szCs w:val="20"/>
          <w:lang w:val="es-ES"/>
        </w:rPr>
        <w:t>las organizaciones que sigan proporcionando información sobre sus programas de vigilancia para contribuir a los debates en la tercera reunión de la Conferencia de las Partes.</w:t>
      </w:r>
    </w:p>
    <w:p w14:paraId="69A26CBB" w14:textId="2F396713" w:rsidR="00306F47" w:rsidRPr="00A46B4D" w:rsidRDefault="00306F47" w:rsidP="009B5E5A">
      <w:pPr>
        <w:pStyle w:val="Text"/>
        <w:spacing w:after="120" w:line="240" w:lineRule="auto"/>
        <w:ind w:left="1247"/>
        <w:rPr>
          <w:rFonts w:ascii="Times New Roman" w:hAnsi="Times New Roman" w:cs="Times New Roman"/>
          <w:b/>
          <w:bCs/>
          <w:color w:val="auto"/>
          <w:sz w:val="20"/>
          <w:szCs w:val="20"/>
          <w:lang w:val="es-ES"/>
        </w:rPr>
      </w:pPr>
      <w:r w:rsidRPr="00A46B4D">
        <w:rPr>
          <w:rFonts w:ascii="Times New Roman" w:hAnsi="Times New Roman" w:cs="Times New Roman"/>
          <w:b/>
          <w:bCs/>
          <w:sz w:val="20"/>
          <w:szCs w:val="20"/>
          <w:lang w:val="es-ES"/>
        </w:rPr>
        <w:t>Evaluar en qué medida la información examinada satisface las necesidades en materia de vigilancia establecidas en el párrafo 2 del artículo 22 del Convenio de Minamata sobre el</w:t>
      </w:r>
      <w:r w:rsidR="00A46B4D">
        <w:rPr>
          <w:rFonts w:ascii="Times New Roman" w:hAnsi="Times New Roman" w:cs="Times New Roman"/>
          <w:b/>
          <w:bCs/>
          <w:sz w:val="20"/>
          <w:szCs w:val="20"/>
          <w:lang w:val="es-ES"/>
        </w:rPr>
        <w:t> </w:t>
      </w:r>
      <w:r w:rsidRPr="00A46B4D">
        <w:rPr>
          <w:rFonts w:ascii="Times New Roman" w:hAnsi="Times New Roman" w:cs="Times New Roman"/>
          <w:b/>
          <w:bCs/>
          <w:sz w:val="20"/>
          <w:szCs w:val="20"/>
          <w:lang w:val="es-ES"/>
        </w:rPr>
        <w:t xml:space="preserve">Mercurio y, sobre esa base, esbozar opciones para aumentar la comparabilidad y </w:t>
      </w:r>
      <w:r w:rsidR="00A46B4D">
        <w:rPr>
          <w:rFonts w:ascii="Times New Roman" w:hAnsi="Times New Roman" w:cs="Times New Roman"/>
          <w:b/>
          <w:bCs/>
          <w:sz w:val="20"/>
          <w:szCs w:val="20"/>
          <w:lang w:val="es-ES"/>
        </w:rPr>
        <w:t>e</w:t>
      </w:r>
      <w:r w:rsidRPr="00A46B4D">
        <w:rPr>
          <w:rFonts w:ascii="Times New Roman" w:hAnsi="Times New Roman" w:cs="Times New Roman"/>
          <w:b/>
          <w:bCs/>
          <w:sz w:val="20"/>
          <w:szCs w:val="20"/>
          <w:lang w:val="es-ES"/>
        </w:rPr>
        <w:t>xhaustividad</w:t>
      </w:r>
      <w:r w:rsidR="00A46B4D">
        <w:rPr>
          <w:rFonts w:ascii="Times New Roman" w:hAnsi="Times New Roman" w:cs="Times New Roman"/>
          <w:b/>
          <w:bCs/>
          <w:sz w:val="20"/>
          <w:szCs w:val="20"/>
          <w:lang w:val="es-ES"/>
        </w:rPr>
        <w:t> </w:t>
      </w:r>
      <w:r w:rsidRPr="00A46B4D">
        <w:rPr>
          <w:rFonts w:ascii="Times New Roman" w:hAnsi="Times New Roman" w:cs="Times New Roman"/>
          <w:b/>
          <w:bCs/>
          <w:sz w:val="20"/>
          <w:szCs w:val="20"/>
          <w:lang w:val="es-ES"/>
        </w:rPr>
        <w:t>de la información examinada</w:t>
      </w:r>
      <w:r w:rsidRPr="00A46B4D">
        <w:rPr>
          <w:rFonts w:ascii="Times New Roman" w:hAnsi="Times New Roman" w:cs="Times New Roman"/>
          <w:sz w:val="20"/>
          <w:szCs w:val="20"/>
          <w:lang w:val="es-ES"/>
        </w:rPr>
        <w:t>;</w:t>
      </w:r>
    </w:p>
    <w:p w14:paraId="17323CF8" w14:textId="1C87E5EB" w:rsidR="00306F47" w:rsidRPr="00A46B4D" w:rsidRDefault="00306F47" w:rsidP="009B5E5A">
      <w:pPr>
        <w:pStyle w:val="Text"/>
        <w:numPr>
          <w:ilvl w:val="0"/>
          <w:numId w:val="65"/>
        </w:numPr>
        <w:spacing w:after="120" w:line="240" w:lineRule="auto"/>
        <w:ind w:left="1247" w:firstLine="0"/>
        <w:rPr>
          <w:rFonts w:ascii="Times New Roman" w:hAnsi="Times New Roman" w:cs="Times New Roman"/>
          <w:color w:val="auto"/>
          <w:sz w:val="20"/>
          <w:szCs w:val="20"/>
          <w:lang w:val="es-ES"/>
        </w:rPr>
      </w:pPr>
      <w:r w:rsidRPr="00A46B4D">
        <w:rPr>
          <w:rFonts w:ascii="Times New Roman" w:hAnsi="Times New Roman" w:cs="Times New Roman"/>
          <w:sz w:val="20"/>
          <w:szCs w:val="20"/>
          <w:lang w:val="es-ES"/>
        </w:rPr>
        <w:t xml:space="preserve">La Conferencia de las Partes debería elaborar un plan de vigilancia mundial que incluya recomendaciones con respecto a las </w:t>
      </w:r>
      <w:r w:rsidR="00961F04" w:rsidRPr="00A46B4D">
        <w:rPr>
          <w:rFonts w:ascii="Times New Roman" w:hAnsi="Times New Roman" w:cs="Times New Roman"/>
          <w:sz w:val="20"/>
          <w:szCs w:val="20"/>
          <w:lang w:val="es-ES"/>
        </w:rPr>
        <w:t>deficiencias</w:t>
      </w:r>
      <w:r w:rsidRPr="00A46B4D">
        <w:rPr>
          <w:rFonts w:ascii="Times New Roman" w:hAnsi="Times New Roman" w:cs="Times New Roman"/>
          <w:sz w:val="20"/>
          <w:szCs w:val="20"/>
          <w:lang w:val="es-ES"/>
        </w:rPr>
        <w:t xml:space="preserve"> existentes en la información disponible, que </w:t>
      </w:r>
      <w:r w:rsidR="00E862AA">
        <w:rPr>
          <w:rFonts w:ascii="Times New Roman" w:hAnsi="Times New Roman" w:cs="Times New Roman"/>
          <w:sz w:val="20"/>
          <w:szCs w:val="20"/>
          <w:lang w:val="es-ES"/>
        </w:rPr>
        <w:t xml:space="preserve">será necesario </w:t>
      </w:r>
      <w:r w:rsidR="00961F04" w:rsidRPr="00A46B4D">
        <w:rPr>
          <w:rFonts w:ascii="Times New Roman" w:hAnsi="Times New Roman" w:cs="Times New Roman"/>
          <w:sz w:val="20"/>
          <w:szCs w:val="20"/>
          <w:lang w:val="es-ES"/>
        </w:rPr>
        <w:t>subsanar</w:t>
      </w:r>
      <w:r w:rsidRPr="00A46B4D">
        <w:rPr>
          <w:rFonts w:ascii="Times New Roman" w:hAnsi="Times New Roman" w:cs="Times New Roman"/>
          <w:sz w:val="20"/>
          <w:szCs w:val="20"/>
          <w:lang w:val="es-ES"/>
        </w:rPr>
        <w:t xml:space="preserve"> para satisfacer plenamente las necesidades de información descritas en el párrafo 2 del artículo 22. </w:t>
      </w:r>
    </w:p>
    <w:p w14:paraId="7D59B34F" w14:textId="4728E1BE" w:rsidR="00306F47" w:rsidRPr="00A46B4D" w:rsidRDefault="00306F47" w:rsidP="009B5E5A">
      <w:pPr>
        <w:pStyle w:val="Text"/>
        <w:spacing w:after="120" w:line="240" w:lineRule="auto"/>
        <w:ind w:left="1247"/>
        <w:rPr>
          <w:rFonts w:ascii="Times New Roman" w:hAnsi="Times New Roman" w:cs="Times New Roman"/>
          <w:b/>
          <w:bCs/>
          <w:color w:val="auto"/>
          <w:sz w:val="20"/>
          <w:szCs w:val="20"/>
          <w:lang w:val="es-ES"/>
        </w:rPr>
      </w:pPr>
      <w:r w:rsidRPr="00A46B4D">
        <w:rPr>
          <w:rFonts w:ascii="Times New Roman" w:hAnsi="Times New Roman" w:cs="Times New Roman"/>
          <w:b/>
          <w:bCs/>
          <w:sz w:val="20"/>
          <w:szCs w:val="20"/>
          <w:lang w:val="es-ES"/>
        </w:rPr>
        <w:t>Tomar en consideración la eficacia en función de los costos, la factibilidad, la viabilidad y la sostenibilidad, la cobertura mundial, y las capacidades regionales a la hora de determinar las posibilidades de mejorar la vigilancia en el futuro</w:t>
      </w:r>
    </w:p>
    <w:p w14:paraId="7540C6E5" w14:textId="009F3F6D" w:rsidR="00306F47" w:rsidRPr="00A46B4D" w:rsidRDefault="00306F47" w:rsidP="009B5E5A">
      <w:pPr>
        <w:pStyle w:val="Text"/>
        <w:numPr>
          <w:ilvl w:val="0"/>
          <w:numId w:val="65"/>
        </w:numPr>
        <w:spacing w:after="120" w:line="240" w:lineRule="auto"/>
        <w:ind w:left="1247" w:firstLine="0"/>
        <w:rPr>
          <w:rFonts w:ascii="Times New Roman" w:hAnsi="Times New Roman" w:cs="Times New Roman"/>
          <w:color w:val="auto"/>
          <w:sz w:val="20"/>
          <w:szCs w:val="20"/>
          <w:lang w:val="es-ES"/>
        </w:rPr>
      </w:pPr>
      <w:bookmarkStart w:id="7" w:name="_Hlk523222687"/>
      <w:r w:rsidRPr="00A46B4D">
        <w:rPr>
          <w:rFonts w:ascii="Times New Roman" w:hAnsi="Times New Roman" w:cs="Times New Roman"/>
          <w:sz w:val="20"/>
          <w:szCs w:val="20"/>
          <w:lang w:val="es-ES"/>
        </w:rPr>
        <w:t>El grupo llegó a la conclusión de que</w:t>
      </w:r>
      <w:r w:rsidR="00E862AA">
        <w:rPr>
          <w:rFonts w:ascii="Times New Roman" w:hAnsi="Times New Roman" w:cs="Times New Roman"/>
          <w:sz w:val="20"/>
          <w:szCs w:val="20"/>
          <w:lang w:val="es-ES"/>
        </w:rPr>
        <w:t>,</w:t>
      </w:r>
      <w:r w:rsidRPr="00A46B4D">
        <w:rPr>
          <w:rFonts w:ascii="Times New Roman" w:hAnsi="Times New Roman" w:cs="Times New Roman"/>
          <w:sz w:val="20"/>
          <w:szCs w:val="20"/>
          <w:lang w:val="es-ES"/>
        </w:rPr>
        <w:t xml:space="preserve"> </w:t>
      </w:r>
      <w:r w:rsidR="00C07E3E" w:rsidRPr="00A46B4D">
        <w:rPr>
          <w:rFonts w:ascii="Times New Roman" w:hAnsi="Times New Roman" w:cs="Times New Roman"/>
          <w:sz w:val="20"/>
          <w:szCs w:val="20"/>
          <w:lang w:val="es-ES"/>
        </w:rPr>
        <w:t xml:space="preserve">para poder cumplir </w:t>
      </w:r>
      <w:r w:rsidRPr="00A46B4D">
        <w:rPr>
          <w:rFonts w:ascii="Times New Roman" w:hAnsi="Times New Roman" w:cs="Times New Roman"/>
          <w:sz w:val="20"/>
          <w:szCs w:val="20"/>
          <w:lang w:val="es-ES"/>
        </w:rPr>
        <w:t>los requisitos establecidos en el artículo 22 del Convenio relativos a los datos de vigilancia, se debería recopilar información sobre los niveles de mercurio en el aire, la biota y los seres humanos. Para todos los tipos de vigilancia existen métodos que son prácticos, viables</w:t>
      </w:r>
      <w:r w:rsidR="00E862AA">
        <w:rPr>
          <w:rFonts w:ascii="Times New Roman" w:hAnsi="Times New Roman" w:cs="Times New Roman"/>
          <w:sz w:val="20"/>
          <w:szCs w:val="20"/>
          <w:lang w:val="es-ES"/>
        </w:rPr>
        <w:t>,</w:t>
      </w:r>
      <w:r w:rsidRPr="00A46B4D">
        <w:rPr>
          <w:rFonts w:ascii="Times New Roman" w:hAnsi="Times New Roman" w:cs="Times New Roman"/>
          <w:sz w:val="20"/>
          <w:szCs w:val="20"/>
          <w:lang w:val="es-ES"/>
        </w:rPr>
        <w:t xml:space="preserve"> sostenibles</w:t>
      </w:r>
      <w:r w:rsidR="00E862AA">
        <w:rPr>
          <w:rFonts w:ascii="Times New Roman" w:hAnsi="Times New Roman" w:cs="Times New Roman"/>
          <w:sz w:val="20"/>
          <w:szCs w:val="20"/>
          <w:lang w:val="es-ES"/>
        </w:rPr>
        <w:t xml:space="preserve"> y </w:t>
      </w:r>
      <w:r w:rsidR="00E862AA" w:rsidRPr="00A46B4D">
        <w:rPr>
          <w:rFonts w:ascii="Times New Roman" w:hAnsi="Times New Roman" w:cs="Times New Roman"/>
          <w:sz w:val="20"/>
          <w:szCs w:val="20"/>
          <w:lang w:val="es-ES"/>
        </w:rPr>
        <w:t>eficaces en función de los costos</w:t>
      </w:r>
      <w:r w:rsidRPr="00A46B4D">
        <w:rPr>
          <w:rFonts w:ascii="Times New Roman" w:hAnsi="Times New Roman" w:cs="Times New Roman"/>
          <w:sz w:val="20"/>
          <w:szCs w:val="20"/>
          <w:lang w:val="es-ES"/>
        </w:rPr>
        <w:t xml:space="preserve">. En el caso del aire, se recomienda la toma de muestras </w:t>
      </w:r>
      <w:r w:rsidR="00C07E3E" w:rsidRPr="00A46B4D">
        <w:rPr>
          <w:rFonts w:ascii="Times New Roman" w:hAnsi="Times New Roman" w:cs="Times New Roman"/>
          <w:sz w:val="20"/>
          <w:szCs w:val="20"/>
          <w:lang w:val="es-ES"/>
        </w:rPr>
        <w:t xml:space="preserve">(tanto activas como pasivas) </w:t>
      </w:r>
      <w:r w:rsidRPr="00A46B4D">
        <w:rPr>
          <w:rFonts w:ascii="Times New Roman" w:hAnsi="Times New Roman" w:cs="Times New Roman"/>
          <w:sz w:val="20"/>
          <w:szCs w:val="20"/>
          <w:lang w:val="es-ES"/>
        </w:rPr>
        <w:t>de una combinación de aire y deposición húmeda,</w:t>
      </w:r>
      <w:r w:rsidR="00C07E3E" w:rsidRPr="00A46B4D">
        <w:rPr>
          <w:rFonts w:ascii="Times New Roman" w:hAnsi="Times New Roman" w:cs="Times New Roman"/>
          <w:sz w:val="20"/>
          <w:szCs w:val="20"/>
          <w:lang w:val="es-ES"/>
        </w:rPr>
        <w:t xml:space="preserve"> de ser</w:t>
      </w:r>
      <w:r w:rsidRPr="00A46B4D">
        <w:rPr>
          <w:rFonts w:ascii="Times New Roman" w:hAnsi="Times New Roman" w:cs="Times New Roman"/>
          <w:sz w:val="20"/>
          <w:szCs w:val="20"/>
          <w:lang w:val="es-ES"/>
        </w:rPr>
        <w:t xml:space="preserve"> posible. En el caso de la vigilancia biológica humana, el pelo y la sangre del cordón umbilical</w:t>
      </w:r>
      <w:r w:rsidR="00C07E3E" w:rsidRPr="00A46B4D">
        <w:rPr>
          <w:rFonts w:ascii="Times New Roman" w:hAnsi="Times New Roman" w:cs="Times New Roman"/>
          <w:sz w:val="20"/>
          <w:szCs w:val="20"/>
          <w:lang w:val="es-ES"/>
        </w:rPr>
        <w:t xml:space="preserve"> cumplen</w:t>
      </w:r>
      <w:r w:rsidRPr="00A46B4D">
        <w:rPr>
          <w:rFonts w:ascii="Times New Roman" w:hAnsi="Times New Roman" w:cs="Times New Roman"/>
          <w:sz w:val="20"/>
          <w:szCs w:val="20"/>
          <w:lang w:val="es-ES"/>
        </w:rPr>
        <w:t xml:space="preserve"> todos los criterios para su inclusión en un programa de vigilancia mundial. En cuanto a</w:t>
      </w:r>
      <w:r w:rsidR="00C07E3E" w:rsidRPr="00A46B4D">
        <w:rPr>
          <w:rFonts w:ascii="Times New Roman" w:hAnsi="Times New Roman" w:cs="Times New Roman"/>
          <w:sz w:val="20"/>
          <w:szCs w:val="20"/>
          <w:lang w:val="es-ES"/>
        </w:rPr>
        <w:t xml:space="preserve"> la</w:t>
      </w:r>
      <w:r w:rsidRPr="00A46B4D">
        <w:rPr>
          <w:rFonts w:ascii="Times New Roman" w:hAnsi="Times New Roman" w:cs="Times New Roman"/>
          <w:sz w:val="20"/>
          <w:szCs w:val="20"/>
          <w:lang w:val="es-ES"/>
        </w:rPr>
        <w:t xml:space="preserve"> biota, los métodos de muestreo pueden variar según el bioma y el objetivo; sin embargo, es posible realizar un muestreo que satisfaga todas las consideraciones. Se señaló que, si bien no se </w:t>
      </w:r>
      <w:r w:rsidR="009D3350">
        <w:rPr>
          <w:rFonts w:ascii="Times New Roman" w:hAnsi="Times New Roman" w:cs="Times New Roman"/>
          <w:sz w:val="20"/>
          <w:szCs w:val="20"/>
          <w:lang w:val="es-ES"/>
        </w:rPr>
        <w:t xml:space="preserve">estaba </w:t>
      </w:r>
      <w:r w:rsidRPr="00A46B4D">
        <w:rPr>
          <w:rFonts w:ascii="Times New Roman" w:hAnsi="Times New Roman" w:cs="Times New Roman"/>
          <w:sz w:val="20"/>
          <w:szCs w:val="20"/>
          <w:lang w:val="es-ES"/>
        </w:rPr>
        <w:t>lleva</w:t>
      </w:r>
      <w:r w:rsidR="009D3350">
        <w:rPr>
          <w:rFonts w:ascii="Times New Roman" w:hAnsi="Times New Roman" w:cs="Times New Roman"/>
          <w:sz w:val="20"/>
          <w:szCs w:val="20"/>
          <w:lang w:val="es-ES"/>
        </w:rPr>
        <w:t>ndo</w:t>
      </w:r>
      <w:r w:rsidRPr="00A46B4D">
        <w:rPr>
          <w:rFonts w:ascii="Times New Roman" w:hAnsi="Times New Roman" w:cs="Times New Roman"/>
          <w:sz w:val="20"/>
          <w:szCs w:val="20"/>
          <w:lang w:val="es-ES"/>
        </w:rPr>
        <w:t xml:space="preserve"> a cabo una vigilancia a nivel mundial, en el proyecto de plan de acción</w:t>
      </w:r>
      <w:r w:rsidR="00C07E3E" w:rsidRPr="00A46B4D">
        <w:rPr>
          <w:rStyle w:val="Appelnotedebasdep"/>
          <w:rFonts w:cs="Times New Roman"/>
          <w:szCs w:val="20"/>
          <w:lang w:val="es-ES"/>
        </w:rPr>
        <w:footnoteReference w:id="4"/>
      </w:r>
      <w:r w:rsidRPr="00A46B4D">
        <w:rPr>
          <w:rFonts w:ascii="Times New Roman" w:hAnsi="Times New Roman" w:cs="Times New Roman"/>
          <w:sz w:val="20"/>
          <w:szCs w:val="20"/>
          <w:lang w:val="es-ES"/>
        </w:rPr>
        <w:t xml:space="preserve"> </w:t>
      </w:r>
      <w:r w:rsidR="00E862AA">
        <w:rPr>
          <w:rFonts w:ascii="Times New Roman" w:hAnsi="Times New Roman" w:cs="Times New Roman"/>
          <w:sz w:val="20"/>
          <w:szCs w:val="20"/>
          <w:lang w:val="es-ES"/>
        </w:rPr>
        <w:t>figuraban</w:t>
      </w:r>
      <w:r w:rsidRPr="00A46B4D">
        <w:rPr>
          <w:rFonts w:ascii="Times New Roman" w:hAnsi="Times New Roman" w:cs="Times New Roman"/>
          <w:sz w:val="20"/>
          <w:szCs w:val="20"/>
          <w:lang w:val="es-ES"/>
        </w:rPr>
        <w:t xml:space="preserve"> recomendaciones sobre cómo subsanar las deficiencias existentes en esa cobertura. Se dispone de </w:t>
      </w:r>
      <w:r w:rsidR="009D3350">
        <w:rPr>
          <w:rFonts w:ascii="Times New Roman" w:hAnsi="Times New Roman" w:cs="Times New Roman"/>
          <w:sz w:val="20"/>
          <w:szCs w:val="20"/>
          <w:lang w:val="es-ES"/>
        </w:rPr>
        <w:t xml:space="preserve">las </w:t>
      </w:r>
      <w:r w:rsidRPr="00A46B4D">
        <w:rPr>
          <w:rFonts w:ascii="Times New Roman" w:hAnsi="Times New Roman" w:cs="Times New Roman"/>
          <w:sz w:val="20"/>
          <w:szCs w:val="20"/>
          <w:lang w:val="es-ES"/>
        </w:rPr>
        <w:t xml:space="preserve">tecnologías, </w:t>
      </w:r>
      <w:r w:rsidR="009D3350">
        <w:rPr>
          <w:rFonts w:ascii="Times New Roman" w:hAnsi="Times New Roman" w:cs="Times New Roman"/>
          <w:sz w:val="20"/>
          <w:szCs w:val="20"/>
          <w:lang w:val="es-ES"/>
        </w:rPr>
        <w:t xml:space="preserve">la </w:t>
      </w:r>
      <w:r w:rsidRPr="00A46B4D">
        <w:rPr>
          <w:rFonts w:ascii="Times New Roman" w:hAnsi="Times New Roman" w:cs="Times New Roman"/>
          <w:sz w:val="20"/>
          <w:szCs w:val="20"/>
          <w:lang w:val="es-ES"/>
        </w:rPr>
        <w:t xml:space="preserve">capacidad de análisis y conocimientos especializados </w:t>
      </w:r>
      <w:r w:rsidR="009D3350">
        <w:rPr>
          <w:rFonts w:ascii="Times New Roman" w:hAnsi="Times New Roman" w:cs="Times New Roman"/>
          <w:sz w:val="20"/>
          <w:szCs w:val="20"/>
          <w:lang w:val="es-ES"/>
        </w:rPr>
        <w:t xml:space="preserve">necesarios </w:t>
      </w:r>
      <w:r w:rsidRPr="00A46B4D">
        <w:rPr>
          <w:rFonts w:ascii="Times New Roman" w:hAnsi="Times New Roman" w:cs="Times New Roman"/>
          <w:sz w:val="20"/>
          <w:szCs w:val="20"/>
          <w:lang w:val="es-ES"/>
        </w:rPr>
        <w:t xml:space="preserve">para establecer vigilancia </w:t>
      </w:r>
      <w:r w:rsidR="009D3350">
        <w:rPr>
          <w:rFonts w:ascii="Times New Roman" w:hAnsi="Times New Roman" w:cs="Times New Roman"/>
          <w:sz w:val="20"/>
          <w:szCs w:val="20"/>
          <w:lang w:val="es-ES"/>
        </w:rPr>
        <w:t xml:space="preserve">a escala </w:t>
      </w:r>
      <w:r w:rsidRPr="00A46B4D">
        <w:rPr>
          <w:rFonts w:ascii="Times New Roman" w:hAnsi="Times New Roman" w:cs="Times New Roman"/>
          <w:sz w:val="20"/>
          <w:szCs w:val="20"/>
          <w:lang w:val="es-ES"/>
        </w:rPr>
        <w:t>mundial. El grupo consideró que se podrían lograr progresos constantes en</w:t>
      </w:r>
      <w:r w:rsidR="00961F04" w:rsidRPr="00A46B4D">
        <w:rPr>
          <w:rFonts w:ascii="Times New Roman" w:hAnsi="Times New Roman" w:cs="Times New Roman"/>
          <w:sz w:val="20"/>
          <w:szCs w:val="20"/>
          <w:lang w:val="es-ES"/>
        </w:rPr>
        <w:t xml:space="preserve"> la vigilancia a nivel mundial en la</w:t>
      </w:r>
      <w:r w:rsidRPr="00A46B4D">
        <w:rPr>
          <w:rFonts w:ascii="Times New Roman" w:hAnsi="Times New Roman" w:cs="Times New Roman"/>
          <w:sz w:val="20"/>
          <w:szCs w:val="20"/>
          <w:lang w:val="es-ES"/>
        </w:rPr>
        <w:t xml:space="preserve"> medida </w:t>
      </w:r>
      <w:r w:rsidR="00961F04" w:rsidRPr="00A46B4D">
        <w:rPr>
          <w:rFonts w:ascii="Times New Roman" w:hAnsi="Times New Roman" w:cs="Times New Roman"/>
          <w:sz w:val="20"/>
          <w:szCs w:val="20"/>
          <w:lang w:val="es-ES"/>
        </w:rPr>
        <w:t xml:space="preserve">en </w:t>
      </w:r>
      <w:r w:rsidRPr="00A46B4D">
        <w:rPr>
          <w:rFonts w:ascii="Times New Roman" w:hAnsi="Times New Roman" w:cs="Times New Roman"/>
          <w:sz w:val="20"/>
          <w:szCs w:val="20"/>
          <w:lang w:val="es-ES"/>
        </w:rPr>
        <w:t xml:space="preserve">que se </w:t>
      </w:r>
      <w:r w:rsidR="00C07E3E" w:rsidRPr="00A46B4D">
        <w:rPr>
          <w:rFonts w:ascii="Times New Roman" w:hAnsi="Times New Roman" w:cs="Times New Roman"/>
          <w:sz w:val="20"/>
          <w:szCs w:val="20"/>
          <w:lang w:val="es-ES"/>
        </w:rPr>
        <w:t>fuer</w:t>
      </w:r>
      <w:r w:rsidRPr="00A46B4D">
        <w:rPr>
          <w:rFonts w:ascii="Times New Roman" w:hAnsi="Times New Roman" w:cs="Times New Roman"/>
          <w:sz w:val="20"/>
          <w:szCs w:val="20"/>
          <w:lang w:val="es-ES"/>
        </w:rPr>
        <w:t xml:space="preserve">an estableciendo otros programas. </w:t>
      </w:r>
      <w:bookmarkEnd w:id="7"/>
    </w:p>
    <w:p w14:paraId="511B404B" w14:textId="78922731" w:rsidR="00306F47" w:rsidRPr="00A46B4D" w:rsidRDefault="00306F47" w:rsidP="009B5E5A">
      <w:pPr>
        <w:pStyle w:val="Text"/>
        <w:keepNext/>
        <w:keepLines/>
        <w:spacing w:after="120" w:line="240" w:lineRule="auto"/>
        <w:ind w:left="1247"/>
        <w:rPr>
          <w:rFonts w:ascii="Times New Roman" w:hAnsi="Times New Roman" w:cs="Times New Roman"/>
          <w:b/>
          <w:bCs/>
          <w:color w:val="auto"/>
          <w:sz w:val="20"/>
          <w:szCs w:val="20"/>
          <w:lang w:val="es-ES"/>
        </w:rPr>
      </w:pPr>
      <w:r w:rsidRPr="00A46B4D">
        <w:rPr>
          <w:rFonts w:ascii="Times New Roman" w:hAnsi="Times New Roman" w:cs="Times New Roman"/>
          <w:b/>
          <w:bCs/>
          <w:sz w:val="20"/>
          <w:szCs w:val="20"/>
          <w:lang w:val="es-ES"/>
        </w:rPr>
        <w:t>Determina</w:t>
      </w:r>
      <w:r w:rsidR="00C07E3E" w:rsidRPr="00A46B4D">
        <w:rPr>
          <w:rFonts w:ascii="Times New Roman" w:hAnsi="Times New Roman" w:cs="Times New Roman"/>
          <w:b/>
          <w:bCs/>
          <w:sz w:val="20"/>
          <w:szCs w:val="20"/>
          <w:lang w:val="es-ES"/>
        </w:rPr>
        <w:t>r</w:t>
      </w:r>
      <w:r w:rsidRPr="00A46B4D">
        <w:rPr>
          <w:rFonts w:ascii="Times New Roman" w:hAnsi="Times New Roman" w:cs="Times New Roman"/>
          <w:b/>
          <w:bCs/>
          <w:sz w:val="20"/>
          <w:szCs w:val="20"/>
          <w:lang w:val="es-ES"/>
        </w:rPr>
        <w:t xml:space="preserve"> las capacidades de elaboración de modelos para evaluar los cambios en los niveles mundiales del mercurio en los diferentes medios y entre ellos</w:t>
      </w:r>
    </w:p>
    <w:p w14:paraId="1D7E55E4" w14:textId="77777777" w:rsidR="00306F47" w:rsidRPr="00A46B4D" w:rsidRDefault="00306F47" w:rsidP="009B5E5A">
      <w:pPr>
        <w:pStyle w:val="Text"/>
        <w:keepNext/>
        <w:keepLines/>
        <w:numPr>
          <w:ilvl w:val="0"/>
          <w:numId w:val="65"/>
        </w:numPr>
        <w:spacing w:after="120" w:line="240" w:lineRule="auto"/>
        <w:ind w:left="1247" w:firstLine="0"/>
        <w:rPr>
          <w:rFonts w:ascii="Times New Roman" w:hAnsi="Times New Roman" w:cs="Times New Roman"/>
          <w:color w:val="auto"/>
          <w:sz w:val="20"/>
          <w:szCs w:val="20"/>
          <w:lang w:val="es-ES"/>
        </w:rPr>
      </w:pPr>
      <w:r w:rsidRPr="00A46B4D">
        <w:rPr>
          <w:rFonts w:ascii="Times New Roman" w:hAnsi="Times New Roman" w:cs="Times New Roman"/>
          <w:sz w:val="20"/>
          <w:szCs w:val="20"/>
          <w:lang w:val="es-ES"/>
        </w:rPr>
        <w:t>La Conferencia de las Partes debería:</w:t>
      </w:r>
    </w:p>
    <w:p w14:paraId="12B1BABD" w14:textId="17ECFFF2" w:rsidR="00306F47" w:rsidRPr="00A46B4D" w:rsidRDefault="00306F47" w:rsidP="009B5E5A">
      <w:pPr>
        <w:pStyle w:val="Text"/>
        <w:keepNext/>
        <w:keepLines/>
        <w:numPr>
          <w:ilvl w:val="0"/>
          <w:numId w:val="44"/>
        </w:numPr>
        <w:spacing w:after="120" w:line="240" w:lineRule="auto"/>
        <w:ind w:left="2495" w:hanging="624"/>
        <w:rPr>
          <w:rFonts w:ascii="Times New Roman" w:hAnsi="Times New Roman" w:cs="Times New Roman"/>
          <w:color w:val="auto"/>
          <w:sz w:val="20"/>
          <w:szCs w:val="20"/>
          <w:lang w:val="es-ES"/>
        </w:rPr>
      </w:pPr>
      <w:r w:rsidRPr="00A46B4D">
        <w:rPr>
          <w:rFonts w:ascii="Times New Roman" w:hAnsi="Times New Roman" w:cs="Times New Roman"/>
          <w:sz w:val="20"/>
          <w:szCs w:val="20"/>
          <w:lang w:val="es-ES"/>
        </w:rPr>
        <w:t xml:space="preserve">Alentar a las Partes a </w:t>
      </w:r>
      <w:r w:rsidR="00E862AA">
        <w:rPr>
          <w:rFonts w:ascii="Times New Roman" w:hAnsi="Times New Roman" w:cs="Times New Roman"/>
          <w:sz w:val="20"/>
          <w:szCs w:val="20"/>
          <w:lang w:val="es-ES"/>
        </w:rPr>
        <w:t xml:space="preserve">que pongan empeño en cooperar para desarrollar y perfeccionar </w:t>
      </w:r>
      <w:r w:rsidRPr="00A46B4D">
        <w:rPr>
          <w:rFonts w:ascii="Times New Roman" w:hAnsi="Times New Roman" w:cs="Times New Roman"/>
          <w:sz w:val="20"/>
          <w:szCs w:val="20"/>
          <w:lang w:val="es-ES"/>
        </w:rPr>
        <w:t xml:space="preserve">la investigación </w:t>
      </w:r>
      <w:r w:rsidR="00E862AA">
        <w:rPr>
          <w:rFonts w:ascii="Times New Roman" w:hAnsi="Times New Roman" w:cs="Times New Roman"/>
          <w:sz w:val="20"/>
          <w:szCs w:val="20"/>
          <w:lang w:val="es-ES"/>
        </w:rPr>
        <w:t xml:space="preserve">a fin de </w:t>
      </w:r>
      <w:r w:rsidRPr="00A46B4D">
        <w:rPr>
          <w:rFonts w:ascii="Times New Roman" w:hAnsi="Times New Roman" w:cs="Times New Roman"/>
          <w:sz w:val="20"/>
          <w:szCs w:val="20"/>
          <w:lang w:val="es-ES"/>
        </w:rPr>
        <w:t xml:space="preserve">incluir la elaboración de modelos y validar los modelos, entre otras cosas subsanando las deficiencias en los modelos, como en el caso de la </w:t>
      </w:r>
      <w:r w:rsidR="00E862AA">
        <w:rPr>
          <w:rFonts w:ascii="Times New Roman" w:hAnsi="Times New Roman" w:cs="Times New Roman"/>
          <w:sz w:val="20"/>
          <w:szCs w:val="20"/>
          <w:lang w:val="es-ES"/>
        </w:rPr>
        <w:t>extracción de oro</w:t>
      </w:r>
      <w:r w:rsidRPr="00A46B4D">
        <w:rPr>
          <w:rFonts w:ascii="Times New Roman" w:hAnsi="Times New Roman" w:cs="Times New Roman"/>
          <w:sz w:val="20"/>
          <w:szCs w:val="20"/>
          <w:lang w:val="es-ES"/>
        </w:rPr>
        <w:t xml:space="preserve"> artesanal y en pequeña escala</w:t>
      </w:r>
      <w:r w:rsidR="00E74725">
        <w:rPr>
          <w:rFonts w:ascii="Times New Roman" w:hAnsi="Times New Roman" w:cs="Times New Roman"/>
          <w:sz w:val="20"/>
          <w:szCs w:val="20"/>
          <w:lang w:val="es-ES"/>
        </w:rPr>
        <w:t>;</w:t>
      </w:r>
      <w:r w:rsidRPr="00A46B4D">
        <w:rPr>
          <w:rFonts w:ascii="Times New Roman" w:hAnsi="Times New Roman" w:cs="Times New Roman"/>
          <w:sz w:val="20"/>
          <w:szCs w:val="20"/>
          <w:lang w:val="es-ES"/>
        </w:rPr>
        <w:t xml:space="preserve"> </w:t>
      </w:r>
    </w:p>
    <w:p w14:paraId="47558CE6" w14:textId="2FFC76C6" w:rsidR="00306F47" w:rsidRPr="00A46B4D" w:rsidRDefault="00306F47" w:rsidP="009B5E5A">
      <w:pPr>
        <w:pStyle w:val="Text"/>
        <w:numPr>
          <w:ilvl w:val="0"/>
          <w:numId w:val="44"/>
        </w:numPr>
        <w:spacing w:after="120" w:line="240" w:lineRule="auto"/>
        <w:ind w:left="2495" w:hanging="624"/>
        <w:rPr>
          <w:rFonts w:ascii="Times New Roman" w:hAnsi="Times New Roman" w:cs="Times New Roman"/>
          <w:color w:val="auto"/>
          <w:sz w:val="20"/>
          <w:szCs w:val="20"/>
          <w:lang w:val="es-ES"/>
        </w:rPr>
      </w:pPr>
      <w:r w:rsidRPr="00A46B4D">
        <w:rPr>
          <w:rFonts w:ascii="Times New Roman" w:hAnsi="Times New Roman" w:cs="Times New Roman"/>
          <w:sz w:val="20"/>
          <w:szCs w:val="20"/>
          <w:lang w:val="es-ES"/>
        </w:rPr>
        <w:t>Solicitar a las organizaciones que trabajen en la elaboración, la validación y utilización ulterior de modelos, incluidos los modelos intercompartimentales (como los de flujos entre la biota, el aire y los seres humanos o entre el aire y el agua)</w:t>
      </w:r>
      <w:r w:rsidR="00E74725">
        <w:rPr>
          <w:rFonts w:ascii="Times New Roman" w:hAnsi="Times New Roman" w:cs="Times New Roman"/>
          <w:sz w:val="20"/>
          <w:szCs w:val="20"/>
          <w:lang w:val="es-ES"/>
        </w:rPr>
        <w:t>;</w:t>
      </w:r>
    </w:p>
    <w:p w14:paraId="380B1BC9" w14:textId="17A77EB0" w:rsidR="00306F47" w:rsidRPr="00A46B4D" w:rsidRDefault="0088701E" w:rsidP="009B5E5A">
      <w:pPr>
        <w:pStyle w:val="Text"/>
        <w:numPr>
          <w:ilvl w:val="0"/>
          <w:numId w:val="44"/>
        </w:numPr>
        <w:spacing w:after="120" w:line="240" w:lineRule="auto"/>
        <w:ind w:left="2495" w:hanging="624"/>
        <w:rPr>
          <w:rFonts w:ascii="Times New Roman" w:hAnsi="Times New Roman" w:cs="Times New Roman"/>
          <w:color w:val="auto"/>
          <w:sz w:val="20"/>
          <w:szCs w:val="20"/>
          <w:lang w:val="es-ES"/>
        </w:rPr>
      </w:pPr>
      <w:r w:rsidRPr="00A46B4D">
        <w:rPr>
          <w:rFonts w:ascii="Times New Roman" w:hAnsi="Times New Roman" w:cs="Times New Roman"/>
          <w:sz w:val="20"/>
          <w:szCs w:val="20"/>
          <w:lang w:val="es-ES"/>
        </w:rPr>
        <w:t>Cerciorarse de que se utilicen los modelos para fundamentar la elaboración del plan de vigilancia, así como cualquier ajuste futuro del plan</w:t>
      </w:r>
      <w:r w:rsidR="00961F04" w:rsidRPr="00A46B4D">
        <w:rPr>
          <w:rFonts w:ascii="Times New Roman" w:hAnsi="Times New Roman" w:cs="Times New Roman"/>
          <w:sz w:val="20"/>
          <w:szCs w:val="20"/>
          <w:lang w:val="es-ES"/>
        </w:rPr>
        <w:t>,</w:t>
      </w:r>
      <w:r w:rsidRPr="00A46B4D">
        <w:rPr>
          <w:rFonts w:ascii="Times New Roman" w:hAnsi="Times New Roman" w:cs="Times New Roman"/>
          <w:sz w:val="20"/>
          <w:szCs w:val="20"/>
          <w:lang w:val="es-ES"/>
        </w:rPr>
        <w:t xml:space="preserve"> y preparar información para la evaluación de la eficacia. </w:t>
      </w:r>
    </w:p>
    <w:p w14:paraId="1D35CBC2" w14:textId="0189E5C1" w:rsidR="00306F47" w:rsidRPr="00A46B4D" w:rsidRDefault="00306F47" w:rsidP="009B5E5A">
      <w:pPr>
        <w:pStyle w:val="Text"/>
        <w:spacing w:after="120" w:line="240" w:lineRule="auto"/>
        <w:ind w:left="1247"/>
        <w:rPr>
          <w:rFonts w:ascii="Times New Roman" w:hAnsi="Times New Roman" w:cs="Times New Roman"/>
          <w:sz w:val="20"/>
          <w:szCs w:val="20"/>
          <w:lang w:val="es-ES"/>
        </w:rPr>
      </w:pPr>
      <w:r w:rsidRPr="00A46B4D">
        <w:rPr>
          <w:rFonts w:ascii="Times New Roman" w:hAnsi="Times New Roman" w:cs="Times New Roman"/>
          <w:b/>
          <w:bCs/>
          <w:sz w:val="20"/>
          <w:szCs w:val="20"/>
          <w:lang w:val="es-ES"/>
        </w:rPr>
        <w:t>Determina</w:t>
      </w:r>
      <w:r w:rsidR="00C07E3E" w:rsidRPr="00A46B4D">
        <w:rPr>
          <w:rFonts w:ascii="Times New Roman" w:hAnsi="Times New Roman" w:cs="Times New Roman"/>
          <w:b/>
          <w:bCs/>
          <w:sz w:val="20"/>
          <w:szCs w:val="20"/>
          <w:lang w:val="es-ES"/>
        </w:rPr>
        <w:t>r</w:t>
      </w:r>
      <w:r w:rsidRPr="00A46B4D">
        <w:rPr>
          <w:rFonts w:ascii="Times New Roman" w:hAnsi="Times New Roman" w:cs="Times New Roman"/>
          <w:b/>
          <w:bCs/>
          <w:sz w:val="20"/>
          <w:szCs w:val="20"/>
          <w:lang w:val="es-ES"/>
        </w:rPr>
        <w:t xml:space="preserve"> las fuentes de datos que pudieran utilizarse para establecer </w:t>
      </w:r>
      <w:r w:rsidR="006167C2" w:rsidRPr="00A46B4D">
        <w:rPr>
          <w:rFonts w:ascii="Times New Roman" w:hAnsi="Times New Roman" w:cs="Times New Roman"/>
          <w:b/>
          <w:bCs/>
          <w:sz w:val="20"/>
          <w:szCs w:val="20"/>
          <w:lang w:val="es-ES"/>
        </w:rPr>
        <w:t>un</w:t>
      </w:r>
      <w:r w:rsidR="00C07E3E" w:rsidRPr="00A46B4D">
        <w:rPr>
          <w:rFonts w:ascii="Times New Roman" w:hAnsi="Times New Roman" w:cs="Times New Roman"/>
          <w:b/>
          <w:bCs/>
          <w:sz w:val="20"/>
          <w:szCs w:val="20"/>
          <w:lang w:val="es-ES"/>
        </w:rPr>
        <w:t xml:space="preserve"> nivel básico</w:t>
      </w:r>
    </w:p>
    <w:p w14:paraId="33D68DDF" w14:textId="1495D6F8" w:rsidR="00306F47" w:rsidRPr="00A46B4D" w:rsidRDefault="00306F47" w:rsidP="009B5E5A">
      <w:pPr>
        <w:pStyle w:val="Text"/>
        <w:numPr>
          <w:ilvl w:val="0"/>
          <w:numId w:val="65"/>
        </w:numPr>
        <w:spacing w:after="120" w:line="240" w:lineRule="auto"/>
        <w:ind w:left="1247" w:firstLine="0"/>
        <w:rPr>
          <w:rFonts w:ascii="Times New Roman" w:hAnsi="Times New Roman" w:cs="Times New Roman"/>
          <w:color w:val="auto"/>
          <w:sz w:val="20"/>
          <w:szCs w:val="20"/>
          <w:lang w:val="es-ES"/>
        </w:rPr>
      </w:pPr>
      <w:r w:rsidRPr="00A46B4D">
        <w:rPr>
          <w:rFonts w:ascii="Times New Roman" w:hAnsi="Times New Roman" w:cs="Times New Roman"/>
          <w:sz w:val="20"/>
          <w:szCs w:val="20"/>
          <w:lang w:val="es-ES"/>
        </w:rPr>
        <w:t>La Conferencia de las Partes debería considerar la posibilidad de organizar un proce</w:t>
      </w:r>
      <w:r w:rsidR="00961F04" w:rsidRPr="00A46B4D">
        <w:rPr>
          <w:rFonts w:ascii="Times New Roman" w:hAnsi="Times New Roman" w:cs="Times New Roman"/>
          <w:sz w:val="20"/>
          <w:szCs w:val="20"/>
          <w:lang w:val="es-ES"/>
        </w:rPr>
        <w:t>dimiento</w:t>
      </w:r>
      <w:r w:rsidRPr="00A46B4D">
        <w:rPr>
          <w:rFonts w:ascii="Times New Roman" w:hAnsi="Times New Roman" w:cs="Times New Roman"/>
          <w:sz w:val="20"/>
          <w:szCs w:val="20"/>
          <w:lang w:val="es-ES"/>
        </w:rPr>
        <w:t xml:space="preserve"> formal para establecer la recopilación, la gestión y la publicación de datos sobre el mercurio </w:t>
      </w:r>
      <w:r w:rsidR="006167C2" w:rsidRPr="00A46B4D">
        <w:rPr>
          <w:rFonts w:ascii="Times New Roman" w:hAnsi="Times New Roman" w:cs="Times New Roman"/>
          <w:sz w:val="20"/>
          <w:szCs w:val="20"/>
          <w:lang w:val="es-ES"/>
        </w:rPr>
        <w:t xml:space="preserve">de conformidad </w:t>
      </w:r>
      <w:r w:rsidRPr="00A46B4D">
        <w:rPr>
          <w:rFonts w:ascii="Times New Roman" w:hAnsi="Times New Roman" w:cs="Times New Roman"/>
          <w:sz w:val="20"/>
          <w:szCs w:val="20"/>
          <w:lang w:val="es-ES"/>
        </w:rPr>
        <w:t xml:space="preserve">con </w:t>
      </w:r>
      <w:r w:rsidR="006167C2" w:rsidRPr="00A46B4D">
        <w:rPr>
          <w:rFonts w:ascii="Times New Roman" w:hAnsi="Times New Roman" w:cs="Times New Roman"/>
          <w:sz w:val="20"/>
          <w:szCs w:val="20"/>
          <w:lang w:val="es-ES"/>
        </w:rPr>
        <w:t>e</w:t>
      </w:r>
      <w:r w:rsidRPr="00A46B4D">
        <w:rPr>
          <w:rFonts w:ascii="Times New Roman" w:hAnsi="Times New Roman" w:cs="Times New Roman"/>
          <w:sz w:val="20"/>
          <w:szCs w:val="20"/>
          <w:lang w:val="es-ES"/>
        </w:rPr>
        <w:t xml:space="preserve">l Convenio de Minamata </w:t>
      </w:r>
      <w:r w:rsidR="006167C2" w:rsidRPr="00A46B4D">
        <w:rPr>
          <w:rFonts w:ascii="Times New Roman" w:hAnsi="Times New Roman" w:cs="Times New Roman"/>
          <w:sz w:val="20"/>
          <w:szCs w:val="20"/>
          <w:lang w:val="es-ES"/>
        </w:rPr>
        <w:t>con miras a</w:t>
      </w:r>
      <w:r w:rsidRPr="00A46B4D">
        <w:rPr>
          <w:rFonts w:ascii="Times New Roman" w:hAnsi="Times New Roman" w:cs="Times New Roman"/>
          <w:sz w:val="20"/>
          <w:szCs w:val="20"/>
          <w:lang w:val="es-ES"/>
        </w:rPr>
        <w:t xml:space="preserve"> facilitar la evaluación de la eficacia, así como la necesidad de establecer </w:t>
      </w:r>
      <w:r w:rsidR="006167C2" w:rsidRPr="00A46B4D">
        <w:rPr>
          <w:rFonts w:ascii="Times New Roman" w:hAnsi="Times New Roman" w:cs="Times New Roman"/>
          <w:sz w:val="20"/>
          <w:szCs w:val="20"/>
          <w:lang w:val="es-ES"/>
        </w:rPr>
        <w:t xml:space="preserve">un nivel básico </w:t>
      </w:r>
      <w:r w:rsidRPr="00A46B4D">
        <w:rPr>
          <w:rFonts w:ascii="Times New Roman" w:hAnsi="Times New Roman" w:cs="Times New Roman"/>
          <w:sz w:val="20"/>
          <w:szCs w:val="20"/>
          <w:lang w:val="es-ES"/>
        </w:rPr>
        <w:t xml:space="preserve">para este proceso. </w:t>
      </w:r>
      <w:r w:rsidR="006A5243" w:rsidRPr="00A46B4D">
        <w:rPr>
          <w:rFonts w:ascii="Times New Roman" w:hAnsi="Times New Roman" w:cs="Times New Roman"/>
          <w:sz w:val="20"/>
          <w:szCs w:val="20"/>
          <w:lang w:val="es-ES"/>
        </w:rPr>
        <w:t>Al adoptar esas disposiciones, s</w:t>
      </w:r>
      <w:r w:rsidRPr="00A46B4D">
        <w:rPr>
          <w:rFonts w:ascii="Times New Roman" w:hAnsi="Times New Roman" w:cs="Times New Roman"/>
          <w:sz w:val="20"/>
          <w:szCs w:val="20"/>
          <w:lang w:val="es-ES"/>
        </w:rPr>
        <w:t>e deberían tomar en consideración las fuentes de información disponibles, incluida la Evaluación Mundial del</w:t>
      </w:r>
      <w:r w:rsidR="00A46B4D">
        <w:rPr>
          <w:rFonts w:ascii="Times New Roman" w:hAnsi="Times New Roman" w:cs="Times New Roman"/>
          <w:sz w:val="20"/>
          <w:szCs w:val="20"/>
          <w:lang w:val="es-ES"/>
        </w:rPr>
        <w:t> </w:t>
      </w:r>
      <w:r w:rsidRPr="00A46B4D">
        <w:rPr>
          <w:rFonts w:ascii="Times New Roman" w:hAnsi="Times New Roman" w:cs="Times New Roman"/>
          <w:sz w:val="20"/>
          <w:szCs w:val="20"/>
          <w:lang w:val="es-ES"/>
        </w:rPr>
        <w:t>Mercurio.</w:t>
      </w:r>
    </w:p>
    <w:p w14:paraId="490D66EC" w14:textId="025A5E89" w:rsidR="00306F47" w:rsidRPr="00A46B4D" w:rsidRDefault="00306F47" w:rsidP="009B5E5A">
      <w:pPr>
        <w:pStyle w:val="Text"/>
        <w:spacing w:after="120" w:line="240" w:lineRule="auto"/>
        <w:ind w:left="1247"/>
        <w:rPr>
          <w:rFonts w:ascii="Times New Roman" w:hAnsi="Times New Roman" w:cs="Times New Roman"/>
          <w:color w:val="auto"/>
          <w:sz w:val="20"/>
          <w:szCs w:val="20"/>
          <w:lang w:val="es-ES"/>
        </w:rPr>
      </w:pPr>
      <w:r w:rsidRPr="00A46B4D">
        <w:rPr>
          <w:rFonts w:ascii="Times New Roman" w:hAnsi="Times New Roman" w:cs="Times New Roman"/>
          <w:b/>
          <w:bCs/>
          <w:sz w:val="20"/>
          <w:szCs w:val="20"/>
          <w:lang w:val="es-ES"/>
        </w:rPr>
        <w:t>Determina</w:t>
      </w:r>
      <w:r w:rsidR="006167C2" w:rsidRPr="00A46B4D">
        <w:rPr>
          <w:rFonts w:ascii="Times New Roman" w:hAnsi="Times New Roman" w:cs="Times New Roman"/>
          <w:b/>
          <w:bCs/>
          <w:sz w:val="20"/>
          <w:szCs w:val="20"/>
          <w:lang w:val="es-ES"/>
        </w:rPr>
        <w:t>r</w:t>
      </w:r>
      <w:r w:rsidRPr="00A46B4D">
        <w:rPr>
          <w:rFonts w:ascii="Times New Roman" w:hAnsi="Times New Roman" w:cs="Times New Roman"/>
          <w:b/>
          <w:bCs/>
          <w:sz w:val="20"/>
          <w:szCs w:val="20"/>
          <w:lang w:val="es-ES"/>
        </w:rPr>
        <w:t xml:space="preserve"> la manera en que las actividades de vigilancia pudieran contribuir a la elaboración del marco de evaluación de la eficacia</w:t>
      </w:r>
    </w:p>
    <w:p w14:paraId="22324D71" w14:textId="2B61EE5C" w:rsidR="00306F47" w:rsidRPr="009B5E5A" w:rsidRDefault="00306F47" w:rsidP="009B5E5A">
      <w:pPr>
        <w:pStyle w:val="Text"/>
        <w:numPr>
          <w:ilvl w:val="0"/>
          <w:numId w:val="65"/>
        </w:numPr>
        <w:spacing w:after="120" w:line="240" w:lineRule="auto"/>
        <w:ind w:left="1247" w:firstLine="0"/>
        <w:rPr>
          <w:rFonts w:ascii="Times New Roman" w:hAnsi="Times New Roman" w:cs="Times New Roman"/>
          <w:color w:val="auto"/>
          <w:sz w:val="20"/>
          <w:szCs w:val="20"/>
          <w:lang w:val="es-ES"/>
        </w:rPr>
      </w:pPr>
      <w:r w:rsidRPr="00A46B4D">
        <w:rPr>
          <w:rFonts w:ascii="Times New Roman" w:hAnsi="Times New Roman" w:cs="Times New Roman"/>
          <w:sz w:val="20"/>
          <w:szCs w:val="20"/>
          <w:lang w:val="es-ES"/>
        </w:rPr>
        <w:t>Las recomendaciones sobre la manera en que la información obtenida de la vigilancia, junto con la evaluación adecuada de la causalidad, p</w:t>
      </w:r>
      <w:r w:rsidR="006167C2" w:rsidRPr="00A46B4D">
        <w:rPr>
          <w:rFonts w:ascii="Times New Roman" w:hAnsi="Times New Roman" w:cs="Times New Roman"/>
          <w:sz w:val="20"/>
          <w:szCs w:val="20"/>
          <w:lang w:val="es-ES"/>
        </w:rPr>
        <w:t>udiera</w:t>
      </w:r>
      <w:r w:rsidRPr="00A46B4D">
        <w:rPr>
          <w:rFonts w:ascii="Times New Roman" w:hAnsi="Times New Roman" w:cs="Times New Roman"/>
          <w:sz w:val="20"/>
          <w:szCs w:val="20"/>
          <w:lang w:val="es-ES"/>
        </w:rPr>
        <w:t xml:space="preserve"> contribuir a la evaluación de determinados artículos, son las siguientes: </w:t>
      </w:r>
    </w:p>
    <w:tbl>
      <w:tblPr>
        <w:tblStyle w:val="Grilledutableau"/>
        <w:tblW w:w="7795" w:type="dxa"/>
        <w:tblInd w:w="1247" w:type="dxa"/>
        <w:tblLayout w:type="fixed"/>
        <w:tblLook w:val="04A0" w:firstRow="1" w:lastRow="0" w:firstColumn="1" w:lastColumn="0" w:noHBand="0" w:noVBand="1"/>
      </w:tblPr>
      <w:tblGrid>
        <w:gridCol w:w="1401"/>
        <w:gridCol w:w="6394"/>
      </w:tblGrid>
      <w:tr w:rsidR="009B5E5A" w:rsidRPr="009B5E5A" w14:paraId="472BB050" w14:textId="77777777" w:rsidTr="009B5E5A">
        <w:tc>
          <w:tcPr>
            <w:tcW w:w="1401" w:type="dxa"/>
          </w:tcPr>
          <w:p w14:paraId="46E5BCDA" w14:textId="77777777" w:rsidR="009B5E5A" w:rsidRPr="009B5E5A" w:rsidRDefault="009B5E5A" w:rsidP="00602DAE">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jc w:val="center"/>
              <w:rPr>
                <w:rFonts w:ascii="Times New Roman" w:hAnsi="Times New Roman" w:cs="Times New Roman"/>
                <w:i/>
                <w:color w:val="auto"/>
                <w:sz w:val="18"/>
                <w:szCs w:val="18"/>
                <w:lang w:val="es-ES"/>
              </w:rPr>
            </w:pPr>
            <w:r w:rsidRPr="009B5E5A">
              <w:rPr>
                <w:rFonts w:ascii="Times New Roman" w:hAnsi="Times New Roman" w:cs="Times New Roman"/>
                <w:i/>
                <w:iCs/>
                <w:sz w:val="18"/>
                <w:szCs w:val="18"/>
                <w:lang w:val="es-ES"/>
              </w:rPr>
              <w:t>Artículo</w:t>
            </w:r>
          </w:p>
        </w:tc>
        <w:tc>
          <w:tcPr>
            <w:tcW w:w="6394" w:type="dxa"/>
          </w:tcPr>
          <w:p w14:paraId="768AD574" w14:textId="77777777" w:rsidR="009B5E5A" w:rsidRPr="009B5E5A" w:rsidRDefault="009B5E5A" w:rsidP="00602DAE">
            <w:pPr>
              <w:pStyle w:val="Paragraphedeliste"/>
              <w:tabs>
                <w:tab w:val="left" w:pos="1163"/>
              </w:tabs>
              <w:spacing w:after="40"/>
              <w:ind w:left="360"/>
              <w:jc w:val="center"/>
              <w:rPr>
                <w:rFonts w:eastAsia="Roboto"/>
                <w:i/>
                <w:sz w:val="18"/>
                <w:szCs w:val="18"/>
                <w:lang w:val="es-ES"/>
              </w:rPr>
            </w:pPr>
            <w:r w:rsidRPr="009B5E5A">
              <w:rPr>
                <w:i/>
                <w:iCs/>
                <w:sz w:val="18"/>
                <w:szCs w:val="18"/>
                <w:lang w:val="es-ES"/>
              </w:rPr>
              <w:t>Descripción de la manera en que los datos de vigilancia mundial (aire, seres humanos, biota) pudieran contribuir a la evaluación de la eficacia del Convenio</w:t>
            </w:r>
          </w:p>
        </w:tc>
      </w:tr>
      <w:tr w:rsidR="009B5E5A" w:rsidRPr="009B5E5A" w14:paraId="1D5DD206" w14:textId="77777777" w:rsidTr="009B5E5A">
        <w:tc>
          <w:tcPr>
            <w:tcW w:w="1401" w:type="dxa"/>
          </w:tcPr>
          <w:p w14:paraId="7217B990" w14:textId="77777777" w:rsidR="009B5E5A" w:rsidRPr="009B5E5A" w:rsidRDefault="009B5E5A" w:rsidP="00602DAE">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rPr>
                <w:rFonts w:ascii="Times New Roman" w:hAnsi="Times New Roman" w:cs="Times New Roman"/>
                <w:color w:val="auto"/>
                <w:sz w:val="18"/>
                <w:szCs w:val="18"/>
                <w:lang w:val="es-ES"/>
              </w:rPr>
            </w:pPr>
            <w:r w:rsidRPr="009B5E5A">
              <w:rPr>
                <w:rFonts w:ascii="Times New Roman" w:hAnsi="Times New Roman" w:cs="Times New Roman"/>
                <w:sz w:val="18"/>
                <w:szCs w:val="18"/>
                <w:lang w:val="es-ES"/>
              </w:rPr>
              <w:t xml:space="preserve">Artículo 1 - Objetivo </w:t>
            </w:r>
          </w:p>
        </w:tc>
        <w:tc>
          <w:tcPr>
            <w:tcW w:w="6394" w:type="dxa"/>
          </w:tcPr>
          <w:p w14:paraId="1336B49D" w14:textId="77777777" w:rsidR="009B5E5A" w:rsidRPr="009B5E5A" w:rsidRDefault="009B5E5A" w:rsidP="00602DAE">
            <w:pPr>
              <w:pStyle w:val="Paragraphedeliste"/>
              <w:numPr>
                <w:ilvl w:val="0"/>
                <w:numId w:val="40"/>
              </w:numPr>
              <w:pBdr>
                <w:top w:val="nil"/>
                <w:left w:val="nil"/>
                <w:bottom w:val="nil"/>
                <w:right w:val="nil"/>
                <w:between w:val="nil"/>
                <w:bar w:val="nil"/>
              </w:pBdr>
              <w:spacing w:after="40"/>
              <w:rPr>
                <w:rFonts w:eastAsia="Roboto"/>
                <w:sz w:val="18"/>
                <w:szCs w:val="18"/>
                <w:lang w:val="es-ES"/>
              </w:rPr>
            </w:pPr>
            <w:r w:rsidRPr="009B5E5A">
              <w:rPr>
                <w:sz w:val="18"/>
                <w:szCs w:val="18"/>
                <w:lang w:val="es-ES"/>
              </w:rPr>
              <w:t>Nivel de mercurio en el aire, la biota y los seres humanos</w:t>
            </w:r>
          </w:p>
          <w:p w14:paraId="34BBA2B5" w14:textId="77777777" w:rsidR="009B5E5A" w:rsidRPr="009B5E5A" w:rsidRDefault="009B5E5A" w:rsidP="00602DAE">
            <w:pPr>
              <w:pStyle w:val="Tex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rPr>
                <w:rFonts w:ascii="Times New Roman" w:hAnsi="Times New Roman" w:cs="Times New Roman"/>
                <w:color w:val="auto"/>
                <w:sz w:val="18"/>
                <w:szCs w:val="18"/>
                <w:lang w:val="es-ES"/>
              </w:rPr>
            </w:pPr>
            <w:r w:rsidRPr="009B5E5A">
              <w:rPr>
                <w:rFonts w:ascii="Times New Roman" w:hAnsi="Times New Roman" w:cs="Times New Roman"/>
                <w:sz w:val="18"/>
                <w:szCs w:val="18"/>
                <w:lang w:val="es-ES"/>
              </w:rPr>
              <w:t xml:space="preserve">Atribución de los niveles de mercurio en el medio ambiente y los seres humanos provenientes de las liberaciones y emisiones </w:t>
            </w:r>
            <w:proofErr w:type="spellStart"/>
            <w:r w:rsidRPr="009B5E5A">
              <w:rPr>
                <w:rFonts w:ascii="Times New Roman" w:hAnsi="Times New Roman" w:cs="Times New Roman"/>
                <w:sz w:val="18"/>
                <w:szCs w:val="18"/>
                <w:lang w:val="es-ES"/>
              </w:rPr>
              <w:t>antropógenas</w:t>
            </w:r>
            <w:proofErr w:type="spellEnd"/>
            <w:r w:rsidRPr="009B5E5A">
              <w:rPr>
                <w:rFonts w:ascii="Times New Roman" w:hAnsi="Times New Roman" w:cs="Times New Roman"/>
                <w:sz w:val="18"/>
                <w:szCs w:val="18"/>
                <w:lang w:val="es-ES"/>
              </w:rPr>
              <w:t>, estimada a partir de la información obtenida de los modelos</w:t>
            </w:r>
          </w:p>
        </w:tc>
      </w:tr>
      <w:tr w:rsidR="009B5E5A" w:rsidRPr="009B5E5A" w14:paraId="6D8BDBA2" w14:textId="77777777" w:rsidTr="009B5E5A">
        <w:tc>
          <w:tcPr>
            <w:tcW w:w="1401" w:type="dxa"/>
          </w:tcPr>
          <w:p w14:paraId="334EE29C" w14:textId="77777777" w:rsidR="009B5E5A" w:rsidRPr="009B5E5A" w:rsidRDefault="009B5E5A" w:rsidP="00602DAE">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rPr>
                <w:rFonts w:ascii="Times New Roman" w:hAnsi="Times New Roman" w:cs="Times New Roman"/>
                <w:color w:val="auto"/>
                <w:sz w:val="18"/>
                <w:szCs w:val="18"/>
                <w:lang w:val="es-ES"/>
              </w:rPr>
            </w:pPr>
            <w:r w:rsidRPr="009B5E5A">
              <w:rPr>
                <w:rFonts w:ascii="Times New Roman" w:hAnsi="Times New Roman" w:cs="Times New Roman"/>
                <w:sz w:val="18"/>
                <w:szCs w:val="18"/>
                <w:lang w:val="es-ES"/>
              </w:rPr>
              <w:t>Artículo 7 - Extracción de oro artesanal y en pequeña escala</w:t>
            </w:r>
          </w:p>
        </w:tc>
        <w:tc>
          <w:tcPr>
            <w:tcW w:w="6394" w:type="dxa"/>
          </w:tcPr>
          <w:p w14:paraId="74583783" w14:textId="77777777" w:rsidR="009B5E5A" w:rsidRPr="009B5E5A" w:rsidRDefault="009B5E5A" w:rsidP="00602DAE">
            <w:pPr>
              <w:pStyle w:val="Paragraphedeliste"/>
              <w:numPr>
                <w:ilvl w:val="0"/>
                <w:numId w:val="41"/>
              </w:numPr>
              <w:pBdr>
                <w:top w:val="nil"/>
                <w:left w:val="nil"/>
                <w:bottom w:val="nil"/>
                <w:right w:val="nil"/>
                <w:between w:val="nil"/>
                <w:bar w:val="nil"/>
              </w:pBdr>
              <w:tabs>
                <w:tab w:val="left" w:pos="477"/>
              </w:tabs>
              <w:spacing w:after="40"/>
              <w:rPr>
                <w:rFonts w:eastAsia="Roboto"/>
                <w:sz w:val="18"/>
                <w:szCs w:val="18"/>
                <w:lang w:val="es-ES"/>
              </w:rPr>
            </w:pPr>
            <w:r w:rsidRPr="009B5E5A">
              <w:rPr>
                <w:sz w:val="18"/>
                <w:szCs w:val="18"/>
                <w:lang w:val="es-ES"/>
              </w:rPr>
              <w:t>Niveles de mercurio en los seres humanos</w:t>
            </w:r>
          </w:p>
          <w:p w14:paraId="7756894F" w14:textId="77777777" w:rsidR="009B5E5A" w:rsidRPr="009B5E5A" w:rsidRDefault="009B5E5A" w:rsidP="00602DAE">
            <w:pPr>
              <w:pStyle w:val="Paragraphedeliste"/>
              <w:numPr>
                <w:ilvl w:val="0"/>
                <w:numId w:val="41"/>
              </w:numPr>
              <w:pBdr>
                <w:top w:val="nil"/>
                <w:left w:val="nil"/>
                <w:bottom w:val="nil"/>
                <w:right w:val="nil"/>
                <w:between w:val="nil"/>
                <w:bar w:val="nil"/>
              </w:pBdr>
              <w:tabs>
                <w:tab w:val="left" w:pos="477"/>
              </w:tabs>
              <w:spacing w:after="40"/>
              <w:rPr>
                <w:rFonts w:eastAsia="Roboto"/>
                <w:sz w:val="18"/>
                <w:szCs w:val="18"/>
                <w:lang w:val="es-ES"/>
              </w:rPr>
            </w:pPr>
            <w:r w:rsidRPr="009B5E5A">
              <w:rPr>
                <w:sz w:val="18"/>
                <w:szCs w:val="18"/>
                <w:lang w:val="es-ES"/>
              </w:rPr>
              <w:t>Niveles de mercurio en los peces y otros componentes de la biota de ejecución de actividades de extracción de oro artesanal y en pequeña escala</w:t>
            </w:r>
          </w:p>
          <w:p w14:paraId="4DDE8B1E" w14:textId="77777777" w:rsidR="009B5E5A" w:rsidRPr="009B5E5A" w:rsidRDefault="009B5E5A" w:rsidP="00602DAE">
            <w:pPr>
              <w:pStyle w:val="T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77"/>
              </w:tabs>
              <w:spacing w:after="40" w:line="240" w:lineRule="auto"/>
              <w:rPr>
                <w:rFonts w:ascii="Times New Roman" w:hAnsi="Times New Roman" w:cs="Times New Roman"/>
                <w:color w:val="auto"/>
                <w:sz w:val="18"/>
                <w:szCs w:val="18"/>
                <w:lang w:val="es-ES"/>
              </w:rPr>
            </w:pPr>
            <w:r w:rsidRPr="009B5E5A">
              <w:rPr>
                <w:rFonts w:ascii="Times New Roman" w:hAnsi="Times New Roman" w:cs="Times New Roman"/>
                <w:sz w:val="18"/>
                <w:szCs w:val="18"/>
                <w:lang w:val="es-ES"/>
              </w:rPr>
              <w:t>Niveles de mercurio en el aire ambiente</w:t>
            </w:r>
          </w:p>
        </w:tc>
      </w:tr>
      <w:tr w:rsidR="009B5E5A" w:rsidRPr="009B5E5A" w14:paraId="16A50DF8" w14:textId="77777777" w:rsidTr="009B5E5A">
        <w:tc>
          <w:tcPr>
            <w:tcW w:w="1401" w:type="dxa"/>
          </w:tcPr>
          <w:p w14:paraId="2975B89C" w14:textId="77777777" w:rsidR="009B5E5A" w:rsidRPr="009B5E5A" w:rsidRDefault="009B5E5A" w:rsidP="00602DAE">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rPr>
                <w:rFonts w:ascii="Times New Roman" w:hAnsi="Times New Roman" w:cs="Times New Roman"/>
                <w:color w:val="auto"/>
                <w:sz w:val="18"/>
                <w:szCs w:val="18"/>
                <w:lang w:val="es-ES"/>
              </w:rPr>
            </w:pPr>
            <w:r w:rsidRPr="009B5E5A">
              <w:rPr>
                <w:rFonts w:ascii="Times New Roman" w:hAnsi="Times New Roman" w:cs="Times New Roman"/>
                <w:sz w:val="18"/>
                <w:szCs w:val="18"/>
                <w:lang w:val="es-ES"/>
              </w:rPr>
              <w:t>Artículo 8 - Emisiones</w:t>
            </w:r>
          </w:p>
        </w:tc>
        <w:tc>
          <w:tcPr>
            <w:tcW w:w="6394" w:type="dxa"/>
          </w:tcPr>
          <w:p w14:paraId="2437FBBC" w14:textId="77777777" w:rsidR="009B5E5A" w:rsidRPr="009B5E5A" w:rsidRDefault="009B5E5A" w:rsidP="00602DAE">
            <w:pPr>
              <w:pStyle w:val="Paragraphedeliste"/>
              <w:numPr>
                <w:ilvl w:val="0"/>
                <w:numId w:val="42"/>
              </w:numPr>
              <w:pBdr>
                <w:top w:val="nil"/>
                <w:left w:val="nil"/>
                <w:bottom w:val="nil"/>
                <w:right w:val="nil"/>
                <w:between w:val="nil"/>
                <w:bar w:val="nil"/>
              </w:pBdr>
              <w:tabs>
                <w:tab w:val="left" w:pos="477"/>
              </w:tabs>
              <w:spacing w:after="40"/>
              <w:rPr>
                <w:rFonts w:eastAsia="Roboto"/>
                <w:iCs/>
                <w:sz w:val="18"/>
                <w:szCs w:val="18"/>
                <w:lang w:val="es-ES"/>
              </w:rPr>
            </w:pPr>
            <w:r w:rsidRPr="009B5E5A">
              <w:rPr>
                <w:sz w:val="18"/>
                <w:szCs w:val="18"/>
                <w:lang w:val="es-ES"/>
              </w:rPr>
              <w:t>Niveles de mercurio en el aire ambiente</w:t>
            </w:r>
          </w:p>
          <w:p w14:paraId="12C12494" w14:textId="77777777" w:rsidR="009B5E5A" w:rsidRPr="009B5E5A" w:rsidRDefault="009B5E5A" w:rsidP="00602DAE">
            <w:pPr>
              <w:pStyle w:val="Tex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477"/>
              </w:tabs>
              <w:spacing w:after="40" w:line="240" w:lineRule="auto"/>
              <w:rPr>
                <w:rFonts w:ascii="Times New Roman" w:hAnsi="Times New Roman" w:cs="Times New Roman"/>
                <w:iCs/>
                <w:color w:val="auto"/>
                <w:sz w:val="18"/>
                <w:szCs w:val="18"/>
                <w:lang w:val="es-ES"/>
              </w:rPr>
            </w:pPr>
            <w:r w:rsidRPr="009B5E5A">
              <w:rPr>
                <w:rFonts w:ascii="Times New Roman" w:hAnsi="Times New Roman" w:cs="Times New Roman"/>
                <w:sz w:val="18"/>
                <w:szCs w:val="18"/>
                <w:lang w:val="es-ES"/>
              </w:rPr>
              <w:t>Niveles de mercurio en la biota para el examen de los efectos locales y el transporte a larga distancia</w:t>
            </w:r>
          </w:p>
        </w:tc>
      </w:tr>
      <w:tr w:rsidR="009B5E5A" w:rsidRPr="009B5E5A" w14:paraId="7177D8B9" w14:textId="77777777" w:rsidTr="009B5E5A">
        <w:tc>
          <w:tcPr>
            <w:tcW w:w="1401" w:type="dxa"/>
          </w:tcPr>
          <w:p w14:paraId="5515B284" w14:textId="77777777" w:rsidR="009B5E5A" w:rsidRPr="009B5E5A" w:rsidRDefault="009B5E5A" w:rsidP="00602DAE">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rPr>
                <w:rFonts w:ascii="Times New Roman" w:hAnsi="Times New Roman" w:cs="Times New Roman"/>
                <w:color w:val="auto"/>
                <w:sz w:val="18"/>
                <w:szCs w:val="18"/>
                <w:lang w:val="es-ES"/>
              </w:rPr>
            </w:pPr>
            <w:r w:rsidRPr="009B5E5A">
              <w:rPr>
                <w:rFonts w:ascii="Times New Roman" w:hAnsi="Times New Roman" w:cs="Times New Roman"/>
                <w:sz w:val="18"/>
                <w:szCs w:val="18"/>
                <w:lang w:val="es-ES"/>
              </w:rPr>
              <w:t>Artículo 9 - Liberaciones</w:t>
            </w:r>
          </w:p>
        </w:tc>
        <w:tc>
          <w:tcPr>
            <w:tcW w:w="6394" w:type="dxa"/>
          </w:tcPr>
          <w:p w14:paraId="3C6E6079" w14:textId="77777777" w:rsidR="009B5E5A" w:rsidRPr="009B5E5A" w:rsidRDefault="009B5E5A" w:rsidP="00602DAE">
            <w:pPr>
              <w:pStyle w:val="Paragraphedeliste"/>
              <w:numPr>
                <w:ilvl w:val="0"/>
                <w:numId w:val="42"/>
              </w:numPr>
              <w:pBdr>
                <w:top w:val="nil"/>
                <w:left w:val="nil"/>
                <w:bottom w:val="nil"/>
                <w:right w:val="nil"/>
                <w:between w:val="nil"/>
                <w:bar w:val="nil"/>
              </w:pBdr>
              <w:tabs>
                <w:tab w:val="left" w:pos="477"/>
              </w:tabs>
              <w:spacing w:after="40"/>
              <w:rPr>
                <w:rFonts w:eastAsia="Roboto"/>
                <w:iCs/>
                <w:sz w:val="18"/>
                <w:szCs w:val="18"/>
                <w:lang w:val="es-ES"/>
              </w:rPr>
            </w:pPr>
            <w:r w:rsidRPr="009B5E5A">
              <w:rPr>
                <w:sz w:val="18"/>
                <w:szCs w:val="18"/>
                <w:lang w:val="es-ES"/>
              </w:rPr>
              <w:t>Niveles de mercurio en los peces y otros componentes de la biota y los seres humanos</w:t>
            </w:r>
          </w:p>
        </w:tc>
      </w:tr>
      <w:tr w:rsidR="009B5E5A" w:rsidRPr="009B5E5A" w14:paraId="6329EE24" w14:textId="77777777" w:rsidTr="009B5E5A">
        <w:tc>
          <w:tcPr>
            <w:tcW w:w="1401" w:type="dxa"/>
          </w:tcPr>
          <w:p w14:paraId="1DC21816" w14:textId="77777777" w:rsidR="009B5E5A" w:rsidRPr="009B5E5A" w:rsidRDefault="009B5E5A" w:rsidP="00602DAE">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rPr>
                <w:rFonts w:ascii="Times New Roman" w:hAnsi="Times New Roman" w:cs="Times New Roman"/>
                <w:color w:val="auto"/>
                <w:sz w:val="18"/>
                <w:szCs w:val="18"/>
                <w:lang w:val="es-ES"/>
              </w:rPr>
            </w:pPr>
            <w:r w:rsidRPr="009B5E5A">
              <w:rPr>
                <w:rFonts w:ascii="Times New Roman" w:hAnsi="Times New Roman" w:cs="Times New Roman"/>
                <w:sz w:val="18"/>
                <w:szCs w:val="18"/>
                <w:lang w:val="es-ES"/>
              </w:rPr>
              <w:t>Artículo 12 - Sitios contaminados.</w:t>
            </w:r>
          </w:p>
        </w:tc>
        <w:tc>
          <w:tcPr>
            <w:tcW w:w="6394" w:type="dxa"/>
          </w:tcPr>
          <w:p w14:paraId="3A22C69B" w14:textId="77777777" w:rsidR="009B5E5A" w:rsidRPr="009B5E5A" w:rsidRDefault="009B5E5A" w:rsidP="00602DAE">
            <w:pPr>
              <w:pStyle w:val="Tex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rPr>
                <w:rFonts w:ascii="Times New Roman" w:hAnsi="Times New Roman" w:cs="Times New Roman"/>
                <w:color w:val="auto"/>
                <w:sz w:val="18"/>
                <w:szCs w:val="18"/>
                <w:lang w:val="es-ES"/>
              </w:rPr>
            </w:pPr>
            <w:r w:rsidRPr="009B5E5A">
              <w:rPr>
                <w:rFonts w:ascii="Times New Roman" w:hAnsi="Times New Roman" w:cs="Times New Roman"/>
                <w:sz w:val="18"/>
                <w:szCs w:val="18"/>
                <w:lang w:val="es-ES"/>
              </w:rPr>
              <w:t>Niveles de mercurio en el aire, la biota y los seres humanos</w:t>
            </w:r>
          </w:p>
        </w:tc>
      </w:tr>
      <w:tr w:rsidR="009B5E5A" w:rsidRPr="009B5E5A" w14:paraId="34675034" w14:textId="77777777" w:rsidTr="009B5E5A">
        <w:tc>
          <w:tcPr>
            <w:tcW w:w="1401" w:type="dxa"/>
          </w:tcPr>
          <w:p w14:paraId="5AA1C001" w14:textId="77777777" w:rsidR="009B5E5A" w:rsidRPr="009B5E5A" w:rsidRDefault="009B5E5A" w:rsidP="00602DAE">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rPr>
                <w:rFonts w:ascii="Times New Roman" w:hAnsi="Times New Roman" w:cs="Times New Roman"/>
                <w:color w:val="auto"/>
                <w:sz w:val="18"/>
                <w:szCs w:val="18"/>
                <w:lang w:val="es-ES"/>
              </w:rPr>
            </w:pPr>
            <w:r w:rsidRPr="009B5E5A">
              <w:rPr>
                <w:rFonts w:ascii="Times New Roman" w:hAnsi="Times New Roman" w:cs="Times New Roman"/>
                <w:sz w:val="18"/>
                <w:szCs w:val="18"/>
                <w:lang w:val="es-ES"/>
              </w:rPr>
              <w:t>Artículo 16 - Aspectos relacionados con la salud</w:t>
            </w:r>
          </w:p>
        </w:tc>
        <w:tc>
          <w:tcPr>
            <w:tcW w:w="6394" w:type="dxa"/>
          </w:tcPr>
          <w:p w14:paraId="0A4FD9E8" w14:textId="77777777" w:rsidR="009B5E5A" w:rsidRPr="009B5E5A" w:rsidRDefault="009B5E5A" w:rsidP="00602DAE">
            <w:pPr>
              <w:pStyle w:val="Tex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rPr>
                <w:rFonts w:ascii="Times New Roman" w:hAnsi="Times New Roman" w:cs="Times New Roman"/>
                <w:color w:val="auto"/>
                <w:sz w:val="18"/>
                <w:szCs w:val="18"/>
                <w:lang w:val="es-ES"/>
              </w:rPr>
            </w:pPr>
            <w:r w:rsidRPr="009B5E5A">
              <w:rPr>
                <w:rFonts w:ascii="Times New Roman" w:hAnsi="Times New Roman" w:cs="Times New Roman"/>
                <w:sz w:val="18"/>
                <w:szCs w:val="18"/>
                <w:lang w:val="es-ES"/>
              </w:rPr>
              <w:t>Niveles de mercurio en los seres humanos (monitoriza los progresos logrados en la protección de las poblaciones vulnerables)</w:t>
            </w:r>
          </w:p>
        </w:tc>
      </w:tr>
      <w:tr w:rsidR="009B5E5A" w:rsidRPr="009B5E5A" w14:paraId="03C5B4CC" w14:textId="77777777" w:rsidTr="009B5E5A">
        <w:tc>
          <w:tcPr>
            <w:tcW w:w="1401" w:type="dxa"/>
          </w:tcPr>
          <w:p w14:paraId="7A7CBA32" w14:textId="77777777" w:rsidR="009B5E5A" w:rsidRPr="009B5E5A" w:rsidRDefault="009B5E5A" w:rsidP="00602DAE">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rPr>
                <w:rFonts w:ascii="Times New Roman" w:hAnsi="Times New Roman" w:cs="Times New Roman"/>
                <w:color w:val="auto"/>
                <w:sz w:val="18"/>
                <w:szCs w:val="18"/>
                <w:lang w:val="es-ES"/>
              </w:rPr>
            </w:pPr>
            <w:r w:rsidRPr="009B5E5A">
              <w:rPr>
                <w:rFonts w:ascii="Times New Roman" w:hAnsi="Times New Roman" w:cs="Times New Roman"/>
                <w:sz w:val="18"/>
                <w:szCs w:val="18"/>
                <w:lang w:val="es-ES"/>
              </w:rPr>
              <w:t>Artículo 18 - Información, sensibilización y formación del público</w:t>
            </w:r>
          </w:p>
        </w:tc>
        <w:tc>
          <w:tcPr>
            <w:tcW w:w="6394" w:type="dxa"/>
          </w:tcPr>
          <w:p w14:paraId="1E00122B" w14:textId="77777777" w:rsidR="009B5E5A" w:rsidRPr="009B5E5A" w:rsidRDefault="009B5E5A" w:rsidP="00602DAE">
            <w:pPr>
              <w:pStyle w:val="Paragraphedeliste"/>
              <w:numPr>
                <w:ilvl w:val="0"/>
                <w:numId w:val="43"/>
              </w:numPr>
              <w:pBdr>
                <w:top w:val="nil"/>
                <w:left w:val="nil"/>
                <w:bottom w:val="nil"/>
                <w:right w:val="nil"/>
                <w:between w:val="nil"/>
                <w:bar w:val="nil"/>
              </w:pBdr>
              <w:spacing w:after="40"/>
              <w:rPr>
                <w:rFonts w:eastAsia="Roboto"/>
                <w:sz w:val="18"/>
                <w:szCs w:val="18"/>
                <w:lang w:val="es-ES"/>
              </w:rPr>
            </w:pPr>
            <w:r w:rsidRPr="009B5E5A">
              <w:rPr>
                <w:sz w:val="18"/>
                <w:szCs w:val="18"/>
                <w:lang w:val="es-ES"/>
              </w:rPr>
              <w:t>Número de Partes que cuentan con información pública sobre los niveles de mercurio en el aire, la biota y los seres humanos</w:t>
            </w:r>
          </w:p>
        </w:tc>
      </w:tr>
      <w:tr w:rsidR="009B5E5A" w:rsidRPr="009B5E5A" w14:paraId="5217FE7F" w14:textId="77777777" w:rsidTr="009B5E5A">
        <w:tc>
          <w:tcPr>
            <w:tcW w:w="1401" w:type="dxa"/>
          </w:tcPr>
          <w:p w14:paraId="52B599ED" w14:textId="77777777" w:rsidR="009B5E5A" w:rsidRPr="009B5E5A" w:rsidRDefault="009B5E5A" w:rsidP="00602DAE">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rPr>
                <w:rFonts w:ascii="Times New Roman" w:hAnsi="Times New Roman" w:cs="Times New Roman"/>
                <w:color w:val="auto"/>
                <w:sz w:val="18"/>
                <w:szCs w:val="18"/>
                <w:lang w:val="es-ES"/>
              </w:rPr>
            </w:pPr>
            <w:r w:rsidRPr="009B5E5A">
              <w:rPr>
                <w:rFonts w:ascii="Times New Roman" w:hAnsi="Times New Roman" w:cs="Times New Roman"/>
                <w:sz w:val="18"/>
                <w:szCs w:val="18"/>
                <w:lang w:val="es-ES"/>
              </w:rPr>
              <w:t>Artículo 19 - Investigación, desarrollo y vigilancia</w:t>
            </w:r>
          </w:p>
        </w:tc>
        <w:tc>
          <w:tcPr>
            <w:tcW w:w="6394" w:type="dxa"/>
          </w:tcPr>
          <w:p w14:paraId="1BDEEC32" w14:textId="77777777" w:rsidR="009B5E5A" w:rsidRPr="009B5E5A" w:rsidRDefault="009B5E5A" w:rsidP="00602DAE">
            <w:pPr>
              <w:pStyle w:val="Paragraphedeliste"/>
              <w:numPr>
                <w:ilvl w:val="0"/>
                <w:numId w:val="43"/>
              </w:numPr>
              <w:pBdr>
                <w:top w:val="nil"/>
                <w:left w:val="nil"/>
                <w:bottom w:val="nil"/>
                <w:right w:val="nil"/>
                <w:between w:val="nil"/>
                <w:bar w:val="nil"/>
              </w:pBdr>
              <w:spacing w:after="40"/>
              <w:rPr>
                <w:rFonts w:eastAsia="Roboto"/>
                <w:sz w:val="18"/>
                <w:szCs w:val="18"/>
                <w:lang w:val="es-ES"/>
              </w:rPr>
            </w:pPr>
            <w:r w:rsidRPr="009B5E5A">
              <w:rPr>
                <w:sz w:val="18"/>
                <w:szCs w:val="18"/>
                <w:lang w:val="es-ES"/>
              </w:rPr>
              <w:t>Número de Partes que cooperan para desarrollar y mejorar la información disponible que se incluirá en el informe de vigilancia mundial (incluso por medio de fuentes de datos existentes)</w:t>
            </w:r>
          </w:p>
        </w:tc>
      </w:tr>
    </w:tbl>
    <w:p w14:paraId="74EDE188" w14:textId="77777777" w:rsidR="006A5243" w:rsidRPr="00A46B4D" w:rsidRDefault="006A5243" w:rsidP="009B5E5A">
      <w:pPr>
        <w:tabs>
          <w:tab w:val="clear" w:pos="1247"/>
          <w:tab w:val="clear" w:pos="1814"/>
          <w:tab w:val="clear" w:pos="2381"/>
          <w:tab w:val="clear" w:pos="2948"/>
          <w:tab w:val="clear" w:pos="3515"/>
        </w:tabs>
        <w:rPr>
          <w:rFonts w:eastAsiaTheme="minorEastAsia"/>
          <w:u w:color="000000"/>
          <w:bdr w:val="nil"/>
          <w:lang w:val="es-ES" w:eastAsia="zh-CN"/>
        </w:rPr>
      </w:pPr>
      <w:r w:rsidRPr="00A46B4D">
        <w:rPr>
          <w:lang w:val="es-ES"/>
        </w:rPr>
        <w:br w:type="page"/>
      </w:r>
    </w:p>
    <w:p w14:paraId="45A6856B" w14:textId="7FC3D507" w:rsidR="00306F47" w:rsidRPr="00A46B4D" w:rsidRDefault="00306F47" w:rsidP="009B5E5A">
      <w:pPr>
        <w:pStyle w:val="Text"/>
        <w:spacing w:after="120" w:line="240" w:lineRule="auto"/>
        <w:ind w:left="1247"/>
        <w:rPr>
          <w:rFonts w:ascii="Times New Roman" w:hAnsi="Times New Roman" w:cs="Times New Roman"/>
          <w:b/>
          <w:bCs/>
          <w:color w:val="auto"/>
          <w:sz w:val="24"/>
          <w:szCs w:val="24"/>
          <w:lang w:val="es-ES"/>
        </w:rPr>
      </w:pPr>
      <w:r w:rsidRPr="00A46B4D">
        <w:rPr>
          <w:rFonts w:ascii="Times New Roman" w:hAnsi="Times New Roman" w:cs="Times New Roman"/>
          <w:b/>
          <w:bCs/>
          <w:sz w:val="24"/>
          <w:szCs w:val="24"/>
          <w:lang w:val="es-ES"/>
        </w:rPr>
        <w:t>Recomendaciones sobre los elementos de un marco de evaluación de la eficacia</w:t>
      </w:r>
    </w:p>
    <w:p w14:paraId="2059397B" w14:textId="0440241E" w:rsidR="00306F47" w:rsidRPr="00A46B4D" w:rsidRDefault="00306F47" w:rsidP="009B5E5A">
      <w:pPr>
        <w:pStyle w:val="Text"/>
        <w:numPr>
          <w:ilvl w:val="0"/>
          <w:numId w:val="65"/>
        </w:numPr>
        <w:spacing w:after="120" w:line="240" w:lineRule="auto"/>
        <w:ind w:left="1247" w:firstLine="0"/>
        <w:rPr>
          <w:rFonts w:ascii="Times New Roman" w:hAnsi="Times New Roman" w:cs="Times New Roman"/>
          <w:color w:val="auto"/>
          <w:sz w:val="20"/>
          <w:szCs w:val="20"/>
          <w:lang w:val="es-ES"/>
        </w:rPr>
      </w:pPr>
      <w:r w:rsidRPr="00A46B4D">
        <w:rPr>
          <w:rFonts w:ascii="Times New Roman" w:hAnsi="Times New Roman" w:cs="Times New Roman"/>
          <w:sz w:val="20"/>
          <w:szCs w:val="20"/>
          <w:lang w:val="es-ES"/>
        </w:rPr>
        <w:t>El grupo especial de expertos elaboró una lista inicial de indicadores para la primera evaluación de la eficacia. Es necesario seguir trabajando para analiz</w:t>
      </w:r>
      <w:r w:rsidR="006167C2" w:rsidRPr="00A46B4D">
        <w:rPr>
          <w:rFonts w:ascii="Times New Roman" w:hAnsi="Times New Roman" w:cs="Times New Roman"/>
          <w:sz w:val="20"/>
          <w:szCs w:val="20"/>
          <w:lang w:val="es-ES"/>
        </w:rPr>
        <w:t>a</w:t>
      </w:r>
      <w:r w:rsidRPr="00A46B4D">
        <w:rPr>
          <w:rFonts w:ascii="Times New Roman" w:hAnsi="Times New Roman" w:cs="Times New Roman"/>
          <w:sz w:val="20"/>
          <w:szCs w:val="20"/>
          <w:lang w:val="es-ES"/>
        </w:rPr>
        <w:t>r la</w:t>
      </w:r>
      <w:r w:rsidR="006167C2" w:rsidRPr="00A46B4D">
        <w:rPr>
          <w:rFonts w:ascii="Times New Roman" w:hAnsi="Times New Roman" w:cs="Times New Roman"/>
          <w:sz w:val="20"/>
          <w:szCs w:val="20"/>
          <w:lang w:val="es-ES"/>
        </w:rPr>
        <w:t>s limitaciones en los</w:t>
      </w:r>
      <w:r w:rsidRPr="00A46B4D">
        <w:rPr>
          <w:rFonts w:ascii="Times New Roman" w:hAnsi="Times New Roman" w:cs="Times New Roman"/>
          <w:sz w:val="20"/>
          <w:szCs w:val="20"/>
          <w:lang w:val="es-ES"/>
        </w:rPr>
        <w:t xml:space="preserve"> datos y </w:t>
      </w:r>
      <w:r w:rsidR="00763CEE" w:rsidRPr="00A46B4D">
        <w:rPr>
          <w:rFonts w:ascii="Times New Roman" w:hAnsi="Times New Roman" w:cs="Times New Roman"/>
          <w:sz w:val="20"/>
          <w:szCs w:val="20"/>
          <w:lang w:val="es-ES"/>
        </w:rPr>
        <w:t>el nivel básico</w:t>
      </w:r>
      <w:r w:rsidRPr="00A46B4D">
        <w:rPr>
          <w:rFonts w:ascii="Times New Roman" w:hAnsi="Times New Roman" w:cs="Times New Roman"/>
          <w:sz w:val="20"/>
          <w:szCs w:val="20"/>
          <w:lang w:val="es-ES"/>
        </w:rPr>
        <w:t xml:space="preserve"> de esos indicadores, así como elaborar métodos para analizar </w:t>
      </w:r>
      <w:r w:rsidR="00F674E5" w:rsidRPr="00A46B4D">
        <w:rPr>
          <w:rFonts w:ascii="Times New Roman" w:hAnsi="Times New Roman" w:cs="Times New Roman"/>
          <w:sz w:val="20"/>
          <w:szCs w:val="20"/>
          <w:lang w:val="es-ES"/>
        </w:rPr>
        <w:t xml:space="preserve">artículo por artículo </w:t>
      </w:r>
      <w:r w:rsidRPr="00A46B4D">
        <w:rPr>
          <w:rFonts w:ascii="Times New Roman" w:hAnsi="Times New Roman" w:cs="Times New Roman"/>
          <w:sz w:val="20"/>
          <w:szCs w:val="20"/>
          <w:lang w:val="es-ES"/>
        </w:rPr>
        <w:t>los indicadores en relación con la evaluación de la eficacia en su totalidad, y considerar la posibilidad de utilizar información sobre la vigilancia en la evaluación de la eficacia.</w:t>
      </w:r>
    </w:p>
    <w:p w14:paraId="19FEF4D5" w14:textId="411670DC" w:rsidR="00306F47" w:rsidRPr="00A46B4D" w:rsidRDefault="00306F47" w:rsidP="009B5E5A">
      <w:pPr>
        <w:pStyle w:val="Text"/>
        <w:numPr>
          <w:ilvl w:val="0"/>
          <w:numId w:val="65"/>
        </w:numPr>
        <w:spacing w:after="120" w:line="240" w:lineRule="auto"/>
        <w:ind w:left="1247" w:firstLine="0"/>
        <w:rPr>
          <w:rFonts w:ascii="Times New Roman" w:hAnsi="Times New Roman" w:cs="Times New Roman"/>
          <w:color w:val="auto"/>
          <w:sz w:val="20"/>
          <w:szCs w:val="20"/>
          <w:lang w:val="es-ES"/>
        </w:rPr>
      </w:pPr>
      <w:r w:rsidRPr="00A46B4D">
        <w:rPr>
          <w:rFonts w:ascii="Times New Roman" w:hAnsi="Times New Roman" w:cs="Times New Roman"/>
          <w:sz w:val="20"/>
          <w:szCs w:val="20"/>
          <w:lang w:val="es-ES"/>
        </w:rPr>
        <w:t>El grupo especial de expertos recomienda un proceso en dos etapas y un calendario para la primera evaluación de la eficacia, como se indica a continuación. La Conferencia de las Partes debería</w:t>
      </w:r>
      <w:r w:rsidR="00361FC0">
        <w:rPr>
          <w:rFonts w:ascii="Times New Roman" w:hAnsi="Times New Roman" w:cs="Times New Roman"/>
          <w:sz w:val="20"/>
          <w:szCs w:val="20"/>
          <w:lang w:val="es-ES"/>
        </w:rPr>
        <w:t> </w:t>
      </w:r>
      <w:r w:rsidRPr="00A46B4D">
        <w:rPr>
          <w:rFonts w:ascii="Times New Roman" w:hAnsi="Times New Roman" w:cs="Times New Roman"/>
          <w:sz w:val="20"/>
          <w:szCs w:val="20"/>
          <w:lang w:val="es-ES"/>
        </w:rPr>
        <w:t>examinar la propuesta con miras a establecer un marco de evaluación de la eficacia en su</w:t>
      </w:r>
      <w:r w:rsidR="00361FC0">
        <w:rPr>
          <w:rFonts w:ascii="Times New Roman" w:hAnsi="Times New Roman" w:cs="Times New Roman"/>
          <w:sz w:val="20"/>
          <w:szCs w:val="20"/>
          <w:lang w:val="es-ES"/>
        </w:rPr>
        <w:t> </w:t>
      </w:r>
      <w:r w:rsidRPr="00A46B4D">
        <w:rPr>
          <w:rFonts w:ascii="Times New Roman" w:hAnsi="Times New Roman" w:cs="Times New Roman"/>
          <w:sz w:val="20"/>
          <w:szCs w:val="20"/>
          <w:lang w:val="es-ES"/>
        </w:rPr>
        <w:t>tercera reunión.</w:t>
      </w:r>
    </w:p>
    <w:p w14:paraId="65035E5A" w14:textId="5595ECF3" w:rsidR="00306F47" w:rsidRPr="00A46B4D" w:rsidRDefault="00306F47" w:rsidP="009B5E5A">
      <w:pPr>
        <w:pStyle w:val="Paragraphedeliste"/>
        <w:numPr>
          <w:ilvl w:val="0"/>
          <w:numId w:val="46"/>
        </w:numPr>
        <w:pBdr>
          <w:top w:val="nil"/>
          <w:left w:val="nil"/>
          <w:bottom w:val="nil"/>
          <w:right w:val="nil"/>
          <w:between w:val="nil"/>
          <w:bar w:val="nil"/>
        </w:pBdr>
        <w:tabs>
          <w:tab w:val="clear" w:pos="477"/>
          <w:tab w:val="clear" w:pos="1247"/>
          <w:tab w:val="clear" w:pos="1814"/>
          <w:tab w:val="clear" w:pos="2381"/>
          <w:tab w:val="clear" w:pos="2948"/>
          <w:tab w:val="clear" w:pos="3515"/>
          <w:tab w:val="left" w:pos="624"/>
        </w:tabs>
        <w:spacing w:after="120"/>
        <w:ind w:left="2495" w:hanging="624"/>
        <w:rPr>
          <w:rFonts w:eastAsia="Roboto"/>
          <w:lang w:val="es-ES"/>
        </w:rPr>
      </w:pPr>
      <w:r w:rsidRPr="00A46B4D">
        <w:rPr>
          <w:lang w:val="es-ES"/>
        </w:rPr>
        <w:t>Etapa 1: Recopilación y compilación de información</w:t>
      </w:r>
    </w:p>
    <w:p w14:paraId="4D478DC4" w14:textId="580CA68D" w:rsidR="00306F47" w:rsidRPr="00A46B4D" w:rsidRDefault="00306F47" w:rsidP="009B5E5A">
      <w:pPr>
        <w:pStyle w:val="Paragraphedeliste"/>
        <w:numPr>
          <w:ilvl w:val="1"/>
          <w:numId w:val="46"/>
        </w:numPr>
        <w:pBdr>
          <w:top w:val="nil"/>
          <w:left w:val="nil"/>
          <w:bottom w:val="nil"/>
          <w:right w:val="nil"/>
          <w:between w:val="nil"/>
          <w:bar w:val="nil"/>
        </w:pBdr>
        <w:tabs>
          <w:tab w:val="clear" w:pos="1247"/>
          <w:tab w:val="clear" w:pos="1814"/>
          <w:tab w:val="clear" w:pos="2381"/>
          <w:tab w:val="clear" w:pos="2948"/>
          <w:tab w:val="clear" w:pos="3515"/>
          <w:tab w:val="left" w:pos="624"/>
        </w:tabs>
        <w:spacing w:after="120"/>
        <w:ind w:left="3119" w:hanging="624"/>
        <w:rPr>
          <w:rFonts w:eastAsia="Roboto"/>
          <w:lang w:val="es-ES"/>
        </w:rPr>
      </w:pPr>
      <w:r w:rsidRPr="00A46B4D">
        <w:rPr>
          <w:lang w:val="es-ES"/>
        </w:rPr>
        <w:t xml:space="preserve">Presentación de informes con arreglo al artículo 21 – la </w:t>
      </w:r>
      <w:r w:rsidR="00A46B4D">
        <w:rPr>
          <w:lang w:val="es-ES"/>
        </w:rPr>
        <w:t>S</w:t>
      </w:r>
      <w:r w:rsidRPr="00A46B4D">
        <w:rPr>
          <w:lang w:val="es-ES"/>
        </w:rPr>
        <w:t>ecretaría se encargará de la compilación como parte del ciclo de presentación de informes, que incluye un conjunto de estadísticas descriptivas</w:t>
      </w:r>
    </w:p>
    <w:p w14:paraId="4D1687B2" w14:textId="1401B032" w:rsidR="00306F47" w:rsidRPr="00A46B4D" w:rsidRDefault="00306F47" w:rsidP="009B5E5A">
      <w:pPr>
        <w:pStyle w:val="Paragraphedeliste"/>
        <w:numPr>
          <w:ilvl w:val="1"/>
          <w:numId w:val="46"/>
        </w:numPr>
        <w:pBdr>
          <w:top w:val="nil"/>
          <w:left w:val="nil"/>
          <w:bottom w:val="nil"/>
          <w:right w:val="nil"/>
          <w:between w:val="nil"/>
          <w:bar w:val="nil"/>
        </w:pBdr>
        <w:tabs>
          <w:tab w:val="clear" w:pos="1247"/>
          <w:tab w:val="clear" w:pos="1814"/>
          <w:tab w:val="clear" w:pos="2381"/>
          <w:tab w:val="clear" w:pos="2948"/>
          <w:tab w:val="clear" w:pos="3515"/>
          <w:tab w:val="left" w:pos="624"/>
        </w:tabs>
        <w:spacing w:after="120"/>
        <w:ind w:left="3119" w:hanging="624"/>
        <w:rPr>
          <w:rFonts w:eastAsia="Roboto"/>
          <w:lang w:val="es-ES"/>
        </w:rPr>
      </w:pPr>
      <w:r w:rsidRPr="00A46B4D">
        <w:rPr>
          <w:lang w:val="es-ES"/>
        </w:rPr>
        <w:t xml:space="preserve">Otras comunicaciones presentadas a la </w:t>
      </w:r>
      <w:r w:rsidR="00A46B4D">
        <w:rPr>
          <w:lang w:val="es-ES"/>
        </w:rPr>
        <w:t>Secretaría</w:t>
      </w:r>
      <w:r w:rsidRPr="00A46B4D">
        <w:rPr>
          <w:lang w:val="es-ES"/>
        </w:rPr>
        <w:t xml:space="preserve"> (consentimiento de importación, planes de acción nacional, inventarios de emisiones, exenciones, planes nacionales de aplicación de carácter voluntario, etc.)</w:t>
      </w:r>
    </w:p>
    <w:p w14:paraId="74609C4A" w14:textId="77777777" w:rsidR="00306F47" w:rsidRPr="00A46B4D" w:rsidRDefault="00306F47" w:rsidP="009B5E5A">
      <w:pPr>
        <w:pStyle w:val="Paragraphedeliste"/>
        <w:numPr>
          <w:ilvl w:val="1"/>
          <w:numId w:val="46"/>
        </w:numPr>
        <w:pBdr>
          <w:top w:val="nil"/>
          <w:left w:val="nil"/>
          <w:bottom w:val="nil"/>
          <w:right w:val="nil"/>
          <w:between w:val="nil"/>
          <w:bar w:val="nil"/>
        </w:pBdr>
        <w:tabs>
          <w:tab w:val="clear" w:pos="1247"/>
          <w:tab w:val="clear" w:pos="1814"/>
          <w:tab w:val="clear" w:pos="2381"/>
          <w:tab w:val="clear" w:pos="2948"/>
          <w:tab w:val="clear" w:pos="3515"/>
          <w:tab w:val="left" w:pos="624"/>
        </w:tabs>
        <w:spacing w:after="120"/>
        <w:ind w:left="3119" w:hanging="624"/>
        <w:rPr>
          <w:rFonts w:eastAsia="Roboto"/>
          <w:lang w:val="es-ES"/>
        </w:rPr>
      </w:pPr>
      <w:r w:rsidRPr="00A46B4D">
        <w:rPr>
          <w:lang w:val="es-ES"/>
        </w:rPr>
        <w:t>Informe sobre vigilancia mundial</w:t>
      </w:r>
      <w:r w:rsidRPr="00A46B4D">
        <w:rPr>
          <w:rStyle w:val="Appelnotedebasdep"/>
          <w:rFonts w:eastAsia="Roboto"/>
          <w:szCs w:val="20"/>
          <w:lang w:val="es-ES"/>
        </w:rPr>
        <w:footnoteReference w:id="5"/>
      </w:r>
      <w:r w:rsidRPr="00A46B4D">
        <w:rPr>
          <w:lang w:val="es-ES"/>
        </w:rPr>
        <w:t xml:space="preserve"> </w:t>
      </w:r>
    </w:p>
    <w:p w14:paraId="3958C0EA" w14:textId="4CD757F2" w:rsidR="00306F47" w:rsidRPr="00A46B4D" w:rsidRDefault="00306F47" w:rsidP="009B5E5A">
      <w:pPr>
        <w:pStyle w:val="Paragraphedeliste"/>
        <w:numPr>
          <w:ilvl w:val="1"/>
          <w:numId w:val="46"/>
        </w:numPr>
        <w:pBdr>
          <w:top w:val="nil"/>
          <w:left w:val="nil"/>
          <w:bottom w:val="nil"/>
          <w:right w:val="nil"/>
          <w:between w:val="nil"/>
          <w:bar w:val="nil"/>
        </w:pBdr>
        <w:tabs>
          <w:tab w:val="clear" w:pos="1247"/>
          <w:tab w:val="clear" w:pos="1814"/>
          <w:tab w:val="clear" w:pos="2381"/>
          <w:tab w:val="clear" w:pos="2948"/>
          <w:tab w:val="clear" w:pos="3515"/>
          <w:tab w:val="left" w:pos="624"/>
        </w:tabs>
        <w:spacing w:after="120"/>
        <w:ind w:left="3119" w:hanging="624"/>
        <w:rPr>
          <w:rFonts w:eastAsia="Roboto"/>
          <w:lang w:val="es-ES"/>
        </w:rPr>
      </w:pPr>
      <w:r w:rsidRPr="00A46B4D">
        <w:rPr>
          <w:lang w:val="es-ES"/>
        </w:rPr>
        <w:t>Informe del Comité de Aplicación y Cumplimiento</w:t>
      </w:r>
    </w:p>
    <w:p w14:paraId="1CED9891" w14:textId="7C55C50A" w:rsidR="00306F47" w:rsidRPr="00A46B4D" w:rsidRDefault="00306F47" w:rsidP="009B5E5A">
      <w:pPr>
        <w:pStyle w:val="Paragraphedeliste"/>
        <w:numPr>
          <w:ilvl w:val="1"/>
          <w:numId w:val="46"/>
        </w:numPr>
        <w:pBdr>
          <w:top w:val="nil"/>
          <w:left w:val="nil"/>
          <w:bottom w:val="nil"/>
          <w:right w:val="nil"/>
          <w:between w:val="nil"/>
          <w:bar w:val="nil"/>
        </w:pBdr>
        <w:tabs>
          <w:tab w:val="clear" w:pos="1247"/>
          <w:tab w:val="clear" w:pos="1814"/>
          <w:tab w:val="clear" w:pos="2381"/>
          <w:tab w:val="clear" w:pos="2948"/>
          <w:tab w:val="clear" w:pos="3515"/>
          <w:tab w:val="left" w:pos="624"/>
        </w:tabs>
        <w:spacing w:after="120"/>
        <w:ind w:left="3119" w:hanging="624"/>
        <w:rPr>
          <w:rFonts w:eastAsia="Roboto"/>
          <w:lang w:val="es-ES"/>
        </w:rPr>
      </w:pPr>
      <w:r w:rsidRPr="00A46B4D">
        <w:rPr>
          <w:lang w:val="es-ES"/>
        </w:rPr>
        <w:t>Informe del FMAM</w:t>
      </w:r>
    </w:p>
    <w:p w14:paraId="6202B80F" w14:textId="7635033E" w:rsidR="00306F47" w:rsidRPr="00A46B4D" w:rsidRDefault="00306F47" w:rsidP="009B5E5A">
      <w:pPr>
        <w:pStyle w:val="Paragraphedeliste"/>
        <w:numPr>
          <w:ilvl w:val="1"/>
          <w:numId w:val="46"/>
        </w:numPr>
        <w:pBdr>
          <w:top w:val="nil"/>
          <w:left w:val="nil"/>
          <w:bottom w:val="nil"/>
          <w:right w:val="nil"/>
          <w:between w:val="nil"/>
          <w:bar w:val="nil"/>
        </w:pBdr>
        <w:tabs>
          <w:tab w:val="clear" w:pos="1247"/>
          <w:tab w:val="clear" w:pos="1814"/>
          <w:tab w:val="clear" w:pos="2381"/>
          <w:tab w:val="clear" w:pos="2948"/>
          <w:tab w:val="clear" w:pos="3515"/>
          <w:tab w:val="left" w:pos="624"/>
        </w:tabs>
        <w:spacing w:after="120"/>
        <w:ind w:left="3119" w:hanging="624"/>
        <w:rPr>
          <w:rFonts w:eastAsia="Roboto"/>
          <w:lang w:val="es-ES"/>
        </w:rPr>
      </w:pPr>
      <w:r w:rsidRPr="00A46B4D">
        <w:rPr>
          <w:lang w:val="es-ES"/>
        </w:rPr>
        <w:t xml:space="preserve">Informe del </w:t>
      </w:r>
      <w:r w:rsidR="00763CEE" w:rsidRPr="00A46B4D">
        <w:rPr>
          <w:lang w:val="es-ES"/>
        </w:rPr>
        <w:t>p</w:t>
      </w:r>
      <w:r w:rsidRPr="00A46B4D">
        <w:rPr>
          <w:lang w:val="es-ES"/>
        </w:rPr>
        <w:t>rograma internacional específico</w:t>
      </w:r>
    </w:p>
    <w:p w14:paraId="1D5BF8EF" w14:textId="6E4B0E63" w:rsidR="00306F47" w:rsidRPr="00A46B4D" w:rsidRDefault="00306F47" w:rsidP="009B5E5A">
      <w:pPr>
        <w:pStyle w:val="Paragraphedeliste"/>
        <w:numPr>
          <w:ilvl w:val="1"/>
          <w:numId w:val="46"/>
        </w:numPr>
        <w:pBdr>
          <w:top w:val="nil"/>
          <w:left w:val="nil"/>
          <w:bottom w:val="nil"/>
          <w:right w:val="nil"/>
          <w:between w:val="nil"/>
          <w:bar w:val="nil"/>
        </w:pBdr>
        <w:tabs>
          <w:tab w:val="clear" w:pos="1247"/>
          <w:tab w:val="clear" w:pos="1814"/>
          <w:tab w:val="clear" w:pos="2381"/>
          <w:tab w:val="clear" w:pos="2948"/>
          <w:tab w:val="clear" w:pos="3515"/>
          <w:tab w:val="left" w:pos="624"/>
        </w:tabs>
        <w:spacing w:after="120"/>
        <w:ind w:left="3119" w:hanging="624"/>
        <w:rPr>
          <w:rFonts w:eastAsia="Roboto"/>
          <w:lang w:val="es-ES"/>
        </w:rPr>
      </w:pPr>
      <w:r w:rsidRPr="00A46B4D">
        <w:rPr>
          <w:lang w:val="es-ES"/>
        </w:rPr>
        <w:t>Informe del Programa especial de apoyo al fortalecimiento institucional a nivel nacional con miras a la aplicación del Convenio de Basilea sobre el Control de los Movimientos Transfronterizos de los Desechos Peligrosos y su Eliminación, el Convenio de Estocolmo sobre Contaminantes Orgánicos Persistentes, el Convenio de Rotterdam sobre el Procedimiento de Consentimiento Fundamentado Previo Aplicable a Ciertos Plaguicidas y Productos Químicos Peligrosos Objeto de Comercio Internacional, el Convenio de Minamata sobre el Mercurio y el Enfoque Estratégico para la Gestión de los Productos Químicos a Nivel Interna</w:t>
      </w:r>
      <w:r w:rsidR="00763CEE" w:rsidRPr="00A46B4D">
        <w:rPr>
          <w:lang w:val="es-ES"/>
        </w:rPr>
        <w:t>c</w:t>
      </w:r>
      <w:r w:rsidRPr="00A46B4D">
        <w:rPr>
          <w:lang w:val="es-ES"/>
        </w:rPr>
        <w:t>ional</w:t>
      </w:r>
    </w:p>
    <w:p w14:paraId="6C69A85C" w14:textId="2D5962BA" w:rsidR="00306F47" w:rsidRPr="00A46B4D" w:rsidRDefault="00306F47" w:rsidP="009B5E5A">
      <w:pPr>
        <w:pStyle w:val="Paragraphedeliste"/>
        <w:numPr>
          <w:ilvl w:val="1"/>
          <w:numId w:val="46"/>
        </w:numPr>
        <w:pBdr>
          <w:top w:val="nil"/>
          <w:left w:val="nil"/>
          <w:bottom w:val="nil"/>
          <w:right w:val="nil"/>
          <w:between w:val="nil"/>
          <w:bar w:val="nil"/>
        </w:pBdr>
        <w:tabs>
          <w:tab w:val="clear" w:pos="1247"/>
          <w:tab w:val="clear" w:pos="1814"/>
          <w:tab w:val="clear" w:pos="2381"/>
          <w:tab w:val="clear" w:pos="2948"/>
          <w:tab w:val="clear" w:pos="3515"/>
          <w:tab w:val="left" w:pos="624"/>
        </w:tabs>
        <w:spacing w:after="120"/>
        <w:ind w:left="3119" w:hanging="624"/>
        <w:rPr>
          <w:rFonts w:eastAsia="Roboto"/>
          <w:lang w:val="es-ES"/>
        </w:rPr>
      </w:pPr>
      <w:r w:rsidRPr="00A46B4D">
        <w:rPr>
          <w:lang w:val="es-ES"/>
        </w:rPr>
        <w:t xml:space="preserve">Otra información pertinente, incluida la Evaluación </w:t>
      </w:r>
      <w:r w:rsidR="009B09C0" w:rsidRPr="00A46B4D">
        <w:rPr>
          <w:lang w:val="es-ES"/>
        </w:rPr>
        <w:t>Mundial del M</w:t>
      </w:r>
      <w:r w:rsidRPr="00A46B4D">
        <w:rPr>
          <w:lang w:val="es-ES"/>
        </w:rPr>
        <w:t>ercurio, el informe sobre oferta, comercio y demanda del Programa de las Naciones Unidas para el Medio Ambiente, las comunicaciones voluntarias, los informes de organizaciones intergubernamentales (</w:t>
      </w:r>
      <w:r w:rsidR="00763CEE" w:rsidRPr="00A46B4D">
        <w:rPr>
          <w:lang w:val="es-ES"/>
        </w:rPr>
        <w:t>Organización de las Naciones Unidas para el Desarrollo Industrial, Organización Internacional del Trabajo,  Organización Mundial de la Salud, Programa de las Naciones Unidas para el Desarrollo, Programa de Vigilancia y Evaluación del Ártico</w:t>
      </w:r>
      <w:r w:rsidRPr="00A46B4D">
        <w:rPr>
          <w:lang w:val="es-ES"/>
        </w:rPr>
        <w:t xml:space="preserve">, etc.), las evaluaciones iniciales del Convenio de Minamata, los informes de proyectos de la Asociación Mundial sobre el Mercurio, los datos de las Naciones Unidas sobre el comercio, </w:t>
      </w:r>
      <w:r w:rsidR="00763CEE" w:rsidRPr="00A46B4D">
        <w:rPr>
          <w:lang w:val="es-ES"/>
        </w:rPr>
        <w:t xml:space="preserve">y </w:t>
      </w:r>
      <w:r w:rsidRPr="00A46B4D">
        <w:rPr>
          <w:lang w:val="es-ES"/>
        </w:rPr>
        <w:t>la bibliografía científica, entre otros.</w:t>
      </w:r>
    </w:p>
    <w:p w14:paraId="2C6CD2D3" w14:textId="3AD47598" w:rsidR="00306F47" w:rsidRPr="00A46B4D" w:rsidRDefault="00306F47" w:rsidP="009B5E5A">
      <w:pPr>
        <w:pStyle w:val="Paragraphedeliste"/>
        <w:numPr>
          <w:ilvl w:val="0"/>
          <w:numId w:val="46"/>
        </w:numPr>
        <w:pBdr>
          <w:top w:val="nil"/>
          <w:left w:val="nil"/>
          <w:bottom w:val="nil"/>
          <w:right w:val="nil"/>
          <w:between w:val="nil"/>
          <w:bar w:val="nil"/>
        </w:pBdr>
        <w:tabs>
          <w:tab w:val="clear" w:pos="477"/>
          <w:tab w:val="clear" w:pos="1247"/>
          <w:tab w:val="clear" w:pos="1814"/>
          <w:tab w:val="clear" w:pos="2381"/>
          <w:tab w:val="clear" w:pos="2948"/>
          <w:tab w:val="clear" w:pos="3515"/>
          <w:tab w:val="left" w:pos="624"/>
        </w:tabs>
        <w:spacing w:after="120"/>
        <w:ind w:left="2495" w:hanging="624"/>
        <w:rPr>
          <w:rFonts w:eastAsia="Roboto"/>
          <w:lang w:val="es-ES"/>
        </w:rPr>
      </w:pPr>
      <w:r w:rsidRPr="00A46B4D">
        <w:rPr>
          <w:lang w:val="es-ES"/>
        </w:rPr>
        <w:t xml:space="preserve">Etapa 2: </w:t>
      </w:r>
      <w:r w:rsidR="00763CEE" w:rsidRPr="00A46B4D">
        <w:rPr>
          <w:lang w:val="es-ES"/>
        </w:rPr>
        <w:t>S</w:t>
      </w:r>
      <w:r w:rsidRPr="00A46B4D">
        <w:rPr>
          <w:lang w:val="es-ES"/>
        </w:rPr>
        <w:t>íntesis y evaluación de la información</w:t>
      </w:r>
    </w:p>
    <w:p w14:paraId="65E0B6CD" w14:textId="5A162B97" w:rsidR="00306F47" w:rsidRPr="00A46B4D" w:rsidRDefault="00306F47" w:rsidP="009B5E5A">
      <w:pPr>
        <w:pStyle w:val="Paragraphedeliste"/>
        <w:numPr>
          <w:ilvl w:val="1"/>
          <w:numId w:val="46"/>
        </w:numPr>
        <w:pBdr>
          <w:top w:val="nil"/>
          <w:left w:val="nil"/>
          <w:bottom w:val="nil"/>
          <w:right w:val="nil"/>
          <w:between w:val="nil"/>
          <w:bar w:val="nil"/>
        </w:pBdr>
        <w:tabs>
          <w:tab w:val="clear" w:pos="1247"/>
          <w:tab w:val="clear" w:pos="1814"/>
          <w:tab w:val="clear" w:pos="2381"/>
          <w:tab w:val="clear" w:pos="2948"/>
          <w:tab w:val="clear" w:pos="3515"/>
          <w:tab w:val="left" w:pos="624"/>
        </w:tabs>
        <w:spacing w:after="120"/>
        <w:ind w:left="3119" w:hanging="624"/>
        <w:rPr>
          <w:rFonts w:eastAsia="Roboto"/>
          <w:lang w:val="es-ES"/>
        </w:rPr>
      </w:pPr>
      <w:r w:rsidRPr="00A46B4D">
        <w:rPr>
          <w:lang w:val="es-ES"/>
        </w:rPr>
        <w:t xml:space="preserve">La Secretaría prepara un informe preliminar valiéndose de la información de la etapa 1. En el informe preliminar se incluye una recopilación de la información y los datos de diversa índole disponibles para facilitar la evaluación del Convenio. </w:t>
      </w:r>
    </w:p>
    <w:p w14:paraId="78D1C19E" w14:textId="1E84C8BA" w:rsidR="00306F47" w:rsidRPr="00A46B4D" w:rsidRDefault="00306F47" w:rsidP="009B5E5A">
      <w:pPr>
        <w:pStyle w:val="Paragraphedeliste"/>
        <w:numPr>
          <w:ilvl w:val="1"/>
          <w:numId w:val="46"/>
        </w:numPr>
        <w:pBdr>
          <w:top w:val="nil"/>
          <w:left w:val="nil"/>
          <w:bottom w:val="nil"/>
          <w:right w:val="nil"/>
          <w:between w:val="nil"/>
          <w:bar w:val="nil"/>
        </w:pBdr>
        <w:tabs>
          <w:tab w:val="clear" w:pos="1247"/>
          <w:tab w:val="clear" w:pos="1814"/>
          <w:tab w:val="clear" w:pos="2381"/>
          <w:tab w:val="clear" w:pos="2948"/>
          <w:tab w:val="clear" w:pos="3515"/>
          <w:tab w:val="left" w:pos="624"/>
        </w:tabs>
        <w:spacing w:after="120"/>
        <w:ind w:left="3119" w:hanging="624"/>
        <w:rPr>
          <w:rFonts w:eastAsia="Roboto"/>
          <w:lang w:val="es-ES"/>
        </w:rPr>
      </w:pPr>
      <w:r w:rsidRPr="00A46B4D">
        <w:rPr>
          <w:lang w:val="es-ES"/>
        </w:rPr>
        <w:t xml:space="preserve">El </w:t>
      </w:r>
      <w:r w:rsidR="00A46B4D">
        <w:rPr>
          <w:lang w:val="es-ES"/>
        </w:rPr>
        <w:t>c</w:t>
      </w:r>
      <w:r w:rsidRPr="00A46B4D">
        <w:rPr>
          <w:lang w:val="es-ES"/>
        </w:rPr>
        <w:t xml:space="preserve">omité de evaluación de la eficacia revisará y evaluará la información recopilada por la </w:t>
      </w:r>
      <w:r w:rsidR="00A46B4D">
        <w:rPr>
          <w:lang w:val="es-ES"/>
        </w:rPr>
        <w:t>Secretaría</w:t>
      </w:r>
      <w:r w:rsidRPr="00A46B4D">
        <w:rPr>
          <w:lang w:val="es-ES"/>
        </w:rPr>
        <w:t>.</w:t>
      </w:r>
    </w:p>
    <w:p w14:paraId="21FDC0DD" w14:textId="64F21012" w:rsidR="00306F47" w:rsidRPr="00A46B4D" w:rsidRDefault="00306F47" w:rsidP="009B5E5A">
      <w:pPr>
        <w:pStyle w:val="Paragraphedeliste"/>
        <w:numPr>
          <w:ilvl w:val="1"/>
          <w:numId w:val="46"/>
        </w:numPr>
        <w:pBdr>
          <w:top w:val="nil"/>
          <w:left w:val="nil"/>
          <w:bottom w:val="nil"/>
          <w:right w:val="nil"/>
          <w:between w:val="nil"/>
          <w:bar w:val="nil"/>
        </w:pBdr>
        <w:tabs>
          <w:tab w:val="clear" w:pos="1247"/>
          <w:tab w:val="clear" w:pos="1814"/>
          <w:tab w:val="clear" w:pos="2381"/>
          <w:tab w:val="clear" w:pos="2948"/>
          <w:tab w:val="clear" w:pos="3515"/>
          <w:tab w:val="left" w:pos="624"/>
        </w:tabs>
        <w:spacing w:after="120"/>
        <w:ind w:left="3119" w:hanging="624"/>
        <w:rPr>
          <w:rFonts w:eastAsia="Roboto"/>
          <w:lang w:val="es-ES"/>
        </w:rPr>
      </w:pPr>
      <w:r w:rsidRPr="00A46B4D">
        <w:rPr>
          <w:lang w:val="es-ES"/>
        </w:rPr>
        <w:t>El Comité saca sus conclusiones acerca de la eficacia del Convenio y formula recomendaciones a la Conferencia de las Partes en relación con las mejoras que pudieran justificarse.</w:t>
      </w:r>
    </w:p>
    <w:p w14:paraId="1EDC9882" w14:textId="7CBF9A34" w:rsidR="00306F47" w:rsidRPr="009B5E5A" w:rsidRDefault="00306F47" w:rsidP="009B5E5A">
      <w:pPr>
        <w:pStyle w:val="Text"/>
        <w:spacing w:after="120" w:line="240" w:lineRule="auto"/>
        <w:ind w:left="1247"/>
        <w:rPr>
          <w:rFonts w:ascii="Times New Roman" w:hAnsi="Times New Roman" w:cs="Times New Roman"/>
          <w:b/>
          <w:bCs/>
          <w:color w:val="auto"/>
          <w:sz w:val="24"/>
          <w:szCs w:val="24"/>
          <w:lang w:val="es-ES"/>
        </w:rPr>
      </w:pPr>
      <w:r w:rsidRPr="009B5E5A">
        <w:rPr>
          <w:rFonts w:ascii="Times New Roman" w:hAnsi="Times New Roman" w:cs="Times New Roman"/>
          <w:b/>
          <w:bCs/>
          <w:sz w:val="24"/>
          <w:szCs w:val="24"/>
          <w:lang w:val="es-ES"/>
        </w:rPr>
        <w:t>Calendario propuesto para la primera evaluación de la eficacia</w:t>
      </w:r>
    </w:p>
    <w:tbl>
      <w:tblPr>
        <w:tblW w:w="9129" w:type="dxa"/>
        <w:tblInd w:w="3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10"/>
        <w:gridCol w:w="2573"/>
        <w:gridCol w:w="2573"/>
        <w:gridCol w:w="2573"/>
      </w:tblGrid>
      <w:tr w:rsidR="00306F47" w:rsidRPr="00A46B4D" w14:paraId="7417A01C" w14:textId="77777777" w:rsidTr="00585A44">
        <w:trPr>
          <w:trHeight w:val="141"/>
          <w:tblHeader/>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36BE0" w14:textId="77777777" w:rsidR="00306F47" w:rsidRPr="00A46B4D" w:rsidRDefault="00306F47" w:rsidP="009B5E5A">
            <w:pPr>
              <w:pStyle w:val="Text"/>
              <w:tabs>
                <w:tab w:val="left" w:pos="477"/>
                <w:tab w:val="left" w:pos="1247"/>
                <w:tab w:val="left" w:pos="1814"/>
                <w:tab w:val="left" w:pos="2381"/>
                <w:tab w:val="left" w:pos="2948"/>
                <w:tab w:val="left" w:pos="3515"/>
              </w:tabs>
              <w:spacing w:after="0" w:line="240" w:lineRule="auto"/>
              <w:rPr>
                <w:rFonts w:ascii="Times New Roman" w:hAnsi="Times New Roman" w:cs="Times New Roman"/>
                <w:i/>
                <w:color w:val="auto"/>
                <w:sz w:val="18"/>
                <w:szCs w:val="18"/>
                <w:lang w:val="es-ES"/>
              </w:rPr>
            </w:pPr>
            <w:r w:rsidRPr="00A46B4D">
              <w:rPr>
                <w:rFonts w:ascii="Times New Roman" w:hAnsi="Times New Roman" w:cs="Times New Roman"/>
                <w:i/>
                <w:iCs/>
                <w:sz w:val="18"/>
                <w:szCs w:val="18"/>
                <w:lang w:val="es-ES"/>
              </w:rPr>
              <w:t>Año</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E3024" w14:textId="77777777" w:rsidR="00306F47" w:rsidRPr="00A46B4D" w:rsidRDefault="00306F47" w:rsidP="009B5E5A">
            <w:pPr>
              <w:pStyle w:val="Text"/>
              <w:tabs>
                <w:tab w:val="left" w:pos="477"/>
                <w:tab w:val="left" w:pos="1247"/>
                <w:tab w:val="left" w:pos="1814"/>
                <w:tab w:val="left" w:pos="2381"/>
                <w:tab w:val="left" w:pos="2948"/>
                <w:tab w:val="left" w:pos="3515"/>
              </w:tabs>
              <w:spacing w:after="0" w:line="240" w:lineRule="auto"/>
              <w:rPr>
                <w:rFonts w:ascii="Times New Roman" w:hAnsi="Times New Roman" w:cs="Times New Roman"/>
                <w:i/>
                <w:color w:val="auto"/>
                <w:sz w:val="18"/>
                <w:szCs w:val="18"/>
                <w:lang w:val="es-ES"/>
              </w:rPr>
            </w:pPr>
            <w:r w:rsidRPr="00A46B4D">
              <w:rPr>
                <w:rFonts w:ascii="Times New Roman" w:hAnsi="Times New Roman" w:cs="Times New Roman"/>
                <w:i/>
                <w:iCs/>
                <w:sz w:val="18"/>
                <w:szCs w:val="18"/>
                <w:lang w:val="es-ES"/>
              </w:rPr>
              <w:t>Información disponible</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99EA9" w14:textId="77777777" w:rsidR="00306F47" w:rsidRPr="00A46B4D" w:rsidRDefault="00306F47" w:rsidP="009B5E5A">
            <w:pPr>
              <w:pStyle w:val="Text"/>
              <w:tabs>
                <w:tab w:val="left" w:pos="477"/>
                <w:tab w:val="left" w:pos="1247"/>
                <w:tab w:val="left" w:pos="1814"/>
                <w:tab w:val="left" w:pos="2381"/>
                <w:tab w:val="left" w:pos="2948"/>
                <w:tab w:val="left" w:pos="3515"/>
              </w:tabs>
              <w:spacing w:after="0" w:line="240" w:lineRule="auto"/>
              <w:rPr>
                <w:rFonts w:ascii="Times New Roman" w:hAnsi="Times New Roman" w:cs="Times New Roman"/>
                <w:i/>
                <w:color w:val="auto"/>
                <w:sz w:val="18"/>
                <w:szCs w:val="18"/>
                <w:lang w:val="es-ES"/>
              </w:rPr>
            </w:pPr>
            <w:r w:rsidRPr="00A46B4D">
              <w:rPr>
                <w:rFonts w:ascii="Times New Roman" w:hAnsi="Times New Roman" w:cs="Times New Roman"/>
                <w:i/>
                <w:iCs/>
                <w:sz w:val="18"/>
                <w:szCs w:val="18"/>
                <w:lang w:val="es-ES"/>
              </w:rPr>
              <w:t>Datos de vigilancia</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87B1B" w14:textId="77777777" w:rsidR="00306F47" w:rsidRPr="00A46B4D" w:rsidRDefault="00306F47" w:rsidP="009B5E5A">
            <w:pPr>
              <w:pStyle w:val="Text"/>
              <w:tabs>
                <w:tab w:val="left" w:pos="477"/>
                <w:tab w:val="left" w:pos="1247"/>
                <w:tab w:val="left" w:pos="1814"/>
                <w:tab w:val="left" w:pos="2381"/>
                <w:tab w:val="left" w:pos="2948"/>
                <w:tab w:val="left" w:pos="3515"/>
              </w:tabs>
              <w:spacing w:after="0" w:line="240" w:lineRule="auto"/>
              <w:rPr>
                <w:rFonts w:ascii="Times New Roman" w:hAnsi="Times New Roman" w:cs="Times New Roman"/>
                <w:i/>
                <w:color w:val="auto"/>
                <w:sz w:val="18"/>
                <w:szCs w:val="18"/>
                <w:lang w:val="es-ES"/>
              </w:rPr>
            </w:pPr>
            <w:r w:rsidRPr="00A46B4D">
              <w:rPr>
                <w:rFonts w:ascii="Times New Roman" w:hAnsi="Times New Roman" w:cs="Times New Roman"/>
                <w:i/>
                <w:iCs/>
                <w:sz w:val="18"/>
                <w:szCs w:val="18"/>
                <w:lang w:val="es-ES"/>
              </w:rPr>
              <w:t>Evaluación de la eficacia</w:t>
            </w:r>
          </w:p>
        </w:tc>
      </w:tr>
      <w:tr w:rsidR="00306F47" w:rsidRPr="009B5E5A" w14:paraId="1F9E8751" w14:textId="77777777" w:rsidTr="009E4A35">
        <w:trPr>
          <w:trHeight w:val="393"/>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64230" w14:textId="2A70ECE1" w:rsidR="00306F47" w:rsidRPr="00A46B4D" w:rsidRDefault="00306F47" w:rsidP="009B5E5A">
            <w:pPr>
              <w:pStyle w:val="Text"/>
              <w:tabs>
                <w:tab w:val="left" w:pos="477"/>
              </w:tabs>
              <w:spacing w:after="0" w:line="240" w:lineRule="auto"/>
              <w:rPr>
                <w:rFonts w:ascii="Times New Roman" w:hAnsi="Times New Roman" w:cs="Times New Roman"/>
                <w:color w:val="auto"/>
                <w:sz w:val="18"/>
                <w:szCs w:val="18"/>
                <w:lang w:val="es-ES"/>
              </w:rPr>
            </w:pPr>
            <w:r w:rsidRPr="00A46B4D">
              <w:rPr>
                <w:rFonts w:ascii="Times New Roman" w:hAnsi="Times New Roman" w:cs="Times New Roman"/>
                <w:sz w:val="18"/>
                <w:szCs w:val="18"/>
                <w:lang w:val="es-ES"/>
              </w:rPr>
              <w:t>2017 - entrada en vigor, primera reunión de la Conferencia de las Partes</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61A8E" w14:textId="77777777" w:rsidR="00306F47" w:rsidRPr="00A46B4D" w:rsidRDefault="00306F47" w:rsidP="009B5E5A">
            <w:pPr>
              <w:rPr>
                <w:sz w:val="18"/>
                <w:szCs w:val="18"/>
                <w:lang w:val="es-ES"/>
              </w:rPr>
            </w:pP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5A1BC" w14:textId="77777777" w:rsidR="00306F47" w:rsidRPr="00A46B4D" w:rsidRDefault="00306F47" w:rsidP="009B5E5A">
            <w:pPr>
              <w:rPr>
                <w:sz w:val="18"/>
                <w:szCs w:val="18"/>
                <w:lang w:val="es-ES"/>
              </w:rPr>
            </w:pP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A95B8" w14:textId="77777777" w:rsidR="00306F47" w:rsidRPr="00A46B4D" w:rsidRDefault="00306F47" w:rsidP="009B5E5A">
            <w:pPr>
              <w:rPr>
                <w:sz w:val="18"/>
                <w:szCs w:val="18"/>
                <w:lang w:val="es-ES"/>
              </w:rPr>
            </w:pPr>
          </w:p>
        </w:tc>
      </w:tr>
      <w:tr w:rsidR="00306F47" w:rsidRPr="009B5E5A" w14:paraId="47744148" w14:textId="77777777" w:rsidTr="00585A44">
        <w:trPr>
          <w:trHeight w:val="244"/>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9EF3E" w14:textId="75FD2BB4" w:rsidR="00306F47" w:rsidRPr="00A46B4D" w:rsidRDefault="00A20103" w:rsidP="009B5E5A">
            <w:pPr>
              <w:pStyle w:val="Text"/>
              <w:tabs>
                <w:tab w:val="left" w:pos="477"/>
              </w:tabs>
              <w:spacing w:after="0" w:line="240" w:lineRule="auto"/>
              <w:rPr>
                <w:rFonts w:ascii="Times New Roman" w:hAnsi="Times New Roman" w:cs="Times New Roman"/>
                <w:color w:val="auto"/>
                <w:sz w:val="18"/>
                <w:szCs w:val="18"/>
                <w:lang w:val="es-ES"/>
              </w:rPr>
            </w:pPr>
            <w:r w:rsidRPr="00A46B4D">
              <w:rPr>
                <w:rFonts w:ascii="Times New Roman" w:hAnsi="Times New Roman" w:cs="Times New Roman"/>
                <w:sz w:val="18"/>
                <w:szCs w:val="18"/>
                <w:lang w:val="es-ES"/>
              </w:rPr>
              <w:t>2018 -</w:t>
            </w:r>
            <w:r w:rsidR="00306F47" w:rsidRPr="00A46B4D">
              <w:rPr>
                <w:rFonts w:ascii="Times New Roman" w:hAnsi="Times New Roman" w:cs="Times New Roman"/>
                <w:sz w:val="18"/>
                <w:szCs w:val="18"/>
                <w:lang w:val="es-ES"/>
              </w:rPr>
              <w:t xml:space="preserve"> segunda reunión de la Conferencia de las Partes</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D592" w14:textId="6574D1FD" w:rsidR="00306F47" w:rsidRPr="00A46B4D" w:rsidRDefault="00306F47" w:rsidP="009B5E5A">
            <w:pPr>
              <w:pStyle w:val="Paragraphedeliste"/>
              <w:numPr>
                <w:ilvl w:val="0"/>
                <w:numId w:val="47"/>
              </w:numPr>
              <w:pBdr>
                <w:top w:val="nil"/>
                <w:left w:val="nil"/>
                <w:bottom w:val="nil"/>
                <w:right w:val="nil"/>
                <w:between w:val="nil"/>
                <w:bar w:val="nil"/>
              </w:pBdr>
              <w:rPr>
                <w:rFonts w:eastAsia="Roboto"/>
                <w:sz w:val="18"/>
                <w:szCs w:val="18"/>
                <w:lang w:val="es-ES"/>
              </w:rPr>
            </w:pPr>
            <w:r w:rsidRPr="00A46B4D">
              <w:rPr>
                <w:sz w:val="18"/>
                <w:szCs w:val="18"/>
                <w:lang w:val="es-ES"/>
              </w:rPr>
              <w:t xml:space="preserve">Evaluación </w:t>
            </w:r>
            <w:r w:rsidR="001A035D" w:rsidRPr="00A46B4D">
              <w:rPr>
                <w:sz w:val="18"/>
                <w:szCs w:val="18"/>
                <w:lang w:val="es-ES"/>
              </w:rPr>
              <w:t>M</w:t>
            </w:r>
            <w:r w:rsidRPr="00A46B4D">
              <w:rPr>
                <w:sz w:val="18"/>
                <w:szCs w:val="18"/>
                <w:lang w:val="es-ES"/>
              </w:rPr>
              <w:t xml:space="preserve">undial del </w:t>
            </w:r>
            <w:r w:rsidR="001A035D" w:rsidRPr="00A46B4D">
              <w:rPr>
                <w:sz w:val="18"/>
                <w:szCs w:val="18"/>
                <w:lang w:val="es-ES"/>
              </w:rPr>
              <w:t>M</w:t>
            </w:r>
            <w:r w:rsidRPr="00A46B4D">
              <w:rPr>
                <w:sz w:val="18"/>
                <w:szCs w:val="18"/>
                <w:lang w:val="es-ES"/>
              </w:rPr>
              <w:t>ercurio</w:t>
            </w:r>
          </w:p>
          <w:p w14:paraId="35DD16C9" w14:textId="02E5D821" w:rsidR="00306F47" w:rsidRPr="00A46B4D" w:rsidRDefault="00763CEE" w:rsidP="009B5E5A">
            <w:pPr>
              <w:pStyle w:val="Paragraphedeliste"/>
              <w:numPr>
                <w:ilvl w:val="0"/>
                <w:numId w:val="47"/>
              </w:numPr>
              <w:pBdr>
                <w:top w:val="nil"/>
                <w:left w:val="nil"/>
                <w:bottom w:val="nil"/>
                <w:right w:val="nil"/>
                <w:between w:val="nil"/>
                <w:bar w:val="nil"/>
              </w:pBdr>
              <w:rPr>
                <w:rFonts w:eastAsia="Roboto"/>
                <w:sz w:val="18"/>
                <w:szCs w:val="18"/>
                <w:lang w:val="es-ES"/>
              </w:rPr>
            </w:pPr>
            <w:r w:rsidRPr="00A46B4D">
              <w:rPr>
                <w:sz w:val="18"/>
                <w:szCs w:val="18"/>
                <w:lang w:val="es-ES"/>
              </w:rPr>
              <w:t>Terminada la mayoría de</w:t>
            </w:r>
            <w:r w:rsidR="00306F47" w:rsidRPr="00A46B4D">
              <w:rPr>
                <w:sz w:val="18"/>
                <w:szCs w:val="18"/>
                <w:lang w:val="es-ES"/>
              </w:rPr>
              <w:t xml:space="preserve"> las evaluaciones iniciales del Convenio de Minamata</w:t>
            </w:r>
            <w:r w:rsidRPr="00A46B4D">
              <w:rPr>
                <w:sz w:val="18"/>
                <w:szCs w:val="18"/>
                <w:lang w:val="es-ES"/>
              </w:rPr>
              <w:t xml:space="preserve"> están terminadas</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FE133" w14:textId="69DC9340" w:rsidR="00306F47" w:rsidRPr="00A46B4D" w:rsidRDefault="00D57F63" w:rsidP="009B5E5A">
            <w:pPr>
              <w:pStyle w:val="Paragraphedeliste"/>
              <w:numPr>
                <w:ilvl w:val="0"/>
                <w:numId w:val="48"/>
              </w:numPr>
              <w:pBdr>
                <w:top w:val="nil"/>
                <w:left w:val="nil"/>
                <w:bottom w:val="nil"/>
                <w:right w:val="nil"/>
                <w:between w:val="nil"/>
                <w:bar w:val="nil"/>
              </w:pBdr>
              <w:rPr>
                <w:rFonts w:eastAsia="Roboto"/>
                <w:sz w:val="18"/>
                <w:szCs w:val="18"/>
                <w:lang w:val="es-ES"/>
              </w:rPr>
            </w:pPr>
            <w:r w:rsidRPr="00A46B4D">
              <w:rPr>
                <w:sz w:val="18"/>
                <w:szCs w:val="18"/>
                <w:lang w:val="es-ES"/>
              </w:rPr>
              <w:t xml:space="preserve">La Conferencia de las Partes examina los resultados de la labor entre períodos de sesiones y la manera de abordar las deficiencias y organizar la vigilancia, con inclusión de las disposiciones en materia de organización </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6CF8" w14:textId="4E09DDC8" w:rsidR="00306F47" w:rsidRPr="00A46B4D" w:rsidRDefault="00D57F63" w:rsidP="009B5E5A">
            <w:pPr>
              <w:pStyle w:val="Paragraphedeliste"/>
              <w:numPr>
                <w:ilvl w:val="0"/>
                <w:numId w:val="49"/>
              </w:numPr>
              <w:pBdr>
                <w:top w:val="nil"/>
                <w:left w:val="nil"/>
                <w:bottom w:val="nil"/>
                <w:right w:val="nil"/>
                <w:between w:val="nil"/>
                <w:bar w:val="nil"/>
              </w:pBdr>
              <w:rPr>
                <w:rFonts w:eastAsia="Roboto"/>
                <w:sz w:val="18"/>
                <w:szCs w:val="18"/>
                <w:lang w:val="es-ES"/>
              </w:rPr>
            </w:pPr>
            <w:r w:rsidRPr="00A46B4D">
              <w:rPr>
                <w:sz w:val="18"/>
                <w:szCs w:val="18"/>
                <w:lang w:val="es-ES"/>
              </w:rPr>
              <w:t>La Conferencia de las Partes examina el resultado de la labor entre períodos de sesiones y considera la manera de establecer un marco de evaluación de la eficacia</w:t>
            </w:r>
          </w:p>
        </w:tc>
      </w:tr>
      <w:tr w:rsidR="00306F47" w:rsidRPr="009B5E5A" w14:paraId="6CBFF95D" w14:textId="77777777" w:rsidTr="009E4A35">
        <w:trPr>
          <w:trHeight w:val="946"/>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9432B" w14:textId="04F4A148" w:rsidR="00306F47" w:rsidRPr="00A46B4D" w:rsidRDefault="00A20103" w:rsidP="009B5E5A">
            <w:pPr>
              <w:pStyle w:val="Text"/>
              <w:tabs>
                <w:tab w:val="left" w:pos="477"/>
              </w:tabs>
              <w:spacing w:after="0" w:line="240" w:lineRule="auto"/>
              <w:rPr>
                <w:rFonts w:ascii="Times New Roman" w:hAnsi="Times New Roman" w:cs="Times New Roman"/>
                <w:color w:val="auto"/>
                <w:sz w:val="18"/>
                <w:szCs w:val="18"/>
                <w:lang w:val="es-ES"/>
              </w:rPr>
            </w:pPr>
            <w:r w:rsidRPr="00A46B4D">
              <w:rPr>
                <w:rFonts w:ascii="Times New Roman" w:hAnsi="Times New Roman" w:cs="Times New Roman"/>
                <w:sz w:val="18"/>
                <w:szCs w:val="18"/>
                <w:lang w:val="es-ES"/>
              </w:rPr>
              <w:t>2019 -</w:t>
            </w:r>
            <w:r w:rsidR="00306F47" w:rsidRPr="00A46B4D">
              <w:rPr>
                <w:rFonts w:ascii="Times New Roman" w:hAnsi="Times New Roman" w:cs="Times New Roman"/>
                <w:sz w:val="18"/>
                <w:szCs w:val="18"/>
                <w:lang w:val="es-ES"/>
              </w:rPr>
              <w:t xml:space="preserve"> tercera reunión de la Conferencia de las Partes</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2A48E" w14:textId="4928A19F" w:rsidR="00306F47" w:rsidRPr="00A46B4D" w:rsidRDefault="00306F47" w:rsidP="009B5E5A">
            <w:pPr>
              <w:pStyle w:val="Paragraphedeliste"/>
              <w:numPr>
                <w:ilvl w:val="0"/>
                <w:numId w:val="50"/>
              </w:numPr>
              <w:pBdr>
                <w:top w:val="nil"/>
                <w:left w:val="nil"/>
                <w:bottom w:val="nil"/>
                <w:right w:val="nil"/>
                <w:between w:val="nil"/>
                <w:bar w:val="nil"/>
              </w:pBdr>
              <w:rPr>
                <w:rFonts w:eastAsia="Roboto"/>
                <w:sz w:val="18"/>
                <w:szCs w:val="18"/>
                <w:lang w:val="es-ES"/>
              </w:rPr>
            </w:pPr>
            <w:r w:rsidRPr="00A46B4D">
              <w:rPr>
                <w:sz w:val="18"/>
                <w:szCs w:val="18"/>
                <w:lang w:val="es-ES"/>
              </w:rPr>
              <w:t>Presentación de informes con arreglo al artículo 21: primer informe breve bienal a más tardar el 31 de diciembre</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FD6EB" w14:textId="77777777" w:rsidR="00306F47" w:rsidRPr="00A46B4D" w:rsidRDefault="00306F47" w:rsidP="009B5E5A">
            <w:pPr>
              <w:pStyle w:val="Paragraphedeliste"/>
              <w:numPr>
                <w:ilvl w:val="0"/>
                <w:numId w:val="51"/>
              </w:numPr>
              <w:pBdr>
                <w:top w:val="nil"/>
                <w:left w:val="nil"/>
                <w:bottom w:val="nil"/>
                <w:right w:val="nil"/>
                <w:between w:val="nil"/>
                <w:bar w:val="nil"/>
              </w:pBdr>
              <w:rPr>
                <w:rFonts w:eastAsia="Roboto"/>
                <w:sz w:val="18"/>
                <w:szCs w:val="18"/>
                <w:lang w:val="es-ES"/>
              </w:rPr>
            </w:pPr>
            <w:r w:rsidRPr="00A46B4D">
              <w:rPr>
                <w:sz w:val="18"/>
                <w:szCs w:val="18"/>
                <w:lang w:val="es-ES"/>
              </w:rPr>
              <w:t>Aprobación de las disposiciones sobre vigilancia, incluido el cronograma para la presentación de datos</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4CE77" w14:textId="77777777" w:rsidR="00306F47" w:rsidRPr="00A46B4D" w:rsidRDefault="00306F47" w:rsidP="009B5E5A">
            <w:pPr>
              <w:pStyle w:val="Paragraphedeliste"/>
              <w:numPr>
                <w:ilvl w:val="0"/>
                <w:numId w:val="52"/>
              </w:numPr>
              <w:pBdr>
                <w:top w:val="nil"/>
                <w:left w:val="nil"/>
                <w:bottom w:val="nil"/>
                <w:right w:val="nil"/>
                <w:between w:val="nil"/>
                <w:bar w:val="nil"/>
              </w:pBdr>
              <w:rPr>
                <w:rFonts w:eastAsia="Roboto"/>
                <w:sz w:val="18"/>
                <w:szCs w:val="18"/>
                <w:lang w:val="es-ES"/>
              </w:rPr>
            </w:pPr>
            <w:r w:rsidRPr="00A46B4D">
              <w:rPr>
                <w:sz w:val="18"/>
                <w:szCs w:val="18"/>
                <w:lang w:val="es-ES"/>
              </w:rPr>
              <w:t>Aprobación del marco de evaluación de la eficacia</w:t>
            </w:r>
          </w:p>
          <w:p w14:paraId="1D915D96" w14:textId="77777777" w:rsidR="00306F47" w:rsidRPr="00A46B4D" w:rsidRDefault="00306F47" w:rsidP="009B5E5A">
            <w:pPr>
              <w:pStyle w:val="Paragraphedeliste"/>
              <w:numPr>
                <w:ilvl w:val="0"/>
                <w:numId w:val="52"/>
              </w:numPr>
              <w:pBdr>
                <w:top w:val="nil"/>
                <w:left w:val="nil"/>
                <w:bottom w:val="nil"/>
                <w:right w:val="nil"/>
                <w:between w:val="nil"/>
                <w:bar w:val="nil"/>
              </w:pBdr>
              <w:rPr>
                <w:rFonts w:eastAsia="Roboto"/>
                <w:sz w:val="18"/>
                <w:szCs w:val="18"/>
                <w:lang w:val="es-ES"/>
              </w:rPr>
            </w:pPr>
            <w:r w:rsidRPr="00A46B4D">
              <w:rPr>
                <w:sz w:val="18"/>
                <w:szCs w:val="18"/>
                <w:lang w:val="es-ES"/>
              </w:rPr>
              <w:t>Nombramiento de los miembros del comité de evaluación de la eficacia</w:t>
            </w:r>
          </w:p>
        </w:tc>
      </w:tr>
      <w:tr w:rsidR="00306F47" w:rsidRPr="009B5E5A" w14:paraId="21ED5A26" w14:textId="77777777" w:rsidTr="009E4A35">
        <w:trPr>
          <w:trHeight w:val="992"/>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E55A1" w14:textId="77777777" w:rsidR="00306F47" w:rsidRPr="00A46B4D" w:rsidRDefault="00306F47" w:rsidP="009B5E5A">
            <w:pPr>
              <w:pStyle w:val="Text"/>
              <w:tabs>
                <w:tab w:val="left" w:pos="477"/>
              </w:tabs>
              <w:spacing w:after="0" w:line="240" w:lineRule="auto"/>
              <w:rPr>
                <w:rFonts w:ascii="Times New Roman" w:hAnsi="Times New Roman" w:cs="Times New Roman"/>
                <w:color w:val="auto"/>
                <w:sz w:val="18"/>
                <w:szCs w:val="18"/>
                <w:lang w:val="es-ES"/>
              </w:rPr>
            </w:pPr>
            <w:r w:rsidRPr="00A46B4D">
              <w:rPr>
                <w:rFonts w:ascii="Times New Roman" w:hAnsi="Times New Roman" w:cs="Times New Roman"/>
                <w:sz w:val="18"/>
                <w:szCs w:val="18"/>
                <w:lang w:val="es-ES"/>
              </w:rPr>
              <w:t>2020</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7CA3E" w14:textId="0F94EEB9" w:rsidR="00306F47" w:rsidRPr="00A46B4D" w:rsidRDefault="00306F47" w:rsidP="009B5E5A">
            <w:pPr>
              <w:pStyle w:val="Paragraphedeliste"/>
              <w:numPr>
                <w:ilvl w:val="0"/>
                <w:numId w:val="53"/>
              </w:numPr>
              <w:pBdr>
                <w:top w:val="nil"/>
                <w:left w:val="nil"/>
                <w:bottom w:val="nil"/>
                <w:right w:val="nil"/>
                <w:between w:val="nil"/>
                <w:bar w:val="nil"/>
              </w:pBdr>
              <w:rPr>
                <w:rFonts w:eastAsia="Roboto"/>
                <w:sz w:val="18"/>
                <w:szCs w:val="18"/>
                <w:lang w:val="es-ES"/>
              </w:rPr>
            </w:pPr>
            <w:r w:rsidRPr="00A46B4D">
              <w:rPr>
                <w:sz w:val="18"/>
                <w:szCs w:val="18"/>
                <w:lang w:val="es-ES"/>
              </w:rPr>
              <w:t xml:space="preserve">Comienzo de la presentación de los primeros planes de acción nacionales sobre la minería aurífera artesanal y en </w:t>
            </w:r>
            <w:r w:rsidR="00A20103" w:rsidRPr="00A46B4D">
              <w:rPr>
                <w:sz w:val="18"/>
                <w:szCs w:val="18"/>
                <w:lang w:val="es-ES"/>
              </w:rPr>
              <w:t>pequeña</w:t>
            </w:r>
            <w:r w:rsidRPr="00A46B4D">
              <w:rPr>
                <w:sz w:val="18"/>
                <w:szCs w:val="18"/>
                <w:lang w:val="es-ES"/>
              </w:rPr>
              <w:t xml:space="preserve"> escala</w:t>
            </w:r>
          </w:p>
          <w:p w14:paraId="06D694AD" w14:textId="77777777" w:rsidR="00306F47" w:rsidRPr="00A46B4D" w:rsidRDefault="00306F47" w:rsidP="009B5E5A">
            <w:pPr>
              <w:pStyle w:val="Paragraphedeliste"/>
              <w:numPr>
                <w:ilvl w:val="0"/>
                <w:numId w:val="53"/>
              </w:numPr>
              <w:pBdr>
                <w:top w:val="nil"/>
                <w:left w:val="nil"/>
                <w:bottom w:val="nil"/>
                <w:right w:val="nil"/>
                <w:between w:val="nil"/>
                <w:bar w:val="nil"/>
              </w:pBdr>
              <w:rPr>
                <w:rFonts w:eastAsia="Roboto"/>
                <w:sz w:val="18"/>
                <w:szCs w:val="18"/>
                <w:lang w:val="es-ES"/>
              </w:rPr>
            </w:pPr>
            <w:r w:rsidRPr="00A46B4D">
              <w:rPr>
                <w:sz w:val="18"/>
                <w:szCs w:val="18"/>
                <w:lang w:val="es-ES"/>
              </w:rPr>
              <w:t>Comunicación acerca de las categorías de fuentes de liberación</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11276C1" w14:textId="77777777" w:rsidR="00306F47" w:rsidRPr="00A46B4D" w:rsidRDefault="00306F47" w:rsidP="009B5E5A">
            <w:pPr>
              <w:rPr>
                <w:sz w:val="18"/>
                <w:szCs w:val="18"/>
                <w:lang w:val="es-ES"/>
              </w:rPr>
            </w:pP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C62B602" w14:textId="77777777" w:rsidR="00306F47" w:rsidRPr="00A46B4D" w:rsidRDefault="00306F47" w:rsidP="009B5E5A">
            <w:pPr>
              <w:rPr>
                <w:sz w:val="18"/>
                <w:szCs w:val="18"/>
                <w:lang w:val="es-ES"/>
              </w:rPr>
            </w:pPr>
          </w:p>
        </w:tc>
      </w:tr>
      <w:tr w:rsidR="00306F47" w:rsidRPr="009B5E5A" w14:paraId="699907AA" w14:textId="77777777" w:rsidTr="009E4A35">
        <w:trPr>
          <w:trHeight w:val="836"/>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81B2E" w14:textId="4B9A3E51" w:rsidR="00306F47" w:rsidRPr="00A46B4D" w:rsidRDefault="00A20103" w:rsidP="009B5E5A">
            <w:pPr>
              <w:pStyle w:val="Text"/>
              <w:tabs>
                <w:tab w:val="left" w:pos="477"/>
              </w:tabs>
              <w:spacing w:after="0" w:line="240" w:lineRule="auto"/>
              <w:rPr>
                <w:rFonts w:ascii="Times New Roman" w:hAnsi="Times New Roman" w:cs="Times New Roman"/>
                <w:color w:val="auto"/>
                <w:sz w:val="18"/>
                <w:szCs w:val="18"/>
                <w:lang w:val="es-ES"/>
              </w:rPr>
            </w:pPr>
            <w:r w:rsidRPr="00A46B4D">
              <w:rPr>
                <w:rFonts w:ascii="Times New Roman" w:hAnsi="Times New Roman" w:cs="Times New Roman"/>
                <w:sz w:val="18"/>
                <w:szCs w:val="18"/>
                <w:lang w:val="es-ES"/>
              </w:rPr>
              <w:t>20</w:t>
            </w:r>
            <w:r w:rsidR="00E74725">
              <w:rPr>
                <w:rFonts w:ascii="Times New Roman" w:hAnsi="Times New Roman" w:cs="Times New Roman"/>
                <w:sz w:val="18"/>
                <w:szCs w:val="18"/>
                <w:lang w:val="es-ES"/>
              </w:rPr>
              <w:t>21</w:t>
            </w:r>
            <w:r w:rsidRPr="00A46B4D">
              <w:rPr>
                <w:rFonts w:ascii="Times New Roman" w:hAnsi="Times New Roman" w:cs="Times New Roman"/>
                <w:sz w:val="18"/>
                <w:szCs w:val="18"/>
                <w:lang w:val="es-ES"/>
              </w:rPr>
              <w:t xml:space="preserve"> -</w:t>
            </w:r>
            <w:r w:rsidR="00306F47" w:rsidRPr="00A46B4D">
              <w:rPr>
                <w:rFonts w:ascii="Times New Roman" w:hAnsi="Times New Roman" w:cs="Times New Roman"/>
                <w:sz w:val="18"/>
                <w:szCs w:val="18"/>
                <w:lang w:val="es-ES"/>
              </w:rPr>
              <w:t xml:space="preserve"> cuarta reunión de la Conferencia de las Partes</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7701B" w14:textId="7A71CA63" w:rsidR="00306F47" w:rsidRPr="00A46B4D" w:rsidRDefault="00306F47" w:rsidP="009B5E5A">
            <w:pPr>
              <w:pStyle w:val="Paragraphedeliste"/>
              <w:numPr>
                <w:ilvl w:val="0"/>
                <w:numId w:val="54"/>
              </w:numPr>
              <w:pBdr>
                <w:top w:val="nil"/>
                <w:left w:val="nil"/>
                <w:bottom w:val="nil"/>
                <w:right w:val="nil"/>
                <w:between w:val="nil"/>
                <w:bar w:val="nil"/>
              </w:pBdr>
              <w:rPr>
                <w:rFonts w:eastAsia="Roboto"/>
                <w:sz w:val="18"/>
                <w:szCs w:val="18"/>
                <w:lang w:val="es-ES"/>
              </w:rPr>
            </w:pPr>
            <w:r w:rsidRPr="00A46B4D">
              <w:rPr>
                <w:sz w:val="18"/>
                <w:szCs w:val="18"/>
                <w:lang w:val="es-ES"/>
              </w:rPr>
              <w:t>Presentación de informes con arreglo al artículo 21: primer informe completo a más tardar el 31 de diciembre</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47EB8" w14:textId="0238088D" w:rsidR="00306F47" w:rsidRPr="00A46B4D" w:rsidRDefault="00D57F63" w:rsidP="009B5E5A">
            <w:pPr>
              <w:pStyle w:val="Paragraphedeliste"/>
              <w:numPr>
                <w:ilvl w:val="0"/>
                <w:numId w:val="55"/>
              </w:numPr>
              <w:pBdr>
                <w:top w:val="nil"/>
                <w:left w:val="nil"/>
                <w:bottom w:val="nil"/>
                <w:right w:val="nil"/>
                <w:between w:val="nil"/>
                <w:bar w:val="nil"/>
              </w:pBdr>
              <w:rPr>
                <w:rFonts w:eastAsia="Roboto"/>
                <w:sz w:val="18"/>
                <w:szCs w:val="18"/>
                <w:lang w:val="es-ES"/>
              </w:rPr>
            </w:pPr>
            <w:r w:rsidRPr="00A46B4D">
              <w:rPr>
                <w:sz w:val="18"/>
                <w:szCs w:val="18"/>
                <w:lang w:val="es-ES"/>
              </w:rPr>
              <w:t xml:space="preserve">La Conferencia de las Partes </w:t>
            </w:r>
            <w:r w:rsidR="00763CEE" w:rsidRPr="00A46B4D">
              <w:rPr>
                <w:sz w:val="18"/>
                <w:szCs w:val="18"/>
                <w:lang w:val="es-ES"/>
              </w:rPr>
              <w:t>comienza a preparar</w:t>
            </w:r>
            <w:r w:rsidRPr="00A46B4D">
              <w:rPr>
                <w:sz w:val="18"/>
                <w:szCs w:val="18"/>
                <w:lang w:val="es-ES"/>
              </w:rPr>
              <w:t xml:space="preserve"> el primer informe de vigilancia, que contribuirá a la evaluación de la eficacia </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E3A8D" w14:textId="10CBFB88" w:rsidR="00306F47" w:rsidRPr="00A46B4D" w:rsidRDefault="00306F47" w:rsidP="009B5E5A">
            <w:pPr>
              <w:pStyle w:val="Paragraphedeliste"/>
              <w:numPr>
                <w:ilvl w:val="0"/>
                <w:numId w:val="56"/>
              </w:numPr>
              <w:pBdr>
                <w:top w:val="nil"/>
                <w:left w:val="nil"/>
                <w:bottom w:val="nil"/>
                <w:right w:val="nil"/>
                <w:between w:val="nil"/>
                <w:bar w:val="nil"/>
              </w:pBdr>
              <w:rPr>
                <w:rFonts w:eastAsia="Roboto"/>
                <w:sz w:val="18"/>
                <w:szCs w:val="18"/>
                <w:lang w:val="es-ES"/>
              </w:rPr>
            </w:pPr>
            <w:r w:rsidRPr="00A46B4D">
              <w:rPr>
                <w:sz w:val="18"/>
                <w:szCs w:val="18"/>
                <w:lang w:val="es-ES"/>
              </w:rPr>
              <w:t xml:space="preserve">Todos los informes de la etapa 1 deberán presentarse a la </w:t>
            </w:r>
            <w:r w:rsidR="00A46B4D">
              <w:rPr>
                <w:sz w:val="18"/>
                <w:szCs w:val="18"/>
                <w:lang w:val="es-ES"/>
              </w:rPr>
              <w:t>Secretaría</w:t>
            </w:r>
            <w:r w:rsidRPr="00A46B4D">
              <w:rPr>
                <w:sz w:val="18"/>
                <w:szCs w:val="18"/>
                <w:lang w:val="es-ES"/>
              </w:rPr>
              <w:t xml:space="preserve"> (con excepción del informe sobre vigilancia mundial)</w:t>
            </w:r>
          </w:p>
        </w:tc>
      </w:tr>
      <w:tr w:rsidR="00306F47" w:rsidRPr="009B5E5A" w14:paraId="1AC0DA0C" w14:textId="77777777" w:rsidTr="009E4A35">
        <w:trPr>
          <w:trHeight w:val="1328"/>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7F9CC" w14:textId="77777777" w:rsidR="00306F47" w:rsidRPr="00A46B4D" w:rsidRDefault="00306F47" w:rsidP="009B5E5A">
            <w:pPr>
              <w:pStyle w:val="Text"/>
              <w:tabs>
                <w:tab w:val="left" w:pos="477"/>
              </w:tabs>
              <w:spacing w:after="0" w:line="240" w:lineRule="auto"/>
              <w:rPr>
                <w:rFonts w:ascii="Times New Roman" w:hAnsi="Times New Roman" w:cs="Times New Roman"/>
                <w:color w:val="auto"/>
                <w:sz w:val="18"/>
                <w:szCs w:val="18"/>
                <w:lang w:val="es-ES"/>
              </w:rPr>
            </w:pPr>
            <w:r w:rsidRPr="00A46B4D">
              <w:rPr>
                <w:rFonts w:ascii="Times New Roman" w:hAnsi="Times New Roman" w:cs="Times New Roman"/>
                <w:sz w:val="18"/>
                <w:szCs w:val="18"/>
                <w:lang w:val="es-ES"/>
              </w:rPr>
              <w:t>2022</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6D64F" w14:textId="3AACC876" w:rsidR="00306F47" w:rsidRPr="00A46B4D" w:rsidRDefault="00306F47" w:rsidP="009B5E5A">
            <w:pPr>
              <w:pStyle w:val="Paragraphedeliste"/>
              <w:numPr>
                <w:ilvl w:val="0"/>
                <w:numId w:val="57"/>
              </w:numPr>
              <w:pBdr>
                <w:top w:val="nil"/>
                <w:left w:val="nil"/>
                <w:bottom w:val="nil"/>
                <w:right w:val="nil"/>
                <w:between w:val="nil"/>
                <w:bar w:val="nil"/>
              </w:pBdr>
              <w:rPr>
                <w:rFonts w:eastAsia="Roboto"/>
                <w:sz w:val="18"/>
                <w:szCs w:val="18"/>
                <w:lang w:val="es-ES"/>
              </w:rPr>
            </w:pPr>
            <w:r w:rsidRPr="00A46B4D">
              <w:rPr>
                <w:sz w:val="18"/>
                <w:szCs w:val="18"/>
                <w:lang w:val="es-ES"/>
              </w:rPr>
              <w:t>Recopilación de todos los informes nacionales presentados con arreglo al artículo 21</w:t>
            </w:r>
          </w:p>
          <w:p w14:paraId="0F186E51" w14:textId="2C628E28" w:rsidR="00306F47" w:rsidRPr="00A46B4D" w:rsidRDefault="00306F47" w:rsidP="009B5E5A">
            <w:pPr>
              <w:pStyle w:val="Paragraphedeliste"/>
              <w:numPr>
                <w:ilvl w:val="0"/>
                <w:numId w:val="58"/>
              </w:numPr>
              <w:pBdr>
                <w:top w:val="nil"/>
                <w:left w:val="nil"/>
                <w:bottom w:val="nil"/>
                <w:right w:val="nil"/>
                <w:between w:val="nil"/>
                <w:bar w:val="nil"/>
              </w:pBdr>
              <w:rPr>
                <w:rFonts w:eastAsia="Roboto"/>
                <w:sz w:val="18"/>
                <w:szCs w:val="18"/>
                <w:lang w:val="es-ES"/>
              </w:rPr>
            </w:pPr>
            <w:r w:rsidRPr="00A46B4D">
              <w:rPr>
                <w:sz w:val="18"/>
                <w:szCs w:val="18"/>
                <w:lang w:val="es-ES"/>
              </w:rPr>
              <w:t>Comienzo de la presentación de los inventarios sobre las emisiones y la liberación</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CD632" w14:textId="0E3B7334" w:rsidR="00306F47" w:rsidRPr="00A46B4D" w:rsidRDefault="00306F47" w:rsidP="009B5E5A">
            <w:pPr>
              <w:pStyle w:val="Paragraphedeliste"/>
              <w:numPr>
                <w:ilvl w:val="0"/>
                <w:numId w:val="59"/>
              </w:numPr>
              <w:pBdr>
                <w:top w:val="nil"/>
                <w:left w:val="nil"/>
                <w:bottom w:val="nil"/>
                <w:right w:val="nil"/>
                <w:between w:val="nil"/>
                <w:bar w:val="nil"/>
              </w:pBdr>
              <w:rPr>
                <w:rFonts w:eastAsia="Roboto"/>
                <w:sz w:val="18"/>
                <w:szCs w:val="18"/>
                <w:lang w:val="es-ES"/>
              </w:rPr>
            </w:pPr>
            <w:r w:rsidRPr="00A46B4D">
              <w:rPr>
                <w:sz w:val="18"/>
                <w:szCs w:val="18"/>
                <w:lang w:val="es-ES"/>
              </w:rPr>
              <w:t>Preparación del informe de vigilancia y presentación al Comité para contribuir al informe de evaluación de la eficacia</w:t>
            </w:r>
            <w:r w:rsidR="00763CEE" w:rsidRPr="00A46B4D">
              <w:rPr>
                <w:sz w:val="18"/>
                <w:szCs w:val="18"/>
                <w:lang w:val="es-ES"/>
              </w:rPr>
              <w:t xml:space="preserve"> </w:t>
            </w:r>
            <w:r w:rsidRPr="00A46B4D">
              <w:rPr>
                <w:sz w:val="18"/>
                <w:szCs w:val="18"/>
                <w:lang w:val="es-ES"/>
              </w:rPr>
              <w:t>-</w:t>
            </w:r>
            <w:r w:rsidR="00763CEE" w:rsidRPr="00A46B4D">
              <w:rPr>
                <w:sz w:val="18"/>
                <w:szCs w:val="18"/>
                <w:lang w:val="es-ES"/>
              </w:rPr>
              <w:t xml:space="preserve"> e</w:t>
            </w:r>
            <w:r w:rsidRPr="00A46B4D">
              <w:rPr>
                <w:sz w:val="18"/>
                <w:szCs w:val="18"/>
                <w:lang w:val="es-ES"/>
              </w:rPr>
              <w:t>n cumplimiento del párrafo 2 del artículo 22 para facilitar la evaluación</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1FB8E" w14:textId="77777777" w:rsidR="00306F47" w:rsidRPr="00A46B4D" w:rsidRDefault="00306F47" w:rsidP="009B5E5A">
            <w:pPr>
              <w:pStyle w:val="Paragraphedeliste"/>
              <w:numPr>
                <w:ilvl w:val="0"/>
                <w:numId w:val="60"/>
              </w:numPr>
              <w:pBdr>
                <w:top w:val="nil"/>
                <w:left w:val="nil"/>
                <w:bottom w:val="nil"/>
                <w:right w:val="nil"/>
                <w:between w:val="nil"/>
                <w:bar w:val="nil"/>
              </w:pBdr>
              <w:rPr>
                <w:rFonts w:eastAsia="Roboto"/>
                <w:sz w:val="18"/>
                <w:szCs w:val="18"/>
                <w:lang w:val="es-ES"/>
              </w:rPr>
            </w:pPr>
            <w:r w:rsidRPr="00A46B4D">
              <w:rPr>
                <w:sz w:val="18"/>
                <w:szCs w:val="18"/>
                <w:lang w:val="es-ES"/>
              </w:rPr>
              <w:t>Junio: terminada la etapa 1</w:t>
            </w:r>
          </w:p>
          <w:p w14:paraId="41DC43B0" w14:textId="6B8B3ED1" w:rsidR="00306F47" w:rsidRPr="00A46B4D" w:rsidRDefault="00306F47" w:rsidP="009B5E5A">
            <w:pPr>
              <w:pStyle w:val="Paragraphedeliste"/>
              <w:numPr>
                <w:ilvl w:val="0"/>
                <w:numId w:val="61"/>
              </w:numPr>
              <w:pBdr>
                <w:top w:val="nil"/>
                <w:left w:val="nil"/>
                <w:bottom w:val="nil"/>
                <w:right w:val="nil"/>
                <w:between w:val="nil"/>
                <w:bar w:val="nil"/>
              </w:pBdr>
              <w:rPr>
                <w:rFonts w:eastAsia="Roboto"/>
                <w:sz w:val="18"/>
                <w:szCs w:val="18"/>
                <w:lang w:val="es-ES"/>
              </w:rPr>
            </w:pPr>
            <w:r w:rsidRPr="00A46B4D">
              <w:rPr>
                <w:sz w:val="18"/>
                <w:szCs w:val="18"/>
                <w:lang w:val="es-ES"/>
              </w:rPr>
              <w:t xml:space="preserve">Diciembre: realización del análisis preliminar por la </w:t>
            </w:r>
            <w:r w:rsidR="00A46B4D">
              <w:rPr>
                <w:sz w:val="18"/>
                <w:szCs w:val="18"/>
                <w:lang w:val="es-ES"/>
              </w:rPr>
              <w:t>Secretaría</w:t>
            </w:r>
          </w:p>
          <w:p w14:paraId="3A1D8D41" w14:textId="21893560" w:rsidR="00306F47" w:rsidRPr="00A46B4D" w:rsidRDefault="00306F47" w:rsidP="009B5E5A">
            <w:pPr>
              <w:pStyle w:val="Paragraphedeliste"/>
              <w:numPr>
                <w:ilvl w:val="0"/>
                <w:numId w:val="61"/>
              </w:numPr>
              <w:pBdr>
                <w:top w:val="nil"/>
                <w:left w:val="nil"/>
                <w:bottom w:val="nil"/>
                <w:right w:val="nil"/>
                <w:between w:val="nil"/>
                <w:bar w:val="nil"/>
              </w:pBdr>
              <w:rPr>
                <w:rFonts w:eastAsia="Roboto"/>
                <w:sz w:val="18"/>
                <w:szCs w:val="18"/>
                <w:lang w:val="es-ES"/>
              </w:rPr>
            </w:pPr>
            <w:r w:rsidRPr="00A46B4D">
              <w:rPr>
                <w:sz w:val="18"/>
                <w:szCs w:val="18"/>
                <w:lang w:val="es-ES"/>
              </w:rPr>
              <w:t>El Comité se reúne para examinar la información</w:t>
            </w:r>
          </w:p>
        </w:tc>
      </w:tr>
      <w:tr w:rsidR="00306F47" w:rsidRPr="009B5E5A" w14:paraId="3BF6078C" w14:textId="77777777" w:rsidTr="009E4A35">
        <w:trPr>
          <w:trHeight w:val="570"/>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9B342" w14:textId="428E1129" w:rsidR="00306F47" w:rsidRPr="00A46B4D" w:rsidRDefault="00A20103" w:rsidP="009B5E5A">
            <w:pPr>
              <w:pStyle w:val="Text"/>
              <w:tabs>
                <w:tab w:val="left" w:pos="477"/>
              </w:tabs>
              <w:spacing w:after="0" w:line="240" w:lineRule="auto"/>
              <w:rPr>
                <w:rFonts w:ascii="Times New Roman" w:hAnsi="Times New Roman" w:cs="Times New Roman"/>
                <w:color w:val="auto"/>
                <w:sz w:val="18"/>
                <w:szCs w:val="18"/>
                <w:lang w:val="es-ES"/>
              </w:rPr>
            </w:pPr>
            <w:r w:rsidRPr="00A46B4D">
              <w:rPr>
                <w:rFonts w:ascii="Times New Roman" w:hAnsi="Times New Roman" w:cs="Times New Roman"/>
                <w:sz w:val="18"/>
                <w:szCs w:val="18"/>
                <w:lang w:val="es-ES"/>
              </w:rPr>
              <w:t>20</w:t>
            </w:r>
            <w:r w:rsidR="00E74725">
              <w:rPr>
                <w:rFonts w:ascii="Times New Roman" w:hAnsi="Times New Roman" w:cs="Times New Roman"/>
                <w:sz w:val="18"/>
                <w:szCs w:val="18"/>
                <w:lang w:val="es-ES"/>
              </w:rPr>
              <w:t>23</w:t>
            </w:r>
            <w:r w:rsidRPr="00A46B4D">
              <w:rPr>
                <w:rFonts w:ascii="Times New Roman" w:hAnsi="Times New Roman" w:cs="Times New Roman"/>
                <w:sz w:val="18"/>
                <w:szCs w:val="18"/>
                <w:lang w:val="es-ES"/>
              </w:rPr>
              <w:t xml:space="preserve"> -</w:t>
            </w:r>
            <w:r w:rsidR="00306F47" w:rsidRPr="00A46B4D">
              <w:rPr>
                <w:rFonts w:ascii="Times New Roman" w:hAnsi="Times New Roman" w:cs="Times New Roman"/>
                <w:sz w:val="18"/>
                <w:szCs w:val="18"/>
                <w:lang w:val="es-ES"/>
              </w:rPr>
              <w:t xml:space="preserve"> quinta reunión de la Conferencia de las Partes</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ECDF6" w14:textId="77777777" w:rsidR="00306F47" w:rsidRPr="00A46B4D" w:rsidRDefault="00306F47" w:rsidP="009B5E5A">
            <w:pPr>
              <w:pStyle w:val="Paragraphedeliste"/>
              <w:numPr>
                <w:ilvl w:val="0"/>
                <w:numId w:val="62"/>
              </w:numPr>
              <w:pBdr>
                <w:top w:val="nil"/>
                <w:left w:val="nil"/>
                <w:bottom w:val="nil"/>
                <w:right w:val="nil"/>
                <w:between w:val="nil"/>
                <w:bar w:val="nil"/>
              </w:pBdr>
              <w:rPr>
                <w:rFonts w:eastAsia="Roboto"/>
                <w:sz w:val="18"/>
                <w:szCs w:val="18"/>
                <w:lang w:val="es-ES"/>
              </w:rPr>
            </w:pPr>
            <w:r w:rsidRPr="00A46B4D">
              <w:rPr>
                <w:sz w:val="18"/>
                <w:szCs w:val="18"/>
                <w:lang w:val="es-ES"/>
              </w:rPr>
              <w:t>Informe bienal</w:t>
            </w:r>
          </w:p>
          <w:p w14:paraId="649007E5" w14:textId="5F4B7AE3" w:rsidR="00306F47" w:rsidRPr="00A46B4D" w:rsidRDefault="00306F47" w:rsidP="009B5E5A">
            <w:pPr>
              <w:pStyle w:val="Paragraphedeliste"/>
              <w:numPr>
                <w:ilvl w:val="0"/>
                <w:numId w:val="62"/>
              </w:numPr>
              <w:pBdr>
                <w:top w:val="nil"/>
                <w:left w:val="nil"/>
                <w:bottom w:val="nil"/>
                <w:right w:val="nil"/>
                <w:between w:val="nil"/>
                <w:bar w:val="nil"/>
              </w:pBdr>
              <w:rPr>
                <w:rFonts w:eastAsia="Roboto"/>
                <w:sz w:val="18"/>
                <w:szCs w:val="18"/>
                <w:lang w:val="es-ES"/>
              </w:rPr>
            </w:pPr>
            <w:r w:rsidRPr="00A46B4D">
              <w:rPr>
                <w:sz w:val="18"/>
                <w:szCs w:val="18"/>
                <w:lang w:val="es-ES"/>
              </w:rPr>
              <w:t>Examen de los planes de acción nacionales</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BB882" w14:textId="6DB64881" w:rsidR="00306F47" w:rsidRPr="00A46B4D" w:rsidRDefault="00D57F63" w:rsidP="009B5E5A">
            <w:pPr>
              <w:pStyle w:val="Paragraphedeliste"/>
              <w:numPr>
                <w:ilvl w:val="0"/>
                <w:numId w:val="63"/>
              </w:numPr>
              <w:pBdr>
                <w:top w:val="nil"/>
                <w:left w:val="nil"/>
                <w:bottom w:val="nil"/>
                <w:right w:val="nil"/>
                <w:between w:val="nil"/>
                <w:bar w:val="nil"/>
              </w:pBdr>
              <w:rPr>
                <w:rFonts w:eastAsia="Roboto"/>
                <w:sz w:val="18"/>
                <w:szCs w:val="18"/>
                <w:lang w:val="es-ES"/>
              </w:rPr>
            </w:pPr>
            <w:r w:rsidRPr="00A46B4D">
              <w:rPr>
                <w:sz w:val="18"/>
                <w:szCs w:val="18"/>
                <w:lang w:val="es-ES"/>
              </w:rPr>
              <w:t>La Conferencia de las Partes acoge con satisfacción el informe de vigilancia</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1FE4F" w14:textId="2E93AAE0" w:rsidR="00306F47" w:rsidRPr="00A46B4D" w:rsidRDefault="00D57F63" w:rsidP="009B5E5A">
            <w:pPr>
              <w:pStyle w:val="Paragraphedeliste"/>
              <w:numPr>
                <w:ilvl w:val="0"/>
                <w:numId w:val="64"/>
              </w:numPr>
              <w:pBdr>
                <w:top w:val="nil"/>
                <w:left w:val="nil"/>
                <w:bottom w:val="nil"/>
                <w:right w:val="nil"/>
                <w:between w:val="nil"/>
                <w:bar w:val="nil"/>
              </w:pBdr>
              <w:rPr>
                <w:rFonts w:eastAsia="Roboto"/>
                <w:sz w:val="18"/>
                <w:szCs w:val="18"/>
                <w:lang w:val="es-ES"/>
              </w:rPr>
            </w:pPr>
            <w:r w:rsidRPr="00A46B4D">
              <w:rPr>
                <w:sz w:val="18"/>
                <w:szCs w:val="18"/>
                <w:lang w:val="es-ES"/>
              </w:rPr>
              <w:t>La Conferencia de las Partes acoge con satisfacción el informe de evaluación de la eficacia</w:t>
            </w:r>
          </w:p>
        </w:tc>
      </w:tr>
    </w:tbl>
    <w:p w14:paraId="3C7FD136" w14:textId="6A66EE98" w:rsidR="00306F47" w:rsidRPr="00A46B4D" w:rsidRDefault="00306F47" w:rsidP="009B5E5A">
      <w:pPr>
        <w:pStyle w:val="Text"/>
        <w:numPr>
          <w:ilvl w:val="0"/>
          <w:numId w:val="65"/>
        </w:numPr>
        <w:spacing w:before="240" w:after="120" w:line="240" w:lineRule="auto"/>
        <w:ind w:left="1247" w:firstLine="0"/>
        <w:rPr>
          <w:rFonts w:ascii="Times New Roman" w:hAnsi="Times New Roman" w:cs="Times New Roman"/>
          <w:color w:val="auto"/>
          <w:sz w:val="20"/>
          <w:szCs w:val="20"/>
          <w:lang w:val="es-ES"/>
        </w:rPr>
      </w:pPr>
      <w:r w:rsidRPr="00A46B4D">
        <w:rPr>
          <w:rFonts w:ascii="Times New Roman" w:hAnsi="Times New Roman" w:cs="Times New Roman"/>
          <w:sz w:val="20"/>
          <w:szCs w:val="20"/>
          <w:lang w:val="es-ES"/>
        </w:rPr>
        <w:t>E</w:t>
      </w:r>
      <w:r w:rsidR="009B09C0" w:rsidRPr="00A46B4D">
        <w:rPr>
          <w:rFonts w:ascii="Times New Roman" w:hAnsi="Times New Roman" w:cs="Times New Roman"/>
          <w:sz w:val="20"/>
          <w:szCs w:val="20"/>
          <w:lang w:val="es-ES"/>
        </w:rPr>
        <w:t>n el marco de evaluación de la eficacia</w:t>
      </w:r>
      <w:r w:rsidRPr="00A46B4D">
        <w:rPr>
          <w:rFonts w:ascii="Times New Roman" w:hAnsi="Times New Roman" w:cs="Times New Roman"/>
          <w:sz w:val="20"/>
          <w:szCs w:val="20"/>
          <w:lang w:val="es-ES"/>
        </w:rPr>
        <w:t xml:space="preserve"> debería incluirse e</w:t>
      </w:r>
      <w:r w:rsidR="009B09C0" w:rsidRPr="00A46B4D">
        <w:rPr>
          <w:rFonts w:ascii="Times New Roman" w:hAnsi="Times New Roman" w:cs="Times New Roman"/>
          <w:sz w:val="20"/>
          <w:szCs w:val="20"/>
          <w:lang w:val="es-ES"/>
        </w:rPr>
        <w:t>l mandato de un comité de evaluación de la eficacia, como se propone en el informe sobre la labor del grupo especial de expertos sobre la evaluación de la eficacia (véase UNEP/MC/COP.2/INF/8)</w:t>
      </w:r>
      <w:r w:rsidRPr="00A46B4D">
        <w:rPr>
          <w:rFonts w:ascii="Times New Roman" w:hAnsi="Times New Roman" w:cs="Times New Roman"/>
          <w:sz w:val="20"/>
          <w:szCs w:val="20"/>
          <w:lang w:val="es-ES"/>
        </w:rPr>
        <w:t>.</w:t>
      </w:r>
    </w:p>
    <w:p w14:paraId="1106A378" w14:textId="77777777" w:rsidR="001D2D56" w:rsidRPr="00A46B4D" w:rsidRDefault="001D2D56" w:rsidP="009B5E5A">
      <w:pPr>
        <w:pStyle w:val="Normal-pool"/>
        <w:rPr>
          <w:lang w:val="es-ES"/>
        </w:rPr>
      </w:pPr>
    </w:p>
    <w:tbl>
      <w:tblPr>
        <w:tblW w:w="0" w:type="auto"/>
        <w:tblLayout w:type="fixed"/>
        <w:tblLook w:val="04A0" w:firstRow="1" w:lastRow="0" w:firstColumn="1" w:lastColumn="0" w:noHBand="0" w:noVBand="1"/>
      </w:tblPr>
      <w:tblGrid>
        <w:gridCol w:w="1942"/>
        <w:gridCol w:w="1942"/>
        <w:gridCol w:w="1942"/>
        <w:gridCol w:w="1943"/>
        <w:gridCol w:w="1943"/>
      </w:tblGrid>
      <w:tr w:rsidR="00E976AB" w:rsidRPr="009B5E5A" w14:paraId="6DB0CABC" w14:textId="77777777" w:rsidTr="00990918">
        <w:tc>
          <w:tcPr>
            <w:tcW w:w="1942" w:type="dxa"/>
            <w:shd w:val="clear" w:color="auto" w:fill="auto"/>
          </w:tcPr>
          <w:p w14:paraId="6D3F7C2C" w14:textId="77777777" w:rsidR="00E976AB" w:rsidRPr="00A46B4D" w:rsidRDefault="00E976AB" w:rsidP="009B5E5A">
            <w:pPr>
              <w:pStyle w:val="Normal-pool"/>
              <w:tabs>
                <w:tab w:val="left" w:pos="624"/>
                <w:tab w:val="left" w:pos="1871"/>
                <w:tab w:val="left" w:pos="2495"/>
              </w:tabs>
              <w:spacing w:before="520"/>
              <w:rPr>
                <w:lang w:val="es-ES"/>
              </w:rPr>
            </w:pPr>
          </w:p>
        </w:tc>
        <w:tc>
          <w:tcPr>
            <w:tcW w:w="1942" w:type="dxa"/>
            <w:shd w:val="clear" w:color="auto" w:fill="auto"/>
          </w:tcPr>
          <w:p w14:paraId="378BA037" w14:textId="77777777" w:rsidR="00E976AB" w:rsidRPr="00A46B4D" w:rsidRDefault="00E976AB" w:rsidP="009B5E5A">
            <w:pPr>
              <w:pStyle w:val="Normal-pool"/>
              <w:tabs>
                <w:tab w:val="left" w:pos="624"/>
                <w:tab w:val="left" w:pos="1871"/>
                <w:tab w:val="left" w:pos="2495"/>
              </w:tabs>
              <w:spacing w:before="520"/>
              <w:rPr>
                <w:lang w:val="es-ES"/>
              </w:rPr>
            </w:pPr>
          </w:p>
        </w:tc>
        <w:tc>
          <w:tcPr>
            <w:tcW w:w="1942" w:type="dxa"/>
            <w:tcBorders>
              <w:bottom w:val="single" w:sz="4" w:space="0" w:color="auto"/>
            </w:tcBorders>
            <w:shd w:val="clear" w:color="auto" w:fill="auto"/>
          </w:tcPr>
          <w:p w14:paraId="028E3E1E" w14:textId="77777777" w:rsidR="00E976AB" w:rsidRPr="00A46B4D" w:rsidRDefault="00E976AB" w:rsidP="009B5E5A">
            <w:pPr>
              <w:pStyle w:val="Normal-pool"/>
              <w:tabs>
                <w:tab w:val="left" w:pos="624"/>
                <w:tab w:val="left" w:pos="1871"/>
                <w:tab w:val="left" w:pos="2495"/>
              </w:tabs>
              <w:spacing w:before="520"/>
              <w:rPr>
                <w:lang w:val="es-ES"/>
              </w:rPr>
            </w:pPr>
          </w:p>
        </w:tc>
        <w:tc>
          <w:tcPr>
            <w:tcW w:w="1943" w:type="dxa"/>
            <w:shd w:val="clear" w:color="auto" w:fill="auto"/>
          </w:tcPr>
          <w:p w14:paraId="25F1BA19" w14:textId="77777777" w:rsidR="00E976AB" w:rsidRPr="00A46B4D" w:rsidRDefault="00E976AB" w:rsidP="009B5E5A">
            <w:pPr>
              <w:pStyle w:val="Normal-pool"/>
              <w:tabs>
                <w:tab w:val="left" w:pos="624"/>
                <w:tab w:val="left" w:pos="1871"/>
                <w:tab w:val="left" w:pos="2495"/>
              </w:tabs>
              <w:spacing w:before="520"/>
              <w:rPr>
                <w:lang w:val="es-ES"/>
              </w:rPr>
            </w:pPr>
          </w:p>
        </w:tc>
        <w:tc>
          <w:tcPr>
            <w:tcW w:w="1943" w:type="dxa"/>
            <w:shd w:val="clear" w:color="auto" w:fill="auto"/>
          </w:tcPr>
          <w:p w14:paraId="457D2993" w14:textId="77777777" w:rsidR="00E976AB" w:rsidRPr="00A46B4D" w:rsidRDefault="00E976AB" w:rsidP="009B5E5A">
            <w:pPr>
              <w:pStyle w:val="Normal-pool"/>
              <w:tabs>
                <w:tab w:val="left" w:pos="624"/>
                <w:tab w:val="left" w:pos="1871"/>
                <w:tab w:val="left" w:pos="2495"/>
              </w:tabs>
              <w:spacing w:before="520"/>
              <w:rPr>
                <w:lang w:val="es-ES"/>
              </w:rPr>
            </w:pPr>
          </w:p>
        </w:tc>
      </w:tr>
      <w:bookmarkEnd w:id="5"/>
    </w:tbl>
    <w:p w14:paraId="325E8270" w14:textId="77777777" w:rsidR="00032E4E" w:rsidRPr="00A46B4D" w:rsidRDefault="00032E4E" w:rsidP="009B5E5A">
      <w:pPr>
        <w:pStyle w:val="Normal-pool"/>
        <w:tabs>
          <w:tab w:val="left" w:pos="624"/>
          <w:tab w:val="left" w:pos="1871"/>
          <w:tab w:val="left" w:pos="2495"/>
        </w:tabs>
        <w:rPr>
          <w:lang w:val="es-ES"/>
        </w:rPr>
      </w:pPr>
    </w:p>
    <w:sectPr w:rsidR="00032E4E" w:rsidRPr="00A46B4D"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56B9D" w14:textId="77777777" w:rsidR="00332076" w:rsidRDefault="00332076">
      <w:r>
        <w:separator/>
      </w:r>
    </w:p>
  </w:endnote>
  <w:endnote w:type="continuationSeparator" w:id="0">
    <w:p w14:paraId="5E6142DC" w14:textId="77777777" w:rsidR="00332076" w:rsidRDefault="0033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61493232" w:rsidR="009E4A35" w:rsidRDefault="009E4A35">
    <w:pPr>
      <w:pStyle w:val="Pieddepage"/>
    </w:pPr>
    <w:r>
      <w:rPr>
        <w:rStyle w:val="Numrodepage"/>
      </w:rPr>
      <w:fldChar w:fldCharType="begin"/>
    </w:r>
    <w:r>
      <w:rPr>
        <w:rStyle w:val="Numrodepage"/>
      </w:rPr>
      <w:instrText xml:space="preserve"> PAGE </w:instrText>
    </w:r>
    <w:r>
      <w:rPr>
        <w:rStyle w:val="Numrodepage"/>
      </w:rPr>
      <w:fldChar w:fldCharType="separate"/>
    </w:r>
    <w:r w:rsidR="00A9519A">
      <w:rPr>
        <w:rStyle w:val="Numrodepage"/>
        <w:noProof/>
      </w:rPr>
      <w:t>6</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50BCCA45" w:rsidR="009E4A35" w:rsidRDefault="009E4A35" w:rsidP="00035ED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A9519A">
      <w:rPr>
        <w:rStyle w:val="Numrodepage"/>
        <w:noProof/>
      </w:rPr>
      <w:t>5</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13FF" w14:textId="12A1B0B0" w:rsidR="009E4A35" w:rsidRPr="00A46B4D" w:rsidRDefault="009E4A35" w:rsidP="00B848A1">
    <w:pPr>
      <w:pStyle w:val="Pieddepage"/>
      <w:tabs>
        <w:tab w:val="clear" w:pos="1247"/>
        <w:tab w:val="clear" w:pos="1814"/>
        <w:tab w:val="clear" w:pos="2381"/>
        <w:tab w:val="clear" w:pos="2948"/>
        <w:tab w:val="clear" w:pos="3515"/>
        <w:tab w:val="clear" w:pos="4320"/>
        <w:tab w:val="clear" w:pos="8640"/>
        <w:tab w:val="left" w:pos="624"/>
      </w:tabs>
      <w:rPr>
        <w:sz w:val="20"/>
      </w:rPr>
    </w:pPr>
    <w:r w:rsidRPr="00A46B4D">
      <w:rPr>
        <w:sz w:val="20"/>
        <w:lang w:val="es-ES"/>
      </w:rPr>
      <w:t>K180</w:t>
    </w:r>
    <w:r w:rsidR="009B5E5A">
      <w:rPr>
        <w:sz w:val="20"/>
        <w:lang w:val="es-ES"/>
      </w:rPr>
      <w:t>326</w:t>
    </w:r>
    <w:r w:rsidR="00443636">
      <w:rPr>
        <w:sz w:val="20"/>
        <w:lang w:val="es-ES"/>
      </w:rPr>
      <w:t>6</w:t>
    </w:r>
    <w:r w:rsidRPr="00A46B4D">
      <w:rPr>
        <w:sz w:val="20"/>
        <w:lang w:val="es-ES"/>
      </w:rPr>
      <w:tab/>
    </w:r>
    <w:r w:rsidR="009B5E5A">
      <w:rPr>
        <w:sz w:val="20"/>
        <w:lang w:val="es-ES"/>
      </w:rPr>
      <w:t>1511</w:t>
    </w:r>
    <w:r w:rsidRPr="00A46B4D">
      <w:rPr>
        <w:sz w:val="20"/>
        <w:lang w:val="es-ES"/>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00F2E" w14:textId="77777777" w:rsidR="00332076" w:rsidRDefault="00332076" w:rsidP="00D92DE0">
      <w:pPr>
        <w:ind w:left="624"/>
      </w:pPr>
      <w:r>
        <w:separator/>
      </w:r>
    </w:p>
  </w:footnote>
  <w:footnote w:type="continuationSeparator" w:id="0">
    <w:p w14:paraId="21E33A18" w14:textId="77777777" w:rsidR="00332076" w:rsidRDefault="00332076">
      <w:r>
        <w:continuationSeparator/>
      </w:r>
    </w:p>
  </w:footnote>
  <w:footnote w:id="1">
    <w:p w14:paraId="14E09018" w14:textId="7A121A21" w:rsidR="00EA10A4" w:rsidRPr="009B5E5A" w:rsidRDefault="00EA10A4">
      <w:pPr>
        <w:pStyle w:val="Notedebasdepage"/>
        <w:rPr>
          <w:szCs w:val="18"/>
        </w:rPr>
      </w:pPr>
      <w:r w:rsidRPr="009B5E5A">
        <w:rPr>
          <w:rStyle w:val="Appelnotedebasdep"/>
          <w:sz w:val="18"/>
          <w:vertAlign w:val="baseline"/>
        </w:rPr>
        <w:t>*</w:t>
      </w:r>
      <w:r w:rsidRPr="009B5E5A">
        <w:rPr>
          <w:szCs w:val="18"/>
        </w:rPr>
        <w:t xml:space="preserve"> </w:t>
      </w:r>
      <w:r w:rsidRPr="009B5E5A">
        <w:rPr>
          <w:szCs w:val="18"/>
          <w:lang w:val="es-ES"/>
        </w:rPr>
        <w:t>Publicado nuevamente por razones técnicas el 5 de noviembre de 2018.</w:t>
      </w:r>
    </w:p>
  </w:footnote>
  <w:footnote w:id="2">
    <w:p w14:paraId="37642693" w14:textId="5A73D5A4" w:rsidR="009B5E5A" w:rsidRPr="009B5E5A" w:rsidRDefault="009B5E5A">
      <w:pPr>
        <w:pStyle w:val="Notedebasdepage"/>
        <w:rPr>
          <w:szCs w:val="18"/>
        </w:rPr>
      </w:pPr>
      <w:r w:rsidRPr="009B5E5A">
        <w:rPr>
          <w:rStyle w:val="Appelnotedebasdep"/>
          <w:sz w:val="18"/>
          <w:vertAlign w:val="baseline"/>
        </w:rPr>
        <w:t>**</w:t>
      </w:r>
      <w:r w:rsidRPr="009B5E5A">
        <w:rPr>
          <w:szCs w:val="18"/>
        </w:rPr>
        <w:t xml:space="preserve"> </w:t>
      </w:r>
      <w:r w:rsidRPr="009B5E5A">
        <w:rPr>
          <w:szCs w:val="18"/>
          <w:lang w:val="es-ES"/>
        </w:rPr>
        <w:t>UNEP/MC/COP.2/1.</w:t>
      </w:r>
    </w:p>
  </w:footnote>
  <w:footnote w:id="3">
    <w:p w14:paraId="624F3E3A" w14:textId="1A928E6F" w:rsidR="00512F1F" w:rsidRPr="00E45796" w:rsidRDefault="00512F1F" w:rsidP="00512F1F">
      <w:pPr>
        <w:pStyle w:val="Notedebasdepage"/>
        <w:rPr>
          <w:szCs w:val="18"/>
          <w:lang w:val="es-ES"/>
        </w:rPr>
      </w:pPr>
      <w:r w:rsidRPr="00A46B4D">
        <w:rPr>
          <w:rStyle w:val="Appelnotedebasdep"/>
          <w:sz w:val="18"/>
          <w:lang w:val="es-ES"/>
        </w:rPr>
        <w:footnoteRef/>
      </w:r>
      <w:r w:rsidRPr="00A46B4D">
        <w:rPr>
          <w:szCs w:val="18"/>
          <w:lang w:val="es-ES"/>
        </w:rPr>
        <w:t xml:space="preserve"> Obsérvese que todo parece indicar que la financiación del FMAM es m</w:t>
      </w:r>
      <w:r w:rsidR="00C07E3E" w:rsidRPr="00A46B4D">
        <w:rPr>
          <w:szCs w:val="18"/>
          <w:lang w:val="es-ES"/>
        </w:rPr>
        <w:t>á</w:t>
      </w:r>
      <w:r w:rsidRPr="00A46B4D">
        <w:rPr>
          <w:szCs w:val="18"/>
          <w:lang w:val="es-ES"/>
        </w:rPr>
        <w:t xml:space="preserve">s importante que el </w:t>
      </w:r>
      <w:r w:rsidR="00C07E3E" w:rsidRPr="00A46B4D">
        <w:rPr>
          <w:szCs w:val="18"/>
          <w:lang w:val="es-ES"/>
        </w:rPr>
        <w:t>p</w:t>
      </w:r>
      <w:r w:rsidRPr="00A46B4D">
        <w:rPr>
          <w:szCs w:val="18"/>
          <w:lang w:val="es-ES"/>
        </w:rPr>
        <w:t>rograma internacional específico, aunque es posible que alg</w:t>
      </w:r>
      <w:r w:rsidR="00C07E3E" w:rsidRPr="00A46B4D">
        <w:rPr>
          <w:szCs w:val="18"/>
          <w:lang w:val="es-ES"/>
        </w:rPr>
        <w:t>ú</w:t>
      </w:r>
      <w:r w:rsidRPr="00A46B4D">
        <w:rPr>
          <w:szCs w:val="18"/>
          <w:lang w:val="es-ES"/>
        </w:rPr>
        <w:t>n país pueda determinar que las actividades de vigilancia s</w:t>
      </w:r>
      <w:r w:rsidR="00C07E3E" w:rsidRPr="00A46B4D">
        <w:rPr>
          <w:szCs w:val="18"/>
          <w:lang w:val="es-ES"/>
        </w:rPr>
        <w:t>o</w:t>
      </w:r>
      <w:r w:rsidRPr="00A46B4D">
        <w:rPr>
          <w:szCs w:val="18"/>
          <w:lang w:val="es-ES"/>
        </w:rPr>
        <w:t>n de gran prioridad nacional con argumentos de que estas actividades de vigilancia apoyan el cumplimiento sostenible de las obligaciones contra</w:t>
      </w:r>
      <w:r w:rsidR="00C07E3E" w:rsidRPr="00A46B4D">
        <w:rPr>
          <w:szCs w:val="18"/>
          <w:lang w:val="es-ES"/>
        </w:rPr>
        <w:t>í</w:t>
      </w:r>
      <w:r w:rsidRPr="00A46B4D">
        <w:rPr>
          <w:szCs w:val="18"/>
          <w:lang w:val="es-ES"/>
        </w:rPr>
        <w:t xml:space="preserve">das en virtud del Convenio. </w:t>
      </w:r>
    </w:p>
  </w:footnote>
  <w:footnote w:id="4">
    <w:p w14:paraId="104F3D7D" w14:textId="77777777" w:rsidR="00C07E3E" w:rsidRPr="00E45796" w:rsidRDefault="00C07E3E" w:rsidP="00C07E3E">
      <w:pPr>
        <w:pStyle w:val="Notedebasdepage"/>
        <w:rPr>
          <w:szCs w:val="18"/>
          <w:lang w:val="es-ES"/>
        </w:rPr>
      </w:pPr>
      <w:r w:rsidRPr="00A46B4D">
        <w:rPr>
          <w:rStyle w:val="Appelnotedebasdep"/>
          <w:sz w:val="18"/>
          <w:lang w:val="es-ES"/>
        </w:rPr>
        <w:footnoteRef/>
      </w:r>
      <w:r w:rsidRPr="00A46B4D">
        <w:rPr>
          <w:szCs w:val="18"/>
          <w:lang w:val="es-ES"/>
        </w:rPr>
        <w:t xml:space="preserve"> Para más detalles sobre el proyecto de plan, véase UNEP/MC/COP.2/INF/8.</w:t>
      </w:r>
    </w:p>
  </w:footnote>
  <w:footnote w:id="5">
    <w:p w14:paraId="5CDC6D22" w14:textId="6AD2C9FE" w:rsidR="009E4A35" w:rsidRPr="00E45796" w:rsidRDefault="009E4A35" w:rsidP="00306F47">
      <w:pPr>
        <w:pStyle w:val="Notedebasdepage"/>
        <w:rPr>
          <w:szCs w:val="18"/>
          <w:lang w:val="es-ES"/>
        </w:rPr>
      </w:pPr>
      <w:r w:rsidRPr="00A46B4D">
        <w:rPr>
          <w:rStyle w:val="Appelnotedebasdep"/>
          <w:sz w:val="18"/>
          <w:lang w:val="es-ES"/>
        </w:rPr>
        <w:footnoteRef/>
      </w:r>
      <w:r w:rsidRPr="00A46B4D">
        <w:rPr>
          <w:szCs w:val="18"/>
          <w:lang w:val="es-ES"/>
        </w:rPr>
        <w:t xml:space="preserve"> El informe del grupo especial de expertos incluye una propuesta para elaborar un informe de vigilancia mundial para la evaluación de la eficacia (véase UNEP/MC/COP.2/INF/8)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4EC28F38" w:rsidR="009E4A35" w:rsidRPr="00CA5CA9" w:rsidRDefault="009E4A35" w:rsidP="00434321">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43ED2E67" w:rsidR="009E4A35" w:rsidRPr="00CA5CA9" w:rsidRDefault="009E4A35" w:rsidP="00F7137B">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3EB206FB" w:rsidR="009E4A35" w:rsidRDefault="009E4A35"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2CD"/>
    <w:multiLevelType w:val="hybridMultilevel"/>
    <w:tmpl w:val="2D0C7E3A"/>
    <w:lvl w:ilvl="0" w:tplc="D65AC7A8">
      <w:start w:val="1"/>
      <w:numFmt w:val="decimal"/>
      <w:lvlText w:val="%1."/>
      <w:lvlJc w:val="left"/>
      <w:pPr>
        <w:ind w:left="1817" w:hanging="570"/>
      </w:pPr>
      <w:rPr>
        <w:rFonts w:hint="default"/>
        <w:b w:val="0"/>
        <w:bCs/>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 w15:restartNumberingAfterBreak="0">
    <w:nsid w:val="0E8E09F3"/>
    <w:multiLevelType w:val="hybridMultilevel"/>
    <w:tmpl w:val="D5468B48"/>
    <w:lvl w:ilvl="0" w:tplc="C12A24B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EA77EA">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E6584E">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16FC56">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F6930A">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FAD21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A6397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9CC972">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823E86">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3" w15:restartNumberingAfterBreak="0">
    <w:nsid w:val="1E6F4352"/>
    <w:multiLevelType w:val="hybridMultilevel"/>
    <w:tmpl w:val="DF729F70"/>
    <w:numStyleLink w:val="Importovanstyl7"/>
  </w:abstractNum>
  <w:abstractNum w:abstractNumId="4" w15:restartNumberingAfterBreak="0">
    <w:nsid w:val="201C7F90"/>
    <w:multiLevelType w:val="hybridMultilevel"/>
    <w:tmpl w:val="08FE62DE"/>
    <w:lvl w:ilvl="0" w:tplc="0809000F">
      <w:start w:val="1"/>
      <w:numFmt w:val="decimal"/>
      <w:lvlText w:val="%1."/>
      <w:lvlJc w:val="left"/>
      <w:pPr>
        <w:ind w:left="2591" w:hanging="360"/>
      </w:p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15:restartNumberingAfterBreak="0">
    <w:nsid w:val="21514C8A"/>
    <w:multiLevelType w:val="hybridMultilevel"/>
    <w:tmpl w:val="3EF80074"/>
    <w:lvl w:ilvl="0" w:tplc="CB6808D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012A">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D093DC">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EE3A92">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E4A3D6">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BA81F0">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AA5596">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3AB02E">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8CBBD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1BF52AC"/>
    <w:multiLevelType w:val="hybridMultilevel"/>
    <w:tmpl w:val="B060D2F6"/>
    <w:lvl w:ilvl="0" w:tplc="E17E324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8052F4">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801C54">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C62674">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1C9786">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835CA">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E96C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20D990">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E23448">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2A261B2"/>
    <w:multiLevelType w:val="hybridMultilevel"/>
    <w:tmpl w:val="5CD6EBFC"/>
    <w:lvl w:ilvl="0" w:tplc="B874CCB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4CE6A6">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6ACC32">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1EBB26">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6EB014">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DEA02C">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CA2AB0">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486ECA">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4EDEA6">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3F76167"/>
    <w:multiLevelType w:val="hybridMultilevel"/>
    <w:tmpl w:val="0D6C65CA"/>
    <w:lvl w:ilvl="0" w:tplc="6744253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E22DF2">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B41A2C">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DC9990">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A9DCA">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ECB580">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8A0980">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FC5B18">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D21CA6">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C5F6843"/>
    <w:multiLevelType w:val="hybridMultilevel"/>
    <w:tmpl w:val="2C10B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64D83"/>
    <w:multiLevelType w:val="hybridMultilevel"/>
    <w:tmpl w:val="B7D85028"/>
    <w:lvl w:ilvl="0" w:tplc="80886150">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41A28">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96E166">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EADF54">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569A44">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B455A0">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C80C22">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3A0872">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E05F8A">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13" w15:restartNumberingAfterBreak="0">
    <w:nsid w:val="3A8703FD"/>
    <w:multiLevelType w:val="hybridMultilevel"/>
    <w:tmpl w:val="3BAEEDAE"/>
    <w:lvl w:ilvl="0" w:tplc="C89CA18C">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0EF7BA">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C62FBA">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C7860">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6AF628">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162DCE">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62E212">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6AD6B4">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169B2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670F7E"/>
    <w:multiLevelType w:val="hybridMultilevel"/>
    <w:tmpl w:val="2B4A41AE"/>
    <w:lvl w:ilvl="0" w:tplc="010A5B26">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6871A6">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DA11EE">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F226EA">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96AB40">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34ED1E">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5E4E66">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587AFE">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D0EC08">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28935F2"/>
    <w:multiLevelType w:val="hybridMultilevel"/>
    <w:tmpl w:val="85743B7A"/>
    <w:lvl w:ilvl="0" w:tplc="30FA4E2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54CC96">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300D3C">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A7266">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B29A3C">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B6ADF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E4C43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7875F6">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DAF60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2EC0F27"/>
    <w:multiLevelType w:val="hybridMultilevel"/>
    <w:tmpl w:val="E31076B4"/>
    <w:lvl w:ilvl="0" w:tplc="77C8C68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607518">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328A80">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0E62A2">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169714">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EC7F38">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62EC86">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FE2960">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50AA14">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5F45A20"/>
    <w:multiLevelType w:val="hybridMultilevel"/>
    <w:tmpl w:val="AA586C72"/>
    <w:lvl w:ilvl="0" w:tplc="DAC4107E">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625646">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E217D2">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060CB4">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FA1B0E">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4A2A9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9AA2D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D8ADC2">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B2765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69504B8"/>
    <w:multiLevelType w:val="hybridMultilevel"/>
    <w:tmpl w:val="3538EBFC"/>
    <w:lvl w:ilvl="0" w:tplc="EEBE9A9A">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C4EC42">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E2209A">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9AA0FA">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D692BA">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D8367A">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BE8842">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BC03C0">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9E1B16">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A4B6597"/>
    <w:multiLevelType w:val="hybridMultilevel"/>
    <w:tmpl w:val="A9720C68"/>
    <w:lvl w:ilvl="0" w:tplc="0809000F">
      <w:start w:val="1"/>
      <w:numFmt w:val="decimal"/>
      <w:lvlText w:val="%1."/>
      <w:lvlJc w:val="left"/>
      <w:pPr>
        <w:ind w:left="2591" w:hanging="360"/>
      </w:pPr>
    </w:lvl>
    <w:lvl w:ilvl="1" w:tplc="6456CB02">
      <w:start w:val="1"/>
      <w:numFmt w:val="lowerLetter"/>
      <w:lvlText w:val="%2)"/>
      <w:lvlJc w:val="left"/>
      <w:pPr>
        <w:ind w:left="3311" w:hanging="360"/>
      </w:pPr>
      <w:rPr>
        <w:rFonts w:ascii="Times New Roman" w:eastAsia="Times New Roman" w:hAnsi="Times New Roman" w:cs="Times New Roman"/>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0" w15:restartNumberingAfterBreak="0">
    <w:nsid w:val="4D7419B4"/>
    <w:multiLevelType w:val="hybridMultilevel"/>
    <w:tmpl w:val="7AC8B5D4"/>
    <w:lvl w:ilvl="0" w:tplc="2670E2A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12A5A8">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30898C">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88D540">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5AD358">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8464D8">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8616D2">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C8ABA8">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0E1FDA">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E77717A"/>
    <w:multiLevelType w:val="hybridMultilevel"/>
    <w:tmpl w:val="CC86DD1A"/>
    <w:lvl w:ilvl="0" w:tplc="2D54783E">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345C62">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401890">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140D4C">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64EC02">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ECE44">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B25210">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F27A0C">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560F2A">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8A1294"/>
    <w:multiLevelType w:val="hybridMultilevel"/>
    <w:tmpl w:val="C2AE0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4" w15:restartNumberingAfterBreak="0">
    <w:nsid w:val="588B1DCE"/>
    <w:multiLevelType w:val="hybridMultilevel"/>
    <w:tmpl w:val="5FBAD34E"/>
    <w:lvl w:ilvl="0" w:tplc="DEA8647E">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48F85C">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2E85A0">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F69822">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86E986">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D84F6A">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2A9CC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40B87C">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EAA52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B0C1DFF"/>
    <w:multiLevelType w:val="hybridMultilevel"/>
    <w:tmpl w:val="DF729F70"/>
    <w:styleLink w:val="Importovanstyl7"/>
    <w:lvl w:ilvl="0" w:tplc="12EE81CE">
      <w:start w:val="1"/>
      <w:numFmt w:val="bullet"/>
      <w:lvlText w:val="➢"/>
      <w:lvlJc w:val="left"/>
      <w:pPr>
        <w:tabs>
          <w:tab w:val="left" w:pos="477"/>
        </w:tabs>
        <w:ind w:left="7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8AD226">
      <w:start w:val="1"/>
      <w:numFmt w:val="bullet"/>
      <w:lvlText w:val="-"/>
      <w:lvlJc w:val="left"/>
      <w:pPr>
        <w:tabs>
          <w:tab w:val="left" w:pos="477"/>
        </w:tabs>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DE8770">
      <w:start w:val="1"/>
      <w:numFmt w:val="bullet"/>
      <w:lvlText w:val="▪"/>
      <w:lvlJc w:val="left"/>
      <w:pPr>
        <w:tabs>
          <w:tab w:val="left" w:pos="477"/>
        </w:tabs>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FE269A">
      <w:start w:val="1"/>
      <w:numFmt w:val="bullet"/>
      <w:lvlText w:val="•"/>
      <w:lvlJc w:val="left"/>
      <w:pPr>
        <w:tabs>
          <w:tab w:val="left" w:pos="477"/>
        </w:tabs>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B826CE">
      <w:start w:val="1"/>
      <w:numFmt w:val="bullet"/>
      <w:lvlText w:val="o"/>
      <w:lvlJc w:val="left"/>
      <w:pPr>
        <w:tabs>
          <w:tab w:val="left" w:pos="477"/>
        </w:tabs>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B8612C">
      <w:start w:val="1"/>
      <w:numFmt w:val="bullet"/>
      <w:lvlText w:val="▪"/>
      <w:lvlJc w:val="left"/>
      <w:pPr>
        <w:tabs>
          <w:tab w:val="left" w:pos="477"/>
        </w:tabs>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DA3E14">
      <w:start w:val="1"/>
      <w:numFmt w:val="bullet"/>
      <w:lvlText w:val="•"/>
      <w:lvlJc w:val="left"/>
      <w:pPr>
        <w:tabs>
          <w:tab w:val="left" w:pos="477"/>
        </w:tabs>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62C488">
      <w:start w:val="1"/>
      <w:numFmt w:val="bullet"/>
      <w:lvlText w:val="o"/>
      <w:lvlJc w:val="left"/>
      <w:pPr>
        <w:tabs>
          <w:tab w:val="left" w:pos="477"/>
        </w:tabs>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4A13C6">
      <w:start w:val="1"/>
      <w:numFmt w:val="bullet"/>
      <w:lvlText w:val="▪"/>
      <w:lvlJc w:val="left"/>
      <w:pPr>
        <w:tabs>
          <w:tab w:val="left" w:pos="477"/>
        </w:tabs>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A3C58D8"/>
    <w:multiLevelType w:val="hybridMultilevel"/>
    <w:tmpl w:val="FAA2A88E"/>
    <w:lvl w:ilvl="0" w:tplc="5E5447C8">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704A0E">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961CB6">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CE270C">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441CB0">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827E30">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DCB952">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6EFB16">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285244">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D82567C"/>
    <w:multiLevelType w:val="hybridMultilevel"/>
    <w:tmpl w:val="2E7E1682"/>
    <w:lvl w:ilvl="0" w:tplc="F01634B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AC406C">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23B90">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263A88">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B6E388">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A6D63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04D8C6">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6C1392">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8A620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F2116D9"/>
    <w:multiLevelType w:val="hybridMultilevel"/>
    <w:tmpl w:val="460A455E"/>
    <w:lvl w:ilvl="0" w:tplc="B724672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597DC7"/>
    <w:multiLevelType w:val="hybridMultilevel"/>
    <w:tmpl w:val="617084A2"/>
    <w:lvl w:ilvl="0" w:tplc="2D54783E">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B2EA2"/>
    <w:multiLevelType w:val="hybridMultilevel"/>
    <w:tmpl w:val="64E082C8"/>
    <w:lvl w:ilvl="0" w:tplc="BD5AA86A">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14DE32">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E48FEA">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107710">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CA8E4E">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E6FEB8">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9090EE">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F8AC7A">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2E8986">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8CC7D91"/>
    <w:multiLevelType w:val="hybridMultilevel"/>
    <w:tmpl w:val="DBD88C76"/>
    <w:lvl w:ilvl="0" w:tplc="36329FF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22DF34">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F03614">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F89A2A">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26DCF8">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34621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2E702A">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38CC30">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32BCF4">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3"/>
  </w:num>
  <w:num w:numId="2">
    <w:abstractNumId w:val="2"/>
  </w:num>
  <w:num w:numId="3">
    <w:abstractNumId w:val="12"/>
  </w:num>
  <w:num w:numId="4">
    <w:abstractNumId w:val="23"/>
  </w:num>
  <w:num w:numId="5">
    <w:abstractNumId w:val="23"/>
    <w:lvlOverride w:ilvl="0">
      <w:lvl w:ilvl="0">
        <w:start w:val="1"/>
        <w:numFmt w:val="decimal"/>
        <w:pStyle w:val="Normalnumber"/>
        <w:lvlText w:val="%1."/>
        <w:lvlJc w:val="left"/>
        <w:pPr>
          <w:tabs>
            <w:tab w:val="num" w:pos="1134"/>
          </w:tabs>
          <w:ind w:left="1247" w:firstLine="0"/>
        </w:pPr>
        <w:rPr>
          <w:rFonts w:hint="default"/>
        </w:rPr>
      </w:lvl>
    </w:lvlOverride>
  </w:num>
  <w:num w:numId="6">
    <w:abstractNumId w:val="9"/>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0"/>
  </w:num>
  <w:num w:numId="38">
    <w:abstractNumId w:val="28"/>
  </w:num>
  <w:num w:numId="39">
    <w:abstractNumId w:val="4"/>
  </w:num>
  <w:num w:numId="40">
    <w:abstractNumId w:val="26"/>
    <w:lvlOverride w:ilvl="0">
      <w:lvl w:ilvl="0" w:tplc="5E5447C8">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1">
    <w:abstractNumId w:val="18"/>
    <w:lvlOverride w:ilvl="0">
      <w:lvl w:ilvl="0" w:tplc="EEBE9A9A">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2">
    <w:abstractNumId w:val="21"/>
    <w:lvlOverride w:ilvl="0">
      <w:lvl w:ilvl="0" w:tplc="2D54783E">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3">
    <w:abstractNumId w:val="29"/>
    <w:lvlOverride w:ilvl="0">
      <w:lvl w:ilvl="0" w:tplc="2D54783E">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4">
    <w:abstractNumId w:val="22"/>
    <w:lvlOverride w:ilvl="0">
      <w:lvl w:ilvl="0" w:tplc="04090001">
        <w:start w:val="1"/>
        <w:numFmt w:val="bullet"/>
        <w:lvlText w:val=""/>
        <w:lvlJc w:val="left"/>
        <w:pPr>
          <w:ind w:left="1440" w:hanging="360"/>
        </w:pPr>
        <w:rPr>
          <w:rFonts w:ascii="Symbol" w:hAnsi="Symbol" w:hint="default"/>
        </w:rPr>
      </w:lvl>
    </w:lvlOverride>
  </w:num>
  <w:num w:numId="45">
    <w:abstractNumId w:val="25"/>
  </w:num>
  <w:num w:numId="46">
    <w:abstractNumId w:val="3"/>
    <w:lvlOverride w:ilvl="0">
      <w:lvl w:ilvl="0" w:tplc="B0A8AC2C">
        <w:start w:val="1"/>
        <w:numFmt w:val="bullet"/>
        <w:lvlText w:val="➢"/>
        <w:lvlJc w:val="left"/>
        <w:pPr>
          <w:tabs>
            <w:tab w:val="left" w:pos="477"/>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94C6B1C">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8303698">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1B6B14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785B70">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A2A1F4">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9BEA2A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1D49B4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668B500">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1"/>
    <w:lvlOverride w:ilvl="0">
      <w:lvl w:ilvl="0" w:tplc="C12A24B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8">
    <w:abstractNumId w:val="30"/>
    <w:lvlOverride w:ilvl="0">
      <w:lvl w:ilvl="0" w:tplc="BD5AA86A">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9">
    <w:abstractNumId w:val="11"/>
    <w:lvlOverride w:ilvl="0">
      <w:lvl w:ilvl="0" w:tplc="80886150">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0">
    <w:abstractNumId w:val="15"/>
    <w:lvlOverride w:ilvl="0">
      <w:lvl w:ilvl="0" w:tplc="30FA4E2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1">
    <w:abstractNumId w:val="13"/>
    <w:lvlOverride w:ilvl="0">
      <w:lvl w:ilvl="0" w:tplc="C89CA18C">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2">
    <w:abstractNumId w:val="31"/>
    <w:lvlOverride w:ilvl="0">
      <w:lvl w:ilvl="0" w:tplc="36329FF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3">
    <w:abstractNumId w:val="17"/>
    <w:lvlOverride w:ilvl="0">
      <w:lvl w:ilvl="0" w:tplc="DAC4107E">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4">
    <w:abstractNumId w:val="24"/>
    <w:lvlOverride w:ilvl="0">
      <w:lvl w:ilvl="0" w:tplc="DEA8647E">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5">
    <w:abstractNumId w:val="14"/>
    <w:lvlOverride w:ilvl="0">
      <w:lvl w:ilvl="0" w:tplc="010A5B26">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6">
    <w:abstractNumId w:val="20"/>
    <w:lvlOverride w:ilvl="0">
      <w:lvl w:ilvl="0" w:tplc="2670E2A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7">
    <w:abstractNumId w:val="7"/>
    <w:lvlOverride w:ilvl="0">
      <w:lvl w:ilvl="0" w:tplc="B874CCB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8">
    <w:abstractNumId w:val="7"/>
    <w:lvlOverride w:ilvl="0">
      <w:lvl w:ilvl="0" w:tplc="B874CC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4CE6A6">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D6ACC3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1EBB2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6EB01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DEA02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CA2AB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486ECA">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4EDEA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
    <w:abstractNumId w:val="5"/>
    <w:lvlOverride w:ilvl="0">
      <w:lvl w:ilvl="0" w:tplc="CB6808D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0">
    <w:abstractNumId w:val="27"/>
    <w:lvlOverride w:ilvl="0">
      <w:lvl w:ilvl="0" w:tplc="F01634B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1">
    <w:abstractNumId w:val="27"/>
    <w:lvlOverride w:ilvl="0">
      <w:lvl w:ilvl="0" w:tplc="F01634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AC406C">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C23B9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263A8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DB6E388">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A6D63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04D8C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F6C1392">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8A620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
    <w:abstractNumId w:val="8"/>
    <w:lvlOverride w:ilvl="0">
      <w:lvl w:ilvl="0" w:tplc="6744253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3">
    <w:abstractNumId w:val="16"/>
    <w:lvlOverride w:ilvl="0">
      <w:lvl w:ilvl="0" w:tplc="77C8C68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4">
    <w:abstractNumId w:val="6"/>
    <w:lvlOverride w:ilvl="0">
      <w:lvl w:ilvl="0" w:tplc="E17E324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5">
    <w:abstractNumId w:val="10"/>
    <w:lvlOverride w:ilvl="0">
      <w:lvl w:ilvl="0" w:tplc="0409000F">
        <w:start w:val="1"/>
        <w:numFmt w:val="decimal"/>
        <w:lvlText w:val="%1."/>
        <w:lvlJc w:val="left"/>
        <w:pPr>
          <w:ind w:left="720" w:hanging="360"/>
        </w:pPr>
        <w:rPr>
          <w:rFonts w:hint="default"/>
        </w:rPr>
      </w:lvl>
    </w:lvlOverride>
  </w:num>
  <w:num w:numId="66">
    <w:abstractNumId w:val="19"/>
  </w:num>
  <w:num w:numId="67">
    <w:abstractNumId w:val="23"/>
    <w:lvlOverride w:ilvl="0">
      <w:lvl w:ilvl="0">
        <w:start w:val="1"/>
        <w:numFmt w:val="decimal"/>
        <w:pStyle w:val="Normalnumber"/>
        <w:lvlText w:val="%1."/>
        <w:lvlJc w:val="left"/>
        <w:pPr>
          <w:tabs>
            <w:tab w:val="num" w:pos="1134"/>
          </w:tabs>
          <w:ind w:left="1247" w:firstLine="0"/>
        </w:pPr>
        <w:rPr>
          <w:rFonts w:hint="default"/>
        </w:rPr>
      </w:lvl>
    </w:lvlOverride>
  </w:num>
  <w:num w:numId="68">
    <w:abstractNumId w:val="23"/>
    <w:lvlOverride w:ilvl="0">
      <w:lvl w:ilvl="0">
        <w:start w:val="1"/>
        <w:numFmt w:val="decimal"/>
        <w:pStyle w:val="Normalnumber"/>
        <w:lvlText w:val="%1."/>
        <w:lvlJc w:val="left"/>
        <w:pPr>
          <w:tabs>
            <w:tab w:val="num" w:pos="1134"/>
          </w:tabs>
          <w:ind w:left="1247" w:firstLine="0"/>
        </w:pPr>
        <w:rPr>
          <w:rFonts w:hint="default"/>
        </w:rPr>
      </w:lvl>
    </w:lvlOverride>
  </w:num>
  <w:num w:numId="69">
    <w:abstractNumId w:val="23"/>
    <w:lvlOverride w:ilvl="0">
      <w:lvl w:ilvl="0">
        <w:start w:val="1"/>
        <w:numFmt w:val="decimal"/>
        <w:pStyle w:val="Normalnumber"/>
        <w:lvlText w:val="%1."/>
        <w:lvlJc w:val="left"/>
        <w:pPr>
          <w:tabs>
            <w:tab w:val="num" w:pos="1134"/>
          </w:tabs>
          <w:ind w:left="1247" w:firstLine="0"/>
        </w:pPr>
        <w:rPr>
          <w:rFonts w:hint="default"/>
        </w:rPr>
      </w:lvl>
    </w:lvlOverride>
  </w:num>
  <w:num w:numId="70">
    <w:abstractNumId w:val="23"/>
    <w:lvlOverride w:ilvl="0">
      <w:lvl w:ilvl="0">
        <w:start w:val="1"/>
        <w:numFmt w:val="decimal"/>
        <w:pStyle w:val="Normalnumber"/>
        <w:lvlText w:val="%1."/>
        <w:lvlJc w:val="left"/>
        <w:pPr>
          <w:tabs>
            <w:tab w:val="num" w:pos="1134"/>
          </w:tabs>
          <w:ind w:left="1247" w:firstLine="0"/>
        </w:pPr>
        <w:rPr>
          <w:rFonts w:hint="default"/>
        </w:rPr>
      </w:lvl>
    </w:lvlOverride>
  </w:num>
  <w:num w:numId="71">
    <w:abstractNumId w:val="23"/>
    <w:lvlOverride w:ilvl="0">
      <w:lvl w:ilvl="0">
        <w:start w:val="1"/>
        <w:numFmt w:val="decimal"/>
        <w:pStyle w:val="Normalnumber"/>
        <w:lvlText w:val="%1."/>
        <w:lvlJc w:val="left"/>
        <w:pPr>
          <w:tabs>
            <w:tab w:val="num" w:pos="1134"/>
          </w:tabs>
          <w:ind w:left="1247" w:firstLine="0"/>
        </w:pPr>
        <w:rPr>
          <w:rFonts w:hint="default"/>
        </w:rPr>
      </w:lvl>
    </w:lvlOverride>
  </w:num>
  <w:num w:numId="72">
    <w:abstractNumId w:val="23"/>
    <w:lvlOverride w:ilvl="0">
      <w:lvl w:ilvl="0">
        <w:start w:val="1"/>
        <w:numFmt w:val="decimal"/>
        <w:pStyle w:val="Normalnumber"/>
        <w:lvlText w:val="%1."/>
        <w:lvlJc w:val="left"/>
        <w:pPr>
          <w:tabs>
            <w:tab w:val="num" w:pos="1134"/>
          </w:tabs>
          <w:ind w:left="1247" w:firstLine="0"/>
        </w:pPr>
        <w:rPr>
          <w:rFonts w:hint="default"/>
        </w:rPr>
      </w:lvl>
    </w:lvlOverride>
  </w:num>
  <w:num w:numId="73">
    <w:abstractNumId w:val="23"/>
    <w:lvlOverride w:ilvl="0">
      <w:lvl w:ilvl="0">
        <w:start w:val="1"/>
        <w:numFmt w:val="decimal"/>
        <w:pStyle w:val="Normalnumber"/>
        <w:lvlText w:val="%1."/>
        <w:lvlJc w:val="left"/>
        <w:pPr>
          <w:tabs>
            <w:tab w:val="num" w:pos="1134"/>
          </w:tabs>
          <w:ind w:left="1247" w:firstLine="0"/>
        </w:pPr>
        <w:rPr>
          <w:rFonts w:hint="default"/>
        </w:rPr>
      </w:lvl>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15336"/>
    <w:rsid w:val="00023DA9"/>
    <w:rsid w:val="000247B0"/>
    <w:rsid w:val="00026997"/>
    <w:rsid w:val="00026A08"/>
    <w:rsid w:val="00032E4E"/>
    <w:rsid w:val="00033E0B"/>
    <w:rsid w:val="00035EDE"/>
    <w:rsid w:val="000509B4"/>
    <w:rsid w:val="00057251"/>
    <w:rsid w:val="0006035B"/>
    <w:rsid w:val="0006096F"/>
    <w:rsid w:val="000649C5"/>
    <w:rsid w:val="00066419"/>
    <w:rsid w:val="00071886"/>
    <w:rsid w:val="000742BC"/>
    <w:rsid w:val="00076CC6"/>
    <w:rsid w:val="0008191C"/>
    <w:rsid w:val="00082A0C"/>
    <w:rsid w:val="00082D11"/>
    <w:rsid w:val="00083504"/>
    <w:rsid w:val="0009125A"/>
    <w:rsid w:val="000925C7"/>
    <w:rsid w:val="0009640C"/>
    <w:rsid w:val="000A053B"/>
    <w:rsid w:val="000A34F8"/>
    <w:rsid w:val="000B22A2"/>
    <w:rsid w:val="000B2815"/>
    <w:rsid w:val="000B541B"/>
    <w:rsid w:val="000B73F9"/>
    <w:rsid w:val="000C2A52"/>
    <w:rsid w:val="000C2A88"/>
    <w:rsid w:val="000D33C0"/>
    <w:rsid w:val="000D4CF6"/>
    <w:rsid w:val="000D6941"/>
    <w:rsid w:val="000E7945"/>
    <w:rsid w:val="000F3DCD"/>
    <w:rsid w:val="000F427E"/>
    <w:rsid w:val="000F4829"/>
    <w:rsid w:val="000F6B21"/>
    <w:rsid w:val="00102EFB"/>
    <w:rsid w:val="00103F61"/>
    <w:rsid w:val="001202E3"/>
    <w:rsid w:val="00123699"/>
    <w:rsid w:val="001241FB"/>
    <w:rsid w:val="0013059D"/>
    <w:rsid w:val="0013415C"/>
    <w:rsid w:val="00136187"/>
    <w:rsid w:val="00141A55"/>
    <w:rsid w:val="0014293F"/>
    <w:rsid w:val="0014397D"/>
    <w:rsid w:val="001446A3"/>
    <w:rsid w:val="00152B6B"/>
    <w:rsid w:val="00155395"/>
    <w:rsid w:val="00155A2F"/>
    <w:rsid w:val="00156B6B"/>
    <w:rsid w:val="001571D5"/>
    <w:rsid w:val="00160D74"/>
    <w:rsid w:val="001646EA"/>
    <w:rsid w:val="00165717"/>
    <w:rsid w:val="00167D02"/>
    <w:rsid w:val="001759D8"/>
    <w:rsid w:val="00176D34"/>
    <w:rsid w:val="00177D7F"/>
    <w:rsid w:val="00180C3F"/>
    <w:rsid w:val="00181EC8"/>
    <w:rsid w:val="00184349"/>
    <w:rsid w:val="00195F33"/>
    <w:rsid w:val="001A035D"/>
    <w:rsid w:val="001A47E5"/>
    <w:rsid w:val="001B1617"/>
    <w:rsid w:val="001B504B"/>
    <w:rsid w:val="001B6F98"/>
    <w:rsid w:val="001B764C"/>
    <w:rsid w:val="001C191A"/>
    <w:rsid w:val="001D2D56"/>
    <w:rsid w:val="001D2E42"/>
    <w:rsid w:val="001D3874"/>
    <w:rsid w:val="001D7E75"/>
    <w:rsid w:val="001E0D73"/>
    <w:rsid w:val="001E45BD"/>
    <w:rsid w:val="001E56D2"/>
    <w:rsid w:val="001E7D56"/>
    <w:rsid w:val="001F5186"/>
    <w:rsid w:val="001F75DE"/>
    <w:rsid w:val="00200D58"/>
    <w:rsid w:val="002011C1"/>
    <w:rsid w:val="002013BE"/>
    <w:rsid w:val="002018A1"/>
    <w:rsid w:val="00201EDC"/>
    <w:rsid w:val="002063A4"/>
    <w:rsid w:val="0021145B"/>
    <w:rsid w:val="00220C23"/>
    <w:rsid w:val="002247F6"/>
    <w:rsid w:val="00225520"/>
    <w:rsid w:val="00225E21"/>
    <w:rsid w:val="00225E44"/>
    <w:rsid w:val="002267B3"/>
    <w:rsid w:val="00234E78"/>
    <w:rsid w:val="00243D36"/>
    <w:rsid w:val="00246151"/>
    <w:rsid w:val="00247707"/>
    <w:rsid w:val="00252456"/>
    <w:rsid w:val="0026018E"/>
    <w:rsid w:val="00267570"/>
    <w:rsid w:val="00267A0E"/>
    <w:rsid w:val="00277F52"/>
    <w:rsid w:val="00286740"/>
    <w:rsid w:val="00291EAE"/>
    <w:rsid w:val="002929D8"/>
    <w:rsid w:val="002A237D"/>
    <w:rsid w:val="002A4C53"/>
    <w:rsid w:val="002A651F"/>
    <w:rsid w:val="002B0672"/>
    <w:rsid w:val="002B247F"/>
    <w:rsid w:val="002B50D4"/>
    <w:rsid w:val="002B58BF"/>
    <w:rsid w:val="002C145D"/>
    <w:rsid w:val="002C2C3E"/>
    <w:rsid w:val="002C533E"/>
    <w:rsid w:val="002D027F"/>
    <w:rsid w:val="002D3E15"/>
    <w:rsid w:val="002D7A85"/>
    <w:rsid w:val="002D7B60"/>
    <w:rsid w:val="002E17BE"/>
    <w:rsid w:val="002F15A5"/>
    <w:rsid w:val="002F4761"/>
    <w:rsid w:val="002F5C79"/>
    <w:rsid w:val="002F68EE"/>
    <w:rsid w:val="003019E2"/>
    <w:rsid w:val="00306F47"/>
    <w:rsid w:val="00310BEB"/>
    <w:rsid w:val="0031413F"/>
    <w:rsid w:val="00314854"/>
    <w:rsid w:val="003148BB"/>
    <w:rsid w:val="00317976"/>
    <w:rsid w:val="00320F2F"/>
    <w:rsid w:val="0032457E"/>
    <w:rsid w:val="00325D38"/>
    <w:rsid w:val="00332076"/>
    <w:rsid w:val="003436EE"/>
    <w:rsid w:val="0035277E"/>
    <w:rsid w:val="00355EA9"/>
    <w:rsid w:val="003578DE"/>
    <w:rsid w:val="00361688"/>
    <w:rsid w:val="00361FC0"/>
    <w:rsid w:val="00363603"/>
    <w:rsid w:val="00367FD2"/>
    <w:rsid w:val="00380921"/>
    <w:rsid w:val="003877D5"/>
    <w:rsid w:val="003929B8"/>
    <w:rsid w:val="00393432"/>
    <w:rsid w:val="00396257"/>
    <w:rsid w:val="003962DC"/>
    <w:rsid w:val="00397EB8"/>
    <w:rsid w:val="003A4FD0"/>
    <w:rsid w:val="003A69D1"/>
    <w:rsid w:val="003A7705"/>
    <w:rsid w:val="003A77F1"/>
    <w:rsid w:val="003B1545"/>
    <w:rsid w:val="003C3219"/>
    <w:rsid w:val="003C390C"/>
    <w:rsid w:val="003C409D"/>
    <w:rsid w:val="003C4544"/>
    <w:rsid w:val="003C5583"/>
    <w:rsid w:val="003C5BA6"/>
    <w:rsid w:val="003C74CF"/>
    <w:rsid w:val="003D3752"/>
    <w:rsid w:val="003E35DA"/>
    <w:rsid w:val="003E455D"/>
    <w:rsid w:val="003F0E85"/>
    <w:rsid w:val="00400697"/>
    <w:rsid w:val="00401406"/>
    <w:rsid w:val="0040563C"/>
    <w:rsid w:val="00405DE0"/>
    <w:rsid w:val="00410C55"/>
    <w:rsid w:val="00416854"/>
    <w:rsid w:val="00417725"/>
    <w:rsid w:val="0042266F"/>
    <w:rsid w:val="00426598"/>
    <w:rsid w:val="00434321"/>
    <w:rsid w:val="00437F26"/>
    <w:rsid w:val="004415D2"/>
    <w:rsid w:val="00443636"/>
    <w:rsid w:val="00444097"/>
    <w:rsid w:val="00445487"/>
    <w:rsid w:val="004455F3"/>
    <w:rsid w:val="00447E0D"/>
    <w:rsid w:val="00453EA8"/>
    <w:rsid w:val="00454769"/>
    <w:rsid w:val="00466991"/>
    <w:rsid w:val="0047064C"/>
    <w:rsid w:val="00471EFD"/>
    <w:rsid w:val="004822B7"/>
    <w:rsid w:val="0048795D"/>
    <w:rsid w:val="0049469E"/>
    <w:rsid w:val="00495AA9"/>
    <w:rsid w:val="004A2217"/>
    <w:rsid w:val="004A24F9"/>
    <w:rsid w:val="004A42E1"/>
    <w:rsid w:val="004B162C"/>
    <w:rsid w:val="004B1BFD"/>
    <w:rsid w:val="004B2ABE"/>
    <w:rsid w:val="004C3DBE"/>
    <w:rsid w:val="004C5C96"/>
    <w:rsid w:val="004D06A4"/>
    <w:rsid w:val="004E7605"/>
    <w:rsid w:val="004F1A81"/>
    <w:rsid w:val="004F5D88"/>
    <w:rsid w:val="00501354"/>
    <w:rsid w:val="005050D2"/>
    <w:rsid w:val="00512F1F"/>
    <w:rsid w:val="005218D9"/>
    <w:rsid w:val="005231E4"/>
    <w:rsid w:val="00536186"/>
    <w:rsid w:val="00544CBB"/>
    <w:rsid w:val="00551B65"/>
    <w:rsid w:val="00556704"/>
    <w:rsid w:val="005656D7"/>
    <w:rsid w:val="0057315F"/>
    <w:rsid w:val="0057433C"/>
    <w:rsid w:val="00576104"/>
    <w:rsid w:val="00585A44"/>
    <w:rsid w:val="00586418"/>
    <w:rsid w:val="00592B21"/>
    <w:rsid w:val="005B2DF4"/>
    <w:rsid w:val="005B44BF"/>
    <w:rsid w:val="005B56F4"/>
    <w:rsid w:val="005B5A93"/>
    <w:rsid w:val="005C060C"/>
    <w:rsid w:val="005C67C8"/>
    <w:rsid w:val="005D0249"/>
    <w:rsid w:val="005D18FA"/>
    <w:rsid w:val="005D4FD4"/>
    <w:rsid w:val="005D6E8C"/>
    <w:rsid w:val="005E3004"/>
    <w:rsid w:val="005E7EFC"/>
    <w:rsid w:val="005F100C"/>
    <w:rsid w:val="005F68DA"/>
    <w:rsid w:val="005F7419"/>
    <w:rsid w:val="00601BC9"/>
    <w:rsid w:val="0060773B"/>
    <w:rsid w:val="006111FE"/>
    <w:rsid w:val="00613FD6"/>
    <w:rsid w:val="006157B5"/>
    <w:rsid w:val="006167C2"/>
    <w:rsid w:val="00617224"/>
    <w:rsid w:val="0062338D"/>
    <w:rsid w:val="00626FC6"/>
    <w:rsid w:val="006303B4"/>
    <w:rsid w:val="00630ADC"/>
    <w:rsid w:val="00633D3D"/>
    <w:rsid w:val="006353E6"/>
    <w:rsid w:val="00641703"/>
    <w:rsid w:val="006431A6"/>
    <w:rsid w:val="00643E3A"/>
    <w:rsid w:val="006459F6"/>
    <w:rsid w:val="0064735D"/>
    <w:rsid w:val="006501AD"/>
    <w:rsid w:val="00651BFA"/>
    <w:rsid w:val="00654475"/>
    <w:rsid w:val="00656DF0"/>
    <w:rsid w:val="00665A4B"/>
    <w:rsid w:val="00670FAE"/>
    <w:rsid w:val="00677848"/>
    <w:rsid w:val="00692E2A"/>
    <w:rsid w:val="0069496A"/>
    <w:rsid w:val="00696C1C"/>
    <w:rsid w:val="006A5243"/>
    <w:rsid w:val="006A76F2"/>
    <w:rsid w:val="006B29CA"/>
    <w:rsid w:val="006B7D29"/>
    <w:rsid w:val="006C2CFD"/>
    <w:rsid w:val="006D19D4"/>
    <w:rsid w:val="006D5644"/>
    <w:rsid w:val="006D7EFB"/>
    <w:rsid w:val="006E6672"/>
    <w:rsid w:val="006E6722"/>
    <w:rsid w:val="006F7AFF"/>
    <w:rsid w:val="007027B9"/>
    <w:rsid w:val="007066B5"/>
    <w:rsid w:val="00714266"/>
    <w:rsid w:val="007145DA"/>
    <w:rsid w:val="00715E88"/>
    <w:rsid w:val="00716D8B"/>
    <w:rsid w:val="00734CAA"/>
    <w:rsid w:val="00740EE2"/>
    <w:rsid w:val="00742680"/>
    <w:rsid w:val="0074592E"/>
    <w:rsid w:val="0075533C"/>
    <w:rsid w:val="00755A18"/>
    <w:rsid w:val="00755D3C"/>
    <w:rsid w:val="00757581"/>
    <w:rsid w:val="007602F5"/>
    <w:rsid w:val="00760D36"/>
    <w:rsid w:val="007611A0"/>
    <w:rsid w:val="00763CEE"/>
    <w:rsid w:val="00772574"/>
    <w:rsid w:val="00773E54"/>
    <w:rsid w:val="00787688"/>
    <w:rsid w:val="007935E6"/>
    <w:rsid w:val="00796D3F"/>
    <w:rsid w:val="007A1683"/>
    <w:rsid w:val="007A5C12"/>
    <w:rsid w:val="007A7CB0"/>
    <w:rsid w:val="007B68A3"/>
    <w:rsid w:val="007C2541"/>
    <w:rsid w:val="007D66A8"/>
    <w:rsid w:val="007E003F"/>
    <w:rsid w:val="007E0C10"/>
    <w:rsid w:val="007F0CF8"/>
    <w:rsid w:val="007F5E1B"/>
    <w:rsid w:val="007F62CB"/>
    <w:rsid w:val="007F6895"/>
    <w:rsid w:val="007F7A65"/>
    <w:rsid w:val="008142EC"/>
    <w:rsid w:val="008164F2"/>
    <w:rsid w:val="00821395"/>
    <w:rsid w:val="0082144F"/>
    <w:rsid w:val="00830E26"/>
    <w:rsid w:val="00834368"/>
    <w:rsid w:val="0083441A"/>
    <w:rsid w:val="00843576"/>
    <w:rsid w:val="00843B64"/>
    <w:rsid w:val="00845261"/>
    <w:rsid w:val="008478FC"/>
    <w:rsid w:val="008507C4"/>
    <w:rsid w:val="00851C51"/>
    <w:rsid w:val="008538F7"/>
    <w:rsid w:val="0085696F"/>
    <w:rsid w:val="00867BFF"/>
    <w:rsid w:val="00871542"/>
    <w:rsid w:val="00872BF6"/>
    <w:rsid w:val="00874046"/>
    <w:rsid w:val="0088480A"/>
    <w:rsid w:val="0088701E"/>
    <w:rsid w:val="0088757A"/>
    <w:rsid w:val="0089431B"/>
    <w:rsid w:val="00894CA8"/>
    <w:rsid w:val="00895668"/>
    <w:rsid w:val="008957DD"/>
    <w:rsid w:val="00897D98"/>
    <w:rsid w:val="008A6DF2"/>
    <w:rsid w:val="008A7807"/>
    <w:rsid w:val="008B4CC9"/>
    <w:rsid w:val="008B594A"/>
    <w:rsid w:val="008C0B15"/>
    <w:rsid w:val="008D75E4"/>
    <w:rsid w:val="008D7C99"/>
    <w:rsid w:val="008E0FCB"/>
    <w:rsid w:val="008E673A"/>
    <w:rsid w:val="008F6DFE"/>
    <w:rsid w:val="0090529F"/>
    <w:rsid w:val="00913D3B"/>
    <w:rsid w:val="0092178C"/>
    <w:rsid w:val="00930B88"/>
    <w:rsid w:val="00935376"/>
    <w:rsid w:val="00940DCC"/>
    <w:rsid w:val="0094179A"/>
    <w:rsid w:val="0094459E"/>
    <w:rsid w:val="00944DBC"/>
    <w:rsid w:val="00947C60"/>
    <w:rsid w:val="00950977"/>
    <w:rsid w:val="00951A7B"/>
    <w:rsid w:val="00955512"/>
    <w:rsid w:val="009564A6"/>
    <w:rsid w:val="00957C14"/>
    <w:rsid w:val="00957EF8"/>
    <w:rsid w:val="00961F04"/>
    <w:rsid w:val="00966A53"/>
    <w:rsid w:val="00967621"/>
    <w:rsid w:val="00967E6A"/>
    <w:rsid w:val="00976789"/>
    <w:rsid w:val="009907B9"/>
    <w:rsid w:val="00990918"/>
    <w:rsid w:val="00994E9E"/>
    <w:rsid w:val="009A3A83"/>
    <w:rsid w:val="009A5C57"/>
    <w:rsid w:val="009B09C0"/>
    <w:rsid w:val="009B4A0F"/>
    <w:rsid w:val="009B5E5A"/>
    <w:rsid w:val="009C11D2"/>
    <w:rsid w:val="009C191E"/>
    <w:rsid w:val="009C6C70"/>
    <w:rsid w:val="009C7B0A"/>
    <w:rsid w:val="009D0B63"/>
    <w:rsid w:val="009D3350"/>
    <w:rsid w:val="009D5CB8"/>
    <w:rsid w:val="009D5FAF"/>
    <w:rsid w:val="009E307E"/>
    <w:rsid w:val="009E4A35"/>
    <w:rsid w:val="00A07870"/>
    <w:rsid w:val="00A07C54"/>
    <w:rsid w:val="00A07F19"/>
    <w:rsid w:val="00A1348D"/>
    <w:rsid w:val="00A13C99"/>
    <w:rsid w:val="00A14DD7"/>
    <w:rsid w:val="00A20103"/>
    <w:rsid w:val="00A232EE"/>
    <w:rsid w:val="00A4175F"/>
    <w:rsid w:val="00A4220B"/>
    <w:rsid w:val="00A44411"/>
    <w:rsid w:val="00A469FA"/>
    <w:rsid w:val="00A46B4D"/>
    <w:rsid w:val="00A47A6E"/>
    <w:rsid w:val="00A53662"/>
    <w:rsid w:val="00A55B01"/>
    <w:rsid w:val="00A56B5B"/>
    <w:rsid w:val="00A603FF"/>
    <w:rsid w:val="00A619B6"/>
    <w:rsid w:val="00A6482E"/>
    <w:rsid w:val="00A648CA"/>
    <w:rsid w:val="00A657DD"/>
    <w:rsid w:val="00A666A6"/>
    <w:rsid w:val="00A675FD"/>
    <w:rsid w:val="00A72437"/>
    <w:rsid w:val="00A8048B"/>
    <w:rsid w:val="00A80611"/>
    <w:rsid w:val="00A9519A"/>
    <w:rsid w:val="00AA5BF4"/>
    <w:rsid w:val="00AB4558"/>
    <w:rsid w:val="00AB5340"/>
    <w:rsid w:val="00AC0A89"/>
    <w:rsid w:val="00AC7C96"/>
    <w:rsid w:val="00AD3593"/>
    <w:rsid w:val="00AD3D88"/>
    <w:rsid w:val="00AD5584"/>
    <w:rsid w:val="00AE0812"/>
    <w:rsid w:val="00AE1120"/>
    <w:rsid w:val="00AE237D"/>
    <w:rsid w:val="00AE502A"/>
    <w:rsid w:val="00AF0010"/>
    <w:rsid w:val="00AF1AA8"/>
    <w:rsid w:val="00AF2C1F"/>
    <w:rsid w:val="00AF5875"/>
    <w:rsid w:val="00AF5CCD"/>
    <w:rsid w:val="00AF7C07"/>
    <w:rsid w:val="00B00100"/>
    <w:rsid w:val="00B06C64"/>
    <w:rsid w:val="00B07D8E"/>
    <w:rsid w:val="00B11CAC"/>
    <w:rsid w:val="00B15A29"/>
    <w:rsid w:val="00B22C93"/>
    <w:rsid w:val="00B27589"/>
    <w:rsid w:val="00B405B7"/>
    <w:rsid w:val="00B446F7"/>
    <w:rsid w:val="00B468C0"/>
    <w:rsid w:val="00B50FE9"/>
    <w:rsid w:val="00B52222"/>
    <w:rsid w:val="00B531DA"/>
    <w:rsid w:val="00B54895"/>
    <w:rsid w:val="00B54FE7"/>
    <w:rsid w:val="00B647C6"/>
    <w:rsid w:val="00B64D18"/>
    <w:rsid w:val="00B655F9"/>
    <w:rsid w:val="00B66901"/>
    <w:rsid w:val="00B66F60"/>
    <w:rsid w:val="00B71E6D"/>
    <w:rsid w:val="00B72070"/>
    <w:rsid w:val="00B779E1"/>
    <w:rsid w:val="00B81E3A"/>
    <w:rsid w:val="00B848A1"/>
    <w:rsid w:val="00B85CFB"/>
    <w:rsid w:val="00B914E9"/>
    <w:rsid w:val="00B91EE1"/>
    <w:rsid w:val="00B94602"/>
    <w:rsid w:val="00BA0090"/>
    <w:rsid w:val="00BA1A67"/>
    <w:rsid w:val="00BA6A80"/>
    <w:rsid w:val="00BB4ABB"/>
    <w:rsid w:val="00BC2C5E"/>
    <w:rsid w:val="00BC62BA"/>
    <w:rsid w:val="00BE5B5F"/>
    <w:rsid w:val="00BE7993"/>
    <w:rsid w:val="00BF66CE"/>
    <w:rsid w:val="00C07E3E"/>
    <w:rsid w:val="00C11971"/>
    <w:rsid w:val="00C15D5F"/>
    <w:rsid w:val="00C179DE"/>
    <w:rsid w:val="00C26F55"/>
    <w:rsid w:val="00C30C63"/>
    <w:rsid w:val="00C30FF3"/>
    <w:rsid w:val="00C34D5C"/>
    <w:rsid w:val="00C3554B"/>
    <w:rsid w:val="00C36B8B"/>
    <w:rsid w:val="00C415C1"/>
    <w:rsid w:val="00C43516"/>
    <w:rsid w:val="00C47DBF"/>
    <w:rsid w:val="00C552FF"/>
    <w:rsid w:val="00C558DA"/>
    <w:rsid w:val="00C55AF3"/>
    <w:rsid w:val="00C771A9"/>
    <w:rsid w:val="00C82943"/>
    <w:rsid w:val="00C84759"/>
    <w:rsid w:val="00C923BB"/>
    <w:rsid w:val="00C93096"/>
    <w:rsid w:val="00CA5CA9"/>
    <w:rsid w:val="00CA6C7F"/>
    <w:rsid w:val="00CB007D"/>
    <w:rsid w:val="00CB60CA"/>
    <w:rsid w:val="00CC0FC7"/>
    <w:rsid w:val="00CC10A6"/>
    <w:rsid w:val="00CC3587"/>
    <w:rsid w:val="00CD5EB8"/>
    <w:rsid w:val="00CD7044"/>
    <w:rsid w:val="00CE08B9"/>
    <w:rsid w:val="00CE3515"/>
    <w:rsid w:val="00CE524C"/>
    <w:rsid w:val="00CE6272"/>
    <w:rsid w:val="00CF141F"/>
    <w:rsid w:val="00CF4777"/>
    <w:rsid w:val="00CF65C8"/>
    <w:rsid w:val="00D013F5"/>
    <w:rsid w:val="00D05E3F"/>
    <w:rsid w:val="00D067BB"/>
    <w:rsid w:val="00D1352A"/>
    <w:rsid w:val="00D1638E"/>
    <w:rsid w:val="00D169AF"/>
    <w:rsid w:val="00D200EF"/>
    <w:rsid w:val="00D21872"/>
    <w:rsid w:val="00D25175"/>
    <w:rsid w:val="00D25249"/>
    <w:rsid w:val="00D26854"/>
    <w:rsid w:val="00D44172"/>
    <w:rsid w:val="00D47BE3"/>
    <w:rsid w:val="00D57F63"/>
    <w:rsid w:val="00D63B8C"/>
    <w:rsid w:val="00D70BD5"/>
    <w:rsid w:val="00D728C0"/>
    <w:rsid w:val="00D739CC"/>
    <w:rsid w:val="00D806F9"/>
    <w:rsid w:val="00D8093D"/>
    <w:rsid w:val="00D8108C"/>
    <w:rsid w:val="00D83208"/>
    <w:rsid w:val="00D842AE"/>
    <w:rsid w:val="00D9211C"/>
    <w:rsid w:val="00D92DE0"/>
    <w:rsid w:val="00D92FEF"/>
    <w:rsid w:val="00D931F9"/>
    <w:rsid w:val="00D93A0F"/>
    <w:rsid w:val="00DA1BCA"/>
    <w:rsid w:val="00DA3663"/>
    <w:rsid w:val="00DA5DCD"/>
    <w:rsid w:val="00DB5F0B"/>
    <w:rsid w:val="00DC1792"/>
    <w:rsid w:val="00DC274A"/>
    <w:rsid w:val="00DC46FF"/>
    <w:rsid w:val="00DC5254"/>
    <w:rsid w:val="00DC569D"/>
    <w:rsid w:val="00DD1A4F"/>
    <w:rsid w:val="00DD3107"/>
    <w:rsid w:val="00DD7C2C"/>
    <w:rsid w:val="00DE5BDA"/>
    <w:rsid w:val="00DF433C"/>
    <w:rsid w:val="00DF519F"/>
    <w:rsid w:val="00E0035A"/>
    <w:rsid w:val="00E06797"/>
    <w:rsid w:val="00E1265B"/>
    <w:rsid w:val="00E12E09"/>
    <w:rsid w:val="00E13B48"/>
    <w:rsid w:val="00E1404F"/>
    <w:rsid w:val="00E21C83"/>
    <w:rsid w:val="00E24ADA"/>
    <w:rsid w:val="00E25DBA"/>
    <w:rsid w:val="00E32F59"/>
    <w:rsid w:val="00E34F4B"/>
    <w:rsid w:val="00E41908"/>
    <w:rsid w:val="00E45796"/>
    <w:rsid w:val="00E46D9A"/>
    <w:rsid w:val="00E50E7E"/>
    <w:rsid w:val="00E565FF"/>
    <w:rsid w:val="00E65388"/>
    <w:rsid w:val="00E74725"/>
    <w:rsid w:val="00E7741D"/>
    <w:rsid w:val="00E808CD"/>
    <w:rsid w:val="00E8348F"/>
    <w:rsid w:val="00E85B7D"/>
    <w:rsid w:val="00E862AA"/>
    <w:rsid w:val="00E9121B"/>
    <w:rsid w:val="00E9302E"/>
    <w:rsid w:val="00E976AB"/>
    <w:rsid w:val="00EA0AE2"/>
    <w:rsid w:val="00EA10A4"/>
    <w:rsid w:val="00EA39E5"/>
    <w:rsid w:val="00EA57A3"/>
    <w:rsid w:val="00EC2813"/>
    <w:rsid w:val="00EC5A46"/>
    <w:rsid w:val="00EC63E2"/>
    <w:rsid w:val="00ED0225"/>
    <w:rsid w:val="00ED366A"/>
    <w:rsid w:val="00ED6BB7"/>
    <w:rsid w:val="00EF22B3"/>
    <w:rsid w:val="00F03B69"/>
    <w:rsid w:val="00F07A50"/>
    <w:rsid w:val="00F113DA"/>
    <w:rsid w:val="00F266FC"/>
    <w:rsid w:val="00F3037A"/>
    <w:rsid w:val="00F3465A"/>
    <w:rsid w:val="00F3607C"/>
    <w:rsid w:val="00F37DC8"/>
    <w:rsid w:val="00F439B3"/>
    <w:rsid w:val="00F650C3"/>
    <w:rsid w:val="00F65D85"/>
    <w:rsid w:val="00F6700B"/>
    <w:rsid w:val="00F674E5"/>
    <w:rsid w:val="00F7137B"/>
    <w:rsid w:val="00F71DBF"/>
    <w:rsid w:val="00F8091E"/>
    <w:rsid w:val="00F8615C"/>
    <w:rsid w:val="00F969E5"/>
    <w:rsid w:val="00FA4972"/>
    <w:rsid w:val="00FA6BB0"/>
    <w:rsid w:val="00FB2DBD"/>
    <w:rsid w:val="00FB67FD"/>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406B4B"/>
  <w15:docId w15:val="{17CA9197-668D-4679-A6B7-3E356E32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93"/>
    <w:basedOn w:val="Normalpool"/>
    <w:link w:val="NotedebasdepageCar"/>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uiPriority w:val="99"/>
    <w:locked/>
    <w:rsid w:val="0014293F"/>
    <w:rPr>
      <w:sz w:val="18"/>
      <w:lang w:val="fr-FR" w:eastAsia="en-US"/>
    </w:rPr>
  </w:style>
  <w:style w:type="table" w:styleId="Grilledutableau">
    <w:name w:val="Table Grid"/>
    <w:basedOn w:val="Tableau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semiHidden/>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semiHidden/>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BBTitleChar">
    <w:name w:val="BB_Title Char"/>
    <w:link w:val="BBTitle"/>
    <w:rsid w:val="00E34F4B"/>
    <w:rPr>
      <w:b/>
      <w:sz w:val="28"/>
      <w:szCs w:val="28"/>
      <w:lang w:eastAsia="en-US"/>
    </w:rPr>
  </w:style>
  <w:style w:type="character" w:customStyle="1" w:styleId="ZZAnxtitleChar">
    <w:name w:val="ZZ_Anx_title Char"/>
    <w:link w:val="ZZAnxtitle"/>
    <w:rsid w:val="00E34F4B"/>
    <w:rPr>
      <w:b/>
      <w:bCs/>
      <w:sz w:val="28"/>
      <w:szCs w:val="26"/>
      <w:lang w:eastAsia="en-US"/>
    </w:rPr>
  </w:style>
  <w:style w:type="character" w:customStyle="1" w:styleId="CH2Char">
    <w:name w:val="CH2 Char"/>
    <w:link w:val="CH2"/>
    <w:locked/>
    <w:rsid w:val="00E34F4B"/>
    <w:rPr>
      <w:b/>
      <w:sz w:val="24"/>
      <w:szCs w:val="24"/>
      <w:lang w:eastAsia="en-US"/>
    </w:rPr>
  </w:style>
  <w:style w:type="character" w:customStyle="1" w:styleId="NormalNonumberChar">
    <w:name w:val="Normal_No_number Char"/>
    <w:link w:val="NormalNonumber"/>
    <w:locked/>
    <w:rsid w:val="00E34F4B"/>
    <w:rPr>
      <w:lang w:eastAsia="en-US"/>
    </w:rPr>
  </w:style>
  <w:style w:type="character" w:customStyle="1" w:styleId="ZZAnxheaderChar">
    <w:name w:val="ZZ_Anx_header Char"/>
    <w:link w:val="ZZAnxheader"/>
    <w:rsid w:val="00E34F4B"/>
    <w:rPr>
      <w:b/>
      <w:bCs/>
      <w:sz w:val="28"/>
      <w:szCs w:val="22"/>
      <w:lang w:eastAsia="en-US"/>
    </w:rPr>
  </w:style>
  <w:style w:type="character" w:customStyle="1" w:styleId="Normal-poolChar">
    <w:name w:val="Normal-pool Char"/>
    <w:link w:val="Normal-pool"/>
    <w:rsid w:val="00E34F4B"/>
    <w:rPr>
      <w:lang w:eastAsia="en-US"/>
    </w:rPr>
  </w:style>
  <w:style w:type="character" w:customStyle="1" w:styleId="NormalnumberChar">
    <w:name w:val="Normal_number Char"/>
    <w:link w:val="Normalnumber"/>
    <w:locked/>
    <w:rsid w:val="00E34F4B"/>
    <w:rPr>
      <w:lang w:eastAsia="en-US"/>
    </w:rPr>
  </w:style>
  <w:style w:type="paragraph" w:customStyle="1" w:styleId="Text">
    <w:name w:val="Text"/>
    <w:rsid w:val="00306F47"/>
    <w:pPr>
      <w:pBdr>
        <w:top w:val="nil"/>
        <w:left w:val="nil"/>
        <w:bottom w:val="nil"/>
        <w:right w:val="nil"/>
        <w:between w:val="nil"/>
        <w:bar w:val="nil"/>
      </w:pBdr>
      <w:spacing w:after="160" w:line="259" w:lineRule="auto"/>
    </w:pPr>
    <w:rPr>
      <w:rFonts w:ascii="Calibri" w:eastAsiaTheme="minorEastAsia" w:hAnsi="Calibri" w:cs="Arial Unicode MS"/>
      <w:color w:val="000000"/>
      <w:sz w:val="22"/>
      <w:szCs w:val="22"/>
      <w:u w:color="000000"/>
      <w:bdr w:val="nil"/>
      <w:lang w:val="en-US"/>
    </w:rPr>
  </w:style>
  <w:style w:type="numbering" w:customStyle="1" w:styleId="Importovanstyl7">
    <w:name w:val="Importovaný styl 7"/>
    <w:rsid w:val="00306F47"/>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8129A-3DF8-462B-9253-D9F82752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2967</Words>
  <Characters>16321</Characters>
  <Application>Microsoft Office Word</Application>
  <DocSecurity>0</DocSecurity>
  <Lines>136</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2018-07-06T09:38:00Z</cp:lastPrinted>
  <dcterms:created xsi:type="dcterms:W3CDTF">2018-11-16T11:36:00Z</dcterms:created>
  <dcterms:modified xsi:type="dcterms:W3CDTF">2018-11-16T11:36:00Z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sara.sanchez.gonzalez</vt:lpwstr>
  </property>
  <property fmtid="{D5CDD505-2E9C-101B-9397-08002B2CF9AE}" pid="4" name="GeneratedDate">
    <vt:lpwstr>9/29/2018 6:16:27 PM</vt:lpwstr>
  </property>
  <property fmtid="{D5CDD505-2E9C-101B-9397-08002B2CF9AE}" pid="5" name="OriginalDocID">
    <vt:lpwstr>d5c60728-41eb-45d3-b820-2adeea5aed7d</vt:lpwstr>
  </property>
</Properties>
</file>