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701"/>
        <w:gridCol w:w="4460"/>
        <w:gridCol w:w="3335"/>
      </w:tblGrid>
      <w:tr w:rsidR="00874C49" w:rsidRPr="00D25175" w14:paraId="07E0E893" w14:textId="77777777" w:rsidTr="00874C49">
        <w:trPr>
          <w:cantSplit/>
          <w:trHeight w:val="850"/>
          <w:jc w:val="right"/>
        </w:trPr>
        <w:tc>
          <w:tcPr>
            <w:tcW w:w="1701" w:type="dxa"/>
          </w:tcPr>
          <w:p w14:paraId="3FF7B7E4" w14:textId="7AD498C7" w:rsidR="00874C49" w:rsidRPr="00D25175" w:rsidRDefault="00874C49" w:rsidP="00482E0C">
            <w:pPr>
              <w:tabs>
                <w:tab w:val="left" w:pos="624"/>
                <w:tab w:val="left" w:pos="1871"/>
                <w:tab w:val="left" w:pos="2495"/>
              </w:tabs>
              <w:rPr>
                <w:rFonts w:ascii="Univers" w:hAnsi="Univers"/>
                <w:b/>
                <w:noProof/>
                <w:sz w:val="27"/>
                <w:szCs w:val="27"/>
              </w:rPr>
            </w:pPr>
            <w:r>
              <w:rPr>
                <w:rFonts w:ascii="Arial" w:hAnsi="Arial" w:cs="Arial"/>
                <w:b/>
                <w:noProof/>
                <w:sz w:val="27"/>
                <w:szCs w:val="27"/>
              </w:rPr>
              <w:t>NACIONES UNIDAS</w:t>
            </w:r>
          </w:p>
        </w:tc>
        <w:tc>
          <w:tcPr>
            <w:tcW w:w="4460" w:type="dxa"/>
          </w:tcPr>
          <w:p w14:paraId="1D567A93" w14:textId="77777777" w:rsidR="00874C49" w:rsidRPr="00D25175" w:rsidRDefault="00874C49" w:rsidP="00482E0C">
            <w:pPr>
              <w:tabs>
                <w:tab w:val="left" w:pos="624"/>
                <w:tab w:val="left" w:pos="1871"/>
                <w:tab w:val="left" w:pos="2495"/>
              </w:tabs>
              <w:rPr>
                <w:rFonts w:ascii="Univers" w:hAnsi="Univers"/>
                <w:b/>
                <w:sz w:val="27"/>
                <w:szCs w:val="27"/>
              </w:rPr>
            </w:pPr>
          </w:p>
        </w:tc>
        <w:tc>
          <w:tcPr>
            <w:tcW w:w="3335" w:type="dxa"/>
          </w:tcPr>
          <w:p w14:paraId="19A91D97" w14:textId="77777777" w:rsidR="00874C49" w:rsidRPr="00D25175" w:rsidRDefault="00874C49" w:rsidP="00482E0C">
            <w:pPr>
              <w:tabs>
                <w:tab w:val="left" w:pos="624"/>
                <w:tab w:val="left" w:pos="1871"/>
                <w:tab w:val="left" w:pos="2495"/>
              </w:tabs>
              <w:jc w:val="right"/>
              <w:rPr>
                <w:rFonts w:ascii="Arial" w:hAnsi="Arial" w:cs="Arial"/>
                <w:b/>
                <w:sz w:val="64"/>
                <w:szCs w:val="64"/>
              </w:rPr>
            </w:pPr>
            <w:r w:rsidRPr="00D25175">
              <w:rPr>
                <w:rFonts w:ascii="Arial" w:hAnsi="Arial" w:cs="Arial"/>
                <w:b/>
                <w:sz w:val="64"/>
                <w:szCs w:val="64"/>
              </w:rPr>
              <w:t>MC</w:t>
            </w:r>
          </w:p>
        </w:tc>
      </w:tr>
      <w:tr w:rsidR="00874C49" w:rsidRPr="00D25175" w14:paraId="37546598" w14:textId="77777777" w:rsidTr="00874C49">
        <w:trPr>
          <w:cantSplit/>
          <w:trHeight w:val="281"/>
          <w:jc w:val="right"/>
        </w:trPr>
        <w:tc>
          <w:tcPr>
            <w:tcW w:w="1701" w:type="dxa"/>
            <w:tcBorders>
              <w:bottom w:val="single" w:sz="4" w:space="0" w:color="auto"/>
            </w:tcBorders>
          </w:tcPr>
          <w:p w14:paraId="5A470427" w14:textId="77777777" w:rsidR="00874C49" w:rsidRPr="00D25175" w:rsidRDefault="00874C49" w:rsidP="00482E0C">
            <w:pPr>
              <w:tabs>
                <w:tab w:val="left" w:pos="624"/>
                <w:tab w:val="left" w:pos="1871"/>
                <w:tab w:val="left" w:pos="2495"/>
              </w:tabs>
              <w:rPr>
                <w:noProof/>
                <w:sz w:val="18"/>
                <w:szCs w:val="18"/>
              </w:rPr>
            </w:pPr>
          </w:p>
        </w:tc>
        <w:tc>
          <w:tcPr>
            <w:tcW w:w="4460" w:type="dxa"/>
            <w:tcBorders>
              <w:bottom w:val="single" w:sz="4" w:space="0" w:color="auto"/>
            </w:tcBorders>
          </w:tcPr>
          <w:p w14:paraId="71772135" w14:textId="77777777" w:rsidR="00874C49" w:rsidRPr="00D25175" w:rsidRDefault="00874C49" w:rsidP="00482E0C">
            <w:pPr>
              <w:tabs>
                <w:tab w:val="left" w:pos="624"/>
                <w:tab w:val="left" w:pos="1871"/>
                <w:tab w:val="left" w:pos="2495"/>
              </w:tabs>
              <w:rPr>
                <w:rFonts w:ascii="Univers" w:hAnsi="Univers"/>
                <w:b/>
                <w:sz w:val="18"/>
                <w:szCs w:val="18"/>
              </w:rPr>
            </w:pPr>
          </w:p>
        </w:tc>
        <w:tc>
          <w:tcPr>
            <w:tcW w:w="3335" w:type="dxa"/>
            <w:tcBorders>
              <w:bottom w:val="single" w:sz="4" w:space="0" w:color="auto"/>
            </w:tcBorders>
          </w:tcPr>
          <w:p w14:paraId="0241F4AE" w14:textId="77777777" w:rsidR="00874C49" w:rsidRPr="00D25175" w:rsidRDefault="00874C49" w:rsidP="00482E0C">
            <w:pPr>
              <w:tabs>
                <w:tab w:val="left" w:pos="624"/>
                <w:tab w:val="left" w:pos="1871"/>
                <w:tab w:val="left" w:pos="2495"/>
              </w:tabs>
              <w:rPr>
                <w:noProof/>
                <w:sz w:val="18"/>
                <w:szCs w:val="18"/>
              </w:rPr>
            </w:pPr>
            <w:r w:rsidRPr="00D25175">
              <w:rPr>
                <w:b/>
                <w:bCs/>
                <w:sz w:val="28"/>
              </w:rPr>
              <w:t>UNEP</w:t>
            </w:r>
            <w:r w:rsidRPr="000A2BAC">
              <w:rPr>
                <w:b/>
                <w:bCs/>
              </w:rPr>
              <w:t>/</w:t>
            </w:r>
            <w:r w:rsidRPr="00D25175">
              <w:t>MC/COP.</w:t>
            </w:r>
            <w:r>
              <w:t>2</w:t>
            </w:r>
            <w:r w:rsidRPr="00D25175">
              <w:t>/1</w:t>
            </w:r>
            <w:r>
              <w:t>0</w:t>
            </w:r>
          </w:p>
        </w:tc>
      </w:tr>
      <w:bookmarkStart w:id="0" w:name="_MON_1021710482"/>
      <w:bookmarkEnd w:id="0"/>
      <w:bookmarkStart w:id="1" w:name="_MON_1021710510"/>
      <w:bookmarkEnd w:id="1"/>
      <w:tr w:rsidR="00874C49" w:rsidRPr="00392C28" w14:paraId="01D6628F" w14:textId="77777777" w:rsidTr="00874C49">
        <w:trPr>
          <w:cantSplit/>
          <w:trHeight w:val="2549"/>
          <w:jc w:val="right"/>
        </w:trPr>
        <w:tc>
          <w:tcPr>
            <w:tcW w:w="1701" w:type="dxa"/>
            <w:tcBorders>
              <w:top w:val="single" w:sz="4" w:space="0" w:color="auto"/>
              <w:bottom w:val="single" w:sz="24" w:space="0" w:color="auto"/>
            </w:tcBorders>
          </w:tcPr>
          <w:p w14:paraId="3BCA3C68" w14:textId="77777777" w:rsidR="00874C49" w:rsidRPr="00D25175" w:rsidRDefault="00874C49" w:rsidP="00482E0C">
            <w:pPr>
              <w:tabs>
                <w:tab w:val="left" w:pos="624"/>
                <w:tab w:val="left" w:pos="1871"/>
                <w:tab w:val="left" w:pos="2495"/>
              </w:tabs>
              <w:rPr>
                <w:noProof/>
              </w:rPr>
            </w:pPr>
            <w:r w:rsidRPr="00D25175">
              <w:rPr>
                <w:noProof/>
              </w:rPr>
              <w:object w:dxaOrig="1831" w:dyaOrig="1726" w14:anchorId="75726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1pt;height:60.5pt;mso-width-percent:0;mso-height-percent:0;mso-width-percent:0;mso-height-percent:0" o:ole="" fillcolor="window">
                  <v:imagedata r:id="rId8" o:title=""/>
                </v:shape>
                <o:OLEObject Type="Embed" ProgID="Word.Picture.8" ShapeID="_x0000_i1025" DrawAspect="Content" ObjectID="_1600163369" r:id="rId9"/>
              </w:object>
            </w:r>
            <w:r w:rsidRPr="00D25175">
              <w:rPr>
                <w:noProof/>
                <w:lang w:val="en-US"/>
              </w:rPr>
              <w:drawing>
                <wp:inline distT="0" distB="0" distL="0" distR="0" wp14:anchorId="188FAF4A" wp14:editId="5B446B39">
                  <wp:extent cx="723900" cy="769620"/>
                  <wp:effectExtent l="0" t="0" r="0" b="0"/>
                  <wp:docPr id="1" name="Picture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460" w:type="dxa"/>
            <w:tcBorders>
              <w:top w:val="single" w:sz="4" w:space="0" w:color="auto"/>
              <w:bottom w:val="single" w:sz="24" w:space="0" w:color="auto"/>
            </w:tcBorders>
          </w:tcPr>
          <w:p w14:paraId="587C3780" w14:textId="715A0414" w:rsidR="00874C49" w:rsidRPr="00874C49" w:rsidRDefault="00874C49" w:rsidP="00482E0C">
            <w:pPr>
              <w:tabs>
                <w:tab w:val="left" w:pos="624"/>
                <w:tab w:val="left" w:pos="1871"/>
                <w:tab w:val="left" w:pos="2495"/>
              </w:tabs>
              <w:spacing w:before="1200"/>
              <w:rPr>
                <w:rFonts w:ascii="Arial" w:hAnsi="Arial" w:cs="Arial"/>
                <w:b/>
                <w:sz w:val="28"/>
                <w:lang w:val="es-ES"/>
              </w:rPr>
            </w:pPr>
            <w:r w:rsidRPr="00874C49">
              <w:rPr>
                <w:rFonts w:ascii="Arial" w:hAnsi="Arial" w:cs="Arial"/>
                <w:b/>
                <w:sz w:val="32"/>
                <w:szCs w:val="32"/>
                <w:lang w:val="es-ES"/>
              </w:rPr>
              <w:t xml:space="preserve">Programa de las </w:t>
            </w:r>
            <w:r>
              <w:rPr>
                <w:rFonts w:ascii="Arial" w:hAnsi="Arial" w:cs="Arial"/>
                <w:b/>
                <w:sz w:val="32"/>
                <w:szCs w:val="32"/>
                <w:lang w:val="es-ES"/>
              </w:rPr>
              <w:br/>
            </w:r>
            <w:r w:rsidRPr="00874C49">
              <w:rPr>
                <w:rFonts w:ascii="Arial" w:hAnsi="Arial" w:cs="Arial"/>
                <w:b/>
                <w:sz w:val="32"/>
                <w:szCs w:val="32"/>
                <w:lang w:val="es-ES"/>
              </w:rPr>
              <w:t xml:space="preserve">Naciones Unidas </w:t>
            </w:r>
            <w:bookmarkStart w:id="2" w:name="_GoBack"/>
            <w:bookmarkEnd w:id="2"/>
            <w:r>
              <w:rPr>
                <w:rFonts w:ascii="Arial" w:hAnsi="Arial" w:cs="Arial"/>
                <w:b/>
                <w:sz w:val="32"/>
                <w:szCs w:val="32"/>
                <w:lang w:val="es-ES"/>
              </w:rPr>
              <w:br/>
            </w:r>
            <w:r w:rsidRPr="00874C49">
              <w:rPr>
                <w:rFonts w:ascii="Arial" w:hAnsi="Arial" w:cs="Arial"/>
                <w:b/>
                <w:sz w:val="32"/>
                <w:szCs w:val="32"/>
                <w:lang w:val="es-ES"/>
              </w:rPr>
              <w:t>para el Medio Ambiente</w:t>
            </w:r>
          </w:p>
        </w:tc>
        <w:tc>
          <w:tcPr>
            <w:tcW w:w="3335" w:type="dxa"/>
            <w:tcBorders>
              <w:top w:val="single" w:sz="4" w:space="0" w:color="auto"/>
              <w:bottom w:val="single" w:sz="24" w:space="0" w:color="auto"/>
            </w:tcBorders>
          </w:tcPr>
          <w:p w14:paraId="3069FB8C" w14:textId="703257D0" w:rsidR="00874C49" w:rsidRPr="00874C49" w:rsidRDefault="00874C49" w:rsidP="00482E0C">
            <w:pPr>
              <w:tabs>
                <w:tab w:val="left" w:pos="624"/>
                <w:tab w:val="left" w:pos="1871"/>
                <w:tab w:val="left" w:pos="2495"/>
              </w:tabs>
              <w:spacing w:before="120"/>
              <w:rPr>
                <w:lang w:val="es-ES"/>
              </w:rPr>
            </w:pPr>
            <w:r w:rsidRPr="00874C49">
              <w:rPr>
                <w:lang w:val="es-ES"/>
              </w:rPr>
              <w:t xml:space="preserve">Distr. general </w:t>
            </w:r>
            <w:r w:rsidRPr="00874C49">
              <w:rPr>
                <w:lang w:val="es-ES"/>
              </w:rPr>
              <w:br w:type="textWrapping" w:clear="all"/>
              <w:t xml:space="preserve">25 </w:t>
            </w:r>
            <w:r w:rsidR="007B7D7F">
              <w:rPr>
                <w:lang w:val="es-ES"/>
              </w:rPr>
              <w:t>de septiembre de</w:t>
            </w:r>
            <w:r w:rsidRPr="00874C49">
              <w:rPr>
                <w:lang w:val="es-ES"/>
              </w:rPr>
              <w:t xml:space="preserve"> 2018</w:t>
            </w:r>
          </w:p>
          <w:p w14:paraId="6CE3FFBA" w14:textId="670CF6AF" w:rsidR="00874C49" w:rsidRPr="00874C49" w:rsidRDefault="00874C49" w:rsidP="00482E0C">
            <w:pPr>
              <w:tabs>
                <w:tab w:val="left" w:pos="624"/>
                <w:tab w:val="left" w:pos="1871"/>
                <w:tab w:val="left" w:pos="2495"/>
              </w:tabs>
              <w:spacing w:before="240"/>
              <w:rPr>
                <w:lang w:val="es-ES"/>
              </w:rPr>
            </w:pPr>
            <w:r>
              <w:rPr>
                <w:lang w:val="es-ES"/>
              </w:rPr>
              <w:t xml:space="preserve">Español </w:t>
            </w:r>
            <w:r>
              <w:rPr>
                <w:lang w:val="es-ES"/>
              </w:rPr>
              <w:br/>
              <w:t>Original: inglés</w:t>
            </w:r>
          </w:p>
        </w:tc>
      </w:tr>
    </w:tbl>
    <w:p w14:paraId="0A4BFFDA" w14:textId="3E025D93" w:rsidR="00E976AB" w:rsidRPr="00386FE6" w:rsidRDefault="00CB007D" w:rsidP="004455F3">
      <w:pPr>
        <w:pStyle w:val="AATitle"/>
        <w:keepNext w:val="0"/>
        <w:keepLines w:val="0"/>
        <w:tabs>
          <w:tab w:val="left" w:pos="624"/>
          <w:tab w:val="left" w:pos="1871"/>
          <w:tab w:val="left" w:pos="2495"/>
        </w:tabs>
        <w:rPr>
          <w:lang w:val="es-ES"/>
        </w:rPr>
      </w:pPr>
      <w:r>
        <w:rPr>
          <w:lang w:val="es-ES"/>
        </w:rPr>
        <w:t>Conferencia de las Partes en el Convenio de Minamata sobre el Mercurio</w:t>
      </w:r>
    </w:p>
    <w:p w14:paraId="26A6CAA0" w14:textId="77194A37" w:rsidR="00E976AB" w:rsidRPr="00386FE6" w:rsidRDefault="00434321" w:rsidP="004455F3">
      <w:pPr>
        <w:pStyle w:val="AATitle"/>
        <w:keepNext w:val="0"/>
        <w:keepLines w:val="0"/>
        <w:tabs>
          <w:tab w:val="left" w:pos="624"/>
          <w:tab w:val="left" w:pos="1871"/>
          <w:tab w:val="left" w:pos="2495"/>
        </w:tabs>
        <w:rPr>
          <w:lang w:val="es-ES"/>
        </w:rPr>
      </w:pPr>
      <w:r>
        <w:rPr>
          <w:lang w:val="es-ES"/>
        </w:rPr>
        <w:t>Segunda reunión</w:t>
      </w:r>
    </w:p>
    <w:p w14:paraId="67B82F12" w14:textId="44A10B65" w:rsidR="00787688" w:rsidRPr="00386FE6" w:rsidRDefault="00787688" w:rsidP="004455F3">
      <w:pPr>
        <w:pStyle w:val="AATitle"/>
        <w:tabs>
          <w:tab w:val="left" w:pos="624"/>
          <w:tab w:val="left" w:pos="1871"/>
          <w:tab w:val="left" w:pos="2495"/>
        </w:tabs>
        <w:rPr>
          <w:b w:val="0"/>
          <w:lang w:val="es-ES"/>
        </w:rPr>
      </w:pPr>
      <w:r w:rsidRPr="00386FE6">
        <w:rPr>
          <w:b w:val="0"/>
          <w:lang w:val="es-ES"/>
        </w:rPr>
        <w:t>Ginebra, 19 a 23 de noviembre de 2018</w:t>
      </w:r>
    </w:p>
    <w:p w14:paraId="271F2664" w14:textId="01BEA753" w:rsidR="00C6275F" w:rsidRPr="00386FE6" w:rsidRDefault="00C6275F" w:rsidP="00FC51B1">
      <w:pPr>
        <w:pStyle w:val="AATitle"/>
        <w:rPr>
          <w:b w:val="0"/>
          <w:lang w:val="es-ES"/>
        </w:rPr>
      </w:pPr>
      <w:bookmarkStart w:id="3" w:name="_Hlk517786179"/>
      <w:r w:rsidRPr="00386FE6">
        <w:rPr>
          <w:b w:val="0"/>
          <w:lang w:val="es-ES"/>
        </w:rPr>
        <w:t>Tema 5 f) del programa provisional</w:t>
      </w:r>
      <w:r w:rsidRPr="00386FE6">
        <w:rPr>
          <w:rStyle w:val="FootnoteReference"/>
          <w:b w:val="0"/>
          <w:vertAlign w:val="baseline"/>
          <w:lang w:val="es-ES"/>
        </w:rPr>
        <w:footnoteReference w:customMarkFollows="1" w:id="1"/>
        <w:t>*</w:t>
      </w:r>
    </w:p>
    <w:p w14:paraId="7110836C" w14:textId="449FCD0C" w:rsidR="00C6275F" w:rsidRPr="00386FE6" w:rsidRDefault="00C6275F" w:rsidP="00FC51B1">
      <w:pPr>
        <w:pStyle w:val="AATitle2"/>
        <w:spacing w:before="60"/>
        <w:rPr>
          <w:lang w:val="es-ES"/>
        </w:rPr>
      </w:pPr>
      <w:r>
        <w:rPr>
          <w:lang w:val="es-ES"/>
        </w:rPr>
        <w:t xml:space="preserve">Cuestiones para su examen o la adopción de medidas por la Conferencia de las Partes: creación de capacidad, asistencia técnica y transferencia de tecnología </w:t>
      </w:r>
    </w:p>
    <w:p w14:paraId="218EAFCF" w14:textId="726CD4E5" w:rsidR="00C6275F" w:rsidRPr="00386FE6" w:rsidRDefault="00923ABB" w:rsidP="00C6275F">
      <w:pPr>
        <w:pStyle w:val="BBTitle"/>
        <w:rPr>
          <w:lang w:val="es-ES"/>
        </w:rPr>
      </w:pPr>
      <w:r>
        <w:rPr>
          <w:lang w:val="es-ES"/>
        </w:rPr>
        <w:t>Presentaciones e informes recibidos en relación con las tecnologías alternativas y la transferencia de tecnología a que</w:t>
      </w:r>
      <w:r w:rsidR="0026761A">
        <w:rPr>
          <w:lang w:val="es-ES"/>
        </w:rPr>
        <w:t> </w:t>
      </w:r>
      <w:r>
        <w:rPr>
          <w:lang w:val="es-ES"/>
        </w:rPr>
        <w:t>se</w:t>
      </w:r>
      <w:r w:rsidR="0026761A">
        <w:rPr>
          <w:lang w:val="es-ES"/>
        </w:rPr>
        <w:t> </w:t>
      </w:r>
      <w:r>
        <w:rPr>
          <w:lang w:val="es-ES"/>
        </w:rPr>
        <w:t>hace referencia en el párrafo 4 del artículo 14</w:t>
      </w:r>
    </w:p>
    <w:p w14:paraId="79FB6F7D" w14:textId="77777777" w:rsidR="00C6275F" w:rsidRPr="004C2AB4" w:rsidRDefault="00C6275F" w:rsidP="00FC51B1">
      <w:pPr>
        <w:pStyle w:val="CH2"/>
      </w:pPr>
      <w:r>
        <w:rPr>
          <w:lang w:val="es-ES"/>
        </w:rPr>
        <w:tab/>
      </w:r>
      <w:r>
        <w:rPr>
          <w:lang w:val="es-ES"/>
        </w:rPr>
        <w:tab/>
        <w:t>Nota de la Secretaría</w:t>
      </w:r>
    </w:p>
    <w:p w14:paraId="3DF0FFB4" w14:textId="27B0C25E" w:rsidR="00C6275F" w:rsidRPr="00386FE6" w:rsidRDefault="00174FA1" w:rsidP="00392C28">
      <w:pPr>
        <w:pStyle w:val="Normalnumber"/>
        <w:numPr>
          <w:ilvl w:val="0"/>
          <w:numId w:val="38"/>
        </w:numPr>
        <w:tabs>
          <w:tab w:val="clear" w:pos="1247"/>
          <w:tab w:val="clear" w:pos="1814"/>
          <w:tab w:val="clear" w:pos="2381"/>
          <w:tab w:val="clear" w:pos="2948"/>
          <w:tab w:val="clear" w:pos="3515"/>
          <w:tab w:val="clear" w:pos="4082"/>
          <w:tab w:val="left" w:pos="624"/>
        </w:tabs>
        <w:rPr>
          <w:lang w:val="es-ES"/>
        </w:rPr>
      </w:pPr>
      <w:r>
        <w:rPr>
          <w:lang w:val="es-ES"/>
        </w:rPr>
        <w:t>En el párrafo 4 del artículo 14 del Convenio de Minamata sobre el Mercurio</w:t>
      </w:r>
      <w:r w:rsidR="00392C28">
        <w:rPr>
          <w:lang w:val="es-ES"/>
        </w:rPr>
        <w:t xml:space="preserve">, sobre </w:t>
      </w:r>
      <w:r w:rsidR="00392C28" w:rsidRPr="00392C28">
        <w:rPr>
          <w:lang w:val="es-ES"/>
        </w:rPr>
        <w:t>la creación de capacidad, la asistencia técnica y la transferencia de tecnología</w:t>
      </w:r>
      <w:r w:rsidR="00392C28">
        <w:rPr>
          <w:lang w:val="es-ES"/>
        </w:rPr>
        <w:t>,</w:t>
      </w:r>
      <w:r>
        <w:rPr>
          <w:lang w:val="es-ES"/>
        </w:rPr>
        <w:t xml:space="preserve"> se establece que la Conferencia de las Partes examinará, a más tardar en su segunda reunión y en lo sucesivo de forma periódica, </w:t>
      </w:r>
      <w:r w:rsidR="00386FE6">
        <w:rPr>
          <w:lang w:val="es-ES"/>
        </w:rPr>
        <w:t xml:space="preserve">la </w:t>
      </w:r>
      <w:r>
        <w:rPr>
          <w:lang w:val="es-ES"/>
        </w:rPr>
        <w:t xml:space="preserve">información sobre iniciativas existentes y progresos realizados en relación con las tecnologías alternativas; </w:t>
      </w:r>
      <w:r w:rsidR="00386FE6">
        <w:rPr>
          <w:lang w:val="es-ES"/>
        </w:rPr>
        <w:t>e</w:t>
      </w:r>
      <w:r>
        <w:rPr>
          <w:lang w:val="es-ES"/>
        </w:rPr>
        <w:t xml:space="preserve">xaminará las necesidades de las Partes, en particular las Partes que son países en desarrollo, en cuanto a tecnologías alternativas; y determinará los retos a que se enfrentan las Partes, especialmente las Partes que son países en desarrollo, en lo que respecta a la transferencia de tecnología. </w:t>
      </w:r>
      <w:r w:rsidR="00386FE6">
        <w:rPr>
          <w:lang w:val="es-ES"/>
        </w:rPr>
        <w:t>Al realizar estas tareas, l</w:t>
      </w:r>
      <w:r>
        <w:rPr>
          <w:lang w:val="es-ES"/>
        </w:rPr>
        <w:t>a Conferencia de las Partes debe</w:t>
      </w:r>
      <w:r w:rsidR="00386FE6">
        <w:rPr>
          <w:lang w:val="es-ES"/>
        </w:rPr>
        <w:t xml:space="preserve">rá tener </w:t>
      </w:r>
      <w:r>
        <w:rPr>
          <w:lang w:val="es-ES"/>
        </w:rPr>
        <w:t xml:space="preserve">en cuenta </w:t>
      </w:r>
      <w:r w:rsidR="00386FE6">
        <w:rPr>
          <w:lang w:val="es-ES"/>
        </w:rPr>
        <w:t xml:space="preserve">las comunicaciones </w:t>
      </w:r>
      <w:r>
        <w:rPr>
          <w:lang w:val="es-ES"/>
        </w:rPr>
        <w:t>y los informes de las Partes, incluidos los previstos en el artículo 21, así como la información proporcionada por otros interesados:</w:t>
      </w:r>
    </w:p>
    <w:p w14:paraId="618E6871" w14:textId="7EEEC221" w:rsidR="00C6275F" w:rsidRPr="00386FE6" w:rsidRDefault="00C6275F" w:rsidP="00FC51B1">
      <w:pPr>
        <w:pStyle w:val="Normalnumber"/>
        <w:numPr>
          <w:ilvl w:val="0"/>
          <w:numId w:val="38"/>
        </w:numPr>
        <w:tabs>
          <w:tab w:val="clear" w:pos="1247"/>
          <w:tab w:val="clear" w:pos="1814"/>
          <w:tab w:val="clear" w:pos="2381"/>
          <w:tab w:val="clear" w:pos="2948"/>
          <w:tab w:val="clear" w:pos="3515"/>
          <w:tab w:val="clear" w:pos="4082"/>
          <w:tab w:val="left" w:pos="624"/>
        </w:tabs>
        <w:rPr>
          <w:lang w:val="es-ES"/>
        </w:rPr>
      </w:pPr>
      <w:r>
        <w:rPr>
          <w:lang w:val="es-ES"/>
        </w:rPr>
        <w:t xml:space="preserve">Sobre la base del examen de la cuestión realizado en la primera reunión de la Conferencia de las Partes, celebrada en Ginebra del 24 al 29 de septiembre de 2017, la Secretaría recabó </w:t>
      </w:r>
      <w:r w:rsidR="00386FE6">
        <w:rPr>
          <w:lang w:val="es-ES"/>
        </w:rPr>
        <w:t xml:space="preserve">las comunicaciones </w:t>
      </w:r>
      <w:r>
        <w:rPr>
          <w:lang w:val="es-ES"/>
        </w:rPr>
        <w:t>e informes presentados por las Partes y otros interesados sobre las cuestiones mencionadas, de conformidad con lo indicado en el párrafo 4 del artículo 14.</w:t>
      </w:r>
    </w:p>
    <w:p w14:paraId="2F499EE7" w14:textId="5DD2CF3B" w:rsidR="00C6275F" w:rsidRPr="00386FE6" w:rsidRDefault="00C6275F" w:rsidP="00FC51B1">
      <w:pPr>
        <w:pStyle w:val="Normalnumber"/>
        <w:numPr>
          <w:ilvl w:val="0"/>
          <w:numId w:val="38"/>
        </w:numPr>
        <w:tabs>
          <w:tab w:val="clear" w:pos="1247"/>
          <w:tab w:val="clear" w:pos="1814"/>
          <w:tab w:val="clear" w:pos="2381"/>
          <w:tab w:val="clear" w:pos="2948"/>
          <w:tab w:val="clear" w:pos="3515"/>
          <w:tab w:val="clear" w:pos="4082"/>
          <w:tab w:val="left" w:pos="624"/>
        </w:tabs>
        <w:rPr>
          <w:lang w:val="es-ES"/>
        </w:rPr>
      </w:pPr>
      <w:r w:rsidRPr="00874C49">
        <w:rPr>
          <w:spacing w:val="-2"/>
          <w:lang w:val="es-ES"/>
        </w:rPr>
        <w:t>Se recibieron comunicaciones de tres Partes, a saber, los Estados Unidos de América, el Japón y Nigeria, y de dos organizaciones no gubernamentales, a saber, la Red Internacional de Eliminación de los</w:t>
      </w:r>
      <w:r w:rsidR="0026761A">
        <w:rPr>
          <w:spacing w:val="-2"/>
          <w:lang w:val="es-ES"/>
        </w:rPr>
        <w:t> </w:t>
      </w:r>
      <w:r w:rsidRPr="00874C49">
        <w:rPr>
          <w:spacing w:val="-2"/>
          <w:lang w:val="es-ES"/>
        </w:rPr>
        <w:t>COP y el Zero Mercury Working Group. Las comunicaciones se han recopilado en el documento UNEP/MC/COP.2/INF/5 y también están disponibles en el sitio web del Convenio de Minamata en:</w:t>
      </w:r>
      <w:r w:rsidR="00874C49">
        <w:rPr>
          <w:lang w:val="es-ES"/>
        </w:rPr>
        <w:t xml:space="preserve"> </w:t>
      </w:r>
      <w:hyperlink r:id="rId11" w:history="1">
        <w:r w:rsidR="00874C49" w:rsidRPr="002C7469">
          <w:rPr>
            <w:rStyle w:val="Hyperlink"/>
            <w:lang w:val="es-ES"/>
          </w:rPr>
          <w:t>www.mercuryconvention.org/Meetings/Intersessionalnbsp;work/tabid/6325/language/en-US/Default.aspx</w:t>
        </w:r>
      </w:hyperlink>
      <w:r w:rsidR="00874C49" w:rsidRPr="00874C49">
        <w:rPr>
          <w:lang w:val="es-ES"/>
        </w:rPr>
        <w:t>.</w:t>
      </w:r>
    </w:p>
    <w:p w14:paraId="3661D451" w14:textId="0DD54D16" w:rsidR="00C6275F" w:rsidRPr="00386FE6" w:rsidRDefault="00964637" w:rsidP="00FC51B1">
      <w:pPr>
        <w:pStyle w:val="Normalnumber"/>
        <w:numPr>
          <w:ilvl w:val="0"/>
          <w:numId w:val="38"/>
        </w:numPr>
        <w:tabs>
          <w:tab w:val="clear" w:pos="1247"/>
          <w:tab w:val="clear" w:pos="1814"/>
          <w:tab w:val="clear" w:pos="2381"/>
          <w:tab w:val="clear" w:pos="2948"/>
          <w:tab w:val="clear" w:pos="3515"/>
          <w:tab w:val="clear" w:pos="4082"/>
          <w:tab w:val="left" w:pos="624"/>
        </w:tabs>
        <w:rPr>
          <w:lang w:val="es-ES"/>
        </w:rPr>
      </w:pPr>
      <w:r>
        <w:rPr>
          <w:lang w:val="es-ES"/>
        </w:rPr>
        <w:t xml:space="preserve">En las comunicaciones recibidas se ofrece una perspectiva general sobre diversas tecnologías alternativas que se han desarrollado para hacer frente a las cuestiones relacionadas con el mercurio, así como ejemplos de la manera en que se han utilizado esas tecnologías, en particular en el contexto de la asistencia técnica y las actividades de fomento de la capacidad en los países en desarrollo y los países con economías en transición. Una Parte que es un país en desarrollo señaló en su presentación </w:t>
      </w:r>
      <w:r>
        <w:rPr>
          <w:lang w:val="es-ES"/>
        </w:rPr>
        <w:lastRenderedPageBreak/>
        <w:t xml:space="preserve">diferentes esferas en las que se ha determinado que existe necesidad de programas de fomento de la capacidad, transferencia de tecnología y asistencia técnica. </w:t>
      </w:r>
    </w:p>
    <w:p w14:paraId="621AFD71" w14:textId="77777777" w:rsidR="00C6275F" w:rsidRPr="00386FE6" w:rsidRDefault="00C6275F" w:rsidP="00FC51B1">
      <w:pPr>
        <w:pStyle w:val="CH2"/>
        <w:rPr>
          <w:b w:val="0"/>
          <w:lang w:val="es-ES"/>
        </w:rPr>
      </w:pPr>
      <w:r>
        <w:rPr>
          <w:lang w:val="es-ES"/>
        </w:rPr>
        <w:tab/>
      </w:r>
      <w:r>
        <w:rPr>
          <w:lang w:val="es-ES"/>
        </w:rPr>
        <w:tab/>
        <w:t>Medida que podría adoptar la Conferencia de las Partes</w:t>
      </w:r>
    </w:p>
    <w:p w14:paraId="4079C5F9" w14:textId="2553030F" w:rsidR="00C6275F" w:rsidRPr="00386FE6" w:rsidRDefault="00C6275F" w:rsidP="00FC51B1">
      <w:pPr>
        <w:pStyle w:val="Normalnumber"/>
        <w:numPr>
          <w:ilvl w:val="0"/>
          <w:numId w:val="38"/>
        </w:numPr>
        <w:tabs>
          <w:tab w:val="clear" w:pos="1247"/>
          <w:tab w:val="clear" w:pos="1814"/>
          <w:tab w:val="clear" w:pos="2381"/>
          <w:tab w:val="clear" w:pos="2948"/>
          <w:tab w:val="clear" w:pos="3515"/>
          <w:tab w:val="clear" w:pos="4082"/>
          <w:tab w:val="left" w:pos="624"/>
        </w:tabs>
        <w:rPr>
          <w:b/>
          <w:lang w:val="es-ES"/>
        </w:rPr>
      </w:pPr>
      <w:r>
        <w:rPr>
          <w:lang w:val="es-ES"/>
        </w:rPr>
        <w:t>La Conferencia de las Partes tal vez deseará examinar la información facilitada en las comunicaciones recibidas y señalar a la atención de las Partes y los interesados pertinentes, en particular los que prestan asistencia técnica y fomento de la capacidad de conformidad con el artículo</w:t>
      </w:r>
      <w:r w:rsidR="00874C49">
        <w:rPr>
          <w:lang w:val="es-ES"/>
        </w:rPr>
        <w:t> </w:t>
      </w:r>
      <w:r>
        <w:rPr>
          <w:lang w:val="es-ES"/>
        </w:rPr>
        <w:t>14, las tecnologías alternativas, las actividades e iniciativas existentes mencionadas en las comunicaciones y las necesidades y los desafíos descritos en ellas. La Conferencia de las Partes tal vez deseará también seguir examinando la cuestión en su cuarta reunión, teniendo en cuenta las nuevas presentaciones y los informes que presenten las Partes y la información facilitada por otros interesados</w:t>
      </w:r>
      <w:r w:rsidR="00386FE6">
        <w:rPr>
          <w:lang w:val="es-ES"/>
        </w:rPr>
        <w:t>,</w:t>
      </w:r>
      <w:r>
        <w:rPr>
          <w:lang w:val="es-ES"/>
        </w:rPr>
        <w:t xml:space="preserve"> que la Secretaría habrá recopilado y, con arreglo al artículo 21, comunicado a las Partes. </w:t>
      </w:r>
    </w:p>
    <w:p w14:paraId="4F6F38BD" w14:textId="77777777" w:rsidR="00D013F5" w:rsidRPr="00386FE6" w:rsidRDefault="00D013F5" w:rsidP="00C6275F">
      <w:pPr>
        <w:pStyle w:val="Normal-pool"/>
        <w:rPr>
          <w:lang w:val="es-ES"/>
        </w:rPr>
      </w:pPr>
    </w:p>
    <w:tbl>
      <w:tblPr>
        <w:tblW w:w="0" w:type="auto"/>
        <w:tblLayout w:type="fixed"/>
        <w:tblLook w:val="04A0" w:firstRow="1" w:lastRow="0" w:firstColumn="1" w:lastColumn="0" w:noHBand="0" w:noVBand="1"/>
      </w:tblPr>
      <w:tblGrid>
        <w:gridCol w:w="1942"/>
        <w:gridCol w:w="1942"/>
        <w:gridCol w:w="1942"/>
        <w:gridCol w:w="1943"/>
        <w:gridCol w:w="1943"/>
      </w:tblGrid>
      <w:tr w:rsidR="00E976AB" w:rsidRPr="0026761A" w14:paraId="6DB0CABC" w14:textId="77777777" w:rsidTr="00990918">
        <w:tc>
          <w:tcPr>
            <w:tcW w:w="1942" w:type="dxa"/>
            <w:shd w:val="clear" w:color="auto" w:fill="auto"/>
          </w:tcPr>
          <w:p w14:paraId="6D3F7C2C" w14:textId="77777777" w:rsidR="00E976AB" w:rsidRPr="00386FE6" w:rsidRDefault="00E976AB" w:rsidP="004455F3">
            <w:pPr>
              <w:pStyle w:val="Normal-pool"/>
              <w:tabs>
                <w:tab w:val="left" w:pos="624"/>
                <w:tab w:val="left" w:pos="1871"/>
                <w:tab w:val="left" w:pos="2495"/>
              </w:tabs>
              <w:spacing w:before="520"/>
              <w:rPr>
                <w:lang w:val="es-ES"/>
              </w:rPr>
            </w:pPr>
          </w:p>
        </w:tc>
        <w:tc>
          <w:tcPr>
            <w:tcW w:w="1942" w:type="dxa"/>
            <w:shd w:val="clear" w:color="auto" w:fill="auto"/>
          </w:tcPr>
          <w:p w14:paraId="378BA037" w14:textId="77777777" w:rsidR="00E976AB" w:rsidRPr="00386FE6" w:rsidRDefault="00E976AB" w:rsidP="004455F3">
            <w:pPr>
              <w:pStyle w:val="Normal-pool"/>
              <w:tabs>
                <w:tab w:val="left" w:pos="624"/>
                <w:tab w:val="left" w:pos="1871"/>
                <w:tab w:val="left" w:pos="2495"/>
              </w:tabs>
              <w:spacing w:before="520"/>
              <w:rPr>
                <w:lang w:val="es-ES"/>
              </w:rPr>
            </w:pPr>
          </w:p>
        </w:tc>
        <w:tc>
          <w:tcPr>
            <w:tcW w:w="1942" w:type="dxa"/>
            <w:tcBorders>
              <w:bottom w:val="single" w:sz="4" w:space="0" w:color="auto"/>
            </w:tcBorders>
            <w:shd w:val="clear" w:color="auto" w:fill="auto"/>
          </w:tcPr>
          <w:p w14:paraId="028E3E1E" w14:textId="77777777" w:rsidR="00E976AB" w:rsidRPr="00386FE6" w:rsidRDefault="00E976AB" w:rsidP="004455F3">
            <w:pPr>
              <w:pStyle w:val="Normal-pool"/>
              <w:tabs>
                <w:tab w:val="left" w:pos="624"/>
                <w:tab w:val="left" w:pos="1871"/>
                <w:tab w:val="left" w:pos="2495"/>
              </w:tabs>
              <w:spacing w:before="520"/>
              <w:rPr>
                <w:lang w:val="es-ES"/>
              </w:rPr>
            </w:pPr>
          </w:p>
        </w:tc>
        <w:tc>
          <w:tcPr>
            <w:tcW w:w="1943" w:type="dxa"/>
            <w:shd w:val="clear" w:color="auto" w:fill="auto"/>
          </w:tcPr>
          <w:p w14:paraId="25F1BA19" w14:textId="77777777" w:rsidR="00E976AB" w:rsidRPr="00386FE6" w:rsidRDefault="00E976AB" w:rsidP="004455F3">
            <w:pPr>
              <w:pStyle w:val="Normal-pool"/>
              <w:tabs>
                <w:tab w:val="left" w:pos="624"/>
                <w:tab w:val="left" w:pos="1871"/>
                <w:tab w:val="left" w:pos="2495"/>
              </w:tabs>
              <w:spacing w:before="520"/>
              <w:rPr>
                <w:lang w:val="es-ES"/>
              </w:rPr>
            </w:pPr>
          </w:p>
        </w:tc>
        <w:tc>
          <w:tcPr>
            <w:tcW w:w="1943" w:type="dxa"/>
            <w:shd w:val="clear" w:color="auto" w:fill="auto"/>
          </w:tcPr>
          <w:p w14:paraId="457D2993" w14:textId="77777777" w:rsidR="00E976AB" w:rsidRPr="00386FE6" w:rsidRDefault="00E976AB" w:rsidP="004455F3">
            <w:pPr>
              <w:pStyle w:val="Normal-pool"/>
              <w:tabs>
                <w:tab w:val="left" w:pos="624"/>
                <w:tab w:val="left" w:pos="1871"/>
                <w:tab w:val="left" w:pos="2495"/>
              </w:tabs>
              <w:spacing w:before="520"/>
              <w:rPr>
                <w:lang w:val="es-ES"/>
              </w:rPr>
            </w:pPr>
          </w:p>
        </w:tc>
      </w:tr>
      <w:bookmarkEnd w:id="3"/>
    </w:tbl>
    <w:p w14:paraId="325E8270" w14:textId="77777777" w:rsidR="00032E4E" w:rsidRPr="00386FE6" w:rsidRDefault="00032E4E" w:rsidP="004455F3">
      <w:pPr>
        <w:pStyle w:val="Normal-pool"/>
        <w:tabs>
          <w:tab w:val="left" w:pos="624"/>
          <w:tab w:val="left" w:pos="1871"/>
          <w:tab w:val="left" w:pos="2495"/>
        </w:tabs>
        <w:rPr>
          <w:lang w:val="es-ES"/>
        </w:rPr>
      </w:pPr>
    </w:p>
    <w:sectPr w:rsidR="00032E4E" w:rsidRPr="00386FE6" w:rsidSect="00C771A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2B649" w14:textId="77777777" w:rsidR="00DF69E0" w:rsidRDefault="00DF69E0">
      <w:r>
        <w:separator/>
      </w:r>
    </w:p>
  </w:endnote>
  <w:endnote w:type="continuationSeparator" w:id="0">
    <w:p w14:paraId="1C6D5427" w14:textId="77777777" w:rsidR="00DF69E0" w:rsidRDefault="00DF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A827" w14:textId="52E5BBA0" w:rsidR="006111FE" w:rsidRDefault="006111FE">
    <w:pPr>
      <w:pStyle w:val="Footer"/>
    </w:pPr>
    <w:r>
      <w:rPr>
        <w:rStyle w:val="PageNumber"/>
      </w:rPr>
      <w:fldChar w:fldCharType="begin"/>
    </w:r>
    <w:r>
      <w:rPr>
        <w:rStyle w:val="PageNumber"/>
      </w:rPr>
      <w:instrText xml:space="preserve"> PAGE </w:instrText>
    </w:r>
    <w:r>
      <w:rPr>
        <w:rStyle w:val="PageNumber"/>
      </w:rPr>
      <w:fldChar w:fldCharType="separate"/>
    </w:r>
    <w:r w:rsidR="007B7D7F">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48B7" w14:textId="45E749A2" w:rsidR="006111FE" w:rsidRDefault="006111FE"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C6275F">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713FF" w14:textId="0F829B83" w:rsidR="004455F3" w:rsidRDefault="004455F3">
    <w:pPr>
      <w:pStyle w:val="Footer"/>
    </w:pPr>
    <w:r>
      <w:t>K180</w:t>
    </w:r>
    <w:r w:rsidR="00C6275F">
      <w:t>25</w:t>
    </w:r>
    <w:r w:rsidR="000A2BAC">
      <w:t>81</w:t>
    </w:r>
    <w:r>
      <w:tab/>
    </w:r>
    <w:r w:rsidR="00392C28">
      <w:t>0</w:t>
    </w:r>
    <w:r w:rsidR="008D119C">
      <w:t>4</w:t>
    </w:r>
    <w:r w:rsidR="00392C28">
      <w:t>10</w:t>
    </w:r>
    <w:r w:rsidR="009D5FAF">
      <w:t>1</w:t>
    </w:r>
    <w: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FD69D" w14:textId="77777777" w:rsidR="00DF69E0" w:rsidRDefault="00DF69E0" w:rsidP="00D92DE0">
      <w:pPr>
        <w:ind w:left="624"/>
      </w:pPr>
      <w:r>
        <w:separator/>
      </w:r>
    </w:p>
  </w:footnote>
  <w:footnote w:type="continuationSeparator" w:id="0">
    <w:p w14:paraId="52389BDF" w14:textId="77777777" w:rsidR="00DF69E0" w:rsidRDefault="00DF69E0">
      <w:r>
        <w:continuationSeparator/>
      </w:r>
    </w:p>
  </w:footnote>
  <w:footnote w:id="1">
    <w:p w14:paraId="1AACA6D8" w14:textId="79FE825A" w:rsidR="00C6275F" w:rsidRPr="0026761A" w:rsidRDefault="00C6275F" w:rsidP="00C6275F">
      <w:pPr>
        <w:pStyle w:val="Standard"/>
        <w:tabs>
          <w:tab w:val="clear" w:pos="1247"/>
          <w:tab w:val="clear" w:pos="1814"/>
          <w:tab w:val="clear" w:pos="2381"/>
          <w:tab w:val="clear" w:pos="2948"/>
          <w:tab w:val="clear" w:pos="3515"/>
          <w:tab w:val="left" w:pos="1871"/>
          <w:tab w:val="left" w:pos="2494"/>
          <w:tab w:val="left" w:pos="3061"/>
          <w:tab w:val="left" w:pos="3628"/>
          <w:tab w:val="left" w:pos="4195"/>
          <w:tab w:val="left" w:pos="4762"/>
          <w:tab w:val="left" w:pos="5329"/>
        </w:tabs>
        <w:spacing w:before="20" w:after="40"/>
        <w:ind w:left="1247"/>
        <w:rPr>
          <w:sz w:val="18"/>
          <w:szCs w:val="18"/>
        </w:rPr>
      </w:pPr>
      <w:r w:rsidRPr="0026761A">
        <w:rPr>
          <w:sz w:val="18"/>
          <w:szCs w:val="18"/>
          <w:lang w:val="es-ES"/>
        </w:rPr>
        <w:t>* UNEP/MC/COP.2/1.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4E3A" w14:textId="7CA92DBD" w:rsidR="006111FE" w:rsidRPr="00CA5CA9" w:rsidRDefault="006111FE" w:rsidP="00434321">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1</w:t>
    </w:r>
    <w:r w:rsidR="00C6275F">
      <w:rPr>
        <w:szCs w:val="18"/>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1C51" w14:textId="19ABB18E" w:rsidR="006111FE" w:rsidRPr="00CA5CA9" w:rsidRDefault="000A2BAC" w:rsidP="00F7137B">
    <w:pPr>
      <w:pStyle w:val="Header"/>
      <w:jc w:val="right"/>
      <w:rPr>
        <w:szCs w:val="18"/>
      </w:rPr>
    </w:pPr>
    <w:r>
      <w:rPr>
        <w:noProof/>
      </w:rPr>
      <w:pict w14:anchorId="2ECA15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601736" o:spid="_x0000_s2051" type="#_x0000_t136" style="position:absolute;left:0;text-align:left;margin-left:0;margin-top:0;width:520.65pt;height:148.75pt;rotation:315;z-index:-251658752;mso-position-horizontal:center;mso-position-horizontal-relative:margin;mso-position-vertical:center;mso-position-vertical-relative:margin" o:allowincell="f" fillcolor="#a5a5a5 [2092]" stroked="f">
          <v:fill opacity=".5"/>
          <v:textpath style="font-family:&quot;Times New Roman&quot;;font-size:1pt" string="ADVANCE"/>
          <w10:wrap anchorx="margin" anchory="margin"/>
        </v:shape>
      </w:pict>
    </w:r>
    <w:r w:rsidR="006111FE" w:rsidRPr="00CA5CA9">
      <w:rPr>
        <w:bCs/>
        <w:szCs w:val="18"/>
      </w:rPr>
      <w:t>UNEP</w:t>
    </w:r>
    <w:r w:rsidR="006111FE" w:rsidRPr="00CA5CA9">
      <w:rPr>
        <w:szCs w:val="18"/>
      </w:rPr>
      <w:t>/</w:t>
    </w:r>
    <w:r w:rsidR="006111FE">
      <w:rPr>
        <w:szCs w:val="18"/>
      </w:rPr>
      <w:t>MC</w:t>
    </w:r>
    <w:r w:rsidR="006111FE" w:rsidRPr="00CA5CA9">
      <w:rPr>
        <w:szCs w:val="18"/>
      </w:rPr>
      <w:t>/</w:t>
    </w:r>
    <w:r w:rsidR="006111FE">
      <w:rPr>
        <w:szCs w:val="18"/>
      </w:rPr>
      <w:t>COP.1</w:t>
    </w:r>
    <w:r w:rsidR="006111FE" w:rsidRPr="00CA5CA9">
      <w:rPr>
        <w:szCs w:val="18"/>
      </w:rPr>
      <w:t>/</w:t>
    </w:r>
    <w:r w:rsidR="006111FE">
      <w:rPr>
        <w:szCs w:val="18"/>
      </w:rPr>
      <w:t>1</w:t>
    </w:r>
    <w:r w:rsidR="00C6275F">
      <w:rPr>
        <w:szCs w:val="18"/>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8784" w14:textId="77608BEF" w:rsidR="006111FE" w:rsidRDefault="006111FE"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4"/>
  </w:num>
  <w:num w:numId="2">
    <w:abstractNumId w:val="0"/>
  </w:num>
  <w:num w:numId="3">
    <w:abstractNumId w:val="3"/>
  </w:num>
  <w:num w:numId="4">
    <w:abstractNumId w:val="4"/>
  </w:num>
  <w:num w:numId="5">
    <w:abstractNumId w:val="4"/>
    <w:lvlOverride w:ilvl="0">
      <w:lvl w:ilvl="0">
        <w:start w:val="1"/>
        <w:numFmt w:val="decimal"/>
        <w:pStyle w:val="Normalnumber"/>
        <w:lvlText w:val="%1."/>
        <w:lvlJc w:val="left"/>
        <w:pPr>
          <w:tabs>
            <w:tab w:val="num" w:pos="1134"/>
          </w:tabs>
          <w:ind w:left="1247" w:firstLine="0"/>
        </w:pPr>
        <w:rPr>
          <w:rFonts w:hint="default"/>
        </w:rPr>
      </w:lvl>
    </w:lvlOverride>
  </w:num>
  <w:num w:numId="6">
    <w:abstractNumId w:val="1"/>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2"/>
  </w:num>
  <w:num w:numId="38">
    <w:abstractNumId w:val="2"/>
    <w:lvlOverride w:ilvl="0">
      <w:startOverride w:val="1"/>
    </w:lvlOverride>
  </w:num>
  <w:num w:numId="39">
    <w:abstractNumId w:val="4"/>
  </w:num>
  <w:num w:numId="40">
    <w:abstractNumId w:val="4"/>
  </w:num>
  <w:num w:numId="4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activeWritingStyle w:appName="MSWord" w:lang="fr-FR" w:vendorID="64" w:dllVersion="0" w:nlCheck="1" w:checkStyle="1"/>
  <w:activeWritingStyle w:appName="MSWord" w:lang="en-US" w:vendorID="64" w:dllVersion="0" w:nlCheck="1" w:checkStyle="1"/>
  <w:activeWritingStyle w:appName="MSWord" w:lang="en-GB" w:vendorID="64" w:dllVersion="0" w:nlCheck="1" w:checkStyle="0"/>
  <w:activeWritingStyle w:appName="MSWord" w:lang="es-ES"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24A3"/>
    <w:rsid w:val="000057BB"/>
    <w:rsid w:val="000077AD"/>
    <w:rsid w:val="00011A16"/>
    <w:rsid w:val="000149E6"/>
    <w:rsid w:val="00023DA9"/>
    <w:rsid w:val="000247B0"/>
    <w:rsid w:val="00026997"/>
    <w:rsid w:val="00026A08"/>
    <w:rsid w:val="00032E4E"/>
    <w:rsid w:val="00033E0B"/>
    <w:rsid w:val="00035EDE"/>
    <w:rsid w:val="000509B4"/>
    <w:rsid w:val="0006035B"/>
    <w:rsid w:val="0006096F"/>
    <w:rsid w:val="000649C5"/>
    <w:rsid w:val="00071886"/>
    <w:rsid w:val="000742BC"/>
    <w:rsid w:val="00076CC6"/>
    <w:rsid w:val="00082A0C"/>
    <w:rsid w:val="00083504"/>
    <w:rsid w:val="0009640C"/>
    <w:rsid w:val="000A2BAC"/>
    <w:rsid w:val="000B22A2"/>
    <w:rsid w:val="000B541B"/>
    <w:rsid w:val="000B73F9"/>
    <w:rsid w:val="000C2A52"/>
    <w:rsid w:val="000C2A88"/>
    <w:rsid w:val="000D33C0"/>
    <w:rsid w:val="000D4CF6"/>
    <w:rsid w:val="000D6941"/>
    <w:rsid w:val="000F3DCD"/>
    <w:rsid w:val="000F4829"/>
    <w:rsid w:val="000F6B21"/>
    <w:rsid w:val="00102EFB"/>
    <w:rsid w:val="001202E3"/>
    <w:rsid w:val="00123699"/>
    <w:rsid w:val="001241FB"/>
    <w:rsid w:val="0013059D"/>
    <w:rsid w:val="00136187"/>
    <w:rsid w:val="00141A55"/>
    <w:rsid w:val="0014293F"/>
    <w:rsid w:val="0014397D"/>
    <w:rsid w:val="001446A3"/>
    <w:rsid w:val="00152B6B"/>
    <w:rsid w:val="00155395"/>
    <w:rsid w:val="00155A2F"/>
    <w:rsid w:val="00156B6B"/>
    <w:rsid w:val="00160D74"/>
    <w:rsid w:val="001646EA"/>
    <w:rsid w:val="00167D02"/>
    <w:rsid w:val="00173556"/>
    <w:rsid w:val="00174FA1"/>
    <w:rsid w:val="001759D8"/>
    <w:rsid w:val="00177D7F"/>
    <w:rsid w:val="00180C3F"/>
    <w:rsid w:val="00181EC8"/>
    <w:rsid w:val="00184349"/>
    <w:rsid w:val="00195F33"/>
    <w:rsid w:val="001A47E5"/>
    <w:rsid w:val="001B1617"/>
    <w:rsid w:val="001B504B"/>
    <w:rsid w:val="001B6F98"/>
    <w:rsid w:val="001C191A"/>
    <w:rsid w:val="001D3874"/>
    <w:rsid w:val="001D7E75"/>
    <w:rsid w:val="001E0D73"/>
    <w:rsid w:val="001E21C2"/>
    <w:rsid w:val="001E45BD"/>
    <w:rsid w:val="001E56D2"/>
    <w:rsid w:val="001E7D56"/>
    <w:rsid w:val="001F5186"/>
    <w:rsid w:val="001F75DE"/>
    <w:rsid w:val="00200D58"/>
    <w:rsid w:val="002011C1"/>
    <w:rsid w:val="002013BE"/>
    <w:rsid w:val="00201EDC"/>
    <w:rsid w:val="002063A4"/>
    <w:rsid w:val="0021145B"/>
    <w:rsid w:val="00220C23"/>
    <w:rsid w:val="002247F6"/>
    <w:rsid w:val="00225E21"/>
    <w:rsid w:val="00225E44"/>
    <w:rsid w:val="00234E78"/>
    <w:rsid w:val="00243D36"/>
    <w:rsid w:val="00246151"/>
    <w:rsid w:val="00247707"/>
    <w:rsid w:val="00252456"/>
    <w:rsid w:val="0026018E"/>
    <w:rsid w:val="0026761A"/>
    <w:rsid w:val="00286740"/>
    <w:rsid w:val="00291EAE"/>
    <w:rsid w:val="002929D8"/>
    <w:rsid w:val="002A237D"/>
    <w:rsid w:val="002A4C53"/>
    <w:rsid w:val="002B0672"/>
    <w:rsid w:val="002B247F"/>
    <w:rsid w:val="002B50D4"/>
    <w:rsid w:val="002B58BF"/>
    <w:rsid w:val="002C145D"/>
    <w:rsid w:val="002C2C3E"/>
    <w:rsid w:val="002C4F61"/>
    <w:rsid w:val="002C533E"/>
    <w:rsid w:val="002D027F"/>
    <w:rsid w:val="002D3E15"/>
    <w:rsid w:val="002D7A85"/>
    <w:rsid w:val="002D7B60"/>
    <w:rsid w:val="002F4761"/>
    <w:rsid w:val="002F5C79"/>
    <w:rsid w:val="002F68EE"/>
    <w:rsid w:val="003019E2"/>
    <w:rsid w:val="00310BEB"/>
    <w:rsid w:val="0031413F"/>
    <w:rsid w:val="00314854"/>
    <w:rsid w:val="003148BB"/>
    <w:rsid w:val="00317976"/>
    <w:rsid w:val="00320F2F"/>
    <w:rsid w:val="0032457E"/>
    <w:rsid w:val="00325968"/>
    <w:rsid w:val="00325D38"/>
    <w:rsid w:val="0035277E"/>
    <w:rsid w:val="00355EA9"/>
    <w:rsid w:val="003578DE"/>
    <w:rsid w:val="00361688"/>
    <w:rsid w:val="00367FD2"/>
    <w:rsid w:val="00380921"/>
    <w:rsid w:val="00386FE6"/>
    <w:rsid w:val="003877D5"/>
    <w:rsid w:val="003929B8"/>
    <w:rsid w:val="00392C28"/>
    <w:rsid w:val="00393432"/>
    <w:rsid w:val="00396257"/>
    <w:rsid w:val="00397EB8"/>
    <w:rsid w:val="003A4FD0"/>
    <w:rsid w:val="003A69D1"/>
    <w:rsid w:val="003A7705"/>
    <w:rsid w:val="003A77F1"/>
    <w:rsid w:val="003B1545"/>
    <w:rsid w:val="003C3219"/>
    <w:rsid w:val="003C390C"/>
    <w:rsid w:val="003C409D"/>
    <w:rsid w:val="003C4544"/>
    <w:rsid w:val="003C5583"/>
    <w:rsid w:val="003C5BA6"/>
    <w:rsid w:val="003C74CF"/>
    <w:rsid w:val="003D3752"/>
    <w:rsid w:val="003E35DA"/>
    <w:rsid w:val="003E455D"/>
    <w:rsid w:val="003F0E85"/>
    <w:rsid w:val="00405DE0"/>
    <w:rsid w:val="00410C55"/>
    <w:rsid w:val="00413443"/>
    <w:rsid w:val="00416854"/>
    <w:rsid w:val="00417725"/>
    <w:rsid w:val="0042266F"/>
    <w:rsid w:val="00434321"/>
    <w:rsid w:val="00437F26"/>
    <w:rsid w:val="00444097"/>
    <w:rsid w:val="00445487"/>
    <w:rsid w:val="004455F3"/>
    <w:rsid w:val="00447E0D"/>
    <w:rsid w:val="00453EA8"/>
    <w:rsid w:val="00454769"/>
    <w:rsid w:val="00466991"/>
    <w:rsid w:val="0047064C"/>
    <w:rsid w:val="004822B7"/>
    <w:rsid w:val="0049469E"/>
    <w:rsid w:val="004A2217"/>
    <w:rsid w:val="004A24F9"/>
    <w:rsid w:val="004A42E1"/>
    <w:rsid w:val="004B162C"/>
    <w:rsid w:val="004B2ABE"/>
    <w:rsid w:val="004C3DBE"/>
    <w:rsid w:val="004C5C96"/>
    <w:rsid w:val="004C5E14"/>
    <w:rsid w:val="004D06A4"/>
    <w:rsid w:val="004E7F73"/>
    <w:rsid w:val="004F1A81"/>
    <w:rsid w:val="004F5D88"/>
    <w:rsid w:val="00501354"/>
    <w:rsid w:val="005050D2"/>
    <w:rsid w:val="005218D9"/>
    <w:rsid w:val="005319A5"/>
    <w:rsid w:val="00536186"/>
    <w:rsid w:val="00544CBB"/>
    <w:rsid w:val="00551B65"/>
    <w:rsid w:val="00556704"/>
    <w:rsid w:val="005656D7"/>
    <w:rsid w:val="0057315F"/>
    <w:rsid w:val="0057433C"/>
    <w:rsid w:val="00576104"/>
    <w:rsid w:val="00586418"/>
    <w:rsid w:val="00592B21"/>
    <w:rsid w:val="005B2DF4"/>
    <w:rsid w:val="005B44BF"/>
    <w:rsid w:val="005C67C8"/>
    <w:rsid w:val="005D0249"/>
    <w:rsid w:val="005D18FA"/>
    <w:rsid w:val="005D4FD4"/>
    <w:rsid w:val="005D6E8C"/>
    <w:rsid w:val="005E3004"/>
    <w:rsid w:val="005F100C"/>
    <w:rsid w:val="005F68DA"/>
    <w:rsid w:val="005F7419"/>
    <w:rsid w:val="00601BC9"/>
    <w:rsid w:val="0060773B"/>
    <w:rsid w:val="006111FE"/>
    <w:rsid w:val="00613FD6"/>
    <w:rsid w:val="006157B5"/>
    <w:rsid w:val="00617224"/>
    <w:rsid w:val="00626FC6"/>
    <w:rsid w:val="006303B4"/>
    <w:rsid w:val="00630ADC"/>
    <w:rsid w:val="00633D3D"/>
    <w:rsid w:val="00641703"/>
    <w:rsid w:val="006431A6"/>
    <w:rsid w:val="00643E3A"/>
    <w:rsid w:val="006459F6"/>
    <w:rsid w:val="006501AD"/>
    <w:rsid w:val="00651BFA"/>
    <w:rsid w:val="00654475"/>
    <w:rsid w:val="00656DF0"/>
    <w:rsid w:val="00665A4B"/>
    <w:rsid w:val="00670FAE"/>
    <w:rsid w:val="00672B15"/>
    <w:rsid w:val="00677848"/>
    <w:rsid w:val="00692E2A"/>
    <w:rsid w:val="0069496A"/>
    <w:rsid w:val="00696C1C"/>
    <w:rsid w:val="006A76F2"/>
    <w:rsid w:val="006B7D29"/>
    <w:rsid w:val="006D19D4"/>
    <w:rsid w:val="006D5644"/>
    <w:rsid w:val="006D7EFB"/>
    <w:rsid w:val="006E6672"/>
    <w:rsid w:val="006E6722"/>
    <w:rsid w:val="006F7AFF"/>
    <w:rsid w:val="007027B9"/>
    <w:rsid w:val="007066B5"/>
    <w:rsid w:val="007145DA"/>
    <w:rsid w:val="00715E88"/>
    <w:rsid w:val="00716D8B"/>
    <w:rsid w:val="00734CAA"/>
    <w:rsid w:val="00740EE2"/>
    <w:rsid w:val="00742680"/>
    <w:rsid w:val="0075533C"/>
    <w:rsid w:val="00755A18"/>
    <w:rsid w:val="00757581"/>
    <w:rsid w:val="007602F5"/>
    <w:rsid w:val="00760D36"/>
    <w:rsid w:val="007611A0"/>
    <w:rsid w:val="00772574"/>
    <w:rsid w:val="00773E54"/>
    <w:rsid w:val="00787688"/>
    <w:rsid w:val="007935E6"/>
    <w:rsid w:val="00796D3F"/>
    <w:rsid w:val="007A1683"/>
    <w:rsid w:val="007A5C12"/>
    <w:rsid w:val="007A7CB0"/>
    <w:rsid w:val="007B68A3"/>
    <w:rsid w:val="007B7D7F"/>
    <w:rsid w:val="007C2541"/>
    <w:rsid w:val="007D66A8"/>
    <w:rsid w:val="007E003F"/>
    <w:rsid w:val="007F0CF8"/>
    <w:rsid w:val="007F5E1B"/>
    <w:rsid w:val="007F62CB"/>
    <w:rsid w:val="008142EC"/>
    <w:rsid w:val="008164F2"/>
    <w:rsid w:val="00821395"/>
    <w:rsid w:val="00830E26"/>
    <w:rsid w:val="00834368"/>
    <w:rsid w:val="0083441A"/>
    <w:rsid w:val="00843576"/>
    <w:rsid w:val="00843B64"/>
    <w:rsid w:val="00845261"/>
    <w:rsid w:val="008478FC"/>
    <w:rsid w:val="00851C51"/>
    <w:rsid w:val="008538F7"/>
    <w:rsid w:val="00867BFF"/>
    <w:rsid w:val="00871542"/>
    <w:rsid w:val="00872BF6"/>
    <w:rsid w:val="00874046"/>
    <w:rsid w:val="00874C49"/>
    <w:rsid w:val="0088480A"/>
    <w:rsid w:val="0088757A"/>
    <w:rsid w:val="0089431B"/>
    <w:rsid w:val="00894CA8"/>
    <w:rsid w:val="00895668"/>
    <w:rsid w:val="008957DD"/>
    <w:rsid w:val="00897D98"/>
    <w:rsid w:val="008A6DF2"/>
    <w:rsid w:val="008A7807"/>
    <w:rsid w:val="008B4CC9"/>
    <w:rsid w:val="008C0B15"/>
    <w:rsid w:val="008D119C"/>
    <w:rsid w:val="008D75E4"/>
    <w:rsid w:val="008D7C99"/>
    <w:rsid w:val="008E0FCB"/>
    <w:rsid w:val="008E1AE5"/>
    <w:rsid w:val="008F6DFE"/>
    <w:rsid w:val="0090529F"/>
    <w:rsid w:val="009173C9"/>
    <w:rsid w:val="0092178C"/>
    <w:rsid w:val="00923ABB"/>
    <w:rsid w:val="00930B88"/>
    <w:rsid w:val="00935376"/>
    <w:rsid w:val="00940DCC"/>
    <w:rsid w:val="0094179A"/>
    <w:rsid w:val="0094459E"/>
    <w:rsid w:val="00944DBC"/>
    <w:rsid w:val="00950977"/>
    <w:rsid w:val="00951A7B"/>
    <w:rsid w:val="00955512"/>
    <w:rsid w:val="009564A6"/>
    <w:rsid w:val="00957EF8"/>
    <w:rsid w:val="00964637"/>
    <w:rsid w:val="00966A53"/>
    <w:rsid w:val="00967621"/>
    <w:rsid w:val="00967E6A"/>
    <w:rsid w:val="009907B9"/>
    <w:rsid w:val="00990918"/>
    <w:rsid w:val="009A3A83"/>
    <w:rsid w:val="009B4A0F"/>
    <w:rsid w:val="009C11D2"/>
    <w:rsid w:val="009C6C70"/>
    <w:rsid w:val="009C7B0A"/>
    <w:rsid w:val="009D0B63"/>
    <w:rsid w:val="009D5CB8"/>
    <w:rsid w:val="009D5FAF"/>
    <w:rsid w:val="009E307E"/>
    <w:rsid w:val="00A07870"/>
    <w:rsid w:val="00A07C54"/>
    <w:rsid w:val="00A07F19"/>
    <w:rsid w:val="00A1348D"/>
    <w:rsid w:val="00A13C99"/>
    <w:rsid w:val="00A232EE"/>
    <w:rsid w:val="00A4175F"/>
    <w:rsid w:val="00A44411"/>
    <w:rsid w:val="00A469FA"/>
    <w:rsid w:val="00A47A6E"/>
    <w:rsid w:val="00A53662"/>
    <w:rsid w:val="00A55B01"/>
    <w:rsid w:val="00A56B5B"/>
    <w:rsid w:val="00A603FF"/>
    <w:rsid w:val="00A619B6"/>
    <w:rsid w:val="00A648CA"/>
    <w:rsid w:val="00A657DD"/>
    <w:rsid w:val="00A666A6"/>
    <w:rsid w:val="00A675FD"/>
    <w:rsid w:val="00A7155B"/>
    <w:rsid w:val="00A72437"/>
    <w:rsid w:val="00A8048B"/>
    <w:rsid w:val="00A80611"/>
    <w:rsid w:val="00AA5BF4"/>
    <w:rsid w:val="00AB5340"/>
    <w:rsid w:val="00AC0A89"/>
    <w:rsid w:val="00AC7C96"/>
    <w:rsid w:val="00AD3593"/>
    <w:rsid w:val="00AE0812"/>
    <w:rsid w:val="00AE237D"/>
    <w:rsid w:val="00AE502A"/>
    <w:rsid w:val="00AF0010"/>
    <w:rsid w:val="00AF1AA8"/>
    <w:rsid w:val="00AF2C1F"/>
    <w:rsid w:val="00AF7C07"/>
    <w:rsid w:val="00B06C64"/>
    <w:rsid w:val="00B07D8E"/>
    <w:rsid w:val="00B11CAC"/>
    <w:rsid w:val="00B15A29"/>
    <w:rsid w:val="00B22C93"/>
    <w:rsid w:val="00B27589"/>
    <w:rsid w:val="00B405B7"/>
    <w:rsid w:val="00B468C0"/>
    <w:rsid w:val="00B50FE9"/>
    <w:rsid w:val="00B52222"/>
    <w:rsid w:val="00B531DA"/>
    <w:rsid w:val="00B54895"/>
    <w:rsid w:val="00B54FE7"/>
    <w:rsid w:val="00B647C6"/>
    <w:rsid w:val="00B655F9"/>
    <w:rsid w:val="00B66901"/>
    <w:rsid w:val="00B66F60"/>
    <w:rsid w:val="00B71E6D"/>
    <w:rsid w:val="00B72070"/>
    <w:rsid w:val="00B779E1"/>
    <w:rsid w:val="00B81E3A"/>
    <w:rsid w:val="00B85CFB"/>
    <w:rsid w:val="00B914E9"/>
    <w:rsid w:val="00B91EE1"/>
    <w:rsid w:val="00B94602"/>
    <w:rsid w:val="00BA0090"/>
    <w:rsid w:val="00BA1A67"/>
    <w:rsid w:val="00BA6A80"/>
    <w:rsid w:val="00BB4ABB"/>
    <w:rsid w:val="00BC62BA"/>
    <w:rsid w:val="00BE5B5F"/>
    <w:rsid w:val="00BE7993"/>
    <w:rsid w:val="00C11971"/>
    <w:rsid w:val="00C179DE"/>
    <w:rsid w:val="00C26F55"/>
    <w:rsid w:val="00C30C63"/>
    <w:rsid w:val="00C30FF3"/>
    <w:rsid w:val="00C34D5C"/>
    <w:rsid w:val="00C36B8B"/>
    <w:rsid w:val="00C415C1"/>
    <w:rsid w:val="00C47DBF"/>
    <w:rsid w:val="00C552FF"/>
    <w:rsid w:val="00C558DA"/>
    <w:rsid w:val="00C55AF3"/>
    <w:rsid w:val="00C6275F"/>
    <w:rsid w:val="00C771A9"/>
    <w:rsid w:val="00C82943"/>
    <w:rsid w:val="00C84759"/>
    <w:rsid w:val="00C85A99"/>
    <w:rsid w:val="00C93096"/>
    <w:rsid w:val="00CA5CA9"/>
    <w:rsid w:val="00CA6C7F"/>
    <w:rsid w:val="00CB007D"/>
    <w:rsid w:val="00CB60CA"/>
    <w:rsid w:val="00CC0FC7"/>
    <w:rsid w:val="00CC10A6"/>
    <w:rsid w:val="00CC3B1E"/>
    <w:rsid w:val="00CD5EB8"/>
    <w:rsid w:val="00CD7044"/>
    <w:rsid w:val="00CE08B9"/>
    <w:rsid w:val="00CE3515"/>
    <w:rsid w:val="00CE524C"/>
    <w:rsid w:val="00CF141F"/>
    <w:rsid w:val="00CF4777"/>
    <w:rsid w:val="00CF65C8"/>
    <w:rsid w:val="00D013F5"/>
    <w:rsid w:val="00D05E3F"/>
    <w:rsid w:val="00D067BB"/>
    <w:rsid w:val="00D1352A"/>
    <w:rsid w:val="00D1638E"/>
    <w:rsid w:val="00D169AF"/>
    <w:rsid w:val="00D200EF"/>
    <w:rsid w:val="00D25175"/>
    <w:rsid w:val="00D25249"/>
    <w:rsid w:val="00D26854"/>
    <w:rsid w:val="00D44172"/>
    <w:rsid w:val="00D47BE3"/>
    <w:rsid w:val="00D63B8C"/>
    <w:rsid w:val="00D70BD5"/>
    <w:rsid w:val="00D739CC"/>
    <w:rsid w:val="00D806F9"/>
    <w:rsid w:val="00D8093D"/>
    <w:rsid w:val="00D8108C"/>
    <w:rsid w:val="00D83208"/>
    <w:rsid w:val="00D842AE"/>
    <w:rsid w:val="00D9211C"/>
    <w:rsid w:val="00D92DE0"/>
    <w:rsid w:val="00D92FEF"/>
    <w:rsid w:val="00D931F9"/>
    <w:rsid w:val="00D93A0F"/>
    <w:rsid w:val="00DA1BCA"/>
    <w:rsid w:val="00DA3663"/>
    <w:rsid w:val="00DC1792"/>
    <w:rsid w:val="00DC274A"/>
    <w:rsid w:val="00DC46FF"/>
    <w:rsid w:val="00DC5254"/>
    <w:rsid w:val="00DC569D"/>
    <w:rsid w:val="00DD1A4F"/>
    <w:rsid w:val="00DD3107"/>
    <w:rsid w:val="00DD7C2C"/>
    <w:rsid w:val="00DE5BDA"/>
    <w:rsid w:val="00DF433C"/>
    <w:rsid w:val="00DF519F"/>
    <w:rsid w:val="00DF69E0"/>
    <w:rsid w:val="00E0035A"/>
    <w:rsid w:val="00E06797"/>
    <w:rsid w:val="00E1265B"/>
    <w:rsid w:val="00E12E09"/>
    <w:rsid w:val="00E13B48"/>
    <w:rsid w:val="00E1404F"/>
    <w:rsid w:val="00E21C83"/>
    <w:rsid w:val="00E24ADA"/>
    <w:rsid w:val="00E32F59"/>
    <w:rsid w:val="00E41908"/>
    <w:rsid w:val="00E46D9A"/>
    <w:rsid w:val="00E50E7E"/>
    <w:rsid w:val="00E565FF"/>
    <w:rsid w:val="00E65388"/>
    <w:rsid w:val="00E7741D"/>
    <w:rsid w:val="00E808CD"/>
    <w:rsid w:val="00E8348F"/>
    <w:rsid w:val="00E85B7D"/>
    <w:rsid w:val="00E9121B"/>
    <w:rsid w:val="00E9302E"/>
    <w:rsid w:val="00E976AB"/>
    <w:rsid w:val="00EA0AE2"/>
    <w:rsid w:val="00EA39E5"/>
    <w:rsid w:val="00EA57A3"/>
    <w:rsid w:val="00EC2813"/>
    <w:rsid w:val="00EC5A46"/>
    <w:rsid w:val="00EC63E2"/>
    <w:rsid w:val="00ED0225"/>
    <w:rsid w:val="00ED366A"/>
    <w:rsid w:val="00ED6BB7"/>
    <w:rsid w:val="00EF22B3"/>
    <w:rsid w:val="00F03B69"/>
    <w:rsid w:val="00F07A50"/>
    <w:rsid w:val="00F113DA"/>
    <w:rsid w:val="00F266FC"/>
    <w:rsid w:val="00F3037A"/>
    <w:rsid w:val="00F3465A"/>
    <w:rsid w:val="00F37DC8"/>
    <w:rsid w:val="00F4141B"/>
    <w:rsid w:val="00F439B3"/>
    <w:rsid w:val="00F64B74"/>
    <w:rsid w:val="00F650C3"/>
    <w:rsid w:val="00F65D85"/>
    <w:rsid w:val="00F6700B"/>
    <w:rsid w:val="00F7137B"/>
    <w:rsid w:val="00F8091E"/>
    <w:rsid w:val="00F8615C"/>
    <w:rsid w:val="00F969E5"/>
    <w:rsid w:val="00FA4972"/>
    <w:rsid w:val="00FA6BB0"/>
    <w:rsid w:val="00FB2DBD"/>
    <w:rsid w:val="00FC51B1"/>
    <w:rsid w:val="00FD48DF"/>
    <w:rsid w:val="00FD5860"/>
    <w:rsid w:val="00FE352D"/>
    <w:rsid w:val="00FE40EB"/>
    <w:rsid w:val="00FE4D02"/>
    <w:rsid w:val="00FE7D62"/>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4406B4B"/>
  <w15:docId w15:val="{28FCE3E3-95F6-450A-B9F8-18FBBC2A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BBTitleChar">
    <w:name w:val="BB_Title Char"/>
    <w:link w:val="BBTitle"/>
    <w:rsid w:val="00C6275F"/>
    <w:rPr>
      <w:b/>
      <w:sz w:val="28"/>
      <w:szCs w:val="28"/>
      <w:lang w:eastAsia="en-US"/>
    </w:rPr>
  </w:style>
  <w:style w:type="character" w:customStyle="1" w:styleId="CH2Char">
    <w:name w:val="CH2 Char"/>
    <w:link w:val="CH2"/>
    <w:locked/>
    <w:rsid w:val="00C6275F"/>
    <w:rPr>
      <w:b/>
      <w:sz w:val="24"/>
      <w:szCs w:val="24"/>
      <w:lang w:eastAsia="en-US"/>
    </w:rPr>
  </w:style>
  <w:style w:type="character" w:customStyle="1" w:styleId="NormalnumberChar">
    <w:name w:val="Normal_number Char"/>
    <w:link w:val="Normalnumber"/>
    <w:locked/>
    <w:rsid w:val="00C6275F"/>
    <w:rPr>
      <w:lang w:eastAsia="en-US"/>
    </w:rPr>
  </w:style>
  <w:style w:type="paragraph" w:customStyle="1" w:styleId="Standard">
    <w:name w:val="Standard"/>
    <w:rsid w:val="00C6275F"/>
    <w:pPr>
      <w:tabs>
        <w:tab w:val="left" w:pos="1247"/>
        <w:tab w:val="left" w:pos="1814"/>
        <w:tab w:val="left" w:pos="2381"/>
        <w:tab w:val="left" w:pos="2948"/>
        <w:tab w:val="left" w:pos="3515"/>
      </w:tabs>
      <w:suppressAutoHyphens/>
      <w:autoSpaceDN w:val="0"/>
      <w:textAlignment w:val="baseline"/>
    </w:pPr>
    <w:rPr>
      <w:kern w:val="3"/>
      <w:lang w:eastAsia="en-US"/>
    </w:rPr>
  </w:style>
  <w:style w:type="numbering" w:customStyle="1" w:styleId="WWNum25">
    <w:name w:val="WWNum25"/>
    <w:basedOn w:val="NoList"/>
    <w:rsid w:val="00C6275F"/>
    <w:pPr>
      <w:numPr>
        <w:numId w:val="37"/>
      </w:numPr>
    </w:pPr>
  </w:style>
  <w:style w:type="character" w:customStyle="1" w:styleId="UnresolvedMention1">
    <w:name w:val="Unresolved Mention1"/>
    <w:basedOn w:val="DefaultParagraphFont"/>
    <w:uiPriority w:val="99"/>
    <w:semiHidden/>
    <w:unhideWhenUsed/>
    <w:rsid w:val="00874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curyconvention.org/Meetings/Intersessionalnbsp;work/tabid/6325/language/en-US/Default.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2BEE9-07FF-41BD-8CA5-A2EAC8798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614</Words>
  <Characters>3500</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Jimena Vallejo Montes</cp:lastModifiedBy>
  <cp:revision>2</cp:revision>
  <cp:lastPrinted>2018-09-26T11:30:00Z</cp:lastPrinted>
  <dcterms:created xsi:type="dcterms:W3CDTF">2018-10-04T21:03:00Z</dcterms:created>
  <dcterms:modified xsi:type="dcterms:W3CDTF">2018-10-04T21:03:00Z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joan.trujillo</vt:lpwstr>
  </property>
  <property fmtid="{D5CDD505-2E9C-101B-9397-08002B2CF9AE}" pid="4" name="GeneratedDate">
    <vt:lpwstr>9/28/2018 12:47:14 PM</vt:lpwstr>
  </property>
  <property fmtid="{D5CDD505-2E9C-101B-9397-08002B2CF9AE}" pid="5" name="OriginalDocID">
    <vt:lpwstr>5483eada-400c-4383-b51a-ef6513a17158</vt:lpwstr>
  </property>
</Properties>
</file>