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52"/>
        <w:gridCol w:w="1203"/>
        <w:gridCol w:w="3590"/>
        <w:gridCol w:w="3367"/>
      </w:tblGrid>
      <w:tr w:rsidR="00032E4E" w:rsidRPr="00C6062B" w14:paraId="2623362B" w14:textId="77777777" w:rsidTr="008D1818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590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367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684351" w14:paraId="36878BD8" w14:textId="77777777" w:rsidTr="008D1818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3D105487" w14:textId="46E16D5C" w:rsidR="00032E4E" w:rsidRPr="00620245" w:rsidRDefault="00032E4E" w:rsidP="0062024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GB"/>
              </w:rPr>
            </w:pPr>
            <w:r w:rsidRPr="008D1818">
              <w:rPr>
                <w:b/>
                <w:bCs/>
                <w:sz w:val="28"/>
                <w:lang w:val="en-US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 w:rsidRPr="00620245">
              <w:t>/</w:t>
            </w:r>
            <w:r w:rsidR="00616741">
              <w:rPr>
                <w:lang w:val="en-US"/>
              </w:rPr>
              <w:t>MC</w:t>
            </w:r>
            <w:r w:rsidR="00616741" w:rsidRPr="00620245">
              <w:t>/</w:t>
            </w:r>
            <w:r w:rsidR="00616741">
              <w:rPr>
                <w:lang w:val="en-US"/>
              </w:rPr>
              <w:t>CO</w:t>
            </w:r>
            <w:r w:rsidR="00620245">
              <w:rPr>
                <w:lang w:val="en-US"/>
              </w:rPr>
              <w:t>P</w:t>
            </w:r>
            <w:r w:rsidR="00620245" w:rsidRPr="00620245">
              <w:t>.</w:t>
            </w:r>
            <w:r w:rsidR="00620245">
              <w:rPr>
                <w:lang w:val="en-GB"/>
              </w:rPr>
              <w:t>2</w:t>
            </w:r>
            <w:r w:rsidR="008D1818" w:rsidRPr="00620245">
              <w:t>/</w:t>
            </w:r>
            <w:r w:rsidR="00F85D4C">
              <w:rPr>
                <w:lang w:val="en-GB"/>
              </w:rPr>
              <w:t>16</w:t>
            </w:r>
          </w:p>
        </w:tc>
      </w:tr>
      <w:tr w:rsidR="00032E4E" w:rsidRPr="00865973" w14:paraId="0344FC84" w14:textId="77777777" w:rsidTr="008D1818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1" w:name="_MON_1021710510"/>
            <w:bookmarkStart w:id="2" w:name="_MON_1021710482"/>
            <w:bookmarkEnd w:id="1"/>
            <w:bookmarkEnd w:id="2"/>
            <w:r>
              <w:rPr>
                <w:noProof/>
                <w:lang w:val="en-GB" w:eastAsia="zh-CN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en-GB" w:eastAsia="zh-CN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AD1D99" w:rsidRDefault="00032E4E" w:rsidP="00E7138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440"/>
              <w:rPr>
                <w:rFonts w:ascii="Arial" w:hAnsi="Arial" w:cs="Arial"/>
                <w:b/>
                <w:sz w:val="27"/>
                <w:szCs w:val="27"/>
              </w:rPr>
            </w:pPr>
            <w:r w:rsidRPr="00AD1D99">
              <w:rPr>
                <w:rFonts w:ascii="Arial" w:hAnsi="Arial"/>
                <w:b/>
                <w:sz w:val="27"/>
                <w:szCs w:val="27"/>
              </w:rPr>
              <w:t>Программа Организации Объединенных Наций по окружающей среде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24" w:space="0" w:color="auto"/>
            </w:tcBorders>
          </w:tcPr>
          <w:p w14:paraId="6F57742E" w14:textId="605C9DC1" w:rsidR="00093477" w:rsidRPr="00826AF3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Distr</w:t>
            </w:r>
            <w:r w:rsidRPr="00826AF3">
              <w:rPr>
                <w:lang w:val="en-GB"/>
              </w:rPr>
              <w:t xml:space="preserve">.: </w:t>
            </w:r>
            <w:r w:rsidR="00684351">
              <w:rPr>
                <w:lang w:val="en-GB"/>
              </w:rPr>
              <w:t>General</w:t>
            </w:r>
          </w:p>
          <w:p w14:paraId="32AB44BC" w14:textId="6DC2EBFA" w:rsidR="00032E4E" w:rsidRPr="00620245" w:rsidRDefault="00F85D4C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GB"/>
              </w:rPr>
            </w:pPr>
            <w:r>
              <w:rPr>
                <w:lang w:val="en-GB"/>
              </w:rPr>
              <w:t>29</w:t>
            </w:r>
            <w:r w:rsidR="00620245">
              <w:rPr>
                <w:lang w:val="en-GB"/>
              </w:rPr>
              <w:t xml:space="preserve"> </w:t>
            </w:r>
            <w:r>
              <w:rPr>
                <w:lang w:val="en-GB"/>
              </w:rPr>
              <w:t>August</w:t>
            </w:r>
            <w:r w:rsidR="00032E4E" w:rsidRPr="00826AF3">
              <w:rPr>
                <w:lang w:val="en-GB"/>
              </w:rPr>
              <w:t xml:space="preserve"> 201</w:t>
            </w:r>
            <w:r w:rsidR="00620245">
              <w:rPr>
                <w:lang w:val="en-GB"/>
              </w:rPr>
              <w:t>8</w:t>
            </w:r>
          </w:p>
          <w:p w14:paraId="6F78AAFF" w14:textId="77777777" w:rsidR="00032E4E" w:rsidRPr="00826AF3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Russian</w:t>
            </w:r>
            <w:r w:rsidRPr="00826AF3">
              <w:rPr>
                <w:lang w:val="en-GB"/>
              </w:rPr>
              <w:t xml:space="preserve"> </w:t>
            </w:r>
            <w:r w:rsidRPr="00826AF3">
              <w:rPr>
                <w:lang w:val="en-GB"/>
              </w:rPr>
              <w:br/>
            </w:r>
            <w:r w:rsidRPr="00200ABD">
              <w:rPr>
                <w:lang w:val="en-GB"/>
              </w:rPr>
              <w:t>Original</w:t>
            </w:r>
            <w:r w:rsidRPr="00826AF3">
              <w:rPr>
                <w:lang w:val="en-GB"/>
              </w:rPr>
              <w:t xml:space="preserve">: </w:t>
            </w:r>
            <w:r w:rsidRPr="00200ABD">
              <w:rPr>
                <w:lang w:val="en-GB"/>
              </w:rPr>
              <w:t>English</w:t>
            </w:r>
          </w:p>
        </w:tc>
      </w:tr>
    </w:tbl>
    <w:p w14:paraId="0C61A782" w14:textId="151C12A2" w:rsidR="002F42D1" w:rsidRPr="00A54CB9" w:rsidRDefault="008B6ECC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 xml:space="preserve">Конференция Сторон </w:t>
      </w:r>
      <w:r w:rsidR="002F42D1" w:rsidRPr="00A54CB9">
        <w:rPr>
          <w:b/>
        </w:rPr>
        <w:t>Минаматск</w:t>
      </w:r>
      <w:r>
        <w:rPr>
          <w:b/>
        </w:rPr>
        <w:t>ой</w:t>
      </w:r>
      <w:r w:rsidR="002F42D1" w:rsidRPr="00A54CB9">
        <w:rPr>
          <w:b/>
        </w:rPr>
        <w:t xml:space="preserve"> конвенц</w:t>
      </w:r>
      <w:r w:rsidR="00A54CB9" w:rsidRPr="00A54CB9">
        <w:rPr>
          <w:b/>
        </w:rPr>
        <w:t>и</w:t>
      </w:r>
      <w:r>
        <w:rPr>
          <w:b/>
        </w:rPr>
        <w:t>и</w:t>
      </w:r>
      <w:r w:rsidR="002F42D1" w:rsidRPr="00A54CB9">
        <w:rPr>
          <w:b/>
        </w:rPr>
        <w:t xml:space="preserve"> о ртути</w:t>
      </w:r>
    </w:p>
    <w:p w14:paraId="17BE80BB" w14:textId="11219046" w:rsidR="00E976AB" w:rsidRPr="00A54CB9" w:rsidRDefault="00620245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>
        <w:rPr>
          <w:b/>
        </w:rPr>
        <w:t>Второе</w:t>
      </w:r>
      <w:r w:rsidR="00787688" w:rsidRPr="00A54CB9">
        <w:rPr>
          <w:b/>
        </w:rPr>
        <w:t xml:space="preserve"> совещание</w:t>
      </w:r>
    </w:p>
    <w:p w14:paraId="025D4C98" w14:textId="0653416C" w:rsidR="00E976AB" w:rsidRDefault="00787688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  <w:r w:rsidRPr="00A54CB9">
        <w:t xml:space="preserve">Женева, </w:t>
      </w:r>
      <w:r w:rsidR="00620245">
        <w:t>19-</w:t>
      </w:r>
      <w:r w:rsidRPr="00A54CB9">
        <w:t>2</w:t>
      </w:r>
      <w:r w:rsidR="00620245">
        <w:t>3</w:t>
      </w:r>
      <w:r w:rsidRPr="00A54CB9">
        <w:t xml:space="preserve"> </w:t>
      </w:r>
      <w:r w:rsidR="00826AF3">
        <w:t>ноября</w:t>
      </w:r>
      <w:r w:rsidRPr="00A54CB9">
        <w:t xml:space="preserve"> 201</w:t>
      </w:r>
      <w:r w:rsidR="00620245">
        <w:t>8</w:t>
      </w:r>
      <w:r w:rsidRPr="00A54CB9">
        <w:t xml:space="preserve"> года</w:t>
      </w:r>
    </w:p>
    <w:p w14:paraId="4B04E1E7" w14:textId="77777777" w:rsidR="00645C48" w:rsidRPr="00645C48" w:rsidRDefault="00645C48" w:rsidP="0057144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60"/>
      </w:pPr>
      <w:r w:rsidRPr="00645C48">
        <w:t>Пункт 5 l) предварительной повестки дня</w:t>
      </w:r>
      <w:r w:rsidRPr="00645C48">
        <w:footnoteReference w:customMarkFollows="1" w:id="1"/>
        <w:t>*</w:t>
      </w:r>
    </w:p>
    <w:p w14:paraId="155B440C" w14:textId="77777777" w:rsidR="00645C48" w:rsidRPr="00645C48" w:rsidRDefault="00645C48" w:rsidP="005D72C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right="1701"/>
        <w:rPr>
          <w:b/>
        </w:rPr>
      </w:pPr>
      <w:r w:rsidRPr="00645C48">
        <w:rPr>
          <w:b/>
        </w:rPr>
        <w:t>Вопросы для рассмотрения или принятия решения Конференцией Сторон: выбросы ртути в результате открытого сжигания отходов</w:t>
      </w:r>
    </w:p>
    <w:p w14:paraId="694E2DC4" w14:textId="190AF056" w:rsidR="00645C48" w:rsidRPr="00645C48" w:rsidRDefault="006935A6" w:rsidP="005D72C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60" w:after="240"/>
        <w:ind w:left="1247" w:right="567"/>
        <w:rPr>
          <w:b/>
          <w:sz w:val="28"/>
        </w:rPr>
      </w:pPr>
      <w:r>
        <w:rPr>
          <w:b/>
          <w:sz w:val="28"/>
        </w:rPr>
        <w:t>И</w:t>
      </w:r>
      <w:r w:rsidR="00645C48" w:rsidRPr="00645C48">
        <w:rPr>
          <w:b/>
          <w:sz w:val="28"/>
        </w:rPr>
        <w:t>нформаци</w:t>
      </w:r>
      <w:r>
        <w:rPr>
          <w:b/>
          <w:sz w:val="28"/>
        </w:rPr>
        <w:t>я</w:t>
      </w:r>
      <w:r w:rsidR="00645C48" w:rsidRPr="00645C48">
        <w:rPr>
          <w:b/>
          <w:sz w:val="28"/>
        </w:rPr>
        <w:t xml:space="preserve"> в отношении выбросов ртути в результате открытого сжигания отходов</w:t>
      </w:r>
    </w:p>
    <w:p w14:paraId="773E94E3" w14:textId="7FB4CB16" w:rsidR="00645C48" w:rsidRPr="00645C48" w:rsidRDefault="00645C48" w:rsidP="00645C4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4"/>
        </w:rPr>
      </w:pPr>
      <w:r w:rsidRPr="00645C48">
        <w:rPr>
          <w:b/>
          <w:sz w:val="24"/>
        </w:rPr>
        <w:tab/>
        <w:t>Записка секретариата</w:t>
      </w:r>
    </w:p>
    <w:p w14:paraId="36E2BCC1" w14:textId="0CCECEE6" w:rsidR="00645C48" w:rsidRPr="00645C48" w:rsidRDefault="00F76978" w:rsidP="00645C4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1</w:t>
      </w:r>
      <w:r w:rsidRPr="00F76978">
        <w:t>.</w:t>
      </w:r>
      <w:r>
        <w:tab/>
      </w:r>
      <w:r w:rsidR="00645C48" w:rsidRPr="00645C48">
        <w:t>На своем первом совещании, состоявшемся в Женеве 24</w:t>
      </w:r>
      <w:r w:rsidRPr="00F76978">
        <w:t>-</w:t>
      </w:r>
      <w:r w:rsidR="00645C48" w:rsidRPr="00645C48">
        <w:t xml:space="preserve">29 сентября 2017 года, Конференция Сторон Минаматской конвенции о ртути рассмотрела вопрос о выбросах ртути, связанных с открытым сжиганием отходов, и приняла решение MК-1/14 по этому вопросу. В этом решении она приняла к сведению доклад, подготовленный секретариатом на основе материалов, полученных от правительств и ряда неправительственных заинтересованных сторон, а также информации, полученной из ряда других источников, включая публикации Программы Организации Объединенных Наций по окружающей среде и Всемирного банка, и от ряда организаций гражданского общества (документ UNEP/MC/COP.1/19). </w:t>
      </w:r>
      <w:r w:rsidR="006935A6">
        <w:t>В</w:t>
      </w:r>
      <w:r w:rsidR="00645C48" w:rsidRPr="00645C48">
        <w:t xml:space="preserve"> докладе делается заключение, что проблемы, связанные с открытым сжиганием отходов, охватывают значительно более широкий диапазон вопросов, помимо проблемы выбросов ртути, а прекращение открытого сжигания в рамках общей повестки дня в области развития было определено в качестве одной из первоочередных задач для устойчивого развития, поскольку способствует уменьшению объемов ряда загрязняющих воздух веществ и имеет положительные социальные и экономические последствия.</w:t>
      </w:r>
    </w:p>
    <w:p w14:paraId="33700E5B" w14:textId="1F82E4CA" w:rsidR="00645C48" w:rsidRPr="00645C48" w:rsidRDefault="00F85D4C" w:rsidP="00645C4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F85D4C">
        <w:t>2.</w:t>
      </w:r>
      <w:r>
        <w:tab/>
      </w:r>
      <w:r w:rsidR="00645C48" w:rsidRPr="00645C48">
        <w:t>Признав, что открытое сжигание может являться значительным источником выбросов ртути, количественные показатели для которых отсутствуют, и что руководящими принципами в отношении наилучших имеющихся методов и наилучших видов природоохранной деятельности</w:t>
      </w:r>
      <w:r w:rsidR="00645C48" w:rsidRPr="00645C48">
        <w:rPr>
          <w:vertAlign w:val="superscript"/>
        </w:rPr>
        <w:footnoteReference w:id="2"/>
      </w:r>
      <w:r w:rsidR="00645C48" w:rsidRPr="00645C48">
        <w:t xml:space="preserve"> указывается, что открытое сжигание отходов считается ненадлежащим экологическим методом и его не следует поддерживать, Конференция Сторон на своем первом совещании предложила Сторонам и другим заинтересованным субъектам и организациям представлять секретариату информацию о выбросах ртути в результате открытого сжигания отходов. Конференция Сторон также просила секретариат продолжать собирать представляемую Сторонами информацию по этому вопросу, в частности – развивающимися странами и странами с переходной экономикой, включая информацию из кадастров и первоначальных оценок в рамках Минаматской конвенции, о коэффициентах выбросов и фактических замерах выбросов, а также любую соответствующую информацию, </w:t>
      </w:r>
      <w:r w:rsidR="00645C48" w:rsidRPr="00645C48">
        <w:lastRenderedPageBreak/>
        <w:t xml:space="preserve">подготовленную конференциями </w:t>
      </w:r>
      <w:r w:rsidR="004B65EF" w:rsidRPr="00645C48">
        <w:t xml:space="preserve">Сторон </w:t>
      </w:r>
      <w:r w:rsidR="00645C48" w:rsidRPr="00645C48">
        <w:t>Базельской конвенции о контроле за трансграничной перевозкой опасных отходов и их удалением и Стокгольмской конвенции о стойких органических загрязнителях, и представить эту информацию Конференции Сторон Минаматской конвенции на ее втором совещании для рассмотрения ею необходимости принятия дополнительных мер.</w:t>
      </w:r>
    </w:p>
    <w:p w14:paraId="6CE39585" w14:textId="756A8224" w:rsidR="00645C48" w:rsidRPr="00645C48" w:rsidRDefault="00A90E34" w:rsidP="00645C4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A90E34">
        <w:t>3.</w:t>
      </w:r>
      <w:r>
        <w:tab/>
      </w:r>
      <w:r w:rsidR="00645C48" w:rsidRPr="00645C48">
        <w:t xml:space="preserve">В ответ на предложение о предоставлении информации о выбросах ртути в результате открытого сжигания отходов, были получены материалы от двух </w:t>
      </w:r>
      <w:r w:rsidR="004B65EF" w:rsidRPr="00645C48">
        <w:t xml:space="preserve">Сторон </w:t>
      </w:r>
      <w:r w:rsidR="00645C48" w:rsidRPr="00645C48">
        <w:t>(</w:t>
      </w:r>
      <w:r w:rsidR="006935A6" w:rsidRPr="00645C48">
        <w:t xml:space="preserve">Нигерия </w:t>
      </w:r>
      <w:r w:rsidR="006935A6">
        <w:t xml:space="preserve">и </w:t>
      </w:r>
      <w:r w:rsidR="00645C48" w:rsidRPr="00645C48">
        <w:t>Республика Молдова), а также одной межправительственной организации (Учебный и научно</w:t>
      </w:r>
      <w:r w:rsidR="00960FBB">
        <w:noBreakHyphen/>
      </w:r>
      <w:r w:rsidR="00645C48" w:rsidRPr="00645C48">
        <w:t>исследовательский институт Организации Объединенных Наций (ЮНИТАР)) и одной неправительственной организации (Международная сеть по ликвидации СОЗ (МСЛС)). Эти материалы были сведены в записке секретариата по этому вопросу (UNEP/MC/COP.2/INF/6, приложение) и имеются на веб-сайте Минаматской конвенции по адресу: www.mercuryconvention.org/Meetings/Intersessionalnbsp;work/tabid/6325/language/en-US/Default.aspx.</w:t>
      </w:r>
    </w:p>
    <w:p w14:paraId="71EBEEB3" w14:textId="5CBD799C" w:rsidR="00645C48" w:rsidRPr="00645C48" w:rsidRDefault="00960FBB" w:rsidP="00645C4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960FBB">
        <w:t>4.</w:t>
      </w:r>
      <w:r>
        <w:tab/>
      </w:r>
      <w:r w:rsidR="00645C48" w:rsidRPr="00645C48">
        <w:t xml:space="preserve">Стороны предоставили сведения о выбросах ртути в результате открытого сжигания отходов, рассчитанные с использованием </w:t>
      </w:r>
      <w:r w:rsidR="006846AB">
        <w:t>«</w:t>
      </w:r>
      <w:r w:rsidR="00645C48" w:rsidRPr="00645C48">
        <w:t>Руководства по определению и количественной оценке выбросов ртути</w:t>
      </w:r>
      <w:r w:rsidR="006846AB">
        <w:t>»</w:t>
      </w:r>
      <w:r w:rsidR="00645C48" w:rsidRPr="00645C48">
        <w:t xml:space="preserve"> (уровень 2) Программы Организации Объединенных Наций по окружающей среде. ЮНИТАР представил сведения, касающиеся выбросов в результате открытого сжигания отходов, полученные в </w:t>
      </w:r>
      <w:r w:rsidR="004B65EF">
        <w:t>ходе</w:t>
      </w:r>
      <w:r w:rsidR="00645C48" w:rsidRPr="00645C48">
        <w:t xml:space="preserve"> его работы, в том числе при оказании поддержки деятельности по подготовке первоначальных оценок в рамках Минаматской конвенции, и отметил некоторые погрешности, включая вероятность завышения показателей выбросов в результате открытого сжигания, связанные с использованием Руководства. МСЛС представила общие материалы по вопросам создания потенциала, технической помощи и передачи технологий, а также о выбросах ртути в результате открытого сжигания отходов, подчеркнув значение основополагающих систем сбора и сортировки отходов, в которых акцент делается на выделение органических и опасных отходов (особо отмечая ртутные отходы) из общего объема отходов, направляемых на вторичную переработку.</w:t>
      </w:r>
    </w:p>
    <w:p w14:paraId="03312BB6" w14:textId="45DD28E7" w:rsidR="00645C48" w:rsidRPr="00645C48" w:rsidRDefault="00960FBB" w:rsidP="00645C4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960FBB">
        <w:t>5.</w:t>
      </w:r>
      <w:r>
        <w:tab/>
      </w:r>
      <w:r w:rsidR="00645C48" w:rsidRPr="00645C48">
        <w:t xml:space="preserve">В контексте Базельской и Стокгольмской конвенций также поступали сведения, касающиеся проблемы выбросов ртути в результате открытого сжигания отходов. </w:t>
      </w:r>
    </w:p>
    <w:p w14:paraId="1066A123" w14:textId="120F9B76" w:rsidR="00645C48" w:rsidRPr="00645C48" w:rsidRDefault="00EF4178" w:rsidP="00645C4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6.</w:t>
      </w:r>
      <w:r w:rsidR="00DE08E0">
        <w:tab/>
      </w:r>
      <w:r w:rsidR="00645C48" w:rsidRPr="00645C48">
        <w:t>Конференция Сторон Базельской конвенции учредила Партнерство по бытовым отходам в 2017</w:t>
      </w:r>
      <w:r w:rsidR="006846AB">
        <w:t> </w:t>
      </w:r>
      <w:r w:rsidR="00645C48" w:rsidRPr="00645C48">
        <w:t>году в целях содействия экологически обоснованному регулированию бытовых отходов, включая предотвращение их образования и их минимизацию, и устранению взаимосвязи между экономическим ростом и экологическими последствиями, связанными с образованием бытовых отходов и первичным обращением с ними населением на уровне домашних хозяйств. Партнерству было поручено разработать методический документ по вопросам экологически обоснованного регулирования бытовых отходов.</w:t>
      </w:r>
    </w:p>
    <w:p w14:paraId="4C408226" w14:textId="65066AB5" w:rsidR="00645C48" w:rsidRPr="00645C48" w:rsidRDefault="00DE08E0" w:rsidP="00645C4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7.</w:t>
      </w:r>
      <w:r>
        <w:tab/>
      </w:r>
      <w:r w:rsidR="00645C48" w:rsidRPr="00645C48">
        <w:t>Рабочей группой экспертов по экологически обоснованному регулированию отходов в рамках Базельской конвенции подготовлен проект руководящих принципов для решения вопросов экологически обоснованного регулирования отходов в неформальном секторе</w:t>
      </w:r>
      <w:r w:rsidR="006935A6">
        <w:t xml:space="preserve"> </w:t>
      </w:r>
      <w:r w:rsidR="006935A6" w:rsidRPr="006935A6">
        <w:t>(UNEP/CHW/OEWG.11/INF/6)</w:t>
      </w:r>
      <w:r w:rsidR="00645C48" w:rsidRPr="00645C48">
        <w:t xml:space="preserve">. </w:t>
      </w:r>
      <w:r w:rsidR="006935A6">
        <w:t>В п</w:t>
      </w:r>
      <w:r w:rsidR="00645C48" w:rsidRPr="00645C48">
        <w:t>роект</w:t>
      </w:r>
      <w:r w:rsidR="006935A6">
        <w:t>е</w:t>
      </w:r>
      <w:r w:rsidR="00645C48" w:rsidRPr="00645C48">
        <w:t xml:space="preserve"> руководящих принципов признаются отрицательное воздействие на окружающую среду открытого сжигания и связанные с ним риски для здоровья </w:t>
      </w:r>
      <w:r w:rsidR="00797F34">
        <w:t>и</w:t>
      </w:r>
      <w:r w:rsidR="00645C48" w:rsidRPr="00645C48">
        <w:t xml:space="preserve"> рекомендуется запретить открытое сжигание, особенно опасных отходов (UNEP/CHW/OEWG.11/INF/6). </w:t>
      </w:r>
      <w:r w:rsidR="00797F34">
        <w:t xml:space="preserve">После рассмотрения руководящих принципов на одиннадцатом совещании Рабочей группы открытого состава Базельской конвенции пересмотренная редакция проекта руководящих принципов </w:t>
      </w:r>
      <w:r w:rsidR="00797F34" w:rsidRPr="00645C48">
        <w:t>будет представлен</w:t>
      </w:r>
      <w:r w:rsidR="00797F34">
        <w:t>а</w:t>
      </w:r>
      <w:r w:rsidR="00797F34" w:rsidRPr="00645C48">
        <w:t xml:space="preserve"> Конференции Сторон на ее четырнадцатом совещании для рассмотрения. </w:t>
      </w:r>
      <w:r w:rsidR="00645C48" w:rsidRPr="00645C48">
        <w:t>Рабочая группа экспертов также подготовила пересмотренные фактологические бюллетени, в котор</w:t>
      </w:r>
      <w:r w:rsidR="004B65EF">
        <w:t>ых</w:t>
      </w:r>
      <w:r w:rsidR="00645C48" w:rsidRPr="00645C48">
        <w:t xml:space="preserve"> содержится обзор наиболее важных аспектов, касающихся экологически обоснованного регулирования для конкретных видов отходов (UNEP/CHW</w:t>
      </w:r>
      <w:r w:rsidR="00797F34">
        <w:t>.13</w:t>
      </w:r>
      <w:r w:rsidR="00645C48" w:rsidRPr="00645C48">
        <w:t xml:space="preserve">/INF/7/Rev.1), включая э-отходы, утильные транспортные средства, отходы лечебно-профилактических учреждений или медицинские отходы, которые могут содержать ртуть или быть загрязнены ею.  </w:t>
      </w:r>
    </w:p>
    <w:p w14:paraId="61CDD2C1" w14:textId="0F3D9C46" w:rsidR="00645C48" w:rsidRPr="00645C48" w:rsidRDefault="00DE08E0" w:rsidP="00645C4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8.</w:t>
      </w:r>
      <w:r>
        <w:tab/>
      </w:r>
      <w:r w:rsidR="00645C48" w:rsidRPr="00645C48">
        <w:t xml:space="preserve">Выводы программы Базельской конвенции </w:t>
      </w:r>
      <w:r w:rsidR="006846AB">
        <w:t>«</w:t>
      </w:r>
      <w:r w:rsidR="00645C48" w:rsidRPr="00645C48">
        <w:t>Э-отходы в Африке</w:t>
      </w:r>
      <w:r w:rsidR="006846AB">
        <w:t>»</w:t>
      </w:r>
      <w:r w:rsidR="00645C48" w:rsidRPr="00645C48">
        <w:rPr>
          <w:vertAlign w:val="superscript"/>
        </w:rPr>
        <w:footnoteReference w:id="3"/>
      </w:r>
      <w:r w:rsidR="00645C48" w:rsidRPr="00645C48">
        <w:t xml:space="preserve"> указывают на широкое распространение в охватываемых странах открытого сжигания для рекуперации металлов из э</w:t>
      </w:r>
      <w:r w:rsidR="00EF4178">
        <w:noBreakHyphen/>
      </w:r>
      <w:r w:rsidR="00645C48" w:rsidRPr="00645C48">
        <w:t xml:space="preserve">отходов, включая содержащие ртуть или загрязненные ртутью отходы. В этой </w:t>
      </w:r>
      <w:r w:rsidR="00645C48" w:rsidRPr="00645C48">
        <w:lastRenderedPageBreak/>
        <w:t>публикации отмечается, что деятельность по утилизации, оказывающая неблагоприятное воздействие на здоровье человека и окружающую среду, например</w:t>
      </w:r>
      <w:r w:rsidR="004B65EF">
        <w:t>,</w:t>
      </w:r>
      <w:r w:rsidR="00645C48" w:rsidRPr="00645C48">
        <w:t xml:space="preserve"> открытое сжигание проводов, требует неотложного внимания со стороны правительств.</w:t>
      </w:r>
    </w:p>
    <w:p w14:paraId="301B25FC" w14:textId="54B06C93" w:rsidR="00645C48" w:rsidRPr="00645C48" w:rsidRDefault="00DE08E0" w:rsidP="00645C4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9.</w:t>
      </w:r>
      <w:r>
        <w:tab/>
      </w:r>
      <w:r w:rsidR="00645C48" w:rsidRPr="00645C48">
        <w:t xml:space="preserve">В </w:t>
      </w:r>
      <w:r w:rsidR="00797F34">
        <w:t>«Р</w:t>
      </w:r>
      <w:r w:rsidR="00645C48" w:rsidRPr="00645C48">
        <w:t>уководящих принципах в отношении наилучших имеющихся методов и временном руководстве по наилучшим видам природоохранной деятельности, относящимся к статье 5 и приложению С к Стокгольмской конвенции о стойких органических загрязнителях</w:t>
      </w:r>
      <w:r w:rsidR="00797F34">
        <w:t>»</w:t>
      </w:r>
      <w:r w:rsidR="00645C48" w:rsidRPr="00645C48">
        <w:t xml:space="preserve"> также рассматривается вопрос об открытом сжигании отходов, включая сжигание на полигонах захоронения (раздел VI</w:t>
      </w:r>
      <w:r w:rsidR="00797F34">
        <w:t>, касающийся</w:t>
      </w:r>
      <w:r w:rsidR="00645C48" w:rsidRPr="00645C48">
        <w:t xml:space="preserve"> </w:t>
      </w:r>
      <w:r w:rsidR="00797F34">
        <w:t>к</w:t>
      </w:r>
      <w:r w:rsidR="00645C48" w:rsidRPr="00645C48">
        <w:t>атегори</w:t>
      </w:r>
      <w:r w:rsidR="00797F34">
        <w:t>й</w:t>
      </w:r>
      <w:r w:rsidR="00645C48" w:rsidRPr="00645C48">
        <w:t xml:space="preserve"> источников в части III приложения</w:t>
      </w:r>
      <w:r w:rsidR="003F2BEF">
        <w:t> </w:t>
      </w:r>
      <w:r w:rsidR="00645C48" w:rsidRPr="00645C48">
        <w:t xml:space="preserve">С). В руководящих принципах признается, что открытое сжигание включает в себя широкий спектр различных методов неконтролируемого сжигания отходов, включая сжигание на свалках, в ямах, на почве и в бочках, и что для людей во многих частях мира, особенно для тех, кто не имеет доступа к организованным методам обращения с отходами и кто самостоятельно занимается удалением материалов, открытое сжигание является наиболее дешевым, простым и гигиеничным способом уменьшения объема и удаления горючих материалов. В руководящих принципах подчеркивается с какими материалами не следует иметь дело и предлагаются методы для улучшения процесса горения и предотвращения выбросов, и при этом четко указывается, что открытое сжигание является экологически неприемлемым процессом и что оптимальной рекомендацией является уменьшение количества материалов, удаляемых с помощью этого метода удаления, с целью его полной ликвидации. </w:t>
      </w:r>
    </w:p>
    <w:p w14:paraId="1C8CEF4B" w14:textId="77777777" w:rsidR="00645C48" w:rsidRPr="00645C48" w:rsidRDefault="00645C48" w:rsidP="00645C4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4"/>
        </w:rPr>
      </w:pPr>
      <w:r w:rsidRPr="00645C48">
        <w:rPr>
          <w:b/>
          <w:sz w:val="24"/>
        </w:rPr>
        <w:t>Предлагаемые меры для принятия Конференцией Сторон</w:t>
      </w:r>
    </w:p>
    <w:p w14:paraId="65C4D34E" w14:textId="4D95F916" w:rsidR="00645C48" w:rsidRDefault="00DE08E0" w:rsidP="00645C4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10.</w:t>
      </w:r>
      <w:r>
        <w:tab/>
      </w:r>
      <w:r w:rsidR="00645C48" w:rsidRPr="00645C48">
        <w:t xml:space="preserve">Конференция Сторон, возможно, пожелает рассмотреть представленную информацию при обсуждении необходимости дальнейших мер по вопросу о выбросах ртути, связанных с открытым сжиганием отходов, и, принимая во внимание ограниченное число полученных материалов, поручить секретариату продолжать собирать информацию по данному вопросу от Сторон и других заинтересованных субъектов, а также информацию, получаемую при общем рассмотрении ею </w:t>
      </w:r>
      <w:r w:rsidR="00797F34">
        <w:t xml:space="preserve">имеющихся </w:t>
      </w:r>
      <w:r w:rsidR="00645C48" w:rsidRPr="00645C48">
        <w:t xml:space="preserve">кадастров. Конференция Сторон, возможно, также пожелает поручить секретариату продолжать взаимодействовать по этому вопросу с секретариатом Базельской, Роттердамской и Стокгольмской конвенций и представить актуальную информацию Конференции Сторон на ее третьем совещании. </w:t>
      </w:r>
    </w:p>
    <w:p w14:paraId="1ACD719F" w14:textId="77777777" w:rsidR="00645C48" w:rsidRPr="00645C48" w:rsidRDefault="00645C48" w:rsidP="00645C4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</w:p>
    <w:tbl>
      <w:tblPr>
        <w:tblW w:w="971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3"/>
        <w:gridCol w:w="1943"/>
      </w:tblGrid>
      <w:tr w:rsidR="00645C48" w:rsidRPr="00645C48" w14:paraId="17099597" w14:textId="77777777" w:rsidTr="00645C48">
        <w:tc>
          <w:tcPr>
            <w:tcW w:w="1942" w:type="dxa"/>
            <w:shd w:val="clear" w:color="auto" w:fill="auto"/>
          </w:tcPr>
          <w:p w14:paraId="4AEB46FB" w14:textId="77777777" w:rsidR="00645C48" w:rsidRPr="00645C48" w:rsidRDefault="00645C48" w:rsidP="00645C4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</w:pPr>
          </w:p>
        </w:tc>
        <w:tc>
          <w:tcPr>
            <w:tcW w:w="1942" w:type="dxa"/>
            <w:shd w:val="clear" w:color="auto" w:fill="auto"/>
          </w:tcPr>
          <w:p w14:paraId="3F0ED763" w14:textId="77777777" w:rsidR="00645C48" w:rsidRPr="00645C48" w:rsidRDefault="00645C48" w:rsidP="00645C4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3769C064" w14:textId="77777777" w:rsidR="00645C48" w:rsidRPr="00645C48" w:rsidRDefault="00645C48" w:rsidP="00645C4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</w:pPr>
          </w:p>
        </w:tc>
        <w:tc>
          <w:tcPr>
            <w:tcW w:w="1943" w:type="dxa"/>
            <w:shd w:val="clear" w:color="auto" w:fill="auto"/>
          </w:tcPr>
          <w:p w14:paraId="6F06847B" w14:textId="77777777" w:rsidR="00645C48" w:rsidRPr="00645C48" w:rsidRDefault="00645C48" w:rsidP="00645C4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</w:pPr>
          </w:p>
        </w:tc>
        <w:tc>
          <w:tcPr>
            <w:tcW w:w="1943" w:type="dxa"/>
            <w:shd w:val="clear" w:color="auto" w:fill="auto"/>
          </w:tcPr>
          <w:p w14:paraId="68155FD0" w14:textId="77777777" w:rsidR="00645C48" w:rsidRPr="00645C48" w:rsidRDefault="00645C48" w:rsidP="00645C4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</w:pPr>
          </w:p>
        </w:tc>
      </w:tr>
    </w:tbl>
    <w:p w14:paraId="3E33339E" w14:textId="77777777" w:rsidR="00616741" w:rsidRPr="00FA3168" w:rsidRDefault="00616741" w:rsidP="00645C4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</w:p>
    <w:sectPr w:rsidR="00616741" w:rsidRPr="00FA3168" w:rsidSect="00C606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EEF53" w14:textId="77777777" w:rsidR="002005CF" w:rsidRDefault="002005CF">
      <w:r>
        <w:separator/>
      </w:r>
    </w:p>
  </w:endnote>
  <w:endnote w:type="continuationSeparator" w:id="0">
    <w:p w14:paraId="48C208B7" w14:textId="77777777" w:rsidR="002005CF" w:rsidRDefault="0020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9DB75" w14:textId="7FB8782F" w:rsidR="00C870D8" w:rsidRPr="001C208E" w:rsidRDefault="00C870D8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3FE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3D921" w14:textId="5763905D" w:rsidR="00C870D8" w:rsidRDefault="00C870D8" w:rsidP="00F171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3FE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BE341" w14:textId="2DB81A9E" w:rsidR="00C870D8" w:rsidRPr="00620245" w:rsidRDefault="00620245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GB"/>
      </w:rPr>
    </w:pPr>
    <w:r>
      <w:rPr>
        <w:sz w:val="20"/>
      </w:rPr>
      <w:t>K1</w:t>
    </w:r>
    <w:r>
      <w:rPr>
        <w:sz w:val="20"/>
        <w:lang w:val="en-GB"/>
      </w:rPr>
      <w:t>8</w:t>
    </w:r>
    <w:r w:rsidR="00C870D8" w:rsidRPr="00C4766A">
      <w:rPr>
        <w:sz w:val="20"/>
      </w:rPr>
      <w:t>0</w:t>
    </w:r>
    <w:r w:rsidR="00F85D4C">
      <w:rPr>
        <w:sz w:val="20"/>
        <w:lang w:val="en-GB"/>
      </w:rPr>
      <w:t>2143</w:t>
    </w:r>
    <w:r w:rsidR="00FA3168">
      <w:rPr>
        <w:sz w:val="20"/>
        <w:lang w:val="en-US"/>
      </w:rPr>
      <w:t xml:space="preserve">      </w:t>
    </w:r>
    <w:r w:rsidR="00865973">
      <w:rPr>
        <w:sz w:val="20"/>
        <w:lang w:val="en-US"/>
      </w:rPr>
      <w:t>08</w:t>
    </w:r>
    <w:r w:rsidR="00F85D4C">
      <w:rPr>
        <w:sz w:val="20"/>
        <w:lang w:val="en-US"/>
      </w:rPr>
      <w:t>10</w:t>
    </w:r>
    <w:r w:rsidR="00C870D8" w:rsidRPr="00C4766A">
      <w:rPr>
        <w:sz w:val="20"/>
      </w:rPr>
      <w:t>1</w:t>
    </w:r>
    <w:r>
      <w:rPr>
        <w:sz w:val="20"/>
        <w:lang w:val="en-GB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03A23" w14:textId="77777777" w:rsidR="002005CF" w:rsidRDefault="002005CF" w:rsidP="003E3ADD">
      <w:pPr>
        <w:ind w:left="624"/>
      </w:pPr>
      <w:r>
        <w:separator/>
      </w:r>
    </w:p>
  </w:footnote>
  <w:footnote w:type="continuationSeparator" w:id="0">
    <w:p w14:paraId="4D7FD056" w14:textId="77777777" w:rsidR="002005CF" w:rsidRDefault="002005CF">
      <w:r>
        <w:continuationSeparator/>
      </w:r>
    </w:p>
  </w:footnote>
  <w:footnote w:id="1">
    <w:p w14:paraId="0E467D81" w14:textId="540A5252" w:rsidR="00645C48" w:rsidRPr="00D84EBD" w:rsidRDefault="00645C48" w:rsidP="0057144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20" w:after="40"/>
        <w:ind w:left="1247"/>
        <w:rPr>
          <w:sz w:val="18"/>
          <w:szCs w:val="18"/>
        </w:rPr>
      </w:pPr>
      <w:r w:rsidRPr="00571445">
        <w:rPr>
          <w:sz w:val="18"/>
        </w:rPr>
        <w:t xml:space="preserve">* </w:t>
      </w:r>
      <w:r w:rsidR="00F85D4C" w:rsidRPr="00571445">
        <w:rPr>
          <w:sz w:val="18"/>
        </w:rPr>
        <w:tab/>
      </w:r>
      <w:r w:rsidRPr="00571445">
        <w:rPr>
          <w:sz w:val="18"/>
        </w:rPr>
        <w:t>UNEP/MC/COP.2/1.</w:t>
      </w:r>
    </w:p>
  </w:footnote>
  <w:footnote w:id="2">
    <w:p w14:paraId="4149814D" w14:textId="2B0503F5" w:rsidR="00645C48" w:rsidRPr="003B4CBA" w:rsidRDefault="00645C48" w:rsidP="003E3ADD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</w:pPr>
      <w:r w:rsidRPr="0048785B">
        <w:rPr>
          <w:rStyle w:val="FootnoteReference"/>
          <w:sz w:val="18"/>
        </w:rPr>
        <w:footnoteRef/>
      </w:r>
      <w:r>
        <w:t xml:space="preserve"> </w:t>
      </w:r>
      <w:r w:rsidR="00F85D4C">
        <w:tab/>
      </w:r>
      <w:r>
        <w:t xml:space="preserve">Руководящие принципы в отношении наилучших имеющихся методов и наилучших видов природоохранной деятельности, принятые Конференцией Сторон Минаматской конвенции на ее первом совещании в целях оказания помощи Сторонам в выполнении их обязательств согласно статье 8 (UNEP/MC/COP.1/7, приложение II). </w:t>
      </w:r>
    </w:p>
  </w:footnote>
  <w:footnote w:id="3">
    <w:p w14:paraId="3BF22CBB" w14:textId="7B6260F8" w:rsidR="00645C48" w:rsidRPr="007F5D9A" w:rsidRDefault="00645C48" w:rsidP="00645C48">
      <w:pPr>
        <w:pStyle w:val="FootnoteText"/>
        <w:rPr>
          <w:rFonts w:asciiTheme="majorBidi" w:hAnsiTheme="majorBidi" w:cstheme="majorBidi"/>
          <w:szCs w:val="18"/>
        </w:rPr>
      </w:pPr>
      <w:r w:rsidRPr="007F5D9A">
        <w:rPr>
          <w:rStyle w:val="FootnoteReference"/>
          <w:rFonts w:asciiTheme="majorBidi" w:hAnsiTheme="majorBidi" w:cstheme="majorBidi"/>
          <w:sz w:val="18"/>
        </w:rPr>
        <w:footnoteRef/>
      </w:r>
      <w:r>
        <w:t xml:space="preserve"> </w:t>
      </w:r>
      <w:r w:rsidR="00EF4178">
        <w:tab/>
      </w:r>
      <w:r w:rsidR="006846AB">
        <w:t>«</w:t>
      </w:r>
      <w:r>
        <w:t>Where are WEee in Africa?</w:t>
      </w:r>
      <w:r w:rsidR="006846AB">
        <w:t>»</w:t>
      </w:r>
      <w:r>
        <w:t xml:space="preserve">, </w:t>
      </w:r>
      <w:r w:rsidR="004B65EF">
        <w:t xml:space="preserve">секретариат </w:t>
      </w:r>
      <w:r>
        <w:t xml:space="preserve">Базельской конвенции, декабрь 2011 года. Эта публикация была подготовлена в рамках проекта под названием </w:t>
      </w:r>
      <w:r w:rsidR="006846AB">
        <w:t>«</w:t>
      </w:r>
      <w:r>
        <w:t>Создание местного потенциала по работе с э-отходами и электротехническими и электронными изделиями, направляемыми на повторное применение в отдельных странах Африки, и укрепление устойчивого регулирования ресурсов посредством рекуперации материалов, содержащихся в э-отходах</w:t>
      </w:r>
      <w:r w:rsidR="006846AB">
        <w:t>»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12C64" w14:textId="7F6AA5CE" w:rsidR="00C870D8" w:rsidRPr="00942112" w:rsidRDefault="00620245" w:rsidP="000A2D09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lang w:val="en-US"/>
      </w:rPr>
      <w:t>UNEP/MC/COP.2</w:t>
    </w:r>
    <w:r w:rsidR="00942112">
      <w:rPr>
        <w:lang w:val="en-US"/>
      </w:rPr>
      <w:t>/</w:t>
    </w:r>
    <w:r w:rsidR="00F85D4C">
      <w:rPr>
        <w:lang w:val="en-US"/>
      </w:rPr>
      <w:t>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6C210" w14:textId="35A6C6AB" w:rsidR="00C870D8" w:rsidRPr="00942112" w:rsidRDefault="00620245" w:rsidP="00F1712F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lang w:val="en-US"/>
      </w:rPr>
      <w:t>UNEP/MC/COP.2</w:t>
    </w:r>
    <w:r w:rsidR="00942112">
      <w:rPr>
        <w:lang w:val="en-US"/>
      </w:rPr>
      <w:t>/</w:t>
    </w:r>
    <w:r w:rsidR="00F85D4C">
      <w:rPr>
        <w:lang w:val="en-US"/>
      </w:rPr>
      <w:t>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63D9A" w14:textId="422262CC" w:rsidR="00C870D8" w:rsidRDefault="00C870D8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5" w15:restartNumberingAfterBreak="0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6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7" w15:restartNumberingAfterBreak="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5"/>
  </w:num>
  <w:num w:numId="5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2"/>
  </w:num>
  <w:num w:numId="7">
    <w:abstractNumId w:val="0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5"/>
  </w:num>
  <w:num w:numId="14">
    <w:abstractNumId w:val="5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4"/>
  </w:num>
  <w:num w:numId="19">
    <w:abstractNumId w:val="5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7F"/>
    <w:rsid w:val="00000E4A"/>
    <w:rsid w:val="000016E8"/>
    <w:rsid w:val="000024A3"/>
    <w:rsid w:val="000149E6"/>
    <w:rsid w:val="00023DA9"/>
    <w:rsid w:val="000247B0"/>
    <w:rsid w:val="0002502C"/>
    <w:rsid w:val="00026997"/>
    <w:rsid w:val="00026A08"/>
    <w:rsid w:val="00032E4E"/>
    <w:rsid w:val="00033E0B"/>
    <w:rsid w:val="00035EDE"/>
    <w:rsid w:val="000509B4"/>
    <w:rsid w:val="000553F1"/>
    <w:rsid w:val="0006035B"/>
    <w:rsid w:val="0006096F"/>
    <w:rsid w:val="000649C5"/>
    <w:rsid w:val="00066CAB"/>
    <w:rsid w:val="00071886"/>
    <w:rsid w:val="000742BC"/>
    <w:rsid w:val="00075D5E"/>
    <w:rsid w:val="00076CC6"/>
    <w:rsid w:val="00082A0C"/>
    <w:rsid w:val="00082BFB"/>
    <w:rsid w:val="000832C7"/>
    <w:rsid w:val="00083504"/>
    <w:rsid w:val="000849CA"/>
    <w:rsid w:val="00093477"/>
    <w:rsid w:val="0009640C"/>
    <w:rsid w:val="000A035D"/>
    <w:rsid w:val="000A2D09"/>
    <w:rsid w:val="000A33DF"/>
    <w:rsid w:val="000A48BD"/>
    <w:rsid w:val="000A5627"/>
    <w:rsid w:val="000B22A2"/>
    <w:rsid w:val="000B3A56"/>
    <w:rsid w:val="000B5621"/>
    <w:rsid w:val="000B6C42"/>
    <w:rsid w:val="000B73F9"/>
    <w:rsid w:val="000C2A52"/>
    <w:rsid w:val="000D24D3"/>
    <w:rsid w:val="000D33C0"/>
    <w:rsid w:val="000D4CF6"/>
    <w:rsid w:val="000D6941"/>
    <w:rsid w:val="000E04CD"/>
    <w:rsid w:val="000F1B80"/>
    <w:rsid w:val="000F4829"/>
    <w:rsid w:val="000F6535"/>
    <w:rsid w:val="001056F1"/>
    <w:rsid w:val="001143B8"/>
    <w:rsid w:val="001202E3"/>
    <w:rsid w:val="00123699"/>
    <w:rsid w:val="001241FB"/>
    <w:rsid w:val="00126CBE"/>
    <w:rsid w:val="00126E66"/>
    <w:rsid w:val="0013059D"/>
    <w:rsid w:val="00136187"/>
    <w:rsid w:val="00141A55"/>
    <w:rsid w:val="0014293F"/>
    <w:rsid w:val="0014397D"/>
    <w:rsid w:val="001446A3"/>
    <w:rsid w:val="00145890"/>
    <w:rsid w:val="00152B6B"/>
    <w:rsid w:val="00155395"/>
    <w:rsid w:val="00156B6B"/>
    <w:rsid w:val="00160D74"/>
    <w:rsid w:val="0016251F"/>
    <w:rsid w:val="001646EA"/>
    <w:rsid w:val="00167D02"/>
    <w:rsid w:val="001759D8"/>
    <w:rsid w:val="00177D7F"/>
    <w:rsid w:val="00180C3F"/>
    <w:rsid w:val="00181EC8"/>
    <w:rsid w:val="00184349"/>
    <w:rsid w:val="00195F33"/>
    <w:rsid w:val="001A04AA"/>
    <w:rsid w:val="001A3865"/>
    <w:rsid w:val="001B1617"/>
    <w:rsid w:val="001B504B"/>
    <w:rsid w:val="001B6F89"/>
    <w:rsid w:val="001B6F98"/>
    <w:rsid w:val="001C0FF0"/>
    <w:rsid w:val="001C191A"/>
    <w:rsid w:val="001C208E"/>
    <w:rsid w:val="001D3874"/>
    <w:rsid w:val="001D7E75"/>
    <w:rsid w:val="001E0D73"/>
    <w:rsid w:val="001E4028"/>
    <w:rsid w:val="001E45BD"/>
    <w:rsid w:val="001E56D2"/>
    <w:rsid w:val="001E7D56"/>
    <w:rsid w:val="001F0FBB"/>
    <w:rsid w:val="001F4EF3"/>
    <w:rsid w:val="001F75DE"/>
    <w:rsid w:val="002005CF"/>
    <w:rsid w:val="00200ABD"/>
    <w:rsid w:val="00200D58"/>
    <w:rsid w:val="002011C1"/>
    <w:rsid w:val="002013BE"/>
    <w:rsid w:val="00201EDC"/>
    <w:rsid w:val="002063A4"/>
    <w:rsid w:val="0021145B"/>
    <w:rsid w:val="00220C23"/>
    <w:rsid w:val="002247F6"/>
    <w:rsid w:val="00225E21"/>
    <w:rsid w:val="002274D8"/>
    <w:rsid w:val="00234E78"/>
    <w:rsid w:val="00243D36"/>
    <w:rsid w:val="002445B0"/>
    <w:rsid w:val="00246151"/>
    <w:rsid w:val="0024616E"/>
    <w:rsid w:val="00247707"/>
    <w:rsid w:val="00255632"/>
    <w:rsid w:val="0026018E"/>
    <w:rsid w:val="002623CD"/>
    <w:rsid w:val="00272100"/>
    <w:rsid w:val="00277CE2"/>
    <w:rsid w:val="0028635C"/>
    <w:rsid w:val="00286740"/>
    <w:rsid w:val="00291EAE"/>
    <w:rsid w:val="002929D8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477F"/>
    <w:rsid w:val="002C533E"/>
    <w:rsid w:val="002D027F"/>
    <w:rsid w:val="002D3E15"/>
    <w:rsid w:val="002D7A85"/>
    <w:rsid w:val="002D7B60"/>
    <w:rsid w:val="002E6C80"/>
    <w:rsid w:val="002F42D1"/>
    <w:rsid w:val="002F4761"/>
    <w:rsid w:val="002F5C79"/>
    <w:rsid w:val="002F68EE"/>
    <w:rsid w:val="003019E2"/>
    <w:rsid w:val="00304499"/>
    <w:rsid w:val="00310B4B"/>
    <w:rsid w:val="00310BEB"/>
    <w:rsid w:val="00312543"/>
    <w:rsid w:val="0031413F"/>
    <w:rsid w:val="00314854"/>
    <w:rsid w:val="003148BB"/>
    <w:rsid w:val="00317976"/>
    <w:rsid w:val="00320F2F"/>
    <w:rsid w:val="00326E66"/>
    <w:rsid w:val="00332216"/>
    <w:rsid w:val="003338F7"/>
    <w:rsid w:val="00337D72"/>
    <w:rsid w:val="00355EA9"/>
    <w:rsid w:val="003578DE"/>
    <w:rsid w:val="00361688"/>
    <w:rsid w:val="003616AB"/>
    <w:rsid w:val="00361855"/>
    <w:rsid w:val="00372443"/>
    <w:rsid w:val="00377FD5"/>
    <w:rsid w:val="003877D5"/>
    <w:rsid w:val="003929B8"/>
    <w:rsid w:val="00396257"/>
    <w:rsid w:val="00397EB8"/>
    <w:rsid w:val="003A4FD0"/>
    <w:rsid w:val="003A69D1"/>
    <w:rsid w:val="003A7705"/>
    <w:rsid w:val="003A77F1"/>
    <w:rsid w:val="003B1545"/>
    <w:rsid w:val="003B34AA"/>
    <w:rsid w:val="003C2885"/>
    <w:rsid w:val="003C3219"/>
    <w:rsid w:val="003C34B1"/>
    <w:rsid w:val="003C409D"/>
    <w:rsid w:val="003C5583"/>
    <w:rsid w:val="003C5BA6"/>
    <w:rsid w:val="003C74CF"/>
    <w:rsid w:val="003D2FCB"/>
    <w:rsid w:val="003D3752"/>
    <w:rsid w:val="003E35DA"/>
    <w:rsid w:val="003E3ADD"/>
    <w:rsid w:val="003E455D"/>
    <w:rsid w:val="003F0E85"/>
    <w:rsid w:val="003F10BE"/>
    <w:rsid w:val="003F2BEF"/>
    <w:rsid w:val="003F5F95"/>
    <w:rsid w:val="00401D8B"/>
    <w:rsid w:val="00410C55"/>
    <w:rsid w:val="00415FE6"/>
    <w:rsid w:val="00416854"/>
    <w:rsid w:val="00417725"/>
    <w:rsid w:val="00420709"/>
    <w:rsid w:val="004375DD"/>
    <w:rsid w:val="00437F26"/>
    <w:rsid w:val="00444097"/>
    <w:rsid w:val="00445487"/>
    <w:rsid w:val="0044713F"/>
    <w:rsid w:val="00447E0D"/>
    <w:rsid w:val="00453A68"/>
    <w:rsid w:val="00454769"/>
    <w:rsid w:val="0046222F"/>
    <w:rsid w:val="00465D27"/>
    <w:rsid w:val="00466991"/>
    <w:rsid w:val="0047064C"/>
    <w:rsid w:val="004822B7"/>
    <w:rsid w:val="00483E03"/>
    <w:rsid w:val="004844FA"/>
    <w:rsid w:val="0049469E"/>
    <w:rsid w:val="004A2217"/>
    <w:rsid w:val="004A24F9"/>
    <w:rsid w:val="004A42E1"/>
    <w:rsid w:val="004A7DDC"/>
    <w:rsid w:val="004B162C"/>
    <w:rsid w:val="004B2ABE"/>
    <w:rsid w:val="004B50B2"/>
    <w:rsid w:val="004B65EF"/>
    <w:rsid w:val="004C3DBE"/>
    <w:rsid w:val="004C5C96"/>
    <w:rsid w:val="004D06A4"/>
    <w:rsid w:val="004F14FF"/>
    <w:rsid w:val="004F1A81"/>
    <w:rsid w:val="004F2185"/>
    <w:rsid w:val="004F3976"/>
    <w:rsid w:val="005050D2"/>
    <w:rsid w:val="00511D7B"/>
    <w:rsid w:val="0051272E"/>
    <w:rsid w:val="00514C13"/>
    <w:rsid w:val="00516D71"/>
    <w:rsid w:val="005218D9"/>
    <w:rsid w:val="00521EED"/>
    <w:rsid w:val="0052216E"/>
    <w:rsid w:val="005254C3"/>
    <w:rsid w:val="005360CF"/>
    <w:rsid w:val="00536186"/>
    <w:rsid w:val="00544CBB"/>
    <w:rsid w:val="00545499"/>
    <w:rsid w:val="00562374"/>
    <w:rsid w:val="005656D7"/>
    <w:rsid w:val="0056690C"/>
    <w:rsid w:val="00567280"/>
    <w:rsid w:val="00571445"/>
    <w:rsid w:val="00571C42"/>
    <w:rsid w:val="0057315F"/>
    <w:rsid w:val="005738A4"/>
    <w:rsid w:val="00576104"/>
    <w:rsid w:val="00580923"/>
    <w:rsid w:val="00584860"/>
    <w:rsid w:val="00592B21"/>
    <w:rsid w:val="005A110C"/>
    <w:rsid w:val="005B44BF"/>
    <w:rsid w:val="005B66F5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D72CB"/>
    <w:rsid w:val="005E3004"/>
    <w:rsid w:val="005E3C86"/>
    <w:rsid w:val="005F100C"/>
    <w:rsid w:val="005F68DA"/>
    <w:rsid w:val="00601BC9"/>
    <w:rsid w:val="00601DB7"/>
    <w:rsid w:val="00604070"/>
    <w:rsid w:val="0060773B"/>
    <w:rsid w:val="00613FD6"/>
    <w:rsid w:val="00614E24"/>
    <w:rsid w:val="006157B5"/>
    <w:rsid w:val="00616741"/>
    <w:rsid w:val="00617224"/>
    <w:rsid w:val="00620222"/>
    <w:rsid w:val="00620245"/>
    <w:rsid w:val="006233C8"/>
    <w:rsid w:val="00624B58"/>
    <w:rsid w:val="00624C92"/>
    <w:rsid w:val="00626FC6"/>
    <w:rsid w:val="006303B4"/>
    <w:rsid w:val="00630ADC"/>
    <w:rsid w:val="00633D3D"/>
    <w:rsid w:val="006343C4"/>
    <w:rsid w:val="006368F1"/>
    <w:rsid w:val="00641703"/>
    <w:rsid w:val="006431A6"/>
    <w:rsid w:val="00643B4C"/>
    <w:rsid w:val="00643E3A"/>
    <w:rsid w:val="006459F6"/>
    <w:rsid w:val="00645C48"/>
    <w:rsid w:val="006501AD"/>
    <w:rsid w:val="00651BFA"/>
    <w:rsid w:val="006534F9"/>
    <w:rsid w:val="00654475"/>
    <w:rsid w:val="00655560"/>
    <w:rsid w:val="00656DF0"/>
    <w:rsid w:val="00661446"/>
    <w:rsid w:val="00665A4B"/>
    <w:rsid w:val="00665D0D"/>
    <w:rsid w:val="00684351"/>
    <w:rsid w:val="006846AB"/>
    <w:rsid w:val="00684BE1"/>
    <w:rsid w:val="00692E2A"/>
    <w:rsid w:val="006935A6"/>
    <w:rsid w:val="006A76F2"/>
    <w:rsid w:val="006A7DE0"/>
    <w:rsid w:val="006B6333"/>
    <w:rsid w:val="006D19D4"/>
    <w:rsid w:val="006D2247"/>
    <w:rsid w:val="006D7EFB"/>
    <w:rsid w:val="006E6672"/>
    <w:rsid w:val="006E6722"/>
    <w:rsid w:val="006F0D46"/>
    <w:rsid w:val="006F27D0"/>
    <w:rsid w:val="006F7AFF"/>
    <w:rsid w:val="007027B9"/>
    <w:rsid w:val="007066B5"/>
    <w:rsid w:val="00711F4E"/>
    <w:rsid w:val="007145DA"/>
    <w:rsid w:val="00715E88"/>
    <w:rsid w:val="00720092"/>
    <w:rsid w:val="00721A6D"/>
    <w:rsid w:val="007334E8"/>
    <w:rsid w:val="00734CAA"/>
    <w:rsid w:val="00741552"/>
    <w:rsid w:val="00742680"/>
    <w:rsid w:val="00744004"/>
    <w:rsid w:val="007551E2"/>
    <w:rsid w:val="0075533C"/>
    <w:rsid w:val="00755A53"/>
    <w:rsid w:val="00757581"/>
    <w:rsid w:val="007602F5"/>
    <w:rsid w:val="00760D36"/>
    <w:rsid w:val="007611A0"/>
    <w:rsid w:val="00773E54"/>
    <w:rsid w:val="00774E34"/>
    <w:rsid w:val="00775D8D"/>
    <w:rsid w:val="0078489D"/>
    <w:rsid w:val="00787240"/>
    <w:rsid w:val="00787688"/>
    <w:rsid w:val="007935E6"/>
    <w:rsid w:val="00796D3F"/>
    <w:rsid w:val="00797F34"/>
    <w:rsid w:val="007A1683"/>
    <w:rsid w:val="007A3DC0"/>
    <w:rsid w:val="007A5C12"/>
    <w:rsid w:val="007A7CB0"/>
    <w:rsid w:val="007B68A3"/>
    <w:rsid w:val="007C2541"/>
    <w:rsid w:val="007D66A8"/>
    <w:rsid w:val="007E003F"/>
    <w:rsid w:val="007E5F07"/>
    <w:rsid w:val="007F0CF8"/>
    <w:rsid w:val="007F62CB"/>
    <w:rsid w:val="00805335"/>
    <w:rsid w:val="008142EC"/>
    <w:rsid w:val="008164F2"/>
    <w:rsid w:val="00821395"/>
    <w:rsid w:val="00826AF3"/>
    <w:rsid w:val="00830E26"/>
    <w:rsid w:val="00833D15"/>
    <w:rsid w:val="00842874"/>
    <w:rsid w:val="00843576"/>
    <w:rsid w:val="00843B64"/>
    <w:rsid w:val="008473F4"/>
    <w:rsid w:val="008478FC"/>
    <w:rsid w:val="00851756"/>
    <w:rsid w:val="00851C51"/>
    <w:rsid w:val="00853FE8"/>
    <w:rsid w:val="00856CDB"/>
    <w:rsid w:val="00865973"/>
    <w:rsid w:val="00867A15"/>
    <w:rsid w:val="00867BFF"/>
    <w:rsid w:val="00871542"/>
    <w:rsid w:val="00871E08"/>
    <w:rsid w:val="00872BF6"/>
    <w:rsid w:val="0088480A"/>
    <w:rsid w:val="0088757A"/>
    <w:rsid w:val="0089431B"/>
    <w:rsid w:val="00894479"/>
    <w:rsid w:val="00894DA2"/>
    <w:rsid w:val="00895668"/>
    <w:rsid w:val="008957DD"/>
    <w:rsid w:val="00897D98"/>
    <w:rsid w:val="008A2570"/>
    <w:rsid w:val="008A2F23"/>
    <w:rsid w:val="008A6DF2"/>
    <w:rsid w:val="008A7807"/>
    <w:rsid w:val="008B0CED"/>
    <w:rsid w:val="008B4CC9"/>
    <w:rsid w:val="008B6ECC"/>
    <w:rsid w:val="008C34A4"/>
    <w:rsid w:val="008C5EE0"/>
    <w:rsid w:val="008C5FFF"/>
    <w:rsid w:val="008D1818"/>
    <w:rsid w:val="008D4EF1"/>
    <w:rsid w:val="008D75E4"/>
    <w:rsid w:val="008D7C99"/>
    <w:rsid w:val="008E0FCB"/>
    <w:rsid w:val="008F6DFE"/>
    <w:rsid w:val="009008EA"/>
    <w:rsid w:val="0090529F"/>
    <w:rsid w:val="00905742"/>
    <w:rsid w:val="00917EEE"/>
    <w:rsid w:val="0092178C"/>
    <w:rsid w:val="00922BA1"/>
    <w:rsid w:val="00930B88"/>
    <w:rsid w:val="00934554"/>
    <w:rsid w:val="00940DCC"/>
    <w:rsid w:val="0094179A"/>
    <w:rsid w:val="00942112"/>
    <w:rsid w:val="00942F46"/>
    <w:rsid w:val="0094459E"/>
    <w:rsid w:val="00944DBC"/>
    <w:rsid w:val="00950977"/>
    <w:rsid w:val="00951A7B"/>
    <w:rsid w:val="009541FC"/>
    <w:rsid w:val="009564A6"/>
    <w:rsid w:val="00960425"/>
    <w:rsid w:val="00960FBB"/>
    <w:rsid w:val="00966A53"/>
    <w:rsid w:val="00967621"/>
    <w:rsid w:val="00967E6A"/>
    <w:rsid w:val="009907B9"/>
    <w:rsid w:val="00990918"/>
    <w:rsid w:val="009A3A83"/>
    <w:rsid w:val="009B0D04"/>
    <w:rsid w:val="009B1C44"/>
    <w:rsid w:val="009B30FD"/>
    <w:rsid w:val="009B4A0F"/>
    <w:rsid w:val="009C11D2"/>
    <w:rsid w:val="009C3362"/>
    <w:rsid w:val="009C6C70"/>
    <w:rsid w:val="009C7B0A"/>
    <w:rsid w:val="009D0B63"/>
    <w:rsid w:val="009D197D"/>
    <w:rsid w:val="009D32CE"/>
    <w:rsid w:val="009D5CB8"/>
    <w:rsid w:val="009E307E"/>
    <w:rsid w:val="009F0A2A"/>
    <w:rsid w:val="009F7611"/>
    <w:rsid w:val="00A0132D"/>
    <w:rsid w:val="00A018C0"/>
    <w:rsid w:val="00A056B5"/>
    <w:rsid w:val="00A07870"/>
    <w:rsid w:val="00A07C54"/>
    <w:rsid w:val="00A07F19"/>
    <w:rsid w:val="00A1348D"/>
    <w:rsid w:val="00A13C99"/>
    <w:rsid w:val="00A232EE"/>
    <w:rsid w:val="00A243E5"/>
    <w:rsid w:val="00A2589A"/>
    <w:rsid w:val="00A345E1"/>
    <w:rsid w:val="00A414F6"/>
    <w:rsid w:val="00A4175F"/>
    <w:rsid w:val="00A43A67"/>
    <w:rsid w:val="00A44411"/>
    <w:rsid w:val="00A469FA"/>
    <w:rsid w:val="00A53662"/>
    <w:rsid w:val="00A54CB9"/>
    <w:rsid w:val="00A55B01"/>
    <w:rsid w:val="00A55DA3"/>
    <w:rsid w:val="00A56158"/>
    <w:rsid w:val="00A56B5B"/>
    <w:rsid w:val="00A603FF"/>
    <w:rsid w:val="00A619B6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4544"/>
    <w:rsid w:val="00A90E34"/>
    <w:rsid w:val="00A91D38"/>
    <w:rsid w:val="00A92050"/>
    <w:rsid w:val="00AA2EC0"/>
    <w:rsid w:val="00AA5BF4"/>
    <w:rsid w:val="00AB5340"/>
    <w:rsid w:val="00AC0A89"/>
    <w:rsid w:val="00AC62F0"/>
    <w:rsid w:val="00AC7252"/>
    <w:rsid w:val="00AC7C96"/>
    <w:rsid w:val="00AD1D99"/>
    <w:rsid w:val="00AD4326"/>
    <w:rsid w:val="00AE237D"/>
    <w:rsid w:val="00AE38EB"/>
    <w:rsid w:val="00AE502A"/>
    <w:rsid w:val="00AF0010"/>
    <w:rsid w:val="00AF2C1F"/>
    <w:rsid w:val="00AF5E0F"/>
    <w:rsid w:val="00AF7A9F"/>
    <w:rsid w:val="00AF7C07"/>
    <w:rsid w:val="00B03E98"/>
    <w:rsid w:val="00B06C64"/>
    <w:rsid w:val="00B11CAC"/>
    <w:rsid w:val="00B15A29"/>
    <w:rsid w:val="00B17A26"/>
    <w:rsid w:val="00B22C93"/>
    <w:rsid w:val="00B27589"/>
    <w:rsid w:val="00B405B7"/>
    <w:rsid w:val="00B45A38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5CFB"/>
    <w:rsid w:val="00B91EE1"/>
    <w:rsid w:val="00B94602"/>
    <w:rsid w:val="00BA0090"/>
    <w:rsid w:val="00BA1A67"/>
    <w:rsid w:val="00BA6A80"/>
    <w:rsid w:val="00BB3A5D"/>
    <w:rsid w:val="00BB4ABB"/>
    <w:rsid w:val="00BC041F"/>
    <w:rsid w:val="00BC5810"/>
    <w:rsid w:val="00BD506D"/>
    <w:rsid w:val="00BE5B5F"/>
    <w:rsid w:val="00BE7993"/>
    <w:rsid w:val="00BF5992"/>
    <w:rsid w:val="00C027FF"/>
    <w:rsid w:val="00C116AA"/>
    <w:rsid w:val="00C12FD1"/>
    <w:rsid w:val="00C168A7"/>
    <w:rsid w:val="00C172E3"/>
    <w:rsid w:val="00C20A2D"/>
    <w:rsid w:val="00C26F55"/>
    <w:rsid w:val="00C27DCA"/>
    <w:rsid w:val="00C30C63"/>
    <w:rsid w:val="00C30FF3"/>
    <w:rsid w:val="00C36B8B"/>
    <w:rsid w:val="00C415C1"/>
    <w:rsid w:val="00C4766A"/>
    <w:rsid w:val="00C47DBF"/>
    <w:rsid w:val="00C543FE"/>
    <w:rsid w:val="00C552FF"/>
    <w:rsid w:val="00C558DA"/>
    <w:rsid w:val="00C55AF3"/>
    <w:rsid w:val="00C57E56"/>
    <w:rsid w:val="00C6062B"/>
    <w:rsid w:val="00C724EE"/>
    <w:rsid w:val="00C75781"/>
    <w:rsid w:val="00C771A9"/>
    <w:rsid w:val="00C84759"/>
    <w:rsid w:val="00C854BD"/>
    <w:rsid w:val="00C870D8"/>
    <w:rsid w:val="00C87AAA"/>
    <w:rsid w:val="00C87EEF"/>
    <w:rsid w:val="00C93753"/>
    <w:rsid w:val="00CA2EA3"/>
    <w:rsid w:val="00CA5CA9"/>
    <w:rsid w:val="00CA6C7F"/>
    <w:rsid w:val="00CB6B35"/>
    <w:rsid w:val="00CB71A3"/>
    <w:rsid w:val="00CC0FC7"/>
    <w:rsid w:val="00CC10A6"/>
    <w:rsid w:val="00CC7142"/>
    <w:rsid w:val="00CD2011"/>
    <w:rsid w:val="00CD46C5"/>
    <w:rsid w:val="00CD5EB8"/>
    <w:rsid w:val="00CD7044"/>
    <w:rsid w:val="00CE08B9"/>
    <w:rsid w:val="00CE524C"/>
    <w:rsid w:val="00CF141F"/>
    <w:rsid w:val="00CF4777"/>
    <w:rsid w:val="00CF65C8"/>
    <w:rsid w:val="00D013F5"/>
    <w:rsid w:val="00D05E3F"/>
    <w:rsid w:val="00D067BB"/>
    <w:rsid w:val="00D1226D"/>
    <w:rsid w:val="00D1352A"/>
    <w:rsid w:val="00D15EC4"/>
    <w:rsid w:val="00D169AF"/>
    <w:rsid w:val="00D25249"/>
    <w:rsid w:val="00D37EBA"/>
    <w:rsid w:val="00D411B5"/>
    <w:rsid w:val="00D4234C"/>
    <w:rsid w:val="00D44172"/>
    <w:rsid w:val="00D47BE3"/>
    <w:rsid w:val="00D63B8C"/>
    <w:rsid w:val="00D651E4"/>
    <w:rsid w:val="00D739CC"/>
    <w:rsid w:val="00D8093D"/>
    <w:rsid w:val="00D8108C"/>
    <w:rsid w:val="00D842AE"/>
    <w:rsid w:val="00D9211C"/>
    <w:rsid w:val="00D92DE0"/>
    <w:rsid w:val="00D92FEF"/>
    <w:rsid w:val="00D93A0F"/>
    <w:rsid w:val="00D94C06"/>
    <w:rsid w:val="00D9579D"/>
    <w:rsid w:val="00DA1BCA"/>
    <w:rsid w:val="00DA4A45"/>
    <w:rsid w:val="00DB34E0"/>
    <w:rsid w:val="00DB5925"/>
    <w:rsid w:val="00DC46FF"/>
    <w:rsid w:val="00DC5254"/>
    <w:rsid w:val="00DC569D"/>
    <w:rsid w:val="00DC5AB5"/>
    <w:rsid w:val="00DD0B5A"/>
    <w:rsid w:val="00DD1A4F"/>
    <w:rsid w:val="00DD3107"/>
    <w:rsid w:val="00DD7C2C"/>
    <w:rsid w:val="00DE08E0"/>
    <w:rsid w:val="00DE5BDA"/>
    <w:rsid w:val="00DF433C"/>
    <w:rsid w:val="00E0035A"/>
    <w:rsid w:val="00E06797"/>
    <w:rsid w:val="00E1265B"/>
    <w:rsid w:val="00E13B48"/>
    <w:rsid w:val="00E1404F"/>
    <w:rsid w:val="00E2042D"/>
    <w:rsid w:val="00E21C83"/>
    <w:rsid w:val="00E24ADA"/>
    <w:rsid w:val="00E32F59"/>
    <w:rsid w:val="00E41908"/>
    <w:rsid w:val="00E46D9A"/>
    <w:rsid w:val="00E565FF"/>
    <w:rsid w:val="00E65388"/>
    <w:rsid w:val="00E71382"/>
    <w:rsid w:val="00E74C25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A0AE2"/>
    <w:rsid w:val="00EA1159"/>
    <w:rsid w:val="00EA39E5"/>
    <w:rsid w:val="00EA57A3"/>
    <w:rsid w:val="00EC2813"/>
    <w:rsid w:val="00EC4197"/>
    <w:rsid w:val="00EC5A46"/>
    <w:rsid w:val="00EC6114"/>
    <w:rsid w:val="00EC63E2"/>
    <w:rsid w:val="00EC7AAA"/>
    <w:rsid w:val="00ED366A"/>
    <w:rsid w:val="00ED6BB7"/>
    <w:rsid w:val="00EE1723"/>
    <w:rsid w:val="00EF19FD"/>
    <w:rsid w:val="00EF22B3"/>
    <w:rsid w:val="00EF4178"/>
    <w:rsid w:val="00EF5D53"/>
    <w:rsid w:val="00F03B69"/>
    <w:rsid w:val="00F07A50"/>
    <w:rsid w:val="00F113DA"/>
    <w:rsid w:val="00F12DA4"/>
    <w:rsid w:val="00F1495C"/>
    <w:rsid w:val="00F1562D"/>
    <w:rsid w:val="00F1712F"/>
    <w:rsid w:val="00F22A8E"/>
    <w:rsid w:val="00F266FC"/>
    <w:rsid w:val="00F3037A"/>
    <w:rsid w:val="00F3465A"/>
    <w:rsid w:val="00F37DC8"/>
    <w:rsid w:val="00F439B3"/>
    <w:rsid w:val="00F650C3"/>
    <w:rsid w:val="00F65D85"/>
    <w:rsid w:val="00F6700B"/>
    <w:rsid w:val="00F76978"/>
    <w:rsid w:val="00F8091E"/>
    <w:rsid w:val="00F83855"/>
    <w:rsid w:val="00F85D4C"/>
    <w:rsid w:val="00F8615C"/>
    <w:rsid w:val="00F8673E"/>
    <w:rsid w:val="00F969E5"/>
    <w:rsid w:val="00FA1D9B"/>
    <w:rsid w:val="00FA3168"/>
    <w:rsid w:val="00FA4972"/>
    <w:rsid w:val="00FA6617"/>
    <w:rsid w:val="00FA6BB0"/>
    <w:rsid w:val="00FB2DBD"/>
    <w:rsid w:val="00FB53D9"/>
    <w:rsid w:val="00FC6DA0"/>
    <w:rsid w:val="00FD48DF"/>
    <w:rsid w:val="00FD5860"/>
    <w:rsid w:val="00FE352D"/>
    <w:rsid w:val="00FE40EB"/>
    <w:rsid w:val="00FE4D02"/>
    <w:rsid w:val="00FE7D62"/>
    <w:rsid w:val="00FF08D3"/>
    <w:rsid w:val="00FF3559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75BAC1F"/>
  <w15:docId w15:val="{4E239A1E-7110-490D-B1C6-791B4B8A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qFormat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C1D5B-2D5D-43BD-A2F8-4583D568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1371</Words>
  <Characters>7816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Claudia ten Have</cp:lastModifiedBy>
  <cp:revision>2</cp:revision>
  <cp:lastPrinted>2018-10-08T12:18:00Z</cp:lastPrinted>
  <dcterms:created xsi:type="dcterms:W3CDTF">2018-10-09T06:47:00Z</dcterms:created>
  <dcterms:modified xsi:type="dcterms:W3CDTF">2018-10-09T06:47:00Z</dcterms:modified>
</cp:coreProperties>
</file>