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2D0ACF" w14:paraId="4B9F0F9B" w14:textId="77777777" w:rsidTr="00825B40">
        <w:trPr>
          <w:cantSplit/>
          <w:trHeight w:val="850"/>
          <w:jc w:val="right"/>
        </w:trPr>
        <w:tc>
          <w:tcPr>
            <w:tcW w:w="1518" w:type="dxa"/>
          </w:tcPr>
          <w:p w14:paraId="2A9B9F9D" w14:textId="11531316" w:rsidR="00032E4E" w:rsidRPr="002D0ACF" w:rsidRDefault="00825B40" w:rsidP="00023DA9">
            <w:pPr>
              <w:rPr>
                <w:rFonts w:ascii="Univers" w:hAnsi="Univers"/>
                <w:b/>
                <w:sz w:val="27"/>
                <w:szCs w:val="27"/>
                <w:lang w:val="fr-FR"/>
              </w:rPr>
            </w:pPr>
            <w:bookmarkStart w:id="0" w:name="_GoBack"/>
            <w:bookmarkEnd w:id="0"/>
            <w:r w:rsidRPr="002D0ACF">
              <w:rPr>
                <w:rFonts w:ascii="Arial" w:hAnsi="Arial" w:cs="Arial"/>
                <w:b/>
                <w:sz w:val="27"/>
                <w:szCs w:val="27"/>
                <w:lang w:val="fr-FR"/>
              </w:rPr>
              <w:t>NATIONS</w:t>
            </w:r>
            <w:r w:rsidR="002A25E7" w:rsidRPr="002D0ACF">
              <w:rPr>
                <w:rFonts w:ascii="Arial" w:hAnsi="Arial" w:cs="Arial"/>
                <w:b/>
                <w:sz w:val="27"/>
                <w:szCs w:val="27"/>
                <w:lang w:val="fr-FR"/>
              </w:rPr>
              <w:t xml:space="preserve"> </w:t>
            </w:r>
            <w:r w:rsidR="00032E4E" w:rsidRPr="002D0ACF">
              <w:rPr>
                <w:rFonts w:ascii="Arial" w:hAnsi="Arial" w:cs="Arial"/>
                <w:b/>
                <w:sz w:val="27"/>
                <w:szCs w:val="27"/>
                <w:lang w:val="fr-FR"/>
              </w:rPr>
              <w:br/>
            </w:r>
            <w:r w:rsidRPr="002D0ACF">
              <w:rPr>
                <w:rFonts w:ascii="Arial" w:hAnsi="Arial" w:cs="Arial"/>
                <w:b/>
                <w:sz w:val="27"/>
                <w:szCs w:val="27"/>
                <w:lang w:val="fr-FR"/>
              </w:rPr>
              <w:t>UNIES</w:t>
            </w:r>
          </w:p>
        </w:tc>
        <w:tc>
          <w:tcPr>
            <w:tcW w:w="4643" w:type="dxa"/>
          </w:tcPr>
          <w:p w14:paraId="2F47229A" w14:textId="52BA9DC0" w:rsidR="00032E4E" w:rsidRPr="002D0ACF" w:rsidRDefault="00032E4E" w:rsidP="004A1D8F">
            <w:pPr>
              <w:rPr>
                <w:rFonts w:ascii="Univers" w:hAnsi="Univers"/>
                <w:b/>
                <w:sz w:val="27"/>
                <w:szCs w:val="27"/>
                <w:lang w:val="fr-FR"/>
              </w:rPr>
            </w:pPr>
          </w:p>
        </w:tc>
        <w:tc>
          <w:tcPr>
            <w:tcW w:w="3335" w:type="dxa"/>
          </w:tcPr>
          <w:p w14:paraId="57073C3F" w14:textId="77777777" w:rsidR="00032E4E" w:rsidRPr="002D0ACF" w:rsidRDefault="00787688" w:rsidP="00023DA9">
            <w:pPr>
              <w:jc w:val="right"/>
              <w:rPr>
                <w:rFonts w:ascii="Arial" w:hAnsi="Arial" w:cs="Arial"/>
                <w:b/>
                <w:sz w:val="64"/>
                <w:szCs w:val="64"/>
                <w:lang w:val="fr-FR"/>
              </w:rPr>
            </w:pPr>
            <w:r w:rsidRPr="002D0ACF">
              <w:rPr>
                <w:rFonts w:ascii="Arial" w:hAnsi="Arial" w:cs="Arial"/>
                <w:b/>
                <w:sz w:val="64"/>
                <w:szCs w:val="64"/>
                <w:lang w:val="fr-FR"/>
              </w:rPr>
              <w:t>MC</w:t>
            </w:r>
          </w:p>
        </w:tc>
      </w:tr>
      <w:tr w:rsidR="00032E4E" w:rsidRPr="002D0ACF" w14:paraId="0DEAC680" w14:textId="77777777" w:rsidTr="00825B40">
        <w:trPr>
          <w:cantSplit/>
          <w:trHeight w:val="281"/>
          <w:jc w:val="right"/>
        </w:trPr>
        <w:tc>
          <w:tcPr>
            <w:tcW w:w="1518" w:type="dxa"/>
            <w:tcBorders>
              <w:bottom w:val="single" w:sz="4" w:space="0" w:color="auto"/>
            </w:tcBorders>
          </w:tcPr>
          <w:p w14:paraId="30269B88" w14:textId="77777777" w:rsidR="00032E4E" w:rsidRPr="002D0ACF" w:rsidRDefault="00032E4E" w:rsidP="00023DA9">
            <w:pPr>
              <w:rPr>
                <w:sz w:val="18"/>
                <w:szCs w:val="18"/>
                <w:lang w:val="fr-FR"/>
              </w:rPr>
            </w:pPr>
          </w:p>
        </w:tc>
        <w:tc>
          <w:tcPr>
            <w:tcW w:w="4643" w:type="dxa"/>
            <w:tcBorders>
              <w:bottom w:val="single" w:sz="4" w:space="0" w:color="auto"/>
            </w:tcBorders>
          </w:tcPr>
          <w:p w14:paraId="54296B4D" w14:textId="77777777" w:rsidR="00032E4E" w:rsidRPr="002D0ACF" w:rsidRDefault="00032E4E" w:rsidP="00023DA9">
            <w:pPr>
              <w:rPr>
                <w:rFonts w:ascii="Univers" w:hAnsi="Univers"/>
                <w:b/>
                <w:sz w:val="18"/>
                <w:szCs w:val="18"/>
                <w:lang w:val="fr-FR"/>
              </w:rPr>
            </w:pPr>
          </w:p>
        </w:tc>
        <w:tc>
          <w:tcPr>
            <w:tcW w:w="3335" w:type="dxa"/>
            <w:tcBorders>
              <w:bottom w:val="single" w:sz="4" w:space="0" w:color="auto"/>
            </w:tcBorders>
          </w:tcPr>
          <w:p w14:paraId="540639F8" w14:textId="626B691C" w:rsidR="00032E4E" w:rsidRPr="002D0ACF" w:rsidRDefault="00032E4E" w:rsidP="00787688">
            <w:pPr>
              <w:rPr>
                <w:sz w:val="18"/>
                <w:szCs w:val="18"/>
                <w:lang w:val="fr-FR"/>
              </w:rPr>
            </w:pPr>
            <w:r w:rsidRPr="002D0ACF">
              <w:rPr>
                <w:b/>
                <w:bCs/>
                <w:sz w:val="28"/>
                <w:lang w:val="fr-FR"/>
              </w:rPr>
              <w:t>UNEP</w:t>
            </w:r>
            <w:bookmarkStart w:id="1" w:name="OLE_LINK1"/>
            <w:bookmarkStart w:id="2" w:name="OLE_LINK2"/>
            <w:r w:rsidR="00787688" w:rsidRPr="002D0ACF">
              <w:rPr>
                <w:b/>
                <w:bCs/>
                <w:sz w:val="28"/>
                <w:lang w:val="fr-FR"/>
              </w:rPr>
              <w:t>/</w:t>
            </w:r>
            <w:r w:rsidR="00787688" w:rsidRPr="002D0ACF">
              <w:rPr>
                <w:lang w:val="fr-FR"/>
              </w:rPr>
              <w:t>MC</w:t>
            </w:r>
            <w:r w:rsidRPr="002D0ACF">
              <w:rPr>
                <w:lang w:val="fr-FR"/>
              </w:rPr>
              <w:t>/</w:t>
            </w:r>
            <w:bookmarkEnd w:id="1"/>
            <w:bookmarkEnd w:id="2"/>
            <w:r w:rsidR="002E73F4" w:rsidRPr="002D0ACF">
              <w:rPr>
                <w:lang w:val="fr-FR"/>
              </w:rPr>
              <w:t>COP.2</w:t>
            </w:r>
            <w:r w:rsidRPr="002D0ACF">
              <w:rPr>
                <w:lang w:val="fr-FR"/>
              </w:rPr>
              <w:t>/</w:t>
            </w:r>
            <w:r w:rsidR="002E73F4" w:rsidRPr="002D0ACF">
              <w:rPr>
                <w:lang w:val="fr-FR"/>
              </w:rPr>
              <w:t>8</w:t>
            </w:r>
          </w:p>
        </w:tc>
      </w:tr>
      <w:bookmarkStart w:id="3" w:name="_MON_1021710510"/>
      <w:bookmarkEnd w:id="3"/>
      <w:bookmarkStart w:id="4" w:name="_MON_1021710482"/>
      <w:bookmarkEnd w:id="4"/>
      <w:tr w:rsidR="00032E4E" w:rsidRPr="00702B5B" w14:paraId="34AA74B4" w14:textId="77777777" w:rsidTr="00825B40">
        <w:trPr>
          <w:cantSplit/>
          <w:trHeight w:val="2549"/>
          <w:jc w:val="right"/>
        </w:trPr>
        <w:tc>
          <w:tcPr>
            <w:tcW w:w="1518" w:type="dxa"/>
            <w:tcBorders>
              <w:top w:val="single" w:sz="4" w:space="0" w:color="auto"/>
              <w:bottom w:val="single" w:sz="24" w:space="0" w:color="auto"/>
            </w:tcBorders>
          </w:tcPr>
          <w:p w14:paraId="02CDC318" w14:textId="77777777" w:rsidR="00032E4E" w:rsidRPr="002D0ACF" w:rsidRDefault="001714BF" w:rsidP="00023DA9">
            <w:pPr>
              <w:rPr>
                <w:lang w:val="fr-FR"/>
              </w:rPr>
            </w:pPr>
            <w:r w:rsidRPr="002D0ACF">
              <w:rPr>
                <w:noProof/>
                <w:lang w:val="fr-FR"/>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0.75pt;mso-width-percent:0;mso-height-percent:0;mso-width-percent:0;mso-height-percent:0" o:ole="" fillcolor="window">
                  <v:imagedata r:id="rId8" o:title=""/>
                </v:shape>
                <o:OLEObject Type="Embed" ProgID="Word.Picture.8" ShapeID="_x0000_i1025" DrawAspect="Content" ObjectID="_1601288625" r:id="rId9"/>
              </w:object>
            </w:r>
            <w:r w:rsidR="00011A16" w:rsidRPr="002D0ACF">
              <w:rPr>
                <w:noProof/>
                <w:lang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26610015" w:rsidR="00032E4E" w:rsidRPr="002D0ACF" w:rsidRDefault="00825B40" w:rsidP="00023DA9">
            <w:pPr>
              <w:spacing w:before="1200"/>
              <w:rPr>
                <w:rFonts w:ascii="Arial" w:hAnsi="Arial" w:cs="Arial"/>
                <w:b/>
                <w:sz w:val="28"/>
                <w:lang w:val="fr-FR"/>
              </w:rPr>
            </w:pPr>
            <w:r w:rsidRPr="002D0ACF">
              <w:rPr>
                <w:rFonts w:ascii="Arial" w:hAnsi="Arial" w:cs="Arial"/>
                <w:b/>
                <w:sz w:val="32"/>
                <w:szCs w:val="32"/>
                <w:lang w:val="fr-FR"/>
              </w:rPr>
              <w:t>Programme</w:t>
            </w:r>
            <w:r w:rsidRPr="002D0ACF">
              <w:rPr>
                <w:rFonts w:ascii="Arial" w:hAnsi="Arial" w:cs="Arial"/>
                <w:b/>
                <w:sz w:val="32"/>
                <w:szCs w:val="32"/>
                <w:lang w:val="fr-FR"/>
              </w:rPr>
              <w:br/>
              <w:t>des Nations Unies</w:t>
            </w:r>
            <w:r w:rsidRPr="002D0ACF">
              <w:rPr>
                <w:rFonts w:ascii="Arial" w:hAnsi="Arial" w:cs="Arial"/>
                <w:b/>
                <w:sz w:val="32"/>
                <w:szCs w:val="32"/>
                <w:lang w:val="fr-FR"/>
              </w:rPr>
              <w:br/>
              <w:t>pour l’environnement</w:t>
            </w:r>
          </w:p>
        </w:tc>
        <w:tc>
          <w:tcPr>
            <w:tcW w:w="3335" w:type="dxa"/>
            <w:tcBorders>
              <w:top w:val="single" w:sz="4" w:space="0" w:color="auto"/>
              <w:bottom w:val="single" w:sz="24" w:space="0" w:color="auto"/>
            </w:tcBorders>
          </w:tcPr>
          <w:p w14:paraId="722F44F8" w14:textId="02C7DF2E" w:rsidR="00032E4E" w:rsidRPr="002D0ACF" w:rsidRDefault="00032E4E" w:rsidP="002A25E7">
            <w:pPr>
              <w:spacing w:before="120"/>
              <w:rPr>
                <w:lang w:val="fr-FR"/>
              </w:rPr>
            </w:pPr>
            <w:r w:rsidRPr="002D0ACF">
              <w:rPr>
                <w:lang w:val="fr-FR"/>
              </w:rPr>
              <w:t>Distr.</w:t>
            </w:r>
            <w:r w:rsidR="00CF3D13" w:rsidRPr="002D0ACF">
              <w:rPr>
                <w:lang w:val="fr-FR"/>
              </w:rPr>
              <w:t> </w:t>
            </w:r>
            <w:r w:rsidR="00825B40" w:rsidRPr="002D0ACF">
              <w:rPr>
                <w:lang w:val="fr-FR"/>
              </w:rPr>
              <w:t>générale</w:t>
            </w:r>
            <w:r w:rsidR="002A25E7" w:rsidRPr="002D0ACF">
              <w:rPr>
                <w:lang w:val="fr-FR"/>
              </w:rPr>
              <w:t xml:space="preserve"> </w:t>
            </w:r>
            <w:r w:rsidRPr="002D0ACF">
              <w:rPr>
                <w:lang w:val="fr-FR"/>
              </w:rPr>
              <w:br w:type="textWrapping" w:clear="all"/>
            </w:r>
            <w:r w:rsidR="00BF18A4" w:rsidRPr="002D0ACF">
              <w:rPr>
                <w:lang w:val="fr-FR"/>
              </w:rPr>
              <w:t>25</w:t>
            </w:r>
            <w:r w:rsidR="00825B40" w:rsidRPr="002D0ACF">
              <w:rPr>
                <w:lang w:val="fr-FR"/>
              </w:rPr>
              <w:t> septembre </w:t>
            </w:r>
            <w:r w:rsidR="002E73F4" w:rsidRPr="002D0ACF">
              <w:rPr>
                <w:lang w:val="fr-FR"/>
              </w:rPr>
              <w:t>2018</w:t>
            </w:r>
          </w:p>
          <w:p w14:paraId="318B47DA" w14:textId="77777777" w:rsidR="00825B40" w:rsidRPr="002D0ACF" w:rsidRDefault="00825B40" w:rsidP="00825B40">
            <w:pPr>
              <w:rPr>
                <w:lang w:val="fr-FR"/>
              </w:rPr>
            </w:pPr>
          </w:p>
          <w:p w14:paraId="6E82E1CB" w14:textId="3B7C6BE0" w:rsidR="00825B40" w:rsidRPr="002D0ACF" w:rsidRDefault="00825B40" w:rsidP="00825B40">
            <w:pPr>
              <w:rPr>
                <w:lang w:val="fr-FR"/>
              </w:rPr>
            </w:pPr>
            <w:r w:rsidRPr="002D0ACF">
              <w:rPr>
                <w:lang w:val="fr-FR"/>
              </w:rPr>
              <w:t>Français</w:t>
            </w:r>
          </w:p>
          <w:p w14:paraId="1A75CF9D" w14:textId="3CC68515" w:rsidR="00032E4E" w:rsidRPr="002D0ACF" w:rsidRDefault="00032E4E" w:rsidP="00825B40">
            <w:pPr>
              <w:rPr>
                <w:lang w:val="fr-FR"/>
              </w:rPr>
            </w:pPr>
            <w:r w:rsidRPr="002D0ACF">
              <w:rPr>
                <w:lang w:val="fr-FR"/>
              </w:rPr>
              <w:t>Original</w:t>
            </w:r>
            <w:r w:rsidR="00825B40" w:rsidRPr="002D0ACF">
              <w:rPr>
                <w:lang w:val="fr-FR"/>
              </w:rPr>
              <w:t> </w:t>
            </w:r>
            <w:r w:rsidRPr="002D0ACF">
              <w:rPr>
                <w:lang w:val="fr-FR"/>
              </w:rPr>
              <w:t xml:space="preserve">: </w:t>
            </w:r>
            <w:r w:rsidR="00825B40" w:rsidRPr="002D0ACF">
              <w:rPr>
                <w:lang w:val="fr-FR"/>
              </w:rPr>
              <w:t>anglais</w:t>
            </w:r>
          </w:p>
        </w:tc>
      </w:tr>
    </w:tbl>
    <w:p w14:paraId="01E04E34" w14:textId="77777777" w:rsidR="00825B40" w:rsidRPr="002D0ACF" w:rsidRDefault="00825B40" w:rsidP="00825B40">
      <w:pPr>
        <w:pStyle w:val="AATitle"/>
        <w:rPr>
          <w:lang w:val="fr-FR"/>
        </w:rPr>
      </w:pPr>
      <w:r w:rsidRPr="002D0ACF">
        <w:rPr>
          <w:lang w:val="fr-FR"/>
        </w:rPr>
        <w:t xml:space="preserve">Conférence des Parties à la Convention </w:t>
      </w:r>
      <w:r w:rsidRPr="002D0ACF">
        <w:rPr>
          <w:lang w:val="fr-FR"/>
        </w:rPr>
        <w:br/>
        <w:t>de Minamata sur le mercure</w:t>
      </w:r>
    </w:p>
    <w:p w14:paraId="1524E3BB" w14:textId="77777777" w:rsidR="00825B40" w:rsidRPr="002D0ACF" w:rsidRDefault="00825B40" w:rsidP="00825B40">
      <w:pPr>
        <w:pStyle w:val="AATitle"/>
        <w:rPr>
          <w:lang w:val="fr-FR"/>
        </w:rPr>
      </w:pPr>
      <w:r w:rsidRPr="002D0ACF">
        <w:rPr>
          <w:lang w:val="fr-FR"/>
        </w:rPr>
        <w:t>Deuxième réunion</w:t>
      </w:r>
    </w:p>
    <w:p w14:paraId="67B82F12" w14:textId="77AA3300" w:rsidR="00787688" w:rsidRPr="002D0ACF" w:rsidRDefault="00825B40" w:rsidP="00825B40">
      <w:pPr>
        <w:pStyle w:val="AATitle"/>
        <w:rPr>
          <w:b w:val="0"/>
          <w:lang w:val="fr-FR"/>
        </w:rPr>
      </w:pPr>
      <w:r w:rsidRPr="002D0ACF">
        <w:rPr>
          <w:b w:val="0"/>
          <w:lang w:val="fr-FR"/>
        </w:rPr>
        <w:t>Genève, 19-23 novembre 2018</w:t>
      </w:r>
    </w:p>
    <w:p w14:paraId="64DAC813" w14:textId="08845972" w:rsidR="00FE7303" w:rsidRPr="002D0ACF" w:rsidRDefault="00825B40" w:rsidP="00FE7303">
      <w:pPr>
        <w:pStyle w:val="AATitle"/>
        <w:rPr>
          <w:b w:val="0"/>
          <w:lang w:val="fr-FR"/>
        </w:rPr>
      </w:pPr>
      <w:r w:rsidRPr="002D0ACF">
        <w:rPr>
          <w:b w:val="0"/>
          <w:lang w:val="fr-FR"/>
        </w:rPr>
        <w:t>Point </w:t>
      </w:r>
      <w:r w:rsidR="007121D1" w:rsidRPr="002D0ACF">
        <w:rPr>
          <w:b w:val="0"/>
          <w:lang w:val="fr-FR"/>
        </w:rPr>
        <w:t>5</w:t>
      </w:r>
      <w:r w:rsidRPr="002D0ACF">
        <w:rPr>
          <w:b w:val="0"/>
          <w:lang w:val="fr-FR"/>
        </w:rPr>
        <w:t> </w:t>
      </w:r>
      <w:r w:rsidR="007121D1" w:rsidRPr="002D0ACF">
        <w:rPr>
          <w:b w:val="0"/>
          <w:lang w:val="fr-FR"/>
        </w:rPr>
        <w:t>e)</w:t>
      </w:r>
      <w:r w:rsidRPr="002D0ACF">
        <w:rPr>
          <w:b w:val="0"/>
          <w:lang w:val="fr-FR"/>
        </w:rPr>
        <w:t> </w:t>
      </w:r>
      <w:r w:rsidR="00FE7303" w:rsidRPr="002D0ACF">
        <w:rPr>
          <w:b w:val="0"/>
          <w:lang w:val="fr-FR"/>
        </w:rPr>
        <w:t xml:space="preserve">i) </w:t>
      </w:r>
      <w:r w:rsidRPr="002D0ACF">
        <w:rPr>
          <w:b w:val="0"/>
          <w:lang w:val="fr-FR"/>
        </w:rPr>
        <w:t>de l’ordre du jour provisoire</w:t>
      </w:r>
      <w:r w:rsidR="00FE7303" w:rsidRPr="002D0ACF">
        <w:rPr>
          <w:b w:val="0"/>
          <w:lang w:val="fr-FR"/>
        </w:rPr>
        <w:footnoteReference w:customMarkFollows="1" w:id="1"/>
        <w:t>*</w:t>
      </w:r>
    </w:p>
    <w:p w14:paraId="383A7AE3" w14:textId="68892D0E" w:rsidR="00FE7303" w:rsidRPr="002D0ACF" w:rsidRDefault="00825B40" w:rsidP="007121D1">
      <w:pPr>
        <w:pStyle w:val="AATitle2"/>
        <w:spacing w:before="60"/>
        <w:rPr>
          <w:lang w:val="fr-FR"/>
        </w:rPr>
      </w:pPr>
      <w:r w:rsidRPr="002D0ACF">
        <w:rPr>
          <w:lang w:val="fr-FR"/>
        </w:rPr>
        <w:t>Questions soumises à</w:t>
      </w:r>
      <w:r w:rsidR="00CF3D13" w:rsidRPr="002D0ACF">
        <w:rPr>
          <w:lang w:val="fr-FR"/>
        </w:rPr>
        <w:t xml:space="preserve"> la Conférence des Parties pour </w:t>
      </w:r>
      <w:r w:rsidRPr="002D0ACF">
        <w:rPr>
          <w:lang w:val="fr-FR"/>
        </w:rPr>
        <w:t>examen ou décision </w:t>
      </w:r>
      <w:r w:rsidR="00FE7303" w:rsidRPr="002D0ACF">
        <w:rPr>
          <w:lang w:val="fr-FR"/>
        </w:rPr>
        <w:t xml:space="preserve">: </w:t>
      </w:r>
      <w:r w:rsidRPr="002D0ACF">
        <w:rPr>
          <w:lang w:val="fr-FR"/>
        </w:rPr>
        <w:t>fonctionnement du mécanisme de financement </w:t>
      </w:r>
      <w:r w:rsidR="007121D1" w:rsidRPr="002D0ACF">
        <w:rPr>
          <w:lang w:val="fr-FR"/>
        </w:rPr>
        <w:t xml:space="preserve">: </w:t>
      </w:r>
      <w:r w:rsidR="00C96293" w:rsidRPr="002D0ACF">
        <w:rPr>
          <w:lang w:val="fr-FR"/>
        </w:rPr>
        <w:t>F</w:t>
      </w:r>
      <w:r w:rsidRPr="002D0ACF">
        <w:rPr>
          <w:lang w:val="fr-FR"/>
        </w:rPr>
        <w:t>onds pour l’environnement mondial </w:t>
      </w:r>
    </w:p>
    <w:p w14:paraId="36892537" w14:textId="5E3CD426" w:rsidR="00FE7303" w:rsidRPr="002D0ACF" w:rsidRDefault="002723AB" w:rsidP="00D468FB">
      <w:pPr>
        <w:pStyle w:val="BBTitle"/>
        <w:rPr>
          <w:lang w:val="fr-FR"/>
        </w:rPr>
      </w:pPr>
      <w:r w:rsidRPr="002D0ACF">
        <w:rPr>
          <w:lang w:val="fr-FR"/>
        </w:rPr>
        <w:t>P</w:t>
      </w:r>
      <w:r w:rsidR="00F54D81" w:rsidRPr="002D0ACF">
        <w:rPr>
          <w:lang w:val="fr-FR"/>
        </w:rPr>
        <w:t>oint sur</w:t>
      </w:r>
      <w:r w:rsidR="005F2FDB" w:rsidRPr="002D0ACF">
        <w:rPr>
          <w:lang w:val="fr-FR"/>
        </w:rPr>
        <w:t xml:space="preserve"> des questions relatives à </w:t>
      </w:r>
      <w:r w:rsidR="00FA2A5A" w:rsidRPr="002D0ACF">
        <w:rPr>
          <w:lang w:val="fr-FR"/>
        </w:rPr>
        <w:t xml:space="preserve">la </w:t>
      </w:r>
      <w:r w:rsidR="00CF3D13" w:rsidRPr="002D0ACF">
        <w:rPr>
          <w:bCs/>
          <w:lang w:val="fr-FR"/>
        </w:rPr>
        <w:t>Caisse du Fonds pour </w:t>
      </w:r>
      <w:r w:rsidR="00FA2A5A" w:rsidRPr="002D0ACF">
        <w:rPr>
          <w:bCs/>
          <w:lang w:val="fr-FR"/>
        </w:rPr>
        <w:t>l’environnement mondial</w:t>
      </w:r>
      <w:r w:rsidR="007121D1" w:rsidRPr="002D0ACF">
        <w:rPr>
          <w:lang w:val="fr-FR"/>
        </w:rPr>
        <w:t xml:space="preserve"> </w:t>
      </w:r>
    </w:p>
    <w:p w14:paraId="46658526" w14:textId="46BB3BBE" w:rsidR="00FE7303" w:rsidRPr="002D0ACF" w:rsidRDefault="00FE7303" w:rsidP="00FE7303">
      <w:pPr>
        <w:pStyle w:val="CH2"/>
        <w:rPr>
          <w:lang w:val="fr-FR"/>
        </w:rPr>
      </w:pPr>
      <w:r w:rsidRPr="002D0ACF">
        <w:rPr>
          <w:lang w:val="fr-FR"/>
        </w:rPr>
        <w:tab/>
      </w:r>
      <w:r w:rsidRPr="002D0ACF">
        <w:rPr>
          <w:lang w:val="fr-FR"/>
        </w:rPr>
        <w:tab/>
        <w:t xml:space="preserve">Note </w:t>
      </w:r>
      <w:r w:rsidR="00FA2A5A" w:rsidRPr="002D0ACF">
        <w:rPr>
          <w:lang w:val="fr-FR"/>
        </w:rPr>
        <w:t>du secrétariat</w:t>
      </w:r>
    </w:p>
    <w:p w14:paraId="517796FA" w14:textId="49E476DC" w:rsidR="00364032" w:rsidRPr="002D0ACF" w:rsidRDefault="00FA2A5A" w:rsidP="009807B3">
      <w:pPr>
        <w:pStyle w:val="Normalnumber"/>
        <w:numPr>
          <w:ilvl w:val="0"/>
          <w:numId w:val="1"/>
        </w:numPr>
        <w:rPr>
          <w:lang w:val="fr-FR"/>
        </w:rPr>
      </w:pPr>
      <w:bookmarkStart w:id="5" w:name="_Hlk525996886"/>
      <w:r w:rsidRPr="002D0ACF">
        <w:rPr>
          <w:bCs/>
          <w:lang w:val="fr-FR"/>
        </w:rPr>
        <w:t>Au</w:t>
      </w:r>
      <w:r w:rsidR="00951673" w:rsidRPr="002D0ACF">
        <w:rPr>
          <w:bCs/>
          <w:lang w:val="fr-FR"/>
        </w:rPr>
        <w:t xml:space="preserve"> paragraph</w:t>
      </w:r>
      <w:r w:rsidRPr="002D0ACF">
        <w:rPr>
          <w:bCs/>
          <w:lang w:val="fr-FR"/>
        </w:rPr>
        <w:t>e </w:t>
      </w:r>
      <w:r w:rsidR="00951673" w:rsidRPr="002D0ACF">
        <w:rPr>
          <w:bCs/>
          <w:lang w:val="fr-FR"/>
        </w:rPr>
        <w:t xml:space="preserve">5 </w:t>
      </w:r>
      <w:r w:rsidRPr="002D0ACF">
        <w:rPr>
          <w:bCs/>
          <w:lang w:val="fr-FR"/>
        </w:rPr>
        <w:t>de l’</w:t>
      </w:r>
      <w:r w:rsidR="00951673" w:rsidRPr="002D0ACF">
        <w:rPr>
          <w:bCs/>
          <w:lang w:val="fr-FR"/>
        </w:rPr>
        <w:t>article</w:t>
      </w:r>
      <w:r w:rsidRPr="002D0ACF">
        <w:rPr>
          <w:bCs/>
          <w:lang w:val="fr-FR"/>
        </w:rPr>
        <w:t> </w:t>
      </w:r>
      <w:r w:rsidR="00951673" w:rsidRPr="002D0ACF">
        <w:rPr>
          <w:bCs/>
          <w:lang w:val="fr-FR"/>
        </w:rPr>
        <w:t xml:space="preserve">13, </w:t>
      </w:r>
      <w:r w:rsidRPr="002D0ACF">
        <w:rPr>
          <w:bCs/>
          <w:lang w:val="fr-FR"/>
        </w:rPr>
        <w:t>la Convention de Minamata sur le mercure institue un mécanisme destiné à fournir en temps voulu des ressources financières adéquates et prévisibles pour aider les Parties qui sont des pays en développement ou des pays à économie en transition dans la mise en œuvre de leurs obligations au titre de la Convention</w:t>
      </w:r>
      <w:r w:rsidR="00D468FB" w:rsidRPr="002D0ACF">
        <w:rPr>
          <w:bCs/>
          <w:lang w:val="fr-FR"/>
        </w:rPr>
        <w:t xml:space="preserve">. </w:t>
      </w:r>
      <w:r w:rsidRPr="002D0ACF">
        <w:rPr>
          <w:bCs/>
          <w:lang w:val="fr-FR"/>
        </w:rPr>
        <w:t>Aux termes de la</w:t>
      </w:r>
      <w:r w:rsidR="00D468FB" w:rsidRPr="002D0ACF">
        <w:rPr>
          <w:bCs/>
          <w:lang w:val="fr-FR"/>
        </w:rPr>
        <w:t xml:space="preserve"> Convention</w:t>
      </w:r>
      <w:r w:rsidR="00E72B5F" w:rsidRPr="002D0ACF">
        <w:rPr>
          <w:bCs/>
          <w:lang w:val="fr-FR"/>
        </w:rPr>
        <w:t>,</w:t>
      </w:r>
      <w:r w:rsidR="00D468FB" w:rsidRPr="002D0ACF">
        <w:rPr>
          <w:bCs/>
          <w:lang w:val="fr-FR"/>
        </w:rPr>
        <w:t xml:space="preserve"> </w:t>
      </w:r>
      <w:r w:rsidRPr="002D0ACF">
        <w:rPr>
          <w:bCs/>
          <w:lang w:val="fr-FR"/>
        </w:rPr>
        <w:t>le mécan</w:t>
      </w:r>
      <w:r w:rsidR="00D2367C" w:rsidRPr="002D0ACF">
        <w:rPr>
          <w:bCs/>
          <w:lang w:val="fr-FR"/>
        </w:rPr>
        <w:t>is</w:t>
      </w:r>
      <w:r w:rsidRPr="002D0ACF">
        <w:rPr>
          <w:bCs/>
          <w:lang w:val="fr-FR"/>
        </w:rPr>
        <w:t>me</w:t>
      </w:r>
      <w:r w:rsidR="00D2367C" w:rsidRPr="002D0ACF">
        <w:rPr>
          <w:bCs/>
          <w:lang w:val="fr-FR"/>
        </w:rPr>
        <w:t xml:space="preserve"> devrait inclure la Caisse du Fonds pour l’environnement mondial</w:t>
      </w:r>
      <w:r w:rsidR="00D468FB" w:rsidRPr="002D0ACF">
        <w:rPr>
          <w:bCs/>
          <w:lang w:val="fr-FR"/>
        </w:rPr>
        <w:t xml:space="preserve"> </w:t>
      </w:r>
      <w:r w:rsidR="00D2367C" w:rsidRPr="002D0ACF">
        <w:rPr>
          <w:bCs/>
          <w:lang w:val="fr-FR"/>
        </w:rPr>
        <w:t>et</w:t>
      </w:r>
      <w:r w:rsidR="00D468FB" w:rsidRPr="002D0ACF">
        <w:rPr>
          <w:bCs/>
          <w:lang w:val="fr-FR"/>
        </w:rPr>
        <w:t xml:space="preserve"> </w:t>
      </w:r>
      <w:r w:rsidR="00D2367C" w:rsidRPr="002D0ACF">
        <w:rPr>
          <w:bCs/>
          <w:lang w:val="fr-FR"/>
        </w:rPr>
        <w:t xml:space="preserve">un </w:t>
      </w:r>
      <w:bookmarkStart w:id="6" w:name="_Hlk526869828"/>
      <w:r w:rsidR="00D2367C" w:rsidRPr="002D0ACF">
        <w:rPr>
          <w:bCs/>
          <w:lang w:val="fr-FR"/>
        </w:rPr>
        <w:t>programme international spécifique visant à soutenir le renforcement des capacités et l’assistance technique</w:t>
      </w:r>
      <w:bookmarkEnd w:id="6"/>
      <w:r w:rsidR="00D468FB" w:rsidRPr="002D0ACF">
        <w:rPr>
          <w:bCs/>
          <w:lang w:val="fr-FR"/>
        </w:rPr>
        <w:t>.</w:t>
      </w:r>
      <w:bookmarkEnd w:id="5"/>
      <w:r w:rsidR="00D468FB" w:rsidRPr="002D0ACF">
        <w:rPr>
          <w:bCs/>
          <w:lang w:val="fr-FR"/>
        </w:rPr>
        <w:t xml:space="preserve"> </w:t>
      </w:r>
    </w:p>
    <w:p w14:paraId="22EE652A" w14:textId="16AA430B" w:rsidR="00AF398A" w:rsidRPr="002D0ACF" w:rsidRDefault="00D2367C" w:rsidP="00364032">
      <w:pPr>
        <w:pStyle w:val="Normalnumber"/>
        <w:numPr>
          <w:ilvl w:val="0"/>
          <w:numId w:val="1"/>
        </w:numPr>
        <w:rPr>
          <w:lang w:val="fr-FR"/>
        </w:rPr>
      </w:pPr>
      <w:r w:rsidRPr="002D0ACF">
        <w:rPr>
          <w:bCs/>
          <w:lang w:val="fr-FR"/>
        </w:rPr>
        <w:t xml:space="preserve">La présente note aborde </w:t>
      </w:r>
      <w:r w:rsidR="00E67605" w:rsidRPr="002D0ACF">
        <w:rPr>
          <w:bCs/>
          <w:lang w:val="fr-FR"/>
        </w:rPr>
        <w:t>des</w:t>
      </w:r>
      <w:r w:rsidRPr="002D0ACF">
        <w:rPr>
          <w:bCs/>
          <w:lang w:val="fr-FR"/>
        </w:rPr>
        <w:t xml:space="preserve"> questions concernant la première entité</w:t>
      </w:r>
      <w:r w:rsidR="00AF398A" w:rsidRPr="002D0ACF">
        <w:rPr>
          <w:rStyle w:val="FootnoteReference"/>
          <w:bCs/>
          <w:lang w:val="fr-FR"/>
        </w:rPr>
        <w:footnoteReference w:id="2"/>
      </w:r>
      <w:r w:rsidR="005C3436" w:rsidRPr="002D0ACF">
        <w:rPr>
          <w:bCs/>
          <w:lang w:val="fr-FR"/>
        </w:rPr>
        <w:t xml:space="preserve"> </w:t>
      </w:r>
      <w:r w:rsidRPr="002D0ACF">
        <w:rPr>
          <w:bCs/>
          <w:lang w:val="fr-FR"/>
        </w:rPr>
        <w:t xml:space="preserve">du mécanisme de financement, à savoir la Caisse du Fonds pour l’environnement mondial (FEM), et doit être </w:t>
      </w:r>
      <w:r w:rsidR="000B4F5E" w:rsidRPr="002D0ACF">
        <w:rPr>
          <w:bCs/>
          <w:lang w:val="fr-FR"/>
        </w:rPr>
        <w:t xml:space="preserve">examinée parallèlement au rapport du Conseil du Fonds pour l’environnement mondial à la Conférence des Parties à la Convention de </w:t>
      </w:r>
      <w:r w:rsidR="00AF398A" w:rsidRPr="002D0ACF">
        <w:rPr>
          <w:bCs/>
          <w:lang w:val="fr-FR"/>
        </w:rPr>
        <w:t xml:space="preserve">Minamata </w:t>
      </w:r>
      <w:r w:rsidR="000B4F5E" w:rsidRPr="002D0ACF">
        <w:rPr>
          <w:bCs/>
          <w:lang w:val="fr-FR"/>
        </w:rPr>
        <w:t>à sa deuxième réunion</w:t>
      </w:r>
      <w:r w:rsidR="00FE6067" w:rsidRPr="002D0ACF">
        <w:rPr>
          <w:bCs/>
          <w:lang w:val="fr-FR"/>
        </w:rPr>
        <w:t xml:space="preserve"> (UNEP/MC/COP.2/INF</w:t>
      </w:r>
      <w:r w:rsidR="00432FD5" w:rsidRPr="002D0ACF">
        <w:rPr>
          <w:bCs/>
          <w:lang w:val="fr-FR"/>
        </w:rPr>
        <w:t>.</w:t>
      </w:r>
      <w:r w:rsidR="00FE6067" w:rsidRPr="002D0ACF">
        <w:rPr>
          <w:bCs/>
          <w:lang w:val="fr-FR"/>
        </w:rPr>
        <w:t>3, annex</w:t>
      </w:r>
      <w:r w:rsidR="000B4F5E" w:rsidRPr="002D0ACF">
        <w:rPr>
          <w:bCs/>
          <w:lang w:val="fr-FR"/>
        </w:rPr>
        <w:t>e</w:t>
      </w:r>
      <w:r w:rsidR="00FE6067" w:rsidRPr="002D0ACF">
        <w:rPr>
          <w:bCs/>
          <w:lang w:val="fr-FR"/>
        </w:rPr>
        <w:t>)</w:t>
      </w:r>
      <w:r w:rsidR="00D468FB" w:rsidRPr="002D0ACF">
        <w:rPr>
          <w:bCs/>
          <w:lang w:val="fr-FR"/>
        </w:rPr>
        <w:t xml:space="preserve">. </w:t>
      </w:r>
      <w:r w:rsidR="000B4F5E" w:rsidRPr="002D0ACF">
        <w:rPr>
          <w:bCs/>
          <w:lang w:val="fr-FR"/>
        </w:rPr>
        <w:t>Le résumé analytique du rapport est reproduit dans l’annexe </w:t>
      </w:r>
      <w:r w:rsidR="00AF398A" w:rsidRPr="002D0ACF">
        <w:rPr>
          <w:bCs/>
          <w:lang w:val="fr-FR"/>
        </w:rPr>
        <w:t xml:space="preserve">I </w:t>
      </w:r>
      <w:r w:rsidR="002723AB" w:rsidRPr="002D0ACF">
        <w:rPr>
          <w:bCs/>
          <w:lang w:val="fr-FR"/>
        </w:rPr>
        <w:t>de</w:t>
      </w:r>
      <w:r w:rsidR="000B4F5E" w:rsidRPr="002D0ACF">
        <w:rPr>
          <w:bCs/>
          <w:lang w:val="fr-FR"/>
        </w:rPr>
        <w:t xml:space="preserve"> la présente note</w:t>
      </w:r>
      <w:r w:rsidR="00FE6067" w:rsidRPr="002D0ACF">
        <w:rPr>
          <w:bCs/>
          <w:lang w:val="fr-FR"/>
        </w:rPr>
        <w:t xml:space="preserve">. </w:t>
      </w:r>
      <w:r w:rsidR="000B4F5E" w:rsidRPr="002D0ACF">
        <w:rPr>
          <w:bCs/>
          <w:lang w:val="fr-FR"/>
        </w:rPr>
        <w:t>L</w:t>
      </w:r>
      <w:r w:rsidR="002723AB" w:rsidRPr="002D0ACF">
        <w:rPr>
          <w:bCs/>
          <w:lang w:val="fr-FR"/>
        </w:rPr>
        <w:t>a version anglaise de l</w:t>
      </w:r>
      <w:r w:rsidR="000B4F5E" w:rsidRPr="002D0ACF">
        <w:rPr>
          <w:bCs/>
          <w:lang w:val="fr-FR"/>
        </w:rPr>
        <w:t>’annexe est présentée telle que reçue, sans avoir été revue par les services d’édition</w:t>
      </w:r>
      <w:r w:rsidR="00AF398A" w:rsidRPr="002D0ACF">
        <w:rPr>
          <w:bCs/>
          <w:lang w:val="fr-FR"/>
        </w:rPr>
        <w:t>.</w:t>
      </w:r>
    </w:p>
    <w:p w14:paraId="2EABB5BB" w14:textId="09CB1F0E" w:rsidR="00AF398A" w:rsidRPr="002D0ACF" w:rsidRDefault="00AF398A" w:rsidP="00AF398A">
      <w:pPr>
        <w:pStyle w:val="CH3"/>
        <w:rPr>
          <w:lang w:val="fr-FR"/>
        </w:rPr>
      </w:pPr>
      <w:r w:rsidRPr="002D0ACF">
        <w:rPr>
          <w:lang w:val="fr-FR"/>
        </w:rPr>
        <w:tab/>
        <w:t>1.</w:t>
      </w:r>
      <w:r w:rsidRPr="002D0ACF">
        <w:rPr>
          <w:lang w:val="fr-FR"/>
        </w:rPr>
        <w:tab/>
      </w:r>
      <w:r w:rsidR="00125FEF" w:rsidRPr="002D0ACF">
        <w:rPr>
          <w:lang w:val="fr-FR"/>
        </w:rPr>
        <w:t>Programmes</w:t>
      </w:r>
      <w:r w:rsidR="002D16BF" w:rsidRPr="002D0ACF">
        <w:rPr>
          <w:lang w:val="fr-FR"/>
        </w:rPr>
        <w:t xml:space="preserve"> </w:t>
      </w:r>
      <w:r w:rsidR="0060123A" w:rsidRPr="002D0ACF">
        <w:rPr>
          <w:bCs/>
          <w:lang w:val="fr-FR"/>
        </w:rPr>
        <w:t>concernant le mercure</w:t>
      </w:r>
      <w:r w:rsidR="0060123A" w:rsidRPr="002D0ACF">
        <w:rPr>
          <w:lang w:val="fr-FR"/>
        </w:rPr>
        <w:t xml:space="preserve"> </w:t>
      </w:r>
      <w:r w:rsidR="002D16BF" w:rsidRPr="002D0ACF">
        <w:rPr>
          <w:lang w:val="fr-FR"/>
        </w:rPr>
        <w:t xml:space="preserve">du </w:t>
      </w:r>
      <w:r w:rsidR="00AF2673" w:rsidRPr="002D0ACF">
        <w:rPr>
          <w:bCs/>
          <w:lang w:val="fr-FR"/>
        </w:rPr>
        <w:t xml:space="preserve">Fonds pour l’environnement mondial </w:t>
      </w:r>
    </w:p>
    <w:p w14:paraId="0A997168" w14:textId="50C8766F" w:rsidR="00364032" w:rsidRPr="002D0ACF" w:rsidRDefault="00AF2673" w:rsidP="00364032">
      <w:pPr>
        <w:pStyle w:val="Normalnumber"/>
        <w:numPr>
          <w:ilvl w:val="0"/>
          <w:numId w:val="1"/>
        </w:numPr>
        <w:rPr>
          <w:lang w:val="fr-FR"/>
        </w:rPr>
      </w:pPr>
      <w:r w:rsidRPr="002D0ACF">
        <w:rPr>
          <w:lang w:val="fr-FR"/>
        </w:rPr>
        <w:t>Le FEM</w:t>
      </w:r>
      <w:r w:rsidR="00B929E1" w:rsidRPr="002D0ACF">
        <w:rPr>
          <w:lang w:val="fr-FR"/>
        </w:rPr>
        <w:t xml:space="preserve"> a </w:t>
      </w:r>
      <w:r w:rsidR="002723AB" w:rsidRPr="002D0ACF">
        <w:rPr>
          <w:lang w:val="fr-FR"/>
        </w:rPr>
        <w:t>apporté</w:t>
      </w:r>
      <w:r w:rsidR="00B929E1" w:rsidRPr="002D0ACF">
        <w:rPr>
          <w:lang w:val="fr-FR"/>
        </w:rPr>
        <w:t xml:space="preserve"> un appui </w:t>
      </w:r>
      <w:r w:rsidR="00125FEF" w:rsidRPr="002D0ACF">
        <w:rPr>
          <w:lang w:val="fr-FR"/>
        </w:rPr>
        <w:t xml:space="preserve">aux programmes </w:t>
      </w:r>
      <w:r w:rsidR="003A6111" w:rsidRPr="002D0ACF">
        <w:rPr>
          <w:lang w:val="fr-FR"/>
        </w:rPr>
        <w:t xml:space="preserve">concernant le mercure depuis la cinquième période de reconstitution de </w:t>
      </w:r>
      <w:r w:rsidR="002723AB" w:rsidRPr="002D0ACF">
        <w:rPr>
          <w:lang w:val="fr-FR"/>
        </w:rPr>
        <w:t>s</w:t>
      </w:r>
      <w:r w:rsidR="003A6111" w:rsidRPr="002D0ACF">
        <w:rPr>
          <w:lang w:val="fr-FR"/>
        </w:rPr>
        <w:t>a</w:t>
      </w:r>
      <w:r w:rsidR="00364032" w:rsidRPr="002D0ACF">
        <w:rPr>
          <w:lang w:val="fr-FR"/>
        </w:rPr>
        <w:t xml:space="preserve"> </w:t>
      </w:r>
      <w:r w:rsidR="003A6111" w:rsidRPr="002D0ACF">
        <w:rPr>
          <w:bCs/>
          <w:lang w:val="fr-FR"/>
        </w:rPr>
        <w:t>Caisse</w:t>
      </w:r>
      <w:r w:rsidR="00364032" w:rsidRPr="002D0ACF">
        <w:rPr>
          <w:lang w:val="fr-FR"/>
        </w:rPr>
        <w:t>.</w:t>
      </w:r>
      <w:r w:rsidR="003A6111" w:rsidRPr="002D0ACF">
        <w:rPr>
          <w:lang w:val="fr-FR"/>
        </w:rPr>
        <w:t xml:space="preserve"> Le rapport du Conseil du FEM</w:t>
      </w:r>
      <w:r w:rsidR="00364032" w:rsidRPr="002D0ACF">
        <w:rPr>
          <w:lang w:val="fr-FR"/>
        </w:rPr>
        <w:t xml:space="preserve"> </w:t>
      </w:r>
      <w:r w:rsidR="003A6111" w:rsidRPr="002D0ACF">
        <w:rPr>
          <w:lang w:val="fr-FR"/>
        </w:rPr>
        <w:t>rend compte de l’appui fourni par le FEM à la Convention de Minamata au cours de la sixième période de reconstitution du FEM </w:t>
      </w:r>
      <w:r w:rsidR="00942355" w:rsidRPr="002D0ACF">
        <w:rPr>
          <w:lang w:val="fr-FR"/>
        </w:rPr>
        <w:t xml:space="preserve">: </w:t>
      </w:r>
      <w:r w:rsidR="003A6111" w:rsidRPr="002D0ACF">
        <w:rPr>
          <w:lang w:val="fr-FR"/>
        </w:rPr>
        <w:t>jusqu’en juin </w:t>
      </w:r>
      <w:r w:rsidR="003458E2" w:rsidRPr="002D0ACF">
        <w:rPr>
          <w:lang w:val="fr-FR"/>
        </w:rPr>
        <w:t xml:space="preserve">2018, </w:t>
      </w:r>
      <w:r w:rsidR="003A6111" w:rsidRPr="002D0ACF">
        <w:rPr>
          <w:lang w:val="fr-FR"/>
        </w:rPr>
        <w:t xml:space="preserve">le FEM a </w:t>
      </w:r>
      <w:r w:rsidR="002723AB" w:rsidRPr="002D0ACF">
        <w:rPr>
          <w:lang w:val="fr-FR"/>
        </w:rPr>
        <w:t>aidé</w:t>
      </w:r>
      <w:r w:rsidR="000340A2" w:rsidRPr="002D0ACF">
        <w:rPr>
          <w:lang w:val="fr-FR"/>
        </w:rPr>
        <w:t xml:space="preserve"> 110 pays </w:t>
      </w:r>
      <w:r w:rsidR="002723AB" w:rsidRPr="002D0ACF">
        <w:rPr>
          <w:lang w:val="fr-FR"/>
        </w:rPr>
        <w:t xml:space="preserve">à </w:t>
      </w:r>
      <w:r w:rsidR="000340A2" w:rsidRPr="002D0ACF">
        <w:rPr>
          <w:lang w:val="fr-FR"/>
        </w:rPr>
        <w:t xml:space="preserve">procéder à leurs évaluations initiales de la Convention de Minamata et 32 pays </w:t>
      </w:r>
      <w:r w:rsidR="002723AB" w:rsidRPr="002D0ACF">
        <w:rPr>
          <w:lang w:val="fr-FR"/>
        </w:rPr>
        <w:t>à établir leur plan d’action national</w:t>
      </w:r>
      <w:r w:rsidR="000340A2" w:rsidRPr="002D0ACF">
        <w:rPr>
          <w:lang w:val="fr-FR"/>
        </w:rPr>
        <w:t xml:space="preserve"> concernant </w:t>
      </w:r>
      <w:bookmarkStart w:id="7" w:name="_Hlk526871177"/>
      <w:r w:rsidR="000340A2" w:rsidRPr="002D0ACF">
        <w:rPr>
          <w:lang w:val="fr-FR"/>
        </w:rPr>
        <w:t>l’extraction minière artisanale et à petite échelle d’or</w:t>
      </w:r>
      <w:bookmarkEnd w:id="7"/>
      <w:r w:rsidR="003458E2" w:rsidRPr="002D0ACF">
        <w:rPr>
          <w:lang w:val="fr-FR"/>
        </w:rPr>
        <w:t>.</w:t>
      </w:r>
      <w:r w:rsidR="00F86F9A" w:rsidRPr="002D0ACF">
        <w:rPr>
          <w:lang w:val="fr-FR"/>
        </w:rPr>
        <w:t xml:space="preserve"> Le rapport</w:t>
      </w:r>
      <w:r w:rsidR="003458E2" w:rsidRPr="002D0ACF">
        <w:rPr>
          <w:lang w:val="fr-FR"/>
        </w:rPr>
        <w:t xml:space="preserve"> </w:t>
      </w:r>
      <w:r w:rsidR="00F86F9A" w:rsidRPr="002D0ACF">
        <w:rPr>
          <w:lang w:val="fr-FR"/>
        </w:rPr>
        <w:t>donne également un aperçu de la septième reconstitution du FEM, telle que conclue en avril 2018 et approuvée par le Conseil du FEM à sa cinquante-quatrième réunion</w:t>
      </w:r>
      <w:r w:rsidR="002723AB" w:rsidRPr="002D0ACF">
        <w:rPr>
          <w:lang w:val="fr-FR"/>
        </w:rPr>
        <w:t>,</w:t>
      </w:r>
      <w:r w:rsidR="00F86F9A" w:rsidRPr="002D0ACF">
        <w:rPr>
          <w:lang w:val="fr-FR"/>
        </w:rPr>
        <w:t xml:space="preserve"> en juin 2018</w:t>
      </w:r>
      <w:r w:rsidR="00364032" w:rsidRPr="002D0ACF">
        <w:rPr>
          <w:lang w:val="fr-FR"/>
        </w:rPr>
        <w:t>.</w:t>
      </w:r>
    </w:p>
    <w:p w14:paraId="1472B34A" w14:textId="6F631A9F" w:rsidR="00FE7303" w:rsidRPr="002D0ACF" w:rsidRDefault="00F86F9A" w:rsidP="00702B5B">
      <w:pPr>
        <w:pStyle w:val="Normalnumber"/>
        <w:keepNext/>
        <w:keepLines/>
        <w:numPr>
          <w:ilvl w:val="0"/>
          <w:numId w:val="1"/>
        </w:numPr>
        <w:rPr>
          <w:lang w:val="fr-FR"/>
        </w:rPr>
      </w:pPr>
      <w:r w:rsidRPr="002D0ACF">
        <w:rPr>
          <w:lang w:val="fr-FR"/>
        </w:rPr>
        <w:lastRenderedPageBreak/>
        <w:t>Les</w:t>
      </w:r>
      <w:r w:rsidR="00364032" w:rsidRPr="002D0ACF">
        <w:rPr>
          <w:lang w:val="fr-FR"/>
        </w:rPr>
        <w:t xml:space="preserve"> participants </w:t>
      </w:r>
      <w:r w:rsidRPr="002D0ACF">
        <w:rPr>
          <w:lang w:val="fr-FR"/>
        </w:rPr>
        <w:t>à la septième reconstitution de la Caisse du FEM</w:t>
      </w:r>
      <w:r w:rsidR="005D2E3E" w:rsidRPr="002D0ACF">
        <w:rPr>
          <w:lang w:val="fr-FR"/>
        </w:rPr>
        <w:t xml:space="preserve"> </w:t>
      </w:r>
      <w:r w:rsidRPr="002D0ACF">
        <w:rPr>
          <w:lang w:val="fr-FR"/>
        </w:rPr>
        <w:t xml:space="preserve">ont alloué, à titre indicatif, </w:t>
      </w:r>
      <w:r w:rsidR="00364032" w:rsidRPr="002D0ACF">
        <w:rPr>
          <w:lang w:val="fr-FR"/>
        </w:rPr>
        <w:t>599</w:t>
      </w:r>
      <w:r w:rsidRPr="002D0ACF">
        <w:rPr>
          <w:lang w:val="fr-FR"/>
        </w:rPr>
        <w:t> </w:t>
      </w:r>
      <w:r w:rsidR="00364032" w:rsidRPr="002D0ACF">
        <w:rPr>
          <w:lang w:val="fr-FR"/>
        </w:rPr>
        <w:t>million</w:t>
      </w:r>
      <w:r w:rsidRPr="002D0ACF">
        <w:rPr>
          <w:lang w:val="fr-FR"/>
        </w:rPr>
        <w:t>s de dollars au domaine d’intervention relatif aux produits chimiques et aux déchets</w:t>
      </w:r>
      <w:r w:rsidR="0052077C" w:rsidRPr="002D0ACF">
        <w:rPr>
          <w:lang w:val="fr-FR"/>
        </w:rPr>
        <w:t xml:space="preserve">, montant représentant </w:t>
      </w:r>
      <w:r w:rsidR="00364032" w:rsidRPr="002D0ACF">
        <w:rPr>
          <w:lang w:val="fr-FR"/>
        </w:rPr>
        <w:t>15</w:t>
      </w:r>
      <w:r w:rsidR="0052077C" w:rsidRPr="002D0ACF">
        <w:rPr>
          <w:lang w:val="fr-FR"/>
        </w:rPr>
        <w:t> % de l’enveloppe totale de reconstitution</w:t>
      </w:r>
      <w:r w:rsidR="00364032" w:rsidRPr="002D0ACF">
        <w:rPr>
          <w:lang w:val="fr-FR"/>
        </w:rPr>
        <w:t xml:space="preserve">. </w:t>
      </w:r>
      <w:r w:rsidR="0052077C" w:rsidRPr="002D0ACF">
        <w:rPr>
          <w:lang w:val="fr-FR"/>
        </w:rPr>
        <w:t xml:space="preserve">Un montant de </w:t>
      </w:r>
      <w:r w:rsidR="00364032" w:rsidRPr="002D0ACF">
        <w:rPr>
          <w:lang w:val="fr-FR"/>
        </w:rPr>
        <w:t>20</w:t>
      </w:r>
      <w:r w:rsidR="00AB6F63" w:rsidRPr="002D0ACF">
        <w:rPr>
          <w:lang w:val="fr-FR"/>
        </w:rPr>
        <w:t>6</w:t>
      </w:r>
      <w:r w:rsidR="0052077C" w:rsidRPr="002D0ACF">
        <w:rPr>
          <w:lang w:val="fr-FR"/>
        </w:rPr>
        <w:t> </w:t>
      </w:r>
      <w:r w:rsidR="00364032" w:rsidRPr="002D0ACF">
        <w:rPr>
          <w:lang w:val="fr-FR"/>
        </w:rPr>
        <w:t>million</w:t>
      </w:r>
      <w:r w:rsidR="0052077C" w:rsidRPr="002D0ACF">
        <w:rPr>
          <w:lang w:val="fr-FR"/>
        </w:rPr>
        <w:t xml:space="preserve">s de dollars a été alloué, à titre indicatif, </w:t>
      </w:r>
      <w:r w:rsidR="00125FEF" w:rsidRPr="002D0ACF">
        <w:rPr>
          <w:lang w:val="fr-FR"/>
        </w:rPr>
        <w:t>aux programmes</w:t>
      </w:r>
      <w:r w:rsidR="0052077C" w:rsidRPr="002D0ACF">
        <w:rPr>
          <w:lang w:val="fr-FR"/>
        </w:rPr>
        <w:t xml:space="preserve"> concernant le mercure, un chiffre nettement supérieur </w:t>
      </w:r>
      <w:r w:rsidR="00125FEF" w:rsidRPr="002D0ACF">
        <w:rPr>
          <w:lang w:val="fr-FR"/>
        </w:rPr>
        <w:t xml:space="preserve">aux </w:t>
      </w:r>
      <w:r w:rsidR="0052077C" w:rsidRPr="002D0ACF">
        <w:rPr>
          <w:lang w:val="fr-FR"/>
        </w:rPr>
        <w:t xml:space="preserve">141 millions de dollars </w:t>
      </w:r>
      <w:r w:rsidR="00125FEF" w:rsidRPr="002D0ACF">
        <w:rPr>
          <w:lang w:val="fr-FR"/>
        </w:rPr>
        <w:t xml:space="preserve">recueillis au cours </w:t>
      </w:r>
      <w:r w:rsidR="0052077C" w:rsidRPr="002D0ACF">
        <w:rPr>
          <w:lang w:val="fr-FR"/>
        </w:rPr>
        <w:t>de la sixième reconstitution</w:t>
      </w:r>
      <w:r w:rsidR="00364032" w:rsidRPr="002D0ACF">
        <w:rPr>
          <w:lang w:val="fr-FR"/>
        </w:rPr>
        <w:t xml:space="preserve">. </w:t>
      </w:r>
    </w:p>
    <w:p w14:paraId="1A1E581D" w14:textId="2C0B02A6" w:rsidR="00364032" w:rsidRPr="002D0ACF" w:rsidRDefault="00364032" w:rsidP="00364032">
      <w:pPr>
        <w:pStyle w:val="CH3"/>
        <w:rPr>
          <w:lang w:val="fr-FR"/>
        </w:rPr>
      </w:pPr>
      <w:r w:rsidRPr="002D0ACF">
        <w:rPr>
          <w:lang w:val="fr-FR"/>
        </w:rPr>
        <w:tab/>
        <w:t>2.</w:t>
      </w:r>
      <w:r w:rsidRPr="002D0ACF">
        <w:rPr>
          <w:lang w:val="fr-FR"/>
        </w:rPr>
        <w:tab/>
        <w:t>Coop</w:t>
      </w:r>
      <w:r w:rsidR="00744A3A" w:rsidRPr="002D0ACF">
        <w:rPr>
          <w:lang w:val="fr-FR"/>
        </w:rPr>
        <w:t>é</w:t>
      </w:r>
      <w:r w:rsidRPr="002D0ACF">
        <w:rPr>
          <w:lang w:val="fr-FR"/>
        </w:rPr>
        <w:t xml:space="preserve">ration </w:t>
      </w:r>
      <w:r w:rsidR="00744A3A" w:rsidRPr="002D0ACF">
        <w:rPr>
          <w:lang w:val="fr-FR"/>
        </w:rPr>
        <w:t>entre le secrétariat du Fonds pour l’environneme</w:t>
      </w:r>
      <w:r w:rsidR="000232D2" w:rsidRPr="002D0ACF">
        <w:rPr>
          <w:lang w:val="fr-FR"/>
        </w:rPr>
        <w:t>nt mondial et le secrétariat de </w:t>
      </w:r>
      <w:r w:rsidR="00744A3A" w:rsidRPr="002D0ACF">
        <w:rPr>
          <w:lang w:val="fr-FR"/>
        </w:rPr>
        <w:t xml:space="preserve">la Convention de Minamata sur le mercure </w:t>
      </w:r>
    </w:p>
    <w:p w14:paraId="25019C6F" w14:textId="214965C8" w:rsidR="00D97A04" w:rsidRPr="002D0ACF" w:rsidRDefault="00744A3A" w:rsidP="00D97A04">
      <w:pPr>
        <w:pStyle w:val="Normalnumber"/>
        <w:numPr>
          <w:ilvl w:val="0"/>
          <w:numId w:val="1"/>
        </w:numPr>
        <w:rPr>
          <w:lang w:val="fr-FR"/>
        </w:rPr>
      </w:pPr>
      <w:r w:rsidRPr="002D0ACF">
        <w:rPr>
          <w:lang w:val="fr-FR"/>
        </w:rPr>
        <w:t>L</w:t>
      </w:r>
      <w:r w:rsidR="0000179E" w:rsidRPr="002D0ACF">
        <w:rPr>
          <w:lang w:val="fr-FR"/>
        </w:rPr>
        <w:t xml:space="preserve">a </w:t>
      </w:r>
      <w:r w:rsidRPr="002D0ACF">
        <w:rPr>
          <w:lang w:val="fr-FR"/>
        </w:rPr>
        <w:t>Direct</w:t>
      </w:r>
      <w:r w:rsidR="0000179E" w:rsidRPr="002D0ACF">
        <w:rPr>
          <w:lang w:val="fr-FR"/>
        </w:rPr>
        <w:t>rice</w:t>
      </w:r>
      <w:r w:rsidRPr="002D0ACF">
        <w:rPr>
          <w:lang w:val="fr-FR"/>
        </w:rPr>
        <w:t xml:space="preserve"> général</w:t>
      </w:r>
      <w:r w:rsidR="0000179E" w:rsidRPr="002D0ACF">
        <w:rPr>
          <w:lang w:val="fr-FR"/>
        </w:rPr>
        <w:t>e</w:t>
      </w:r>
      <w:r w:rsidRPr="002D0ACF">
        <w:rPr>
          <w:lang w:val="fr-FR"/>
        </w:rPr>
        <w:t xml:space="preserve"> du FEM a mené une délégation du s</w:t>
      </w:r>
      <w:r w:rsidR="00702B5B">
        <w:rPr>
          <w:lang w:val="fr-FR"/>
        </w:rPr>
        <w:t>ecrétariat du FEM à la première </w:t>
      </w:r>
      <w:r w:rsidRPr="002D0ACF">
        <w:rPr>
          <w:lang w:val="fr-FR"/>
        </w:rPr>
        <w:t>réunion de la Conférence des Parties à la Convention de Minamata</w:t>
      </w:r>
      <w:r w:rsidR="00D92E8C" w:rsidRPr="002D0ACF">
        <w:rPr>
          <w:lang w:val="fr-FR"/>
        </w:rPr>
        <w:t xml:space="preserve">, </w:t>
      </w:r>
      <w:r w:rsidR="0000179E" w:rsidRPr="002D0ACF">
        <w:rPr>
          <w:lang w:val="fr-FR"/>
        </w:rPr>
        <w:t>dans le cadre de laquelle elle a également participé au</w:t>
      </w:r>
      <w:r w:rsidR="00125FEF" w:rsidRPr="002D0ACF">
        <w:rPr>
          <w:lang w:val="fr-FR"/>
        </w:rPr>
        <w:t>x travaux du</w:t>
      </w:r>
      <w:r w:rsidR="00D97A04" w:rsidRPr="002D0ACF">
        <w:rPr>
          <w:lang w:val="fr-FR"/>
        </w:rPr>
        <w:t xml:space="preserve"> </w:t>
      </w:r>
      <w:r w:rsidR="0000179E" w:rsidRPr="002D0ACF">
        <w:rPr>
          <w:lang w:val="fr-FR"/>
        </w:rPr>
        <w:t xml:space="preserve">groupe de haut niveau et organisé une manifestation de haut niveau </w:t>
      </w:r>
      <w:r w:rsidR="0079083E" w:rsidRPr="002D0ACF">
        <w:rPr>
          <w:lang w:val="fr-FR"/>
        </w:rPr>
        <w:t>concernant</w:t>
      </w:r>
      <w:r w:rsidR="0000179E" w:rsidRPr="002D0ACF">
        <w:rPr>
          <w:lang w:val="fr-FR"/>
        </w:rPr>
        <w:t xml:space="preserve"> </w:t>
      </w:r>
      <w:r w:rsidR="009629CA" w:rsidRPr="002D0ACF">
        <w:rPr>
          <w:lang w:val="fr-FR"/>
        </w:rPr>
        <w:t xml:space="preserve">le programme du FEM </w:t>
      </w:r>
      <w:r w:rsidR="0079083E" w:rsidRPr="002D0ACF">
        <w:rPr>
          <w:lang w:val="fr-FR"/>
        </w:rPr>
        <w:t>sur les perspectives mondiales de</w:t>
      </w:r>
      <w:r w:rsidR="009629CA" w:rsidRPr="002D0ACF">
        <w:rPr>
          <w:lang w:val="fr-FR"/>
        </w:rPr>
        <w:t xml:space="preserve"> développement à long terme du secteur de</w:t>
      </w:r>
      <w:r w:rsidR="0000179E" w:rsidRPr="002D0ACF">
        <w:rPr>
          <w:lang w:val="fr-FR"/>
        </w:rPr>
        <w:t xml:space="preserve"> </w:t>
      </w:r>
      <w:r w:rsidR="009629CA" w:rsidRPr="002D0ACF">
        <w:rPr>
          <w:lang w:val="fr-FR"/>
        </w:rPr>
        <w:t>l’extraction minière artisanale et à petite échelle d’or</w:t>
      </w:r>
      <w:r w:rsidR="00D97A04" w:rsidRPr="002D0ACF">
        <w:rPr>
          <w:lang w:val="fr-FR"/>
        </w:rPr>
        <w:t>.</w:t>
      </w:r>
    </w:p>
    <w:p w14:paraId="3F891C33" w14:textId="747F1685" w:rsidR="00364032" w:rsidRPr="002D0ACF" w:rsidRDefault="0079083E" w:rsidP="009807B3">
      <w:pPr>
        <w:pStyle w:val="Normalnumber"/>
        <w:numPr>
          <w:ilvl w:val="0"/>
          <w:numId w:val="1"/>
        </w:numPr>
        <w:rPr>
          <w:lang w:val="fr-FR"/>
        </w:rPr>
      </w:pPr>
      <w:r w:rsidRPr="002D0ACF">
        <w:rPr>
          <w:lang w:val="fr-FR"/>
        </w:rPr>
        <w:t>S’appuyant sur la coopération étroite établie entre le secrétariat du FEM et le secrétariat provisoire de la Convention de Minamata après l’adoption de la Convention en 2013, le</w:t>
      </w:r>
      <w:r w:rsidR="00125FEF" w:rsidRPr="002D0ACF">
        <w:rPr>
          <w:lang w:val="fr-FR"/>
        </w:rPr>
        <w:t>s deux</w:t>
      </w:r>
      <w:r w:rsidRPr="002D0ACF">
        <w:rPr>
          <w:lang w:val="fr-FR"/>
        </w:rPr>
        <w:t xml:space="preserve"> secrétariat</w:t>
      </w:r>
      <w:r w:rsidR="00125FEF" w:rsidRPr="002D0ACF">
        <w:rPr>
          <w:lang w:val="fr-FR"/>
        </w:rPr>
        <w:t>s</w:t>
      </w:r>
      <w:r w:rsidRPr="002D0ACF">
        <w:rPr>
          <w:lang w:val="fr-FR"/>
        </w:rPr>
        <w:t xml:space="preserve"> ont continué de travailler en étroite collaboration depuis la première réunion de la Conférence des Parties</w:t>
      </w:r>
      <w:r w:rsidR="002E11A7" w:rsidRPr="002D0ACF">
        <w:rPr>
          <w:lang w:val="fr-FR"/>
        </w:rPr>
        <w:t xml:space="preserve">. </w:t>
      </w:r>
    </w:p>
    <w:p w14:paraId="37137DBC" w14:textId="4744F878" w:rsidR="002E11A7" w:rsidRPr="002D0ACF" w:rsidRDefault="0079083E" w:rsidP="009807B3">
      <w:pPr>
        <w:pStyle w:val="Normalnumber"/>
        <w:numPr>
          <w:ilvl w:val="0"/>
          <w:numId w:val="1"/>
        </w:numPr>
        <w:rPr>
          <w:lang w:val="fr-FR"/>
        </w:rPr>
      </w:pPr>
      <w:r w:rsidRPr="002D0ACF">
        <w:rPr>
          <w:lang w:val="fr-FR"/>
        </w:rPr>
        <w:t xml:space="preserve">Le Coordonnateur principal du secrétariat provisoire a participé à la cinquante-troisième réunion du Conseil du FEM, qui s’est tenue à </w:t>
      </w:r>
      <w:r w:rsidR="002E11A7" w:rsidRPr="002D0ACF">
        <w:rPr>
          <w:lang w:val="fr-FR"/>
        </w:rPr>
        <w:t>Washington</w:t>
      </w:r>
      <w:r w:rsidRPr="002D0ACF">
        <w:rPr>
          <w:lang w:val="fr-FR"/>
        </w:rPr>
        <w:t xml:space="preserve"> en novembre </w:t>
      </w:r>
      <w:r w:rsidR="002E11A7" w:rsidRPr="002D0ACF">
        <w:rPr>
          <w:lang w:val="fr-FR"/>
        </w:rPr>
        <w:t>2017</w:t>
      </w:r>
      <w:r w:rsidR="003C3840" w:rsidRPr="002D0ACF">
        <w:rPr>
          <w:lang w:val="fr-FR"/>
        </w:rPr>
        <w:t>,</w:t>
      </w:r>
      <w:r w:rsidR="002E11A7" w:rsidRPr="002D0ACF">
        <w:rPr>
          <w:lang w:val="fr-FR"/>
        </w:rPr>
        <w:t xml:space="preserve"> </w:t>
      </w:r>
      <w:r w:rsidR="006830E9" w:rsidRPr="002D0ACF">
        <w:rPr>
          <w:lang w:val="fr-FR"/>
        </w:rPr>
        <w:t>et présenté au Conseil les textes issus de la première réunion de la Conférence des Parties</w:t>
      </w:r>
      <w:r w:rsidR="002E11A7" w:rsidRPr="002D0ACF">
        <w:rPr>
          <w:lang w:val="fr-FR"/>
        </w:rPr>
        <w:t xml:space="preserve">. </w:t>
      </w:r>
      <w:r w:rsidR="006830E9" w:rsidRPr="002D0ACF">
        <w:rPr>
          <w:lang w:val="fr-FR"/>
        </w:rPr>
        <w:t>Un représentant de haut niveau du secrétariat a également participé au dialogue avec</w:t>
      </w:r>
      <w:r w:rsidR="002E11A7" w:rsidRPr="002D0ACF">
        <w:rPr>
          <w:lang w:val="fr-FR"/>
        </w:rPr>
        <w:t xml:space="preserve"> </w:t>
      </w:r>
      <w:r w:rsidR="00351678" w:rsidRPr="002D0ACF">
        <w:rPr>
          <w:lang w:val="fr-FR"/>
        </w:rPr>
        <w:t>des secrétariats</w:t>
      </w:r>
      <w:r w:rsidR="00E71235" w:rsidRPr="002D0ACF">
        <w:rPr>
          <w:lang w:val="fr-FR"/>
        </w:rPr>
        <w:t xml:space="preserve"> d’accords multilatéraux sur l’environnement, qui s’est tenu durant la réunion</w:t>
      </w:r>
      <w:r w:rsidR="002E11A7" w:rsidRPr="002D0ACF">
        <w:rPr>
          <w:lang w:val="fr-FR"/>
        </w:rPr>
        <w:t>.</w:t>
      </w:r>
      <w:r w:rsidR="00E71235" w:rsidRPr="002D0ACF">
        <w:rPr>
          <w:lang w:val="fr-FR"/>
        </w:rPr>
        <w:t xml:space="preserve"> La Secrétaire exécu</w:t>
      </w:r>
      <w:r w:rsidR="00125FEF" w:rsidRPr="002D0ACF">
        <w:rPr>
          <w:lang w:val="fr-FR"/>
        </w:rPr>
        <w:t>tive a participé à la cinquante</w:t>
      </w:r>
      <w:r w:rsidR="00125FEF" w:rsidRPr="002D0ACF">
        <w:rPr>
          <w:lang w:val="fr-FR"/>
        </w:rPr>
        <w:noBreakHyphen/>
      </w:r>
      <w:r w:rsidR="00E71235" w:rsidRPr="002D0ACF">
        <w:rPr>
          <w:lang w:val="fr-FR"/>
        </w:rPr>
        <w:t xml:space="preserve">quatrième réunion du Conseil du FEM et à la sixième réunion de l’Assemblée du FEM, qui se sont tenues au </w:t>
      </w:r>
      <w:r w:rsidR="00D97A04" w:rsidRPr="002D0ACF">
        <w:rPr>
          <w:lang w:val="fr-FR"/>
        </w:rPr>
        <w:t>Viet</w:t>
      </w:r>
      <w:r w:rsidR="00F50D4C" w:rsidRPr="002D0ACF">
        <w:rPr>
          <w:lang w:val="fr-FR"/>
        </w:rPr>
        <w:t> </w:t>
      </w:r>
      <w:r w:rsidR="00D97A04" w:rsidRPr="002D0ACF">
        <w:rPr>
          <w:lang w:val="fr-FR"/>
        </w:rPr>
        <w:t>Nam</w:t>
      </w:r>
      <w:r w:rsidR="009F6871" w:rsidRPr="002D0ACF">
        <w:rPr>
          <w:lang w:val="fr-FR"/>
        </w:rPr>
        <w:t xml:space="preserve"> </w:t>
      </w:r>
      <w:r w:rsidR="00F50D4C" w:rsidRPr="002D0ACF">
        <w:rPr>
          <w:lang w:val="fr-FR"/>
        </w:rPr>
        <w:t>en juin </w:t>
      </w:r>
      <w:r w:rsidR="00D97A04" w:rsidRPr="002D0ACF">
        <w:rPr>
          <w:lang w:val="fr-FR"/>
        </w:rPr>
        <w:t xml:space="preserve">2018. </w:t>
      </w:r>
      <w:r w:rsidR="00F50D4C" w:rsidRPr="002D0ACF">
        <w:rPr>
          <w:lang w:val="fr-FR"/>
        </w:rPr>
        <w:t>Durant la session, elle a présenté un exposé devant le Conseil concernant les relations avec les accords multilatéraux sur l’environnement et l’Assemblée en plénière</w:t>
      </w:r>
      <w:r w:rsidR="00D97A04" w:rsidRPr="002D0ACF">
        <w:rPr>
          <w:lang w:val="fr-FR"/>
        </w:rPr>
        <w:t>.</w:t>
      </w:r>
      <w:r w:rsidR="00F50D4C" w:rsidRPr="002D0ACF">
        <w:rPr>
          <w:lang w:val="fr-FR"/>
        </w:rPr>
        <w:t xml:space="preserve"> Elle a également pu s’exprimer </w:t>
      </w:r>
      <w:r w:rsidR="006342A2" w:rsidRPr="002D0ACF">
        <w:rPr>
          <w:lang w:val="fr-FR"/>
        </w:rPr>
        <w:t>au cours d’</w:t>
      </w:r>
      <w:r w:rsidR="00F50D4C" w:rsidRPr="002D0ACF">
        <w:rPr>
          <w:lang w:val="fr-FR"/>
        </w:rPr>
        <w:t>un certain nombre de réunions</w:t>
      </w:r>
      <w:r w:rsidR="00DD5C52" w:rsidRPr="002D0ACF">
        <w:rPr>
          <w:lang w:val="fr-FR"/>
        </w:rPr>
        <w:t xml:space="preserve"> de groupes précédant la réunion du Conseil</w:t>
      </w:r>
      <w:r w:rsidR="00D97A04" w:rsidRPr="002D0ACF">
        <w:rPr>
          <w:lang w:val="fr-FR"/>
        </w:rPr>
        <w:t>.</w:t>
      </w:r>
      <w:r w:rsidR="00DD5C52" w:rsidRPr="002D0ACF">
        <w:rPr>
          <w:lang w:val="fr-FR"/>
        </w:rPr>
        <w:t xml:space="preserve"> Elle a participé à la table ronde sur les produits chimiques et les déchets ainsi qu’à la manifestation parallèle</w:t>
      </w:r>
      <w:r w:rsidR="00D97A04" w:rsidRPr="002D0ACF">
        <w:rPr>
          <w:lang w:val="fr-FR"/>
        </w:rPr>
        <w:t xml:space="preserve"> </w:t>
      </w:r>
      <w:r w:rsidR="00DD5C52" w:rsidRPr="002D0ACF">
        <w:rPr>
          <w:lang w:val="fr-FR"/>
        </w:rPr>
        <w:t>concernant le programme du FEM sur les perspectives mondiales de développement à long terme du secteur de l’extraction minière artisanale et à petite échelle d’or</w:t>
      </w:r>
      <w:r w:rsidR="00D97A04" w:rsidRPr="002D0ACF">
        <w:rPr>
          <w:lang w:val="fr-FR"/>
        </w:rPr>
        <w:t>.</w:t>
      </w:r>
      <w:r w:rsidR="00DD5C52" w:rsidRPr="002D0ACF">
        <w:rPr>
          <w:lang w:val="fr-FR"/>
        </w:rPr>
        <w:t xml:space="preserve"> La Secrétaire exécutive et un représentant de haut niveau du secrétariat ont également participé à la réunion ordinaire de l’équipe spéciale sur les produits chimiques et les déchets organisée par le secrétariat du FEM</w:t>
      </w:r>
      <w:r w:rsidR="00D97A04" w:rsidRPr="002D0ACF">
        <w:rPr>
          <w:lang w:val="fr-FR"/>
        </w:rPr>
        <w:t xml:space="preserve">. </w:t>
      </w:r>
      <w:r w:rsidR="00790481" w:rsidRPr="002D0ACF">
        <w:rPr>
          <w:lang w:val="fr-FR"/>
        </w:rPr>
        <w:t>La Secrétaire exécutive et un représentant de haut</w:t>
      </w:r>
      <w:r w:rsidR="0060123A" w:rsidRPr="002D0ACF">
        <w:rPr>
          <w:lang w:val="fr-FR"/>
        </w:rPr>
        <w:t xml:space="preserve"> niveau</w:t>
      </w:r>
      <w:r w:rsidR="00C7044B" w:rsidRPr="002D0ACF">
        <w:rPr>
          <w:lang w:val="fr-FR"/>
        </w:rPr>
        <w:t xml:space="preserve"> du secrétariat</w:t>
      </w:r>
      <w:r w:rsidR="00790481" w:rsidRPr="002D0ACF">
        <w:rPr>
          <w:lang w:val="fr-FR"/>
        </w:rPr>
        <w:t xml:space="preserve"> </w:t>
      </w:r>
      <w:r w:rsidR="00FA7A43" w:rsidRPr="002D0ACF">
        <w:rPr>
          <w:lang w:val="fr-FR"/>
        </w:rPr>
        <w:t>ont également rencontré la Présidente du</w:t>
      </w:r>
      <w:r w:rsidR="00D97A04" w:rsidRPr="002D0ACF">
        <w:rPr>
          <w:lang w:val="fr-FR"/>
        </w:rPr>
        <w:t xml:space="preserve"> </w:t>
      </w:r>
      <w:r w:rsidR="00FA7A43" w:rsidRPr="002D0ACF">
        <w:rPr>
          <w:lang w:val="fr-FR"/>
        </w:rPr>
        <w:t xml:space="preserve">Groupe consultatif pour la science et la technologie et </w:t>
      </w:r>
      <w:r w:rsidR="00125FEF" w:rsidRPr="002D0ACF">
        <w:rPr>
          <w:lang w:val="fr-FR"/>
        </w:rPr>
        <w:t xml:space="preserve">l’équipe de direction </w:t>
      </w:r>
      <w:r w:rsidR="00FA7A43" w:rsidRPr="002D0ACF">
        <w:rPr>
          <w:lang w:val="fr-FR"/>
        </w:rPr>
        <w:t>ainsi que le Groupe consultatif des peuples autochtones du FEM</w:t>
      </w:r>
      <w:r w:rsidR="00D97A04" w:rsidRPr="002D0ACF">
        <w:rPr>
          <w:lang w:val="fr-FR"/>
        </w:rPr>
        <w:t xml:space="preserve">. </w:t>
      </w:r>
    </w:p>
    <w:p w14:paraId="37E9B1A1" w14:textId="1A3B8C4A" w:rsidR="004E0DFF" w:rsidRPr="002D0ACF" w:rsidRDefault="00FA7A43" w:rsidP="00C73E44">
      <w:pPr>
        <w:pStyle w:val="Normalnumber"/>
        <w:numPr>
          <w:ilvl w:val="0"/>
          <w:numId w:val="1"/>
        </w:numPr>
        <w:rPr>
          <w:lang w:val="fr-FR"/>
        </w:rPr>
      </w:pPr>
      <w:r w:rsidRPr="002D0ACF">
        <w:rPr>
          <w:lang w:val="fr-FR"/>
        </w:rPr>
        <w:t xml:space="preserve">S’agissant de la mise à la disposition du public d’informations sur les différents projets financés par le FEM en vue de la mise en œuvre de la Convention de Minamata, le secrétariat de la Convention de Minamata </w:t>
      </w:r>
      <w:r w:rsidR="00125FEF" w:rsidRPr="002D0ACF">
        <w:rPr>
          <w:lang w:val="fr-FR"/>
        </w:rPr>
        <w:t xml:space="preserve">a </w:t>
      </w:r>
      <w:r w:rsidR="00743E90" w:rsidRPr="002D0ACF">
        <w:rPr>
          <w:lang w:val="fr-FR"/>
        </w:rPr>
        <w:t>sur son site Web une base de données interrogeable en ligne</w:t>
      </w:r>
      <w:r w:rsidR="00C73E44" w:rsidRPr="002D0ACF">
        <w:rPr>
          <w:rStyle w:val="FootnoteReference"/>
          <w:bCs/>
          <w:lang w:val="fr-FR"/>
        </w:rPr>
        <w:footnoteReference w:id="3"/>
      </w:r>
      <w:r w:rsidR="00125FEF" w:rsidRPr="002D0ACF">
        <w:rPr>
          <w:lang w:val="fr-FR"/>
        </w:rPr>
        <w:t>.</w:t>
      </w:r>
      <w:r w:rsidR="004E0DFF" w:rsidRPr="002D0ACF">
        <w:rPr>
          <w:bCs/>
          <w:lang w:val="fr-FR"/>
        </w:rPr>
        <w:t xml:space="preserve"> </w:t>
      </w:r>
      <w:r w:rsidR="00743E90" w:rsidRPr="002D0ACF">
        <w:rPr>
          <w:bCs/>
          <w:lang w:val="fr-FR"/>
        </w:rPr>
        <w:t>Des informations sur de nombreux projets financés par le FEM en lien avec la Convention sont déjà accessibles et la base de données sera élargie à me</w:t>
      </w:r>
      <w:r w:rsidR="00702511" w:rsidRPr="002D0ACF">
        <w:rPr>
          <w:bCs/>
          <w:lang w:val="fr-FR"/>
        </w:rPr>
        <w:t>sure que des rapports de projet</w:t>
      </w:r>
      <w:r w:rsidR="00743E90" w:rsidRPr="002D0ACF">
        <w:rPr>
          <w:bCs/>
          <w:lang w:val="fr-FR"/>
        </w:rPr>
        <w:t xml:space="preserve"> seront disponibles</w:t>
      </w:r>
      <w:r w:rsidR="004E0DFF" w:rsidRPr="002D0ACF">
        <w:rPr>
          <w:bCs/>
          <w:lang w:val="fr-FR"/>
        </w:rPr>
        <w:t>,</w:t>
      </w:r>
      <w:r w:rsidR="00743E90" w:rsidRPr="002D0ACF">
        <w:rPr>
          <w:bCs/>
          <w:lang w:val="fr-FR"/>
        </w:rPr>
        <w:t xml:space="preserve"> notamment ceux concernant des activités habilitantes achevées</w:t>
      </w:r>
      <w:r w:rsidR="004E0DFF" w:rsidRPr="002D0ACF">
        <w:rPr>
          <w:bCs/>
          <w:lang w:val="fr-FR"/>
        </w:rPr>
        <w:t>.</w:t>
      </w:r>
      <w:r w:rsidR="00743E90" w:rsidRPr="002D0ACF">
        <w:rPr>
          <w:bCs/>
          <w:lang w:val="fr-FR"/>
        </w:rPr>
        <w:t xml:space="preserve"> Le secrétariat </w:t>
      </w:r>
      <w:r w:rsidR="00702511" w:rsidRPr="002D0ACF">
        <w:rPr>
          <w:bCs/>
          <w:lang w:val="fr-FR"/>
        </w:rPr>
        <w:t xml:space="preserve">du </w:t>
      </w:r>
      <w:r w:rsidR="002D0ACF">
        <w:rPr>
          <w:bCs/>
          <w:lang w:val="fr-FR"/>
        </w:rPr>
        <w:t>FEM</w:t>
      </w:r>
      <w:r w:rsidR="00702511" w:rsidRPr="002D0ACF">
        <w:rPr>
          <w:bCs/>
          <w:lang w:val="fr-FR"/>
        </w:rPr>
        <w:t xml:space="preserve"> </w:t>
      </w:r>
      <w:r w:rsidR="00743E90" w:rsidRPr="002D0ACF">
        <w:rPr>
          <w:bCs/>
          <w:lang w:val="fr-FR"/>
        </w:rPr>
        <w:t xml:space="preserve">a également prié le secrétariat </w:t>
      </w:r>
      <w:r w:rsidR="00752918" w:rsidRPr="002D0ACF">
        <w:rPr>
          <w:bCs/>
          <w:lang w:val="fr-FR"/>
        </w:rPr>
        <w:t>d’héberger la base de données de toutes les évaluations initiales de la Convention de Minamata et des données connexes</w:t>
      </w:r>
      <w:r w:rsidR="00327BE0" w:rsidRPr="002D0ACF">
        <w:rPr>
          <w:bCs/>
          <w:lang w:val="fr-FR"/>
        </w:rPr>
        <w:t>.</w:t>
      </w:r>
      <w:r w:rsidR="00372D38" w:rsidRPr="002D0ACF">
        <w:rPr>
          <w:bCs/>
          <w:lang w:val="fr-FR"/>
        </w:rPr>
        <w:t xml:space="preserve"> </w:t>
      </w:r>
    </w:p>
    <w:p w14:paraId="78E6AE0E" w14:textId="678DFEB8" w:rsidR="004E0DFF" w:rsidRPr="002D0ACF" w:rsidRDefault="004E0DFF" w:rsidP="004E0DFF">
      <w:pPr>
        <w:pStyle w:val="CH3"/>
        <w:rPr>
          <w:lang w:val="fr-FR"/>
        </w:rPr>
      </w:pPr>
      <w:r w:rsidRPr="002D0ACF">
        <w:rPr>
          <w:lang w:val="fr-FR"/>
        </w:rPr>
        <w:tab/>
        <w:t>3.</w:t>
      </w:r>
      <w:r w:rsidRPr="002D0ACF">
        <w:rPr>
          <w:lang w:val="fr-FR"/>
        </w:rPr>
        <w:tab/>
      </w:r>
      <w:r w:rsidR="0084657E" w:rsidRPr="002D0ACF">
        <w:rPr>
          <w:lang w:val="fr-FR"/>
        </w:rPr>
        <w:t xml:space="preserve">Orientations à l’intention du Fonds pour l’environnement mondial sur les stratégies, politiques et priorités programmatiques globales et les conditions </w:t>
      </w:r>
      <w:r w:rsidR="00702511" w:rsidRPr="002D0ACF">
        <w:rPr>
          <w:lang w:val="fr-FR"/>
        </w:rPr>
        <w:t xml:space="preserve">d’octroi et d’utilisation </w:t>
      </w:r>
      <w:r w:rsidR="00A31923">
        <w:rPr>
          <w:lang w:val="fr-FR"/>
        </w:rPr>
        <w:t>de </w:t>
      </w:r>
      <w:r w:rsidR="0084657E" w:rsidRPr="002D0ACF">
        <w:rPr>
          <w:lang w:val="fr-FR"/>
        </w:rPr>
        <w:t xml:space="preserve">ressources financières et sur </w:t>
      </w:r>
      <w:r w:rsidR="00702511" w:rsidRPr="002D0ACF">
        <w:rPr>
          <w:lang w:val="fr-FR"/>
        </w:rPr>
        <w:t xml:space="preserve">la </w:t>
      </w:r>
      <w:r w:rsidR="0084657E" w:rsidRPr="002D0ACF">
        <w:rPr>
          <w:lang w:val="fr-FR"/>
        </w:rPr>
        <w:t>liste indicative de</w:t>
      </w:r>
      <w:r w:rsidR="00702511" w:rsidRPr="002D0ACF">
        <w:rPr>
          <w:lang w:val="fr-FR"/>
        </w:rPr>
        <w:t>s</w:t>
      </w:r>
      <w:r w:rsidR="0084657E" w:rsidRPr="002D0ACF">
        <w:rPr>
          <w:lang w:val="fr-FR"/>
        </w:rPr>
        <w:t xml:space="preserve"> catégories d’activités qui pourraient bénéficier </w:t>
      </w:r>
      <w:r w:rsidR="00702511" w:rsidRPr="002D0ACF">
        <w:rPr>
          <w:lang w:val="fr-FR"/>
        </w:rPr>
        <w:t xml:space="preserve">de l’appui </w:t>
      </w:r>
      <w:r w:rsidR="0084657E" w:rsidRPr="002D0ACF">
        <w:rPr>
          <w:lang w:val="fr-FR"/>
        </w:rPr>
        <w:t>de la Caisse du Fon</w:t>
      </w:r>
      <w:r w:rsidR="00D22A29" w:rsidRPr="002D0ACF">
        <w:rPr>
          <w:lang w:val="fr-FR"/>
        </w:rPr>
        <w:t>ds pour l’environnement mondial</w:t>
      </w:r>
    </w:p>
    <w:p w14:paraId="64E97267" w14:textId="23127DA1" w:rsidR="004E0DFF" w:rsidRPr="002D0ACF" w:rsidRDefault="0084657E" w:rsidP="004E0DFF">
      <w:pPr>
        <w:pStyle w:val="Normalnumber"/>
        <w:rPr>
          <w:lang w:val="fr-FR"/>
        </w:rPr>
      </w:pPr>
      <w:r w:rsidRPr="002D0ACF">
        <w:rPr>
          <w:lang w:val="fr-FR"/>
        </w:rPr>
        <w:t>Le p</w:t>
      </w:r>
      <w:r w:rsidR="004E0DFF" w:rsidRPr="002D0ACF">
        <w:rPr>
          <w:bCs/>
          <w:lang w:val="fr-FR"/>
        </w:rPr>
        <w:t>aragraph</w:t>
      </w:r>
      <w:r w:rsidRPr="002D0ACF">
        <w:rPr>
          <w:bCs/>
          <w:lang w:val="fr-FR"/>
        </w:rPr>
        <w:t>e </w:t>
      </w:r>
      <w:r w:rsidR="004E0DFF" w:rsidRPr="002D0ACF">
        <w:rPr>
          <w:bCs/>
          <w:lang w:val="fr-FR"/>
        </w:rPr>
        <w:t>7</w:t>
      </w:r>
      <w:r w:rsidRPr="002D0ACF">
        <w:rPr>
          <w:bCs/>
          <w:lang w:val="fr-FR"/>
        </w:rPr>
        <w:t xml:space="preserve"> de l’</w:t>
      </w:r>
      <w:r w:rsidR="004E0DFF" w:rsidRPr="002D0ACF">
        <w:rPr>
          <w:bCs/>
          <w:lang w:val="fr-FR"/>
        </w:rPr>
        <w:t>article</w:t>
      </w:r>
      <w:r w:rsidRPr="002D0ACF">
        <w:rPr>
          <w:bCs/>
          <w:lang w:val="fr-FR"/>
        </w:rPr>
        <w:t> </w:t>
      </w:r>
      <w:r w:rsidR="004E0DFF" w:rsidRPr="002D0ACF">
        <w:rPr>
          <w:bCs/>
          <w:lang w:val="fr-FR"/>
        </w:rPr>
        <w:t xml:space="preserve">13 </w:t>
      </w:r>
      <w:r w:rsidRPr="002D0ACF">
        <w:rPr>
          <w:bCs/>
          <w:lang w:val="fr-FR"/>
        </w:rPr>
        <w:t>de la</w:t>
      </w:r>
      <w:r w:rsidR="004E0DFF" w:rsidRPr="002D0ACF">
        <w:rPr>
          <w:bCs/>
          <w:lang w:val="fr-FR"/>
        </w:rPr>
        <w:t xml:space="preserve"> Convention</w:t>
      </w:r>
      <w:r w:rsidR="00D92E8C" w:rsidRPr="002D0ACF">
        <w:rPr>
          <w:bCs/>
          <w:lang w:val="fr-FR"/>
        </w:rPr>
        <w:t xml:space="preserve"> </w:t>
      </w:r>
      <w:r w:rsidRPr="002D0ACF">
        <w:rPr>
          <w:bCs/>
          <w:lang w:val="fr-FR"/>
        </w:rPr>
        <w:t>dispose que</w:t>
      </w:r>
      <w:r w:rsidR="004D1317" w:rsidRPr="002D0ACF">
        <w:rPr>
          <w:lang w:val="fr-FR"/>
        </w:rPr>
        <w:t xml:space="preserve"> l</w:t>
      </w:r>
      <w:r w:rsidR="004D1317" w:rsidRPr="002D0ACF">
        <w:rPr>
          <w:bCs/>
          <w:lang w:val="fr-FR"/>
        </w:rPr>
        <w:t>a Caisse du FEM doit fournir en temps voulu des ressources financières nouvelles, prévisibles et adéquates pour couvrir les coûts de l’aide à la mise en œuvre de la Convention, comme convenu par la Conférence des Parties</w:t>
      </w:r>
      <w:r w:rsidR="004E0DFF" w:rsidRPr="002D0ACF">
        <w:rPr>
          <w:bCs/>
          <w:lang w:val="fr-FR"/>
        </w:rPr>
        <w:t>.</w:t>
      </w:r>
      <w:r w:rsidR="004D1317" w:rsidRPr="002D0ACF">
        <w:rPr>
          <w:bCs/>
          <w:lang w:val="fr-FR"/>
        </w:rPr>
        <w:t xml:space="preserve"> </w:t>
      </w:r>
      <w:r w:rsidR="00702511" w:rsidRPr="002D0ACF">
        <w:rPr>
          <w:bCs/>
          <w:lang w:val="fr-FR"/>
        </w:rPr>
        <w:t>La Caisse</w:t>
      </w:r>
      <w:r w:rsidR="004D1317" w:rsidRPr="002D0ACF">
        <w:rPr>
          <w:bCs/>
          <w:lang w:val="fr-FR"/>
        </w:rPr>
        <w:t xml:space="preserve"> doit</w:t>
      </w:r>
      <w:r w:rsidR="004E0DFF" w:rsidRPr="002D0ACF">
        <w:rPr>
          <w:bCs/>
          <w:lang w:val="fr-FR"/>
        </w:rPr>
        <w:t xml:space="preserve"> </w:t>
      </w:r>
      <w:r w:rsidR="004D1317" w:rsidRPr="002D0ACF">
        <w:rPr>
          <w:bCs/>
          <w:lang w:val="fr-FR"/>
        </w:rPr>
        <w:t>fournir des ressources pour couvrir les surcoûts convenus liés aux avantages environnementaux mondiaux et l’ensemble des coûts convenus de certaines activités habilitantes</w:t>
      </w:r>
      <w:r w:rsidR="0094325D" w:rsidRPr="002D0ACF">
        <w:rPr>
          <w:bCs/>
          <w:lang w:val="fr-FR"/>
        </w:rPr>
        <w:t>.</w:t>
      </w:r>
      <w:r w:rsidR="004D1317" w:rsidRPr="002D0ACF">
        <w:rPr>
          <w:bCs/>
          <w:lang w:val="fr-FR"/>
        </w:rPr>
        <w:t xml:space="preserve"> Le paragraphe </w:t>
      </w:r>
      <w:r w:rsidR="004E0DFF" w:rsidRPr="002D0ACF">
        <w:rPr>
          <w:bCs/>
          <w:lang w:val="fr-FR"/>
        </w:rPr>
        <w:t>7</w:t>
      </w:r>
      <w:r w:rsidR="00D92E8C" w:rsidRPr="002D0ACF">
        <w:rPr>
          <w:bCs/>
          <w:lang w:val="fr-FR"/>
        </w:rPr>
        <w:t xml:space="preserve"> </w:t>
      </w:r>
      <w:r w:rsidR="004D1317" w:rsidRPr="002D0ACF">
        <w:rPr>
          <w:bCs/>
          <w:lang w:val="fr-FR"/>
        </w:rPr>
        <w:t>dispose également qu’aux fins de la Convention, la Caisse du FEM doit être placée sous la direction de la Conférence des Parties</w:t>
      </w:r>
      <w:r w:rsidR="00702511" w:rsidRPr="002D0ACF">
        <w:rPr>
          <w:bCs/>
          <w:lang w:val="fr-FR"/>
        </w:rPr>
        <w:t>,</w:t>
      </w:r>
      <w:r w:rsidR="004D1317" w:rsidRPr="002D0ACF">
        <w:rPr>
          <w:bCs/>
          <w:lang w:val="fr-FR"/>
        </w:rPr>
        <w:t xml:space="preserve"> à laquelle elle rend compte</w:t>
      </w:r>
      <w:r w:rsidR="004E0DFF" w:rsidRPr="002D0ACF">
        <w:rPr>
          <w:bCs/>
          <w:lang w:val="fr-FR"/>
        </w:rPr>
        <w:t xml:space="preserve">. </w:t>
      </w:r>
      <w:r w:rsidR="004D1317" w:rsidRPr="002D0ACF">
        <w:rPr>
          <w:bCs/>
          <w:lang w:val="fr-FR"/>
        </w:rPr>
        <w:t xml:space="preserve">La Conférence des Parties doit énoncer des orientations sur les stratégies, politiques et priorités programmatiques globales, sur les conditions </w:t>
      </w:r>
      <w:r w:rsidR="00702511" w:rsidRPr="002D0ACF">
        <w:rPr>
          <w:bCs/>
          <w:lang w:val="fr-FR"/>
        </w:rPr>
        <w:t xml:space="preserve">d’octroi et d’utilisation des </w:t>
      </w:r>
      <w:r w:rsidR="004D1317" w:rsidRPr="002D0ACF">
        <w:rPr>
          <w:bCs/>
          <w:lang w:val="fr-FR"/>
        </w:rPr>
        <w:t xml:space="preserve">ressources financières ainsi que sur </w:t>
      </w:r>
      <w:r w:rsidR="00702511" w:rsidRPr="002D0ACF">
        <w:rPr>
          <w:bCs/>
          <w:lang w:val="fr-FR"/>
        </w:rPr>
        <w:t xml:space="preserve">la </w:t>
      </w:r>
      <w:r w:rsidR="004D1317" w:rsidRPr="002D0ACF">
        <w:rPr>
          <w:bCs/>
          <w:lang w:val="fr-FR"/>
        </w:rPr>
        <w:t xml:space="preserve">liste indicative des catégories d’activités qui pourraient bénéficier </w:t>
      </w:r>
      <w:r w:rsidR="00702511" w:rsidRPr="002D0ACF">
        <w:rPr>
          <w:bCs/>
          <w:lang w:val="fr-FR"/>
        </w:rPr>
        <w:t xml:space="preserve">de l’appui </w:t>
      </w:r>
      <w:r w:rsidR="004D1317" w:rsidRPr="002D0ACF">
        <w:rPr>
          <w:bCs/>
          <w:lang w:val="fr-FR"/>
        </w:rPr>
        <w:t>de la Caisse du FEM</w:t>
      </w:r>
      <w:r w:rsidR="004E0DFF" w:rsidRPr="002D0ACF">
        <w:rPr>
          <w:bCs/>
          <w:lang w:val="fr-FR"/>
        </w:rPr>
        <w:t>.</w:t>
      </w:r>
    </w:p>
    <w:p w14:paraId="6232555D" w14:textId="315C6904" w:rsidR="00BE5290" w:rsidRPr="002D0ACF" w:rsidRDefault="004D1317" w:rsidP="004E0DFF">
      <w:pPr>
        <w:pStyle w:val="Normalnumber"/>
        <w:rPr>
          <w:lang w:val="fr-FR"/>
        </w:rPr>
      </w:pPr>
      <w:r w:rsidRPr="002D0ACF">
        <w:rPr>
          <w:bCs/>
          <w:lang w:val="fr-FR"/>
        </w:rPr>
        <w:lastRenderedPageBreak/>
        <w:t>À sa première réunion, la Conférence des Parties a adopté la décision </w:t>
      </w:r>
      <w:r w:rsidR="00BE5290" w:rsidRPr="002D0ACF">
        <w:rPr>
          <w:bCs/>
          <w:lang w:val="fr-FR"/>
        </w:rPr>
        <w:t xml:space="preserve">MC-1/5 </w:t>
      </w:r>
      <w:r w:rsidR="00554E00" w:rsidRPr="002D0ACF">
        <w:rPr>
          <w:bCs/>
          <w:lang w:val="fr-FR"/>
        </w:rPr>
        <w:t>sur les orientations à l’intention du FEM</w:t>
      </w:r>
      <w:r w:rsidR="00823789" w:rsidRPr="002D0ACF">
        <w:rPr>
          <w:bCs/>
          <w:lang w:val="fr-FR"/>
        </w:rPr>
        <w:t>.</w:t>
      </w:r>
      <w:r w:rsidR="00702511" w:rsidRPr="002D0ACF">
        <w:rPr>
          <w:bCs/>
          <w:lang w:val="fr-FR"/>
        </w:rPr>
        <w:t xml:space="preserve"> Dans l’annexe à ladite décision figurent </w:t>
      </w:r>
      <w:r w:rsidR="00554E00" w:rsidRPr="002D0ACF">
        <w:rPr>
          <w:bCs/>
          <w:lang w:val="fr-FR"/>
        </w:rPr>
        <w:t xml:space="preserve">des orientations sur les stratégies, politiques et priorités programmatiques globales et les conditions </w:t>
      </w:r>
      <w:r w:rsidR="00702511" w:rsidRPr="002D0ACF">
        <w:rPr>
          <w:bCs/>
          <w:lang w:val="fr-FR"/>
        </w:rPr>
        <w:t xml:space="preserve">d’octroi et d’utilisation des </w:t>
      </w:r>
      <w:r w:rsidR="00554E00" w:rsidRPr="002D0ACF">
        <w:rPr>
          <w:bCs/>
          <w:lang w:val="fr-FR"/>
        </w:rPr>
        <w:t xml:space="preserve">ressources financières et sur </w:t>
      </w:r>
      <w:r w:rsidR="00702511" w:rsidRPr="002D0ACF">
        <w:rPr>
          <w:bCs/>
          <w:lang w:val="fr-FR"/>
        </w:rPr>
        <w:t xml:space="preserve">la </w:t>
      </w:r>
      <w:r w:rsidR="00554E00" w:rsidRPr="002D0ACF">
        <w:rPr>
          <w:bCs/>
          <w:lang w:val="fr-FR"/>
        </w:rPr>
        <w:t>liste indicative de</w:t>
      </w:r>
      <w:r w:rsidR="00702511" w:rsidRPr="002D0ACF">
        <w:rPr>
          <w:bCs/>
          <w:lang w:val="fr-FR"/>
        </w:rPr>
        <w:t>s</w:t>
      </w:r>
      <w:r w:rsidR="00554E00" w:rsidRPr="002D0ACF">
        <w:rPr>
          <w:bCs/>
          <w:lang w:val="fr-FR"/>
        </w:rPr>
        <w:t xml:space="preserve"> catégories d’activités qui pourraient bénéficier </w:t>
      </w:r>
      <w:r w:rsidR="00702511" w:rsidRPr="002D0ACF">
        <w:rPr>
          <w:bCs/>
          <w:lang w:val="fr-FR"/>
        </w:rPr>
        <w:t>de l’appui</w:t>
      </w:r>
      <w:r w:rsidR="00554E00" w:rsidRPr="002D0ACF">
        <w:rPr>
          <w:bCs/>
          <w:lang w:val="fr-FR"/>
        </w:rPr>
        <w:t xml:space="preserve"> de la Caisse du FEM</w:t>
      </w:r>
      <w:r w:rsidR="00BE5290" w:rsidRPr="002D0ACF">
        <w:rPr>
          <w:bCs/>
          <w:lang w:val="fr-FR"/>
        </w:rPr>
        <w:t xml:space="preserve">. </w:t>
      </w:r>
    </w:p>
    <w:p w14:paraId="28F4A52E" w14:textId="58DC230F" w:rsidR="00BE5290" w:rsidRPr="002D0ACF" w:rsidRDefault="00554E00" w:rsidP="00BE5290">
      <w:pPr>
        <w:pStyle w:val="Normalnumber"/>
        <w:numPr>
          <w:ilvl w:val="0"/>
          <w:numId w:val="1"/>
        </w:numPr>
        <w:rPr>
          <w:bCs/>
          <w:lang w:val="fr-FR"/>
        </w:rPr>
      </w:pPr>
      <w:r w:rsidRPr="002D0ACF">
        <w:rPr>
          <w:bCs/>
          <w:lang w:val="fr-FR"/>
        </w:rPr>
        <w:t xml:space="preserve">Le secrétariat a transmis les orientations adoptées au Conseil du FEM, </w:t>
      </w:r>
      <w:r w:rsidR="00702511" w:rsidRPr="002D0ACF">
        <w:rPr>
          <w:bCs/>
          <w:lang w:val="fr-FR"/>
        </w:rPr>
        <w:t>ainsi que l’avait</w:t>
      </w:r>
      <w:r w:rsidRPr="002D0ACF">
        <w:rPr>
          <w:bCs/>
          <w:lang w:val="fr-FR"/>
        </w:rPr>
        <w:t xml:space="preserve"> demandé la Conférence des Parties, par l’intermédiaire du secrétariat</w:t>
      </w:r>
      <w:r w:rsidR="00366FB3" w:rsidRPr="002D0ACF">
        <w:rPr>
          <w:bCs/>
          <w:lang w:val="fr-FR"/>
        </w:rPr>
        <w:t xml:space="preserve"> du FEM</w:t>
      </w:r>
      <w:r w:rsidR="00BE5290" w:rsidRPr="002D0ACF">
        <w:rPr>
          <w:bCs/>
          <w:lang w:val="fr-FR"/>
        </w:rPr>
        <w:t>.</w:t>
      </w:r>
      <w:r w:rsidRPr="002D0ACF">
        <w:rPr>
          <w:bCs/>
          <w:lang w:val="fr-FR"/>
        </w:rPr>
        <w:t xml:space="preserve"> Le Conseil du FEM a pris note des orientations à sa cinquante-troisième réunion, qui s’est tenue en novembre 2017, et a </w:t>
      </w:r>
      <w:r w:rsidR="00702511" w:rsidRPr="002D0ACF">
        <w:rPr>
          <w:bCs/>
          <w:lang w:val="fr-FR"/>
        </w:rPr>
        <w:t>présenté sa</w:t>
      </w:r>
      <w:r w:rsidRPr="002D0ACF">
        <w:rPr>
          <w:bCs/>
          <w:lang w:val="fr-FR"/>
        </w:rPr>
        <w:t xml:space="preserve"> réponse dans son rapport à la Conférence des Parties à sa deuxième réunion </w:t>
      </w:r>
      <w:r w:rsidR="00C974D5" w:rsidRPr="002D0ACF">
        <w:rPr>
          <w:bCs/>
          <w:lang w:val="fr-FR"/>
        </w:rPr>
        <w:t>(UNEP/MC/COP.2/INF3</w:t>
      </w:r>
      <w:r w:rsidR="0037396C" w:rsidRPr="002D0ACF">
        <w:rPr>
          <w:bCs/>
          <w:lang w:val="fr-FR"/>
        </w:rPr>
        <w:t>, annex</w:t>
      </w:r>
      <w:r w:rsidR="00425B9F" w:rsidRPr="002D0ACF">
        <w:rPr>
          <w:bCs/>
          <w:lang w:val="fr-FR"/>
        </w:rPr>
        <w:t>e</w:t>
      </w:r>
      <w:r w:rsidR="00C974D5" w:rsidRPr="002D0ACF">
        <w:rPr>
          <w:bCs/>
          <w:lang w:val="fr-FR"/>
        </w:rPr>
        <w:t>)</w:t>
      </w:r>
      <w:r w:rsidR="00BE5290" w:rsidRPr="002D0ACF">
        <w:rPr>
          <w:bCs/>
          <w:lang w:val="fr-FR"/>
        </w:rPr>
        <w:t xml:space="preserve">. </w:t>
      </w:r>
    </w:p>
    <w:p w14:paraId="448CC434" w14:textId="1CDA27A8" w:rsidR="00BE5290" w:rsidRPr="002D0ACF" w:rsidRDefault="002A25E7" w:rsidP="00BE5290">
      <w:pPr>
        <w:pStyle w:val="CH3"/>
        <w:rPr>
          <w:lang w:val="fr-FR"/>
        </w:rPr>
      </w:pPr>
      <w:r w:rsidRPr="002D0ACF">
        <w:rPr>
          <w:lang w:val="fr-FR"/>
        </w:rPr>
        <w:tab/>
        <w:t>4.</w:t>
      </w:r>
      <w:r w:rsidR="00BE5290" w:rsidRPr="002D0ACF">
        <w:rPr>
          <w:lang w:val="fr-FR"/>
        </w:rPr>
        <w:tab/>
      </w:r>
      <w:r w:rsidR="00425B9F" w:rsidRPr="002D0ACF">
        <w:rPr>
          <w:lang w:val="fr-FR"/>
        </w:rPr>
        <w:t>Projet de mémorandum d’accord entre la Conférence</w:t>
      </w:r>
      <w:r w:rsidR="003F08D6" w:rsidRPr="002D0ACF">
        <w:rPr>
          <w:lang w:val="fr-FR"/>
        </w:rPr>
        <w:t xml:space="preserve"> des Parties à la Convention de </w:t>
      </w:r>
      <w:r w:rsidR="00425B9F" w:rsidRPr="002D0ACF">
        <w:rPr>
          <w:lang w:val="fr-FR"/>
        </w:rPr>
        <w:t>Minamata et le Conseil du Fonds pour l’environnement mondial</w:t>
      </w:r>
    </w:p>
    <w:p w14:paraId="4A28BC15" w14:textId="0671C56D" w:rsidR="00BE5290" w:rsidRPr="002D0ACF" w:rsidRDefault="00702511" w:rsidP="00C66DAD">
      <w:pPr>
        <w:pStyle w:val="Normalnumber"/>
        <w:rPr>
          <w:lang w:val="fr-FR"/>
        </w:rPr>
      </w:pPr>
      <w:r w:rsidRPr="002D0ACF">
        <w:rPr>
          <w:lang w:val="fr-FR"/>
        </w:rPr>
        <w:t>Au</w:t>
      </w:r>
      <w:r w:rsidR="00BE5290" w:rsidRPr="002D0ACF">
        <w:rPr>
          <w:lang w:val="fr-FR"/>
        </w:rPr>
        <w:t xml:space="preserve"> </w:t>
      </w:r>
      <w:r w:rsidR="00BE5290" w:rsidRPr="002D0ACF">
        <w:rPr>
          <w:bCs/>
          <w:lang w:val="fr-FR"/>
        </w:rPr>
        <w:t>paragraph</w:t>
      </w:r>
      <w:r w:rsidR="00425B9F" w:rsidRPr="002D0ACF">
        <w:rPr>
          <w:bCs/>
          <w:lang w:val="fr-FR"/>
        </w:rPr>
        <w:t>e </w:t>
      </w:r>
      <w:r w:rsidR="00BE5290" w:rsidRPr="002D0ACF">
        <w:rPr>
          <w:bCs/>
          <w:lang w:val="fr-FR"/>
        </w:rPr>
        <w:t xml:space="preserve">2 </w:t>
      </w:r>
      <w:r w:rsidR="00425B9F" w:rsidRPr="002D0ACF">
        <w:rPr>
          <w:bCs/>
          <w:lang w:val="fr-FR"/>
        </w:rPr>
        <w:t>de sa résolution</w:t>
      </w:r>
      <w:r w:rsidR="001D625B" w:rsidRPr="002D0ACF">
        <w:rPr>
          <w:bCs/>
          <w:lang w:val="fr-FR"/>
        </w:rPr>
        <w:t xml:space="preserve"> relative aux dispositions financières de la Convention</w:t>
      </w:r>
      <w:r w:rsidR="00425B9F" w:rsidRPr="002D0ACF">
        <w:rPr>
          <w:bCs/>
          <w:lang w:val="fr-FR"/>
        </w:rPr>
        <w:t>, la Conférence de plénipotentiaires relative à la Convention de Minamata sur le mercure</w:t>
      </w:r>
      <w:r w:rsidR="00327BE0" w:rsidRPr="002D0ACF">
        <w:rPr>
          <w:bCs/>
          <w:lang w:val="fr-FR"/>
        </w:rPr>
        <w:t>,</w:t>
      </w:r>
      <w:r w:rsidR="001D625B" w:rsidRPr="002D0ACF">
        <w:rPr>
          <w:bCs/>
          <w:lang w:val="fr-FR"/>
        </w:rPr>
        <w:t xml:space="preserve"> qui s’est réunie à </w:t>
      </w:r>
      <w:r w:rsidR="00327BE0" w:rsidRPr="002D0ACF">
        <w:rPr>
          <w:bCs/>
          <w:lang w:val="fr-FR"/>
        </w:rPr>
        <w:t xml:space="preserve">Kumamoto </w:t>
      </w:r>
      <w:r w:rsidR="001D625B" w:rsidRPr="002D0ACF">
        <w:rPr>
          <w:bCs/>
          <w:lang w:val="fr-FR"/>
        </w:rPr>
        <w:t>et a adopté la</w:t>
      </w:r>
      <w:r w:rsidR="00327BE0" w:rsidRPr="002D0ACF">
        <w:rPr>
          <w:bCs/>
          <w:lang w:val="fr-FR"/>
        </w:rPr>
        <w:t xml:space="preserve"> Convention,</w:t>
      </w:r>
      <w:r w:rsidR="00BE5290" w:rsidRPr="002D0ACF">
        <w:rPr>
          <w:bCs/>
          <w:lang w:val="fr-FR"/>
        </w:rPr>
        <w:t xml:space="preserve"> </w:t>
      </w:r>
      <w:r w:rsidR="001D625B" w:rsidRPr="002D0ACF">
        <w:rPr>
          <w:bCs/>
          <w:lang w:val="fr-FR"/>
        </w:rPr>
        <w:t>a décidé</w:t>
      </w:r>
      <w:r w:rsidR="00BE5290" w:rsidRPr="002D0ACF">
        <w:rPr>
          <w:bCs/>
          <w:lang w:val="fr-FR"/>
        </w:rPr>
        <w:t xml:space="preserve"> </w:t>
      </w:r>
      <w:r w:rsidR="001D625B" w:rsidRPr="002D0ACF">
        <w:rPr>
          <w:bCs/>
          <w:lang w:val="fr-FR"/>
        </w:rPr>
        <w:t>que le Comité</w:t>
      </w:r>
      <w:r w:rsidR="001D625B" w:rsidRPr="002D0ACF">
        <w:rPr>
          <w:lang w:val="fr-FR"/>
        </w:rPr>
        <w:t xml:space="preserve"> </w:t>
      </w:r>
      <w:r w:rsidR="001D625B" w:rsidRPr="002D0ACF">
        <w:rPr>
          <w:bCs/>
          <w:lang w:val="fr-FR"/>
        </w:rPr>
        <w:t>de négociation intergouvernemental chargé d’élaborer un instrument international juridiquement contraignant sur le mercure devrait rédiger un projet de mémorandum d’accord entre la Conférence des Parties et le Conseil du FEM sur les modalités d’application des dispositions pertinentes des paragraphes 5 à 8 de l’article 13</w:t>
      </w:r>
      <w:r w:rsidR="00327BE0" w:rsidRPr="002D0ACF">
        <w:rPr>
          <w:bCs/>
          <w:lang w:val="fr-FR"/>
        </w:rPr>
        <w:t xml:space="preserve">, </w:t>
      </w:r>
      <w:r w:rsidR="001D625B" w:rsidRPr="002D0ACF">
        <w:rPr>
          <w:bCs/>
          <w:lang w:val="fr-FR"/>
        </w:rPr>
        <w:t>pour que la Conférence des Parties l’examine à sa première réunion</w:t>
      </w:r>
      <w:r w:rsidR="00BE5290" w:rsidRPr="002D0ACF">
        <w:rPr>
          <w:bCs/>
          <w:lang w:val="fr-FR"/>
        </w:rPr>
        <w:t xml:space="preserve">. </w:t>
      </w:r>
      <w:r w:rsidR="006F4759" w:rsidRPr="002D0ACF">
        <w:rPr>
          <w:bCs/>
          <w:lang w:val="fr-FR"/>
        </w:rPr>
        <w:t>Le</w:t>
      </w:r>
      <w:r w:rsidR="00BE5290" w:rsidRPr="002D0ACF">
        <w:rPr>
          <w:bCs/>
          <w:lang w:val="fr-FR"/>
        </w:rPr>
        <w:t xml:space="preserve"> </w:t>
      </w:r>
      <w:bookmarkStart w:id="8" w:name="_Hlk526930765"/>
      <w:r w:rsidR="006F4759" w:rsidRPr="002D0ACF">
        <w:rPr>
          <w:bCs/>
          <w:lang w:val="fr-FR"/>
        </w:rPr>
        <w:t xml:space="preserve">projet de mémorandum d’accord </w:t>
      </w:r>
      <w:bookmarkEnd w:id="8"/>
      <w:r w:rsidR="006F4759" w:rsidRPr="002D0ACF">
        <w:rPr>
          <w:bCs/>
          <w:lang w:val="fr-FR"/>
        </w:rPr>
        <w:t xml:space="preserve">a ensuite été élaboré, </w:t>
      </w:r>
      <w:r w:rsidRPr="002D0ACF">
        <w:rPr>
          <w:bCs/>
          <w:lang w:val="fr-FR"/>
        </w:rPr>
        <w:t>approuvé</w:t>
      </w:r>
      <w:r w:rsidR="006F4759" w:rsidRPr="002D0ACF">
        <w:rPr>
          <w:bCs/>
          <w:lang w:val="fr-FR"/>
        </w:rPr>
        <w:t xml:space="preserve"> à titre provisoire durant la session finale du Comité de négociation intergouvernemental en mars </w:t>
      </w:r>
      <w:r w:rsidR="00BE5290" w:rsidRPr="002D0ACF">
        <w:rPr>
          <w:bCs/>
          <w:lang w:val="fr-FR"/>
        </w:rPr>
        <w:t xml:space="preserve">2016 </w:t>
      </w:r>
      <w:r w:rsidR="006F4759" w:rsidRPr="002D0ACF">
        <w:rPr>
          <w:bCs/>
          <w:lang w:val="fr-FR"/>
        </w:rPr>
        <w:t>et communiqué au Conseil du FEM pour examen final</w:t>
      </w:r>
      <w:r w:rsidR="00BE5290" w:rsidRPr="002D0ACF">
        <w:rPr>
          <w:bCs/>
          <w:lang w:val="fr-FR"/>
        </w:rPr>
        <w:t>.</w:t>
      </w:r>
      <w:r w:rsidR="006F4759" w:rsidRPr="002D0ACF">
        <w:rPr>
          <w:bCs/>
          <w:lang w:val="fr-FR"/>
        </w:rPr>
        <w:t xml:space="preserve"> Le Conseil du FEM a examiné le projet de mémorandum d’accord à sa cinquante</w:t>
      </w:r>
      <w:r w:rsidR="00A31923">
        <w:rPr>
          <w:bCs/>
          <w:lang w:val="fr-FR"/>
        </w:rPr>
        <w:t> </w:t>
      </w:r>
      <w:r w:rsidR="006F4759" w:rsidRPr="002D0ACF">
        <w:rPr>
          <w:bCs/>
          <w:lang w:val="fr-FR"/>
        </w:rPr>
        <w:t>et</w:t>
      </w:r>
      <w:r w:rsidR="00A31923">
        <w:rPr>
          <w:bCs/>
          <w:lang w:val="fr-FR"/>
        </w:rPr>
        <w:t> </w:t>
      </w:r>
      <w:r w:rsidR="006F4759" w:rsidRPr="002D0ACF">
        <w:rPr>
          <w:bCs/>
          <w:lang w:val="fr-FR"/>
        </w:rPr>
        <w:t xml:space="preserve">unième réunion et </w:t>
      </w:r>
      <w:r w:rsidRPr="002D0ACF">
        <w:rPr>
          <w:bCs/>
          <w:lang w:val="fr-FR"/>
        </w:rPr>
        <w:t>prié</w:t>
      </w:r>
      <w:r w:rsidR="006F4759" w:rsidRPr="002D0ACF">
        <w:rPr>
          <w:bCs/>
          <w:lang w:val="fr-FR"/>
        </w:rPr>
        <w:t xml:space="preserve"> le secrétariat du FEM de transmettre ce dernier, accompagné de</w:t>
      </w:r>
      <w:r w:rsidRPr="002D0ACF">
        <w:rPr>
          <w:bCs/>
          <w:lang w:val="fr-FR"/>
        </w:rPr>
        <w:t xml:space="preserve"> se</w:t>
      </w:r>
      <w:r w:rsidR="006F4759" w:rsidRPr="002D0ACF">
        <w:rPr>
          <w:bCs/>
          <w:lang w:val="fr-FR"/>
        </w:rPr>
        <w:t>s observations, à la Conférence des Parties</w:t>
      </w:r>
      <w:r w:rsidR="00C73E44" w:rsidRPr="002D0ACF">
        <w:rPr>
          <w:bCs/>
          <w:lang w:val="fr-FR"/>
        </w:rPr>
        <w:t>.</w:t>
      </w:r>
      <w:r w:rsidR="000E23D8" w:rsidRPr="002D0ACF">
        <w:rPr>
          <w:bCs/>
          <w:lang w:val="fr-FR"/>
        </w:rPr>
        <w:t xml:space="preserve"> </w:t>
      </w:r>
      <w:r w:rsidR="006F4759" w:rsidRPr="002D0ACF">
        <w:rPr>
          <w:bCs/>
          <w:lang w:val="fr-FR"/>
        </w:rPr>
        <w:t>Le projet de mémorandum d’accord a été présenté à la Conférence des Parties à sa première réunion</w:t>
      </w:r>
      <w:r w:rsidR="00B2633D" w:rsidRPr="002D0ACF">
        <w:rPr>
          <w:bCs/>
          <w:lang w:val="fr-FR"/>
        </w:rPr>
        <w:t xml:space="preserve"> afin qu’elle l’examine</w:t>
      </w:r>
      <w:r w:rsidR="00BE5290" w:rsidRPr="002D0ACF">
        <w:rPr>
          <w:bCs/>
          <w:lang w:val="fr-FR"/>
        </w:rPr>
        <w:t xml:space="preserve">. </w:t>
      </w:r>
    </w:p>
    <w:p w14:paraId="60E65C19" w14:textId="23D8E084" w:rsidR="00A70D10" w:rsidRPr="002D0ACF" w:rsidRDefault="00A70D10" w:rsidP="00BE5290">
      <w:pPr>
        <w:pStyle w:val="Normalnumber"/>
        <w:rPr>
          <w:lang w:val="fr-FR"/>
        </w:rPr>
      </w:pPr>
      <w:r w:rsidRPr="002D0ACF">
        <w:rPr>
          <w:lang w:val="fr-FR"/>
        </w:rPr>
        <w:t>Dur</w:t>
      </w:r>
      <w:r w:rsidR="00B2633D" w:rsidRPr="002D0ACF">
        <w:rPr>
          <w:lang w:val="fr-FR"/>
        </w:rPr>
        <w:t xml:space="preserve">ant l’examen de la question par la Conférence des Parties, un représentant, s’exprimant au nom d’un groupe de pays, a proposé </w:t>
      </w:r>
      <w:r w:rsidR="00411042" w:rsidRPr="002D0ACF">
        <w:rPr>
          <w:lang w:val="fr-FR"/>
        </w:rPr>
        <w:t>d’adopter le</w:t>
      </w:r>
      <w:r w:rsidRPr="002D0ACF">
        <w:rPr>
          <w:bCs/>
          <w:lang w:val="fr-FR"/>
        </w:rPr>
        <w:t xml:space="preserve"> </w:t>
      </w:r>
      <w:r w:rsidR="00411042" w:rsidRPr="002D0ACF">
        <w:rPr>
          <w:bCs/>
          <w:lang w:val="fr-FR"/>
        </w:rPr>
        <w:t>projet de mémorandum d’accord</w:t>
      </w:r>
      <w:r w:rsidR="009313B5" w:rsidRPr="002D0ACF">
        <w:rPr>
          <w:bCs/>
          <w:lang w:val="fr-FR"/>
        </w:rPr>
        <w:t xml:space="preserve">, </w:t>
      </w:r>
      <w:r w:rsidR="00702511" w:rsidRPr="002D0ACF">
        <w:rPr>
          <w:bCs/>
          <w:lang w:val="fr-FR"/>
        </w:rPr>
        <w:t>faisant observer</w:t>
      </w:r>
      <w:r w:rsidR="009313B5" w:rsidRPr="002D0ACF">
        <w:rPr>
          <w:bCs/>
          <w:lang w:val="fr-FR"/>
        </w:rPr>
        <w:t xml:space="preserve"> que ce dernier avait été approuvé par</w:t>
      </w:r>
      <w:r w:rsidRPr="002D0ACF">
        <w:rPr>
          <w:bCs/>
          <w:lang w:val="fr-FR"/>
        </w:rPr>
        <w:t xml:space="preserve"> </w:t>
      </w:r>
      <w:r w:rsidR="009313B5" w:rsidRPr="002D0ACF">
        <w:rPr>
          <w:bCs/>
          <w:lang w:val="fr-FR"/>
        </w:rPr>
        <w:t>le Comité de négociation intergouvernemental</w:t>
      </w:r>
      <w:r w:rsidRPr="002D0ACF">
        <w:rPr>
          <w:bCs/>
          <w:lang w:val="fr-FR"/>
        </w:rPr>
        <w:t xml:space="preserve">. </w:t>
      </w:r>
      <w:r w:rsidR="009313B5" w:rsidRPr="002D0ACF">
        <w:rPr>
          <w:bCs/>
          <w:lang w:val="fr-FR"/>
        </w:rPr>
        <w:t xml:space="preserve">Appuyant la proposition, un autre représentant a fait observer que le </w:t>
      </w:r>
      <w:r w:rsidRPr="002D0ACF">
        <w:rPr>
          <w:bCs/>
          <w:lang w:val="fr-FR"/>
        </w:rPr>
        <w:t>m</w:t>
      </w:r>
      <w:r w:rsidR="009313B5" w:rsidRPr="002D0ACF">
        <w:rPr>
          <w:bCs/>
          <w:lang w:val="fr-FR"/>
        </w:rPr>
        <w:t>é</w:t>
      </w:r>
      <w:r w:rsidRPr="002D0ACF">
        <w:rPr>
          <w:bCs/>
          <w:lang w:val="fr-FR"/>
        </w:rPr>
        <w:t xml:space="preserve">morandum </w:t>
      </w:r>
      <w:r w:rsidR="009313B5" w:rsidRPr="002D0ACF">
        <w:rPr>
          <w:bCs/>
          <w:lang w:val="fr-FR"/>
        </w:rPr>
        <w:t xml:space="preserve">n’était pas juridiquement contraignant et </w:t>
      </w:r>
      <w:r w:rsidR="00320E6A" w:rsidRPr="002D0ACF">
        <w:rPr>
          <w:bCs/>
          <w:lang w:val="fr-FR"/>
        </w:rPr>
        <w:t xml:space="preserve">qu’il </w:t>
      </w:r>
      <w:r w:rsidR="009313B5" w:rsidRPr="002D0ACF">
        <w:rPr>
          <w:bCs/>
          <w:lang w:val="fr-FR"/>
        </w:rPr>
        <w:t>avait été examiné en détail</w:t>
      </w:r>
      <w:r w:rsidRPr="002D0ACF">
        <w:rPr>
          <w:bCs/>
          <w:lang w:val="fr-FR"/>
        </w:rPr>
        <w:t xml:space="preserve">. </w:t>
      </w:r>
      <w:r w:rsidR="009313B5" w:rsidRPr="002D0ACF">
        <w:rPr>
          <w:bCs/>
          <w:lang w:val="fr-FR"/>
        </w:rPr>
        <w:t xml:space="preserve">Un troisième représentant a </w:t>
      </w:r>
      <w:r w:rsidR="00C54E81" w:rsidRPr="002D0ACF">
        <w:rPr>
          <w:bCs/>
          <w:lang w:val="fr-FR"/>
        </w:rPr>
        <w:t xml:space="preserve">toutefois </w:t>
      </w:r>
      <w:r w:rsidR="009313B5" w:rsidRPr="002D0ACF">
        <w:rPr>
          <w:bCs/>
          <w:lang w:val="fr-FR"/>
        </w:rPr>
        <w:t>estimé que des débats supplémentaires étaient nécessaires et proposé des amendements spécifiques</w:t>
      </w:r>
      <w:r w:rsidRPr="002D0ACF">
        <w:rPr>
          <w:bCs/>
          <w:lang w:val="fr-FR"/>
        </w:rPr>
        <w:t>.</w:t>
      </w:r>
      <w:r w:rsidR="009313B5" w:rsidRPr="002D0ACF">
        <w:rPr>
          <w:bCs/>
          <w:lang w:val="fr-FR"/>
        </w:rPr>
        <w:t xml:space="preserve"> La Conférence des Parties</w:t>
      </w:r>
      <w:r w:rsidR="00C646E1" w:rsidRPr="002D0ACF">
        <w:rPr>
          <w:bCs/>
          <w:lang w:val="fr-FR"/>
        </w:rPr>
        <w:t xml:space="preserve"> a débattu plus avant de la question durant la réunion et ensuite convenu de reporter l’examen de la question à sa deuxième réunion</w:t>
      </w:r>
      <w:r w:rsidRPr="002D0ACF">
        <w:rPr>
          <w:bCs/>
          <w:lang w:val="fr-FR"/>
        </w:rPr>
        <w:t>.</w:t>
      </w:r>
    </w:p>
    <w:p w14:paraId="1DB9E8D3" w14:textId="4F5C066D" w:rsidR="00A70D10" w:rsidRPr="002D0ACF" w:rsidRDefault="00064772" w:rsidP="00BE5290">
      <w:pPr>
        <w:pStyle w:val="Normalnumber"/>
        <w:rPr>
          <w:lang w:val="fr-FR"/>
        </w:rPr>
      </w:pPr>
      <w:r w:rsidRPr="002D0ACF">
        <w:rPr>
          <w:lang w:val="fr-FR"/>
        </w:rPr>
        <w:t>Le Conseil du FEM a ensuite pris note de la question du proj</w:t>
      </w:r>
      <w:r w:rsidR="00613025" w:rsidRPr="002D0ACF">
        <w:rPr>
          <w:lang w:val="fr-FR"/>
        </w:rPr>
        <w:t>et de mémorandum à sa cinquante</w:t>
      </w:r>
      <w:r w:rsidR="00613025" w:rsidRPr="002D0ACF">
        <w:rPr>
          <w:lang w:val="fr-FR"/>
        </w:rPr>
        <w:noBreakHyphen/>
      </w:r>
      <w:r w:rsidRPr="002D0ACF">
        <w:rPr>
          <w:lang w:val="fr-FR"/>
        </w:rPr>
        <w:t>troisième réunion, en novembre </w:t>
      </w:r>
      <w:r w:rsidR="00A70D10" w:rsidRPr="002D0ACF">
        <w:rPr>
          <w:bCs/>
          <w:lang w:val="fr-FR"/>
        </w:rPr>
        <w:t xml:space="preserve">2017. </w:t>
      </w:r>
      <w:r w:rsidRPr="002D0ACF">
        <w:rPr>
          <w:bCs/>
          <w:lang w:val="fr-FR"/>
        </w:rPr>
        <w:t>À l’occasion de cette réunion, le conseiller juridique du FEM</w:t>
      </w:r>
      <w:r w:rsidR="00AC7DEC" w:rsidRPr="002D0ACF">
        <w:rPr>
          <w:bCs/>
          <w:lang w:val="fr-FR"/>
        </w:rPr>
        <w:t xml:space="preserve"> a indiqué que, conformément</w:t>
      </w:r>
      <w:r w:rsidR="00E136F8" w:rsidRPr="002D0ACF">
        <w:rPr>
          <w:bCs/>
          <w:lang w:val="fr-FR"/>
        </w:rPr>
        <w:t xml:space="preserve"> </w:t>
      </w:r>
      <w:bookmarkStart w:id="9" w:name="_Hlk527006996"/>
      <w:r w:rsidR="00E136F8" w:rsidRPr="002D0ACF">
        <w:rPr>
          <w:bCs/>
          <w:lang w:val="fr-FR"/>
        </w:rPr>
        <w:t>à</w:t>
      </w:r>
      <w:r w:rsidR="00AC7DEC" w:rsidRPr="002D0ACF">
        <w:rPr>
          <w:bCs/>
          <w:lang w:val="fr-FR"/>
        </w:rPr>
        <w:t xml:space="preserve"> l’Instrument pour la restructuration du Fonds pour l’environnement mondial</w:t>
      </w:r>
      <w:bookmarkEnd w:id="9"/>
      <w:r w:rsidR="00AC7DEC" w:rsidRPr="002D0ACF">
        <w:rPr>
          <w:bCs/>
          <w:lang w:val="fr-FR"/>
        </w:rPr>
        <w:t>, tel que modifié lors de la cinquième Assemblée du FEM, en mai</w:t>
      </w:r>
      <w:r w:rsidR="00CB12EC" w:rsidRPr="002D0ACF">
        <w:rPr>
          <w:bCs/>
          <w:lang w:val="fr-FR"/>
        </w:rPr>
        <w:t> </w:t>
      </w:r>
      <w:r w:rsidR="00AC7DEC" w:rsidRPr="002D0ACF">
        <w:rPr>
          <w:bCs/>
          <w:lang w:val="fr-FR"/>
        </w:rPr>
        <w:t xml:space="preserve">2014, le FEM </w:t>
      </w:r>
      <w:r w:rsidR="00E136F8" w:rsidRPr="002D0ACF">
        <w:rPr>
          <w:bCs/>
          <w:lang w:val="fr-FR"/>
        </w:rPr>
        <w:t>était l’une des entités constitutives du mécanisme de financement de la Convention de Minamata sur le mercure et était placé sous la direction de la Conférence des Parties</w:t>
      </w:r>
      <w:r w:rsidR="00613025" w:rsidRPr="002D0ACF">
        <w:rPr>
          <w:bCs/>
          <w:lang w:val="fr-FR"/>
        </w:rPr>
        <w:t>,</w:t>
      </w:r>
      <w:r w:rsidR="00E136F8" w:rsidRPr="002D0ACF">
        <w:rPr>
          <w:bCs/>
          <w:lang w:val="fr-FR"/>
        </w:rPr>
        <w:t xml:space="preserve"> à laquelle il rendait compte</w:t>
      </w:r>
      <w:r w:rsidR="00A70D10" w:rsidRPr="002D0ACF">
        <w:rPr>
          <w:bCs/>
          <w:lang w:val="fr-FR"/>
        </w:rPr>
        <w:t xml:space="preserve">. </w:t>
      </w:r>
      <w:r w:rsidR="00E136F8" w:rsidRPr="002D0ACF">
        <w:rPr>
          <w:bCs/>
          <w:lang w:val="fr-FR"/>
        </w:rPr>
        <w:t xml:space="preserve">Le conseiller juridique du FEM a également </w:t>
      </w:r>
      <w:r w:rsidR="00A31E49" w:rsidRPr="002D0ACF">
        <w:rPr>
          <w:bCs/>
          <w:lang w:val="fr-FR"/>
        </w:rPr>
        <w:t>mentionné</w:t>
      </w:r>
      <w:r w:rsidR="00E136F8" w:rsidRPr="002D0ACF">
        <w:rPr>
          <w:bCs/>
          <w:lang w:val="fr-FR"/>
        </w:rPr>
        <w:t xml:space="preserve"> qu’</w:t>
      </w:r>
      <w:r w:rsidR="00613025" w:rsidRPr="002D0ACF">
        <w:rPr>
          <w:bCs/>
          <w:lang w:val="fr-FR"/>
        </w:rPr>
        <w:t xml:space="preserve">il n’était pas strictement nécessaire de conclure </w:t>
      </w:r>
      <w:r w:rsidR="00E136F8" w:rsidRPr="002D0ACF">
        <w:rPr>
          <w:bCs/>
          <w:lang w:val="fr-FR"/>
        </w:rPr>
        <w:t>un mémorandum d’accord</w:t>
      </w:r>
      <w:r w:rsidR="00A70D10" w:rsidRPr="002D0ACF">
        <w:rPr>
          <w:bCs/>
          <w:lang w:val="fr-FR"/>
        </w:rPr>
        <w:t xml:space="preserve"> </w:t>
      </w:r>
      <w:r w:rsidR="00A31E49" w:rsidRPr="002D0ACF">
        <w:rPr>
          <w:bCs/>
          <w:lang w:val="fr-FR"/>
        </w:rPr>
        <w:t>pour que le FEM remplisse son rôle dans le cadre du mécanisme de financement de la Convention</w:t>
      </w:r>
      <w:r w:rsidR="00A43B15" w:rsidRPr="002D0ACF">
        <w:rPr>
          <w:rStyle w:val="FootnoteReference"/>
          <w:bCs/>
          <w:lang w:val="fr-FR"/>
        </w:rPr>
        <w:footnoteReference w:id="4"/>
      </w:r>
      <w:r w:rsidR="00613025" w:rsidRPr="002D0ACF">
        <w:rPr>
          <w:bCs/>
          <w:lang w:val="fr-FR"/>
        </w:rPr>
        <w:t>.</w:t>
      </w:r>
    </w:p>
    <w:p w14:paraId="7B384D80" w14:textId="2F3C8C77" w:rsidR="00A70D10" w:rsidRPr="002D0ACF" w:rsidRDefault="003D31BE" w:rsidP="006E68AA">
      <w:pPr>
        <w:pStyle w:val="Normalnumber"/>
        <w:rPr>
          <w:lang w:val="fr-FR"/>
        </w:rPr>
      </w:pPr>
      <w:r w:rsidRPr="002D0ACF">
        <w:rPr>
          <w:bCs/>
          <w:lang w:val="fr-FR"/>
        </w:rPr>
        <w:t xml:space="preserve">Après la première réunion de la Conférence des Parties, la question du projet de mémorandum d’accord </w:t>
      </w:r>
      <w:r w:rsidR="000D3FEB" w:rsidRPr="002D0ACF">
        <w:rPr>
          <w:bCs/>
          <w:lang w:val="fr-FR"/>
        </w:rPr>
        <w:t>a également été examinée par le</w:t>
      </w:r>
      <w:r w:rsidR="00A70D10" w:rsidRPr="002D0ACF">
        <w:rPr>
          <w:bCs/>
          <w:lang w:val="fr-FR"/>
        </w:rPr>
        <w:t xml:space="preserve"> </w:t>
      </w:r>
      <w:r w:rsidR="000D3FEB" w:rsidRPr="002D0ACF">
        <w:rPr>
          <w:bCs/>
          <w:lang w:val="fr-FR"/>
        </w:rPr>
        <w:t>conseiller juridique principal du Programme des Nations Unies pour l’environnement, qui a indiqué que la Convention n’exigeait pas explicitement qu’un mémorandum d’accord soit conclu entre la Conférence des Parties et le Conseil du FEM</w:t>
      </w:r>
      <w:r w:rsidR="00BA7625" w:rsidRPr="002D0ACF">
        <w:rPr>
          <w:bCs/>
          <w:lang w:val="fr-FR"/>
        </w:rPr>
        <w:t xml:space="preserve"> mais qu’</w:t>
      </w:r>
      <w:r w:rsidR="000D3FEB" w:rsidRPr="002D0ACF">
        <w:rPr>
          <w:bCs/>
          <w:lang w:val="fr-FR"/>
        </w:rPr>
        <w:t>il appartenait à la Conférence des Parties de décider si un tel mémorandum était nécessaire</w:t>
      </w:r>
      <w:r w:rsidR="00A70D10" w:rsidRPr="002D0ACF">
        <w:rPr>
          <w:bCs/>
          <w:lang w:val="fr-FR"/>
        </w:rPr>
        <w:t xml:space="preserve">. </w:t>
      </w:r>
      <w:r w:rsidR="00BA7625" w:rsidRPr="002D0ACF">
        <w:rPr>
          <w:bCs/>
          <w:lang w:val="fr-FR"/>
        </w:rPr>
        <w:t xml:space="preserve">En conséquence, la question reste en suspens </w:t>
      </w:r>
      <w:r w:rsidR="00613025" w:rsidRPr="002D0ACF">
        <w:rPr>
          <w:bCs/>
          <w:lang w:val="fr-FR"/>
        </w:rPr>
        <w:t>et</w:t>
      </w:r>
      <w:r w:rsidR="00BA7625" w:rsidRPr="002D0ACF">
        <w:rPr>
          <w:bCs/>
          <w:lang w:val="fr-FR"/>
        </w:rPr>
        <w:t xml:space="preserve"> la Conférence des Parties</w:t>
      </w:r>
      <w:r w:rsidR="00883E23" w:rsidRPr="002D0ACF">
        <w:rPr>
          <w:bCs/>
          <w:lang w:val="fr-FR"/>
        </w:rPr>
        <w:t xml:space="preserve"> </w:t>
      </w:r>
      <w:r w:rsidR="00613025" w:rsidRPr="002D0ACF">
        <w:rPr>
          <w:bCs/>
          <w:lang w:val="fr-FR"/>
        </w:rPr>
        <w:t>poursuivra</w:t>
      </w:r>
      <w:r w:rsidR="00883E23" w:rsidRPr="002D0ACF">
        <w:rPr>
          <w:bCs/>
          <w:lang w:val="fr-FR"/>
        </w:rPr>
        <w:t xml:space="preserve"> son examen</w:t>
      </w:r>
      <w:r w:rsidR="00A70D10" w:rsidRPr="002D0ACF">
        <w:rPr>
          <w:bCs/>
          <w:lang w:val="fr-FR"/>
        </w:rPr>
        <w:t>.</w:t>
      </w:r>
    </w:p>
    <w:p w14:paraId="29655E94" w14:textId="02AC53B5" w:rsidR="00A70D10" w:rsidRPr="002D0ACF" w:rsidRDefault="00883E23" w:rsidP="00B61FF5">
      <w:pPr>
        <w:pStyle w:val="Normalnumber"/>
        <w:keepNext/>
        <w:keepLines/>
        <w:rPr>
          <w:lang w:val="fr-FR"/>
        </w:rPr>
      </w:pPr>
      <w:r w:rsidRPr="002D0ACF">
        <w:rPr>
          <w:bCs/>
          <w:lang w:val="fr-FR"/>
        </w:rPr>
        <w:t xml:space="preserve">Le mémorandum d’accord n’est pas juridiquement contraignant mais la Conférence des Parties et le Conseil du FEM peuvent estimer utile </w:t>
      </w:r>
      <w:r w:rsidR="00613025" w:rsidRPr="002D0ACF">
        <w:rPr>
          <w:bCs/>
          <w:lang w:val="fr-FR"/>
        </w:rPr>
        <w:t>de conclure un</w:t>
      </w:r>
      <w:r w:rsidRPr="002D0ACF">
        <w:rPr>
          <w:bCs/>
          <w:lang w:val="fr-FR"/>
        </w:rPr>
        <w:t xml:space="preserve"> mémorandum d’accord prévoyant </w:t>
      </w:r>
      <w:r w:rsidR="00613025" w:rsidRPr="002D0ACF">
        <w:rPr>
          <w:bCs/>
          <w:lang w:val="fr-FR"/>
        </w:rPr>
        <w:t xml:space="preserve">qu’ils collaborent </w:t>
      </w:r>
      <w:r w:rsidR="00573E8F" w:rsidRPr="002D0ACF">
        <w:rPr>
          <w:bCs/>
          <w:lang w:val="fr-FR"/>
        </w:rPr>
        <w:t>sur le plan administratif</w:t>
      </w:r>
      <w:r w:rsidR="007701A6" w:rsidRPr="002D0ACF">
        <w:rPr>
          <w:bCs/>
          <w:lang w:val="fr-FR"/>
        </w:rPr>
        <w:t xml:space="preserve"> </w:t>
      </w:r>
      <w:r w:rsidR="00573E8F" w:rsidRPr="002D0ACF">
        <w:rPr>
          <w:bCs/>
          <w:lang w:val="fr-FR"/>
        </w:rPr>
        <w:t>à long terme</w:t>
      </w:r>
      <w:r w:rsidR="00335FB2" w:rsidRPr="002D0ACF">
        <w:rPr>
          <w:bCs/>
          <w:lang w:val="fr-FR"/>
        </w:rPr>
        <w:t>.</w:t>
      </w:r>
      <w:r w:rsidR="00573E8F" w:rsidRPr="002D0ACF">
        <w:rPr>
          <w:bCs/>
          <w:lang w:val="fr-FR"/>
        </w:rPr>
        <w:t xml:space="preserve"> À cet égard, il conviendrait de noter qu’en plus des sous-rubriques habituelles </w:t>
      </w:r>
      <w:r w:rsidR="00A70D10" w:rsidRPr="002D0ACF">
        <w:rPr>
          <w:bCs/>
          <w:lang w:val="fr-FR"/>
        </w:rPr>
        <w:t>(</w:t>
      </w:r>
      <w:r w:rsidR="00B332B4" w:rsidRPr="002D0ACF">
        <w:rPr>
          <w:bCs/>
          <w:lang w:val="fr-FR"/>
        </w:rPr>
        <w:t>par ex</w:t>
      </w:r>
      <w:r w:rsidR="00613025" w:rsidRPr="002D0ACF">
        <w:rPr>
          <w:bCs/>
          <w:lang w:val="fr-FR"/>
        </w:rPr>
        <w:t>.</w:t>
      </w:r>
      <w:r w:rsidR="0037396C" w:rsidRPr="002D0ACF">
        <w:rPr>
          <w:bCs/>
          <w:lang w:val="fr-FR"/>
        </w:rPr>
        <w:t>,</w:t>
      </w:r>
      <w:r w:rsidR="00A70D10" w:rsidRPr="002D0ACF">
        <w:rPr>
          <w:bCs/>
          <w:lang w:val="fr-FR"/>
        </w:rPr>
        <w:t xml:space="preserve"> d</w:t>
      </w:r>
      <w:r w:rsidR="00B332B4" w:rsidRPr="002D0ACF">
        <w:rPr>
          <w:bCs/>
          <w:lang w:val="fr-FR"/>
        </w:rPr>
        <w:t>é</w:t>
      </w:r>
      <w:r w:rsidR="00A70D10" w:rsidRPr="002D0ACF">
        <w:rPr>
          <w:bCs/>
          <w:lang w:val="fr-FR"/>
        </w:rPr>
        <w:t xml:space="preserve">finitions, </w:t>
      </w:r>
      <w:r w:rsidR="00B332B4" w:rsidRPr="002D0ACF">
        <w:rPr>
          <w:bCs/>
          <w:lang w:val="fr-FR"/>
        </w:rPr>
        <w:t>objet</w:t>
      </w:r>
      <w:r w:rsidR="00A70D10" w:rsidRPr="002D0ACF">
        <w:rPr>
          <w:bCs/>
          <w:lang w:val="fr-FR"/>
        </w:rPr>
        <w:t>, amend</w:t>
      </w:r>
      <w:r w:rsidR="00B332B4" w:rsidRPr="002D0ACF">
        <w:rPr>
          <w:bCs/>
          <w:lang w:val="fr-FR"/>
        </w:rPr>
        <w:t>e</w:t>
      </w:r>
      <w:r w:rsidR="00A70D10" w:rsidRPr="002D0ACF">
        <w:rPr>
          <w:bCs/>
          <w:lang w:val="fr-FR"/>
        </w:rPr>
        <w:t>ments, interpr</w:t>
      </w:r>
      <w:r w:rsidR="00B332B4" w:rsidRPr="002D0ACF">
        <w:rPr>
          <w:bCs/>
          <w:lang w:val="fr-FR"/>
        </w:rPr>
        <w:t>é</w:t>
      </w:r>
      <w:r w:rsidR="00A70D10" w:rsidRPr="002D0ACF">
        <w:rPr>
          <w:bCs/>
          <w:lang w:val="fr-FR"/>
        </w:rPr>
        <w:t xml:space="preserve">tation, </w:t>
      </w:r>
      <w:r w:rsidR="00B332B4" w:rsidRPr="002D0ACF">
        <w:rPr>
          <w:bCs/>
          <w:lang w:val="fr-FR"/>
        </w:rPr>
        <w:t>entrée en vigueur et résiliation</w:t>
      </w:r>
      <w:r w:rsidR="00A70D10" w:rsidRPr="002D0ACF">
        <w:rPr>
          <w:bCs/>
          <w:lang w:val="fr-FR"/>
        </w:rPr>
        <w:t xml:space="preserve">), </w:t>
      </w:r>
      <w:r w:rsidR="00B332B4" w:rsidRPr="002D0ACF">
        <w:rPr>
          <w:bCs/>
          <w:lang w:val="fr-FR"/>
        </w:rPr>
        <w:t>le projet de mémorandum d’accord contient des sous-rubriques sur</w:t>
      </w:r>
      <w:r w:rsidR="00A70D10" w:rsidRPr="002D0ACF">
        <w:rPr>
          <w:bCs/>
          <w:lang w:val="fr-FR"/>
        </w:rPr>
        <w:t xml:space="preserve"> </w:t>
      </w:r>
      <w:r w:rsidR="00B332B4" w:rsidRPr="002D0ACF">
        <w:rPr>
          <w:bCs/>
          <w:lang w:val="fr-FR"/>
        </w:rPr>
        <w:t>les orientations de la Conférence des Parties, la conformité avec les orientations de la Conférence des Parties, l’établissement des rapports, le suivi et l’évaluation</w:t>
      </w:r>
      <w:r w:rsidR="00A70D10" w:rsidRPr="002D0ACF">
        <w:rPr>
          <w:bCs/>
          <w:lang w:val="fr-FR"/>
        </w:rPr>
        <w:t>,</w:t>
      </w:r>
      <w:r w:rsidR="00B332B4" w:rsidRPr="002D0ACF">
        <w:rPr>
          <w:bCs/>
          <w:lang w:val="fr-FR"/>
        </w:rPr>
        <w:t xml:space="preserve"> la</w:t>
      </w:r>
      <w:r w:rsidR="00A70D10" w:rsidRPr="002D0ACF">
        <w:rPr>
          <w:bCs/>
          <w:lang w:val="fr-FR"/>
        </w:rPr>
        <w:t xml:space="preserve"> coop</w:t>
      </w:r>
      <w:r w:rsidR="00B332B4" w:rsidRPr="002D0ACF">
        <w:rPr>
          <w:bCs/>
          <w:lang w:val="fr-FR"/>
        </w:rPr>
        <w:t>é</w:t>
      </w:r>
      <w:r w:rsidR="00A70D10" w:rsidRPr="002D0ACF">
        <w:rPr>
          <w:bCs/>
          <w:lang w:val="fr-FR"/>
        </w:rPr>
        <w:t xml:space="preserve">ration </w:t>
      </w:r>
      <w:r w:rsidR="00B332B4" w:rsidRPr="002D0ACF">
        <w:rPr>
          <w:bCs/>
          <w:lang w:val="fr-FR"/>
        </w:rPr>
        <w:t>entre les secrétariats et</w:t>
      </w:r>
      <w:r w:rsidR="00A70D10" w:rsidRPr="002D0ACF">
        <w:rPr>
          <w:bCs/>
          <w:lang w:val="fr-FR"/>
        </w:rPr>
        <w:t xml:space="preserve"> </w:t>
      </w:r>
      <w:r w:rsidR="00B332B4" w:rsidRPr="002D0ACF">
        <w:rPr>
          <w:bCs/>
          <w:lang w:val="fr-FR"/>
        </w:rPr>
        <w:t>la représentation réciproque</w:t>
      </w:r>
      <w:r w:rsidR="00613025" w:rsidRPr="002D0ACF">
        <w:rPr>
          <w:bCs/>
          <w:lang w:val="fr-FR"/>
        </w:rPr>
        <w:t>.</w:t>
      </w:r>
    </w:p>
    <w:p w14:paraId="4456D5BF" w14:textId="46A92410" w:rsidR="00A70D10" w:rsidRPr="002D0ACF" w:rsidRDefault="00A70D10" w:rsidP="00A70D10">
      <w:pPr>
        <w:pStyle w:val="CH3"/>
        <w:rPr>
          <w:lang w:val="fr-FR"/>
        </w:rPr>
      </w:pPr>
      <w:r w:rsidRPr="002D0ACF">
        <w:rPr>
          <w:lang w:val="fr-FR"/>
        </w:rPr>
        <w:tab/>
        <w:t xml:space="preserve">5. </w:t>
      </w:r>
      <w:r w:rsidRPr="002D0ACF">
        <w:rPr>
          <w:lang w:val="fr-FR"/>
        </w:rPr>
        <w:tab/>
      </w:r>
      <w:r w:rsidR="00DB7822" w:rsidRPr="002D0ACF">
        <w:rPr>
          <w:lang w:val="fr-FR"/>
        </w:rPr>
        <w:t>Examen du mécanisme de financement de la Convention de Minamata sur le mercure</w:t>
      </w:r>
    </w:p>
    <w:p w14:paraId="70F50D23" w14:textId="3896B82A" w:rsidR="00A70D10" w:rsidRPr="002D0ACF" w:rsidRDefault="00DB7822" w:rsidP="000C25C0">
      <w:pPr>
        <w:pStyle w:val="Normalnumber"/>
        <w:rPr>
          <w:bCs/>
          <w:lang w:val="fr-FR"/>
        </w:rPr>
      </w:pPr>
      <w:r w:rsidRPr="002D0ACF">
        <w:rPr>
          <w:bCs/>
          <w:lang w:val="fr-FR"/>
        </w:rPr>
        <w:t>Le paragraphe </w:t>
      </w:r>
      <w:r w:rsidR="000C25C0" w:rsidRPr="002D0ACF">
        <w:rPr>
          <w:bCs/>
          <w:lang w:val="fr-FR"/>
        </w:rPr>
        <w:t>11</w:t>
      </w:r>
      <w:r w:rsidRPr="002D0ACF">
        <w:rPr>
          <w:bCs/>
          <w:lang w:val="fr-FR"/>
        </w:rPr>
        <w:t xml:space="preserve"> de l’</w:t>
      </w:r>
      <w:r w:rsidR="000C25C0" w:rsidRPr="002D0ACF">
        <w:rPr>
          <w:bCs/>
          <w:lang w:val="fr-FR"/>
        </w:rPr>
        <w:t>article</w:t>
      </w:r>
      <w:r w:rsidR="003008CC" w:rsidRPr="002D0ACF">
        <w:rPr>
          <w:bCs/>
          <w:lang w:val="fr-FR"/>
        </w:rPr>
        <w:t> </w:t>
      </w:r>
      <w:r w:rsidR="000C25C0" w:rsidRPr="002D0ACF">
        <w:rPr>
          <w:bCs/>
          <w:lang w:val="fr-FR"/>
        </w:rPr>
        <w:t xml:space="preserve">13 </w:t>
      </w:r>
      <w:r w:rsidR="003008CC" w:rsidRPr="002D0ACF">
        <w:rPr>
          <w:bCs/>
          <w:lang w:val="fr-FR"/>
        </w:rPr>
        <w:t>de la</w:t>
      </w:r>
      <w:r w:rsidR="000C25C0" w:rsidRPr="002D0ACF">
        <w:rPr>
          <w:bCs/>
          <w:lang w:val="fr-FR"/>
        </w:rPr>
        <w:t xml:space="preserve"> Convention</w:t>
      </w:r>
      <w:r w:rsidR="00414005" w:rsidRPr="002D0ACF">
        <w:rPr>
          <w:bCs/>
          <w:lang w:val="fr-FR"/>
        </w:rPr>
        <w:t xml:space="preserve"> </w:t>
      </w:r>
      <w:r w:rsidR="003008CC" w:rsidRPr="002D0ACF">
        <w:rPr>
          <w:bCs/>
          <w:lang w:val="fr-FR"/>
        </w:rPr>
        <w:t>dispose que la Conférence des Parties</w:t>
      </w:r>
      <w:r w:rsidR="00414005" w:rsidRPr="002D0ACF">
        <w:rPr>
          <w:bCs/>
          <w:lang w:val="fr-FR"/>
        </w:rPr>
        <w:t xml:space="preserve"> </w:t>
      </w:r>
      <w:r w:rsidR="003008CC" w:rsidRPr="002D0ACF">
        <w:rPr>
          <w:bCs/>
          <w:lang w:val="fr-FR"/>
        </w:rPr>
        <w:t xml:space="preserve">doit examiner, au plus tard à sa troisième réunion et, par la suite, à intervalles réguliers, le niveau de financement, les orientations fournies par la Conférence des Parties aux entités chargées d’assurer le fonctionnement du mécanisme, l’efficacité de ces entités et leur capacité à répondre aux besoins en évolution des Parties qui sont des pays en développement et des pays à économie en transition. Sur la base de son examen, la Conférence des Parties doit prendre des mesures </w:t>
      </w:r>
      <w:r w:rsidR="004245E2" w:rsidRPr="002D0ACF">
        <w:rPr>
          <w:bCs/>
          <w:lang w:val="fr-FR"/>
        </w:rPr>
        <w:t xml:space="preserve">propres à </w:t>
      </w:r>
      <w:r w:rsidR="003008CC" w:rsidRPr="002D0ACF">
        <w:rPr>
          <w:bCs/>
          <w:lang w:val="fr-FR"/>
        </w:rPr>
        <w:t>améliorer l’efficacité du mécanisme de financement</w:t>
      </w:r>
      <w:r w:rsidR="004245E2" w:rsidRPr="002D0ACF">
        <w:rPr>
          <w:bCs/>
          <w:lang w:val="fr-FR"/>
        </w:rPr>
        <w:t>.</w:t>
      </w:r>
    </w:p>
    <w:p w14:paraId="252BACE1" w14:textId="5CE6FDA5" w:rsidR="00FE7303" w:rsidRPr="002D0ACF" w:rsidRDefault="00FE7303" w:rsidP="000C25C0">
      <w:pPr>
        <w:pStyle w:val="CH2"/>
        <w:ind w:left="0" w:firstLine="0"/>
        <w:rPr>
          <w:lang w:val="fr-FR"/>
        </w:rPr>
      </w:pPr>
      <w:r w:rsidRPr="002D0ACF">
        <w:rPr>
          <w:lang w:val="fr-FR"/>
        </w:rPr>
        <w:tab/>
      </w:r>
      <w:r w:rsidRPr="002D0ACF">
        <w:rPr>
          <w:lang w:val="fr-FR"/>
        </w:rPr>
        <w:tab/>
      </w:r>
      <w:r w:rsidR="003C05D7" w:rsidRPr="002D0ACF">
        <w:rPr>
          <w:lang w:val="fr-FR"/>
        </w:rPr>
        <w:t>Mesures que pourrait prendre la Conférence des Parties</w:t>
      </w:r>
    </w:p>
    <w:p w14:paraId="4CCE526F" w14:textId="65F034D0" w:rsidR="006E68AA" w:rsidRPr="002D0ACF" w:rsidRDefault="0097154F" w:rsidP="00C66DAD">
      <w:pPr>
        <w:pStyle w:val="Normalnumber"/>
        <w:numPr>
          <w:ilvl w:val="0"/>
          <w:numId w:val="1"/>
        </w:numPr>
        <w:rPr>
          <w:lang w:val="fr-FR"/>
        </w:rPr>
      </w:pPr>
      <w:r w:rsidRPr="002D0ACF">
        <w:rPr>
          <w:lang w:val="fr-FR"/>
        </w:rPr>
        <w:t xml:space="preserve">La Conférence des Parties souhaitera peut-être examiner le projet de mémorandum d’accord présenté à sa première réunion </w:t>
      </w:r>
      <w:r w:rsidR="005D2E3E" w:rsidRPr="002D0ACF">
        <w:rPr>
          <w:lang w:val="fr-FR"/>
        </w:rPr>
        <w:t>(UNEP/MC/COP.1/15, annex</w:t>
      </w:r>
      <w:r w:rsidRPr="002D0ACF">
        <w:rPr>
          <w:lang w:val="fr-FR"/>
        </w:rPr>
        <w:t>e</w:t>
      </w:r>
      <w:r w:rsidR="005D2E3E" w:rsidRPr="002D0ACF">
        <w:rPr>
          <w:lang w:val="fr-FR"/>
        </w:rPr>
        <w:t>)</w:t>
      </w:r>
      <w:r w:rsidR="00C66DAD" w:rsidRPr="002D0ACF">
        <w:rPr>
          <w:lang w:val="fr-FR"/>
        </w:rPr>
        <w:t xml:space="preserve"> </w:t>
      </w:r>
      <w:r w:rsidRPr="002D0ACF">
        <w:rPr>
          <w:lang w:val="fr-FR"/>
        </w:rPr>
        <w:t xml:space="preserve">et reproduit </w:t>
      </w:r>
      <w:r w:rsidR="004245E2" w:rsidRPr="002D0ACF">
        <w:rPr>
          <w:lang w:val="fr-FR"/>
        </w:rPr>
        <w:t>à l’</w:t>
      </w:r>
      <w:r w:rsidRPr="002D0ACF">
        <w:rPr>
          <w:lang w:val="fr-FR"/>
        </w:rPr>
        <w:t>annexe </w:t>
      </w:r>
      <w:r w:rsidR="006E68AA" w:rsidRPr="002D0ACF">
        <w:rPr>
          <w:lang w:val="fr-FR"/>
        </w:rPr>
        <w:t xml:space="preserve">II </w:t>
      </w:r>
      <w:r w:rsidR="004245E2" w:rsidRPr="002D0ACF">
        <w:rPr>
          <w:lang w:val="fr-FR"/>
        </w:rPr>
        <w:t>de</w:t>
      </w:r>
      <w:r w:rsidRPr="002D0ACF">
        <w:rPr>
          <w:lang w:val="fr-FR"/>
        </w:rPr>
        <w:t xml:space="preserve"> la présente note</w:t>
      </w:r>
      <w:r w:rsidR="004245E2" w:rsidRPr="002D0ACF">
        <w:rPr>
          <w:lang w:val="fr-FR"/>
        </w:rPr>
        <w:t>.</w:t>
      </w:r>
    </w:p>
    <w:p w14:paraId="7615FA81" w14:textId="2D4164AD" w:rsidR="00682B4E" w:rsidRPr="002D0ACF" w:rsidRDefault="00DA42AB" w:rsidP="009F6CA9">
      <w:pPr>
        <w:pStyle w:val="Normalnumber"/>
        <w:numPr>
          <w:ilvl w:val="0"/>
          <w:numId w:val="1"/>
        </w:numPr>
        <w:rPr>
          <w:lang w:val="fr-FR"/>
        </w:rPr>
      </w:pPr>
      <w:bookmarkStart w:id="10" w:name="_Hlk526149645"/>
      <w:r w:rsidRPr="002D0ACF">
        <w:rPr>
          <w:lang w:val="fr-FR"/>
        </w:rPr>
        <w:t xml:space="preserve">Compte tenu de la disposition de la Convention </w:t>
      </w:r>
      <w:r w:rsidR="00B3517A" w:rsidRPr="002D0ACF">
        <w:rPr>
          <w:lang w:val="fr-FR"/>
        </w:rPr>
        <w:t>imposant à la Conférence des Parties d’examiner le mécanisme de financement institué en vertu de l’article 13</w:t>
      </w:r>
      <w:r w:rsidR="000C25C0" w:rsidRPr="002D0ACF">
        <w:rPr>
          <w:lang w:val="fr-FR"/>
        </w:rPr>
        <w:t xml:space="preserve"> </w:t>
      </w:r>
      <w:r w:rsidR="00B3517A" w:rsidRPr="002D0ACF">
        <w:rPr>
          <w:bCs/>
          <w:lang w:val="fr-FR"/>
        </w:rPr>
        <w:t xml:space="preserve">au plus tard à sa troisième réunion, la Conférence des Parties souhaitera peut-être déterminer à sa deuxième réunion la </w:t>
      </w:r>
      <w:r w:rsidR="004245E2" w:rsidRPr="002D0ACF">
        <w:rPr>
          <w:bCs/>
          <w:lang w:val="fr-FR"/>
        </w:rPr>
        <w:t>manière selon laquelle elle examinera</w:t>
      </w:r>
      <w:r w:rsidR="00B3517A" w:rsidRPr="002D0ACF">
        <w:rPr>
          <w:bCs/>
          <w:lang w:val="fr-FR"/>
        </w:rPr>
        <w:t xml:space="preserve"> le volet « Caisse du FEM » </w:t>
      </w:r>
      <w:r w:rsidR="0064069B" w:rsidRPr="002D0ACF">
        <w:rPr>
          <w:bCs/>
          <w:lang w:val="fr-FR"/>
        </w:rPr>
        <w:t>ainsi que</w:t>
      </w:r>
      <w:r w:rsidR="00B3517A" w:rsidRPr="002D0ACF">
        <w:rPr>
          <w:bCs/>
          <w:lang w:val="fr-FR"/>
        </w:rPr>
        <w:t xml:space="preserve"> les informations nécessaires </w:t>
      </w:r>
      <w:r w:rsidR="004245E2" w:rsidRPr="002D0ACF">
        <w:rPr>
          <w:bCs/>
          <w:lang w:val="fr-FR"/>
        </w:rPr>
        <w:t>à</w:t>
      </w:r>
      <w:r w:rsidR="00B3517A" w:rsidRPr="002D0ACF">
        <w:rPr>
          <w:bCs/>
          <w:lang w:val="fr-FR"/>
        </w:rPr>
        <w:t xml:space="preserve"> un tel examen, et prier le FEM, le secrétariat de la Convention de Minamata et d’autres parties prenantes, s’il y a lieu, </w:t>
      </w:r>
      <w:r w:rsidR="00AB09ED" w:rsidRPr="002D0ACF">
        <w:rPr>
          <w:bCs/>
          <w:lang w:val="fr-FR"/>
        </w:rPr>
        <w:t xml:space="preserve">de fournir les informations nécessaires </w:t>
      </w:r>
      <w:r w:rsidR="004245E2" w:rsidRPr="002D0ACF">
        <w:rPr>
          <w:bCs/>
          <w:lang w:val="fr-FR"/>
        </w:rPr>
        <w:t>à</w:t>
      </w:r>
      <w:r w:rsidR="00AB09ED" w:rsidRPr="002D0ACF">
        <w:rPr>
          <w:bCs/>
          <w:lang w:val="fr-FR"/>
        </w:rPr>
        <w:t xml:space="preserve"> l’examen de la question à sa troisième réunion</w:t>
      </w:r>
      <w:bookmarkEnd w:id="10"/>
      <w:r w:rsidR="008E2A08" w:rsidRPr="002D0ACF">
        <w:rPr>
          <w:bCs/>
          <w:lang w:val="fr-FR"/>
        </w:rPr>
        <w:t>.</w:t>
      </w:r>
    </w:p>
    <w:p w14:paraId="79FC5668" w14:textId="1D62D415" w:rsidR="00682B4E" w:rsidRPr="002D0ACF" w:rsidRDefault="00AB09ED" w:rsidP="00F03EC0">
      <w:pPr>
        <w:pStyle w:val="Normalnumber"/>
        <w:numPr>
          <w:ilvl w:val="0"/>
          <w:numId w:val="1"/>
        </w:numPr>
        <w:rPr>
          <w:lang w:val="fr-FR"/>
        </w:rPr>
      </w:pPr>
      <w:r w:rsidRPr="002D0ACF">
        <w:rPr>
          <w:bCs/>
          <w:lang w:val="fr-FR"/>
        </w:rPr>
        <w:t>En outre</w:t>
      </w:r>
      <w:r w:rsidR="00682B4E" w:rsidRPr="002D0ACF">
        <w:rPr>
          <w:bCs/>
          <w:lang w:val="fr-FR"/>
        </w:rPr>
        <w:t>,</w:t>
      </w:r>
      <w:r w:rsidRPr="002D0ACF">
        <w:rPr>
          <w:bCs/>
          <w:lang w:val="fr-FR"/>
        </w:rPr>
        <w:t xml:space="preserve"> la Conférence des Parties souhaitera peut-être inclure dans l’examen susmentionné l’examen du mémorandum d’accord, si la question n’est pas réglée à la deuxième réunion</w:t>
      </w:r>
      <w:r w:rsidR="00682B4E" w:rsidRPr="002D0ACF">
        <w:rPr>
          <w:bCs/>
          <w:lang w:val="fr-FR"/>
        </w:rPr>
        <w:t xml:space="preserve">. </w:t>
      </w:r>
    </w:p>
    <w:p w14:paraId="1793F5E7" w14:textId="17122B54" w:rsidR="00FE7303" w:rsidRPr="002D0ACF" w:rsidRDefault="00AB09ED" w:rsidP="006E68AA">
      <w:pPr>
        <w:pStyle w:val="Normalnumber"/>
        <w:numPr>
          <w:ilvl w:val="0"/>
          <w:numId w:val="1"/>
        </w:numPr>
        <w:rPr>
          <w:lang w:val="fr-FR"/>
        </w:rPr>
      </w:pPr>
      <w:r w:rsidRPr="002D0ACF">
        <w:rPr>
          <w:bCs/>
          <w:lang w:val="fr-FR"/>
        </w:rPr>
        <w:t xml:space="preserve">La Conférence des Parties souhaitera peut-être également examiner </w:t>
      </w:r>
      <w:r w:rsidR="004245E2" w:rsidRPr="002D0ACF">
        <w:rPr>
          <w:bCs/>
          <w:lang w:val="fr-FR"/>
        </w:rPr>
        <w:t>l’opportunité d’</w:t>
      </w:r>
      <w:r w:rsidRPr="002D0ACF">
        <w:rPr>
          <w:bCs/>
          <w:lang w:val="fr-FR"/>
        </w:rPr>
        <w:t xml:space="preserve">élaborer des orientations supplémentaires pour contribuer à l’examen de la huitième reconstitution du FEM en </w:t>
      </w:r>
      <w:r w:rsidR="0048755F" w:rsidRPr="002D0ACF">
        <w:rPr>
          <w:bCs/>
          <w:lang w:val="fr-FR"/>
        </w:rPr>
        <w:t>2021.</w:t>
      </w:r>
    </w:p>
    <w:p w14:paraId="224D614E" w14:textId="77777777" w:rsidR="00FE7303" w:rsidRPr="002D0ACF" w:rsidRDefault="00FE7303" w:rsidP="00FE7303">
      <w:pPr>
        <w:pStyle w:val="Normalnumber"/>
        <w:numPr>
          <w:ilvl w:val="0"/>
          <w:numId w:val="0"/>
        </w:numPr>
        <w:ind w:left="1247"/>
        <w:rPr>
          <w:lang w:val="fr-FR"/>
        </w:rPr>
      </w:pPr>
      <w:r w:rsidRPr="002D0ACF">
        <w:rPr>
          <w:lang w:val="fr-FR"/>
        </w:rPr>
        <w:br w:type="page"/>
      </w:r>
    </w:p>
    <w:p w14:paraId="0D9AC4A1" w14:textId="5E17A72A" w:rsidR="00FE7303" w:rsidRPr="002D0ACF" w:rsidRDefault="00FE7303" w:rsidP="00FE7303">
      <w:pPr>
        <w:pStyle w:val="ZZAnxheader"/>
        <w:rPr>
          <w:lang w:val="fr-FR"/>
        </w:rPr>
      </w:pPr>
      <w:r w:rsidRPr="002D0ACF">
        <w:rPr>
          <w:lang w:val="fr-FR"/>
        </w:rPr>
        <w:t>Annex</w:t>
      </w:r>
      <w:r w:rsidR="00F35D08" w:rsidRPr="002D0ACF">
        <w:rPr>
          <w:lang w:val="fr-FR"/>
        </w:rPr>
        <w:t>e </w:t>
      </w:r>
      <w:r w:rsidRPr="002D0ACF">
        <w:rPr>
          <w:lang w:val="fr-FR"/>
        </w:rPr>
        <w:t xml:space="preserve">I </w:t>
      </w:r>
    </w:p>
    <w:p w14:paraId="231B7BEE" w14:textId="0410A307" w:rsidR="0004098F" w:rsidRPr="002D0ACF" w:rsidRDefault="000E2A28" w:rsidP="00F567F9">
      <w:pPr>
        <w:pStyle w:val="ZZAnxtitle"/>
        <w:rPr>
          <w:lang w:val="fr-FR"/>
        </w:rPr>
      </w:pPr>
      <w:r w:rsidRPr="002D0ACF">
        <w:rPr>
          <w:lang w:val="fr-FR"/>
        </w:rPr>
        <w:t>Résumé analytique du r</w:t>
      </w:r>
      <w:r w:rsidR="00CF3D13" w:rsidRPr="002D0ACF">
        <w:rPr>
          <w:lang w:val="fr-FR"/>
        </w:rPr>
        <w:t>apport du Conseil du Fonds pour </w:t>
      </w:r>
      <w:r w:rsidRPr="002D0ACF">
        <w:rPr>
          <w:lang w:val="fr-FR"/>
        </w:rPr>
        <w:t>l’environnement mondia</w:t>
      </w:r>
      <w:r w:rsidR="00CF3D13" w:rsidRPr="002D0ACF">
        <w:rPr>
          <w:lang w:val="fr-FR"/>
        </w:rPr>
        <w:t>l à la Conférence des Parties à la </w:t>
      </w:r>
      <w:r w:rsidRPr="002D0ACF">
        <w:rPr>
          <w:lang w:val="fr-FR"/>
        </w:rPr>
        <w:t>Convention de</w:t>
      </w:r>
      <w:r w:rsidR="0004098F" w:rsidRPr="002D0ACF">
        <w:rPr>
          <w:lang w:val="fr-FR"/>
        </w:rPr>
        <w:t xml:space="preserve"> Minamata </w:t>
      </w:r>
      <w:r w:rsidRPr="002D0ACF">
        <w:rPr>
          <w:lang w:val="fr-FR"/>
        </w:rPr>
        <w:t>sur le mercure</w:t>
      </w:r>
      <w:r w:rsidR="0004098F" w:rsidRPr="002D0ACF">
        <w:rPr>
          <w:lang w:val="fr-FR"/>
        </w:rPr>
        <w:t>,</w:t>
      </w:r>
      <w:r w:rsidR="00CF3D13" w:rsidRPr="002D0ACF">
        <w:rPr>
          <w:lang w:val="fr-FR"/>
        </w:rPr>
        <w:t xml:space="preserve"> </w:t>
      </w:r>
      <w:r w:rsidR="000B3114" w:rsidRPr="002D0ACF">
        <w:rPr>
          <w:lang w:val="fr-FR"/>
        </w:rPr>
        <w:t>présenté</w:t>
      </w:r>
      <w:r w:rsidR="00CF3D13" w:rsidRPr="002D0ACF">
        <w:rPr>
          <w:lang w:val="fr-FR"/>
        </w:rPr>
        <w:t xml:space="preserve"> par le </w:t>
      </w:r>
      <w:r w:rsidRPr="002D0ACF">
        <w:rPr>
          <w:lang w:val="fr-FR"/>
        </w:rPr>
        <w:t>secrétariat du Fonds pour l’environnement mondial</w:t>
      </w:r>
    </w:p>
    <w:p w14:paraId="1FA017ED" w14:textId="2ADE6FC5" w:rsidR="00FE7303" w:rsidRPr="002D0ACF" w:rsidRDefault="000E2A28" w:rsidP="0004098F">
      <w:pPr>
        <w:pStyle w:val="Normalnumber"/>
        <w:numPr>
          <w:ilvl w:val="0"/>
          <w:numId w:val="33"/>
        </w:numPr>
        <w:rPr>
          <w:bCs/>
          <w:lang w:val="fr-FR"/>
        </w:rPr>
      </w:pPr>
      <w:r w:rsidRPr="002D0ACF">
        <w:rPr>
          <w:lang w:val="fr-FR"/>
        </w:rPr>
        <w:t>Résumé analytique du rapport du Fonds pour l’environnement mondial à la deuxième réunion de la Conférence des Parties à la Convention de</w:t>
      </w:r>
      <w:r w:rsidR="00D25766" w:rsidRPr="002D0ACF">
        <w:rPr>
          <w:lang w:val="fr-FR"/>
        </w:rPr>
        <w:t xml:space="preserve"> Minamata </w:t>
      </w:r>
      <w:r w:rsidRPr="002D0ACF">
        <w:rPr>
          <w:lang w:val="fr-FR"/>
        </w:rPr>
        <w:t>sur le mercure</w:t>
      </w:r>
      <w:r w:rsidR="00D25766" w:rsidRPr="002D0ACF">
        <w:rPr>
          <w:lang w:val="fr-FR"/>
        </w:rPr>
        <w:t xml:space="preserve">, </w:t>
      </w:r>
      <w:r w:rsidR="000B3114" w:rsidRPr="002D0ACF">
        <w:rPr>
          <w:lang w:val="fr-FR"/>
        </w:rPr>
        <w:t>présenté</w:t>
      </w:r>
      <w:r w:rsidRPr="002D0ACF">
        <w:rPr>
          <w:lang w:val="fr-FR"/>
        </w:rPr>
        <w:t xml:space="preserve"> par le secrétariat du</w:t>
      </w:r>
      <w:r w:rsidR="00D25766" w:rsidRPr="002D0ACF">
        <w:rPr>
          <w:lang w:val="fr-FR"/>
        </w:rPr>
        <w:t xml:space="preserve"> </w:t>
      </w:r>
      <w:r w:rsidRPr="002D0ACF">
        <w:rPr>
          <w:lang w:val="fr-FR"/>
        </w:rPr>
        <w:t>Fonds pour l’environnement mondial.</w:t>
      </w:r>
    </w:p>
    <w:p w14:paraId="3330C0E6" w14:textId="1492DBCD" w:rsidR="009F6CA9" w:rsidRPr="002D0ACF" w:rsidRDefault="000E2A28" w:rsidP="009F6CA9">
      <w:pPr>
        <w:pStyle w:val="Normalnumber"/>
        <w:numPr>
          <w:ilvl w:val="0"/>
          <w:numId w:val="33"/>
        </w:numPr>
        <w:rPr>
          <w:bCs/>
          <w:lang w:val="fr-FR"/>
        </w:rPr>
      </w:pPr>
      <w:r w:rsidRPr="002D0ACF">
        <w:rPr>
          <w:bCs/>
          <w:lang w:val="fr-FR"/>
        </w:rPr>
        <w:t>La Convention de</w:t>
      </w:r>
      <w:r w:rsidR="009F6CA9" w:rsidRPr="002D0ACF">
        <w:rPr>
          <w:bCs/>
          <w:lang w:val="fr-FR"/>
        </w:rPr>
        <w:t xml:space="preserve"> Minamata </w:t>
      </w:r>
      <w:r w:rsidRPr="002D0ACF">
        <w:rPr>
          <w:bCs/>
          <w:lang w:val="fr-FR"/>
        </w:rPr>
        <w:t>sur le mercure est la Convention la plus récente</w:t>
      </w:r>
      <w:r w:rsidR="000B3114" w:rsidRPr="002D0ACF">
        <w:rPr>
          <w:bCs/>
          <w:lang w:val="fr-FR"/>
        </w:rPr>
        <w:t>,</w:t>
      </w:r>
      <w:r w:rsidRPr="002D0ACF">
        <w:rPr>
          <w:bCs/>
          <w:lang w:val="fr-FR"/>
        </w:rPr>
        <w:t xml:space="preserve"> </w:t>
      </w:r>
      <w:r w:rsidR="0064069B" w:rsidRPr="002D0ACF">
        <w:rPr>
          <w:bCs/>
          <w:lang w:val="fr-FR"/>
        </w:rPr>
        <w:t>dont le mécanisme de financement inclut</w:t>
      </w:r>
      <w:r w:rsidRPr="002D0ACF">
        <w:rPr>
          <w:bCs/>
          <w:lang w:val="fr-FR"/>
        </w:rPr>
        <w:t xml:space="preserve"> le Fonds pour l’environnement mondial</w:t>
      </w:r>
      <w:r w:rsidR="00923A6B" w:rsidRPr="002D0ACF">
        <w:rPr>
          <w:bCs/>
          <w:lang w:val="fr-FR"/>
        </w:rPr>
        <w:t xml:space="preserve"> (FEM)</w:t>
      </w:r>
      <w:r w:rsidR="009F6CA9" w:rsidRPr="002D0ACF">
        <w:rPr>
          <w:bCs/>
          <w:lang w:val="fr-FR"/>
        </w:rPr>
        <w:t xml:space="preserve">. </w:t>
      </w:r>
    </w:p>
    <w:p w14:paraId="70650ADF" w14:textId="3C193934" w:rsidR="009F6CA9" w:rsidRPr="002D0ACF" w:rsidRDefault="00923A6B" w:rsidP="009F6CA9">
      <w:pPr>
        <w:pStyle w:val="Normalnumber"/>
        <w:numPr>
          <w:ilvl w:val="0"/>
          <w:numId w:val="33"/>
        </w:numPr>
        <w:rPr>
          <w:bCs/>
          <w:lang w:val="fr-FR"/>
        </w:rPr>
      </w:pPr>
      <w:r w:rsidRPr="002D0ACF">
        <w:rPr>
          <w:bCs/>
          <w:lang w:val="fr-FR"/>
        </w:rPr>
        <w:t>L’objectif de la</w:t>
      </w:r>
      <w:r w:rsidR="009F6CA9" w:rsidRPr="002D0ACF">
        <w:rPr>
          <w:bCs/>
          <w:lang w:val="fr-FR"/>
        </w:rPr>
        <w:t xml:space="preserve"> Convention </w:t>
      </w:r>
      <w:r w:rsidRPr="002D0ACF">
        <w:rPr>
          <w:bCs/>
          <w:lang w:val="fr-FR"/>
        </w:rPr>
        <w:t>est de protéger la santé humaine et l’environnement contre les émissions et rejets anthropiques de mercure et de composés du mercure</w:t>
      </w:r>
      <w:r w:rsidR="009F6CA9" w:rsidRPr="002D0ACF">
        <w:rPr>
          <w:bCs/>
          <w:lang w:val="fr-FR"/>
        </w:rPr>
        <w:t xml:space="preserve">. </w:t>
      </w:r>
    </w:p>
    <w:p w14:paraId="6F5F0C9D" w14:textId="7FBF1D89" w:rsidR="009F6CA9" w:rsidRPr="002D0ACF" w:rsidRDefault="00923A6B" w:rsidP="009F6CA9">
      <w:pPr>
        <w:pStyle w:val="Normalnumber"/>
        <w:numPr>
          <w:ilvl w:val="0"/>
          <w:numId w:val="33"/>
        </w:numPr>
        <w:rPr>
          <w:bCs/>
          <w:lang w:val="fr-FR"/>
        </w:rPr>
      </w:pPr>
      <w:r w:rsidRPr="002D0ACF">
        <w:rPr>
          <w:bCs/>
          <w:lang w:val="fr-FR"/>
        </w:rPr>
        <w:t>L’a</w:t>
      </w:r>
      <w:r w:rsidR="009F6CA9" w:rsidRPr="002D0ACF">
        <w:rPr>
          <w:bCs/>
          <w:lang w:val="fr-FR"/>
        </w:rPr>
        <w:t>rticle</w:t>
      </w:r>
      <w:r w:rsidRPr="002D0ACF">
        <w:rPr>
          <w:bCs/>
          <w:lang w:val="fr-FR"/>
        </w:rPr>
        <w:t> </w:t>
      </w:r>
      <w:r w:rsidR="009F6CA9" w:rsidRPr="002D0ACF">
        <w:rPr>
          <w:bCs/>
          <w:lang w:val="fr-FR"/>
        </w:rPr>
        <w:t xml:space="preserve">13 </w:t>
      </w:r>
      <w:r w:rsidRPr="002D0ACF">
        <w:rPr>
          <w:bCs/>
          <w:lang w:val="fr-FR"/>
        </w:rPr>
        <w:t>de la Convention de</w:t>
      </w:r>
      <w:r w:rsidR="009F6CA9" w:rsidRPr="002D0ACF">
        <w:rPr>
          <w:bCs/>
          <w:lang w:val="fr-FR"/>
        </w:rPr>
        <w:t xml:space="preserve"> Minamata </w:t>
      </w:r>
      <w:r w:rsidRPr="002D0ACF">
        <w:rPr>
          <w:bCs/>
          <w:lang w:val="fr-FR"/>
        </w:rPr>
        <w:t>inclut le FEM dans le mécanisme de financement</w:t>
      </w:r>
      <w:r w:rsidR="009F6CA9" w:rsidRPr="002D0ACF">
        <w:rPr>
          <w:bCs/>
          <w:lang w:val="fr-FR"/>
        </w:rPr>
        <w:t xml:space="preserve"> </w:t>
      </w:r>
      <w:r w:rsidRPr="002D0ACF">
        <w:rPr>
          <w:bCs/>
          <w:lang w:val="fr-FR"/>
        </w:rPr>
        <w:t xml:space="preserve">afin </w:t>
      </w:r>
      <w:r w:rsidR="00D21A23" w:rsidRPr="002D0ACF">
        <w:rPr>
          <w:bCs/>
          <w:lang w:val="fr-FR"/>
        </w:rPr>
        <w:t>que celui-ci fournisse</w:t>
      </w:r>
      <w:r w:rsidRPr="002D0ACF">
        <w:rPr>
          <w:bCs/>
          <w:lang w:val="fr-FR"/>
        </w:rPr>
        <w:t xml:space="preserve"> en temps voulu des ressources financières nouvelles, prévisibles et adéquates pour couvrir les coûts de l’aide à la mise en œuvre de la Convention, comme convenu par la Conférence des Parties</w:t>
      </w:r>
      <w:r w:rsidR="009F6CA9" w:rsidRPr="002D0ACF">
        <w:rPr>
          <w:bCs/>
          <w:lang w:val="fr-FR"/>
        </w:rPr>
        <w:t>.</w:t>
      </w:r>
    </w:p>
    <w:p w14:paraId="2C73C9C3" w14:textId="7B50FCAD" w:rsidR="009F6CA9" w:rsidRPr="002D0ACF" w:rsidRDefault="00923A6B" w:rsidP="009F6CA9">
      <w:pPr>
        <w:pStyle w:val="Normalnumber"/>
        <w:numPr>
          <w:ilvl w:val="0"/>
          <w:numId w:val="33"/>
        </w:numPr>
        <w:rPr>
          <w:bCs/>
          <w:lang w:val="fr-FR"/>
        </w:rPr>
      </w:pPr>
      <w:r w:rsidRPr="002D0ACF">
        <w:rPr>
          <w:bCs/>
          <w:lang w:val="fr-FR"/>
        </w:rPr>
        <w:t>La Convention de</w:t>
      </w:r>
      <w:r w:rsidR="009F6CA9" w:rsidRPr="002D0ACF">
        <w:rPr>
          <w:bCs/>
          <w:lang w:val="fr-FR"/>
        </w:rPr>
        <w:t xml:space="preserve"> Minamata </w:t>
      </w:r>
      <w:r w:rsidRPr="002D0ACF">
        <w:rPr>
          <w:bCs/>
          <w:lang w:val="fr-FR"/>
        </w:rPr>
        <w:t>a été ajoutée à l’Instrument pour la restructuration du Fonds pour l’environnement mondial durant la cinquième Assemblée du Fonds pour l’environnement mondial, qui s’est tenue en mai </w:t>
      </w:r>
      <w:r w:rsidR="009F6CA9" w:rsidRPr="002D0ACF">
        <w:rPr>
          <w:bCs/>
          <w:lang w:val="fr-FR"/>
        </w:rPr>
        <w:t>2014.</w:t>
      </w:r>
    </w:p>
    <w:p w14:paraId="711018E0" w14:textId="1362A14C" w:rsidR="009F6CA9" w:rsidRPr="002D0ACF" w:rsidRDefault="00923A6B" w:rsidP="009F6CA9">
      <w:pPr>
        <w:pStyle w:val="Normalnumber"/>
        <w:numPr>
          <w:ilvl w:val="0"/>
          <w:numId w:val="33"/>
        </w:numPr>
        <w:rPr>
          <w:bCs/>
          <w:lang w:val="fr-FR"/>
        </w:rPr>
      </w:pPr>
      <w:r w:rsidRPr="002D0ACF">
        <w:rPr>
          <w:bCs/>
          <w:lang w:val="fr-FR"/>
        </w:rPr>
        <w:t xml:space="preserve">Le présent rapport présente les travaux </w:t>
      </w:r>
      <w:r w:rsidR="000B3114" w:rsidRPr="002D0ACF">
        <w:rPr>
          <w:bCs/>
          <w:lang w:val="fr-FR"/>
        </w:rPr>
        <w:t>menés par le</w:t>
      </w:r>
      <w:r w:rsidRPr="002D0ACF">
        <w:rPr>
          <w:bCs/>
          <w:lang w:val="fr-FR"/>
        </w:rPr>
        <w:t xml:space="preserve"> FEM</w:t>
      </w:r>
      <w:r w:rsidR="009F6CA9" w:rsidRPr="002D0ACF">
        <w:rPr>
          <w:bCs/>
          <w:lang w:val="fr-FR"/>
        </w:rPr>
        <w:t xml:space="preserve"> </w:t>
      </w:r>
      <w:r w:rsidR="00333A1C" w:rsidRPr="002D0ACF">
        <w:rPr>
          <w:bCs/>
          <w:lang w:val="fr-FR"/>
        </w:rPr>
        <w:t xml:space="preserve">dans le cadre de l’exécution </w:t>
      </w:r>
      <w:r w:rsidR="006048E0" w:rsidRPr="002D0ACF">
        <w:rPr>
          <w:bCs/>
          <w:lang w:val="fr-FR"/>
        </w:rPr>
        <w:t>du</w:t>
      </w:r>
      <w:r w:rsidR="00333A1C" w:rsidRPr="002D0ACF">
        <w:rPr>
          <w:bCs/>
          <w:lang w:val="fr-FR"/>
        </w:rPr>
        <w:t xml:space="preserve"> mandat</w:t>
      </w:r>
      <w:r w:rsidR="006048E0" w:rsidRPr="002D0ACF">
        <w:rPr>
          <w:bCs/>
          <w:lang w:val="fr-FR"/>
        </w:rPr>
        <w:t xml:space="preserve"> qui lui a été confié</w:t>
      </w:r>
      <w:r w:rsidR="009F6CA9" w:rsidRPr="002D0ACF">
        <w:rPr>
          <w:bCs/>
          <w:lang w:val="fr-FR"/>
        </w:rPr>
        <w:t xml:space="preserve"> </w:t>
      </w:r>
      <w:r w:rsidR="006048E0" w:rsidRPr="002D0ACF">
        <w:rPr>
          <w:bCs/>
          <w:lang w:val="fr-FR"/>
        </w:rPr>
        <w:t xml:space="preserve">en vertu de la Convention de Minamata </w:t>
      </w:r>
      <w:r w:rsidR="00CD1017" w:rsidRPr="002D0ACF">
        <w:rPr>
          <w:bCs/>
          <w:lang w:val="fr-FR"/>
        </w:rPr>
        <w:t>entre le 1</w:t>
      </w:r>
      <w:r w:rsidR="00CD1017" w:rsidRPr="002D0ACF">
        <w:rPr>
          <w:bCs/>
          <w:vertAlign w:val="superscript"/>
          <w:lang w:val="fr-FR"/>
        </w:rPr>
        <w:t>er</w:t>
      </w:r>
      <w:r w:rsidR="002D766E">
        <w:rPr>
          <w:bCs/>
          <w:lang w:val="fr-FR"/>
        </w:rPr>
        <w:t> juillet</w:t>
      </w:r>
      <w:r w:rsidR="00CD1017" w:rsidRPr="002D0ACF">
        <w:rPr>
          <w:bCs/>
          <w:lang w:val="fr-FR"/>
        </w:rPr>
        <w:t> </w:t>
      </w:r>
      <w:r w:rsidR="009F6CA9" w:rsidRPr="002D0ACF">
        <w:rPr>
          <w:bCs/>
          <w:lang w:val="fr-FR"/>
        </w:rPr>
        <w:t xml:space="preserve">2017 </w:t>
      </w:r>
      <w:r w:rsidR="00CD1017" w:rsidRPr="002D0ACF">
        <w:rPr>
          <w:bCs/>
          <w:lang w:val="fr-FR"/>
        </w:rPr>
        <w:t>et le 30 juin </w:t>
      </w:r>
      <w:r w:rsidR="009F6CA9" w:rsidRPr="002D0ACF">
        <w:rPr>
          <w:bCs/>
          <w:lang w:val="fr-FR"/>
        </w:rPr>
        <w:t xml:space="preserve">2018 </w:t>
      </w:r>
      <w:r w:rsidR="00BE16BC" w:rsidRPr="002D0ACF">
        <w:rPr>
          <w:bCs/>
          <w:lang w:val="fr-FR"/>
        </w:rPr>
        <w:t>et donne suite aux orientations à l’intention du FEM de la première réunion de la Conférence des Parti</w:t>
      </w:r>
      <w:r w:rsidR="00DB25FA" w:rsidRPr="002D0ACF">
        <w:rPr>
          <w:bCs/>
          <w:lang w:val="fr-FR"/>
        </w:rPr>
        <w:t>e</w:t>
      </w:r>
      <w:r w:rsidR="00BE16BC" w:rsidRPr="002D0ACF">
        <w:rPr>
          <w:bCs/>
          <w:lang w:val="fr-FR"/>
        </w:rPr>
        <w:t xml:space="preserve">s à la Convention de </w:t>
      </w:r>
      <w:r w:rsidR="009F6CA9" w:rsidRPr="002D0ACF">
        <w:rPr>
          <w:bCs/>
          <w:lang w:val="fr-FR"/>
        </w:rPr>
        <w:t xml:space="preserve">Minamata </w:t>
      </w:r>
      <w:r w:rsidR="00BE16BC" w:rsidRPr="002D0ACF">
        <w:rPr>
          <w:bCs/>
          <w:lang w:val="fr-FR"/>
        </w:rPr>
        <w:t>sur le mercure, qui s’est tenue du 24 au 29 septembre 2017</w:t>
      </w:r>
      <w:r w:rsidR="009F6CA9" w:rsidRPr="002D0ACF">
        <w:rPr>
          <w:bCs/>
          <w:lang w:val="fr-FR"/>
        </w:rPr>
        <w:t>.</w:t>
      </w:r>
      <w:r w:rsidR="00BE16BC" w:rsidRPr="002D0ACF">
        <w:rPr>
          <w:bCs/>
          <w:lang w:val="fr-FR"/>
        </w:rPr>
        <w:t xml:space="preserve"> Les orientations figurent en annexe à la décision </w:t>
      </w:r>
      <w:r w:rsidR="009F6CA9" w:rsidRPr="002D0ACF">
        <w:rPr>
          <w:bCs/>
          <w:lang w:val="fr-FR"/>
        </w:rPr>
        <w:t>MC-1/5</w:t>
      </w:r>
      <w:r w:rsidR="00BE16BC" w:rsidRPr="002D0ACF">
        <w:rPr>
          <w:bCs/>
          <w:lang w:val="fr-FR"/>
        </w:rPr>
        <w:t xml:space="preserve"> de la Conférence des Parties à la Convention de Minamata</w:t>
      </w:r>
      <w:r w:rsidR="009F6CA9" w:rsidRPr="002D0ACF">
        <w:rPr>
          <w:bCs/>
          <w:lang w:val="fr-FR"/>
        </w:rPr>
        <w:t xml:space="preserve">. </w:t>
      </w:r>
    </w:p>
    <w:p w14:paraId="11973DD1" w14:textId="638CF0D8" w:rsidR="009F6CA9" w:rsidRPr="002D0ACF" w:rsidRDefault="00BE16BC" w:rsidP="009F6CA9">
      <w:pPr>
        <w:pStyle w:val="Normalnumber"/>
        <w:numPr>
          <w:ilvl w:val="0"/>
          <w:numId w:val="33"/>
        </w:numPr>
        <w:rPr>
          <w:bCs/>
          <w:lang w:val="fr-FR"/>
        </w:rPr>
      </w:pPr>
      <w:r w:rsidRPr="002D0ACF">
        <w:rPr>
          <w:bCs/>
          <w:lang w:val="fr-FR"/>
        </w:rPr>
        <w:t>De plus, le rapport rend compte de l’appui fourni par le FEM à la Convention de Minamata sur le mercure au cours de la sixième période de r</w:t>
      </w:r>
      <w:r w:rsidR="000B3114" w:rsidRPr="002D0ACF">
        <w:rPr>
          <w:bCs/>
          <w:lang w:val="fr-FR"/>
        </w:rPr>
        <w:t>econstitution</w:t>
      </w:r>
      <w:r w:rsidR="001516D0" w:rsidRPr="002D0ACF">
        <w:rPr>
          <w:bCs/>
          <w:lang w:val="fr-FR"/>
        </w:rPr>
        <w:t>,</w:t>
      </w:r>
      <w:r w:rsidR="009F6CA9" w:rsidRPr="002D0ACF">
        <w:rPr>
          <w:bCs/>
          <w:lang w:val="fr-FR"/>
        </w:rPr>
        <w:t xml:space="preserve"> </w:t>
      </w:r>
      <w:r w:rsidRPr="002D0ACF">
        <w:rPr>
          <w:bCs/>
          <w:lang w:val="fr-FR"/>
        </w:rPr>
        <w:t>allant du 1</w:t>
      </w:r>
      <w:r w:rsidRPr="002D0ACF">
        <w:rPr>
          <w:bCs/>
          <w:vertAlign w:val="superscript"/>
          <w:lang w:val="fr-FR"/>
        </w:rPr>
        <w:t>er</w:t>
      </w:r>
      <w:r w:rsidRPr="002D0ACF">
        <w:rPr>
          <w:bCs/>
          <w:lang w:val="fr-FR"/>
        </w:rPr>
        <w:t> juillet </w:t>
      </w:r>
      <w:r w:rsidR="009F6CA9" w:rsidRPr="002D0ACF">
        <w:rPr>
          <w:bCs/>
          <w:lang w:val="fr-FR"/>
        </w:rPr>
        <w:t xml:space="preserve">2014 </w:t>
      </w:r>
      <w:r w:rsidRPr="002D0ACF">
        <w:rPr>
          <w:bCs/>
          <w:lang w:val="fr-FR"/>
        </w:rPr>
        <w:t>au 30 juin </w:t>
      </w:r>
      <w:r w:rsidR="009F6CA9" w:rsidRPr="002D0ACF">
        <w:rPr>
          <w:bCs/>
          <w:lang w:val="fr-FR"/>
        </w:rPr>
        <w:t>2018</w:t>
      </w:r>
      <w:r w:rsidR="001516D0" w:rsidRPr="002D0ACF">
        <w:rPr>
          <w:bCs/>
          <w:lang w:val="fr-FR"/>
        </w:rPr>
        <w:t>, et fournit un aperçu des résultats du septième processus de reconstitution du FEM</w:t>
      </w:r>
      <w:r w:rsidR="009F6CA9" w:rsidRPr="002D0ACF">
        <w:rPr>
          <w:bCs/>
          <w:lang w:val="fr-FR"/>
        </w:rPr>
        <w:t xml:space="preserve">. </w:t>
      </w:r>
    </w:p>
    <w:p w14:paraId="722B38E4" w14:textId="3D75CB9F" w:rsidR="009F6CA9" w:rsidRPr="002D0ACF" w:rsidRDefault="001516D0" w:rsidP="009F6CA9">
      <w:pPr>
        <w:pStyle w:val="Normalnumber"/>
        <w:numPr>
          <w:ilvl w:val="0"/>
          <w:numId w:val="33"/>
        </w:numPr>
        <w:rPr>
          <w:bCs/>
          <w:lang w:val="fr-FR"/>
        </w:rPr>
      </w:pPr>
      <w:r w:rsidRPr="002D0ACF">
        <w:rPr>
          <w:bCs/>
          <w:lang w:val="fr-FR"/>
        </w:rPr>
        <w:t>Depuis la première Conférence des Parties qui s’est tenue en septembre </w:t>
      </w:r>
      <w:r w:rsidR="009F6CA9" w:rsidRPr="002D0ACF">
        <w:rPr>
          <w:bCs/>
          <w:lang w:val="fr-FR"/>
        </w:rPr>
        <w:t xml:space="preserve">2017, </w:t>
      </w:r>
      <w:r w:rsidRPr="002D0ACF">
        <w:rPr>
          <w:bCs/>
          <w:lang w:val="fr-FR"/>
        </w:rPr>
        <w:t>le FEM a approuvé</w:t>
      </w:r>
      <w:r w:rsidR="009F6CA9" w:rsidRPr="002D0ACF">
        <w:rPr>
          <w:bCs/>
          <w:lang w:val="fr-FR"/>
        </w:rPr>
        <w:t xml:space="preserve"> </w:t>
      </w:r>
      <w:r w:rsidRPr="002D0ACF">
        <w:rPr>
          <w:bCs/>
          <w:lang w:val="fr-FR"/>
        </w:rPr>
        <w:t>deux projets de grande envergure couvrant sept pays et sept projets d’activités habilitantes couvrant dix pays</w:t>
      </w:r>
      <w:r w:rsidR="009F6CA9" w:rsidRPr="002D0ACF">
        <w:rPr>
          <w:bCs/>
          <w:lang w:val="fr-FR"/>
        </w:rPr>
        <w:t>.</w:t>
      </w:r>
    </w:p>
    <w:p w14:paraId="7F3264FB" w14:textId="26898C63" w:rsidR="009F6CA9" w:rsidRPr="002D0ACF" w:rsidRDefault="001B2826" w:rsidP="009F6CA9">
      <w:pPr>
        <w:pStyle w:val="Normalnumber"/>
        <w:numPr>
          <w:ilvl w:val="0"/>
          <w:numId w:val="33"/>
        </w:numPr>
        <w:rPr>
          <w:bCs/>
          <w:lang w:val="fr-FR"/>
        </w:rPr>
      </w:pPr>
      <w:r w:rsidRPr="002D0ACF">
        <w:rPr>
          <w:bCs/>
          <w:lang w:val="fr-FR"/>
        </w:rPr>
        <w:t xml:space="preserve">Les ressources engagées durant la période à l’examen s’élèvent à </w:t>
      </w:r>
      <w:r w:rsidR="009F6CA9" w:rsidRPr="002D0ACF">
        <w:rPr>
          <w:bCs/>
          <w:lang w:val="fr-FR"/>
        </w:rPr>
        <w:t>8</w:t>
      </w:r>
      <w:r w:rsidRPr="002D0ACF">
        <w:rPr>
          <w:bCs/>
          <w:lang w:val="fr-FR"/>
        </w:rPr>
        <w:t>,</w:t>
      </w:r>
      <w:r w:rsidR="009F6CA9" w:rsidRPr="002D0ACF">
        <w:rPr>
          <w:bCs/>
          <w:lang w:val="fr-FR"/>
        </w:rPr>
        <w:t>25</w:t>
      </w:r>
      <w:r w:rsidRPr="002D0ACF">
        <w:rPr>
          <w:bCs/>
          <w:lang w:val="fr-FR"/>
        </w:rPr>
        <w:t> </w:t>
      </w:r>
      <w:r w:rsidR="009F6CA9" w:rsidRPr="002D0ACF">
        <w:rPr>
          <w:bCs/>
          <w:lang w:val="fr-FR"/>
        </w:rPr>
        <w:t>million</w:t>
      </w:r>
      <w:r w:rsidRPr="002D0ACF">
        <w:rPr>
          <w:bCs/>
          <w:lang w:val="fr-FR"/>
        </w:rPr>
        <w:t>s de dollars</w:t>
      </w:r>
      <w:r w:rsidR="009F6CA9" w:rsidRPr="002D0ACF">
        <w:rPr>
          <w:bCs/>
          <w:lang w:val="fr-FR"/>
        </w:rPr>
        <w:t xml:space="preserve">. </w:t>
      </w:r>
    </w:p>
    <w:p w14:paraId="4B58EF96" w14:textId="4330994F" w:rsidR="009F6CA9" w:rsidRPr="002D0ACF" w:rsidRDefault="001B2826" w:rsidP="009F6CA9">
      <w:pPr>
        <w:pStyle w:val="Normalnumber"/>
        <w:numPr>
          <w:ilvl w:val="0"/>
          <w:numId w:val="33"/>
        </w:numPr>
        <w:rPr>
          <w:bCs/>
          <w:lang w:val="fr-FR"/>
        </w:rPr>
      </w:pPr>
      <w:r w:rsidRPr="002D0ACF">
        <w:rPr>
          <w:bCs/>
          <w:lang w:val="fr-FR"/>
        </w:rPr>
        <w:t>La sixième reconstitution du FEM</w:t>
      </w:r>
      <w:r w:rsidR="009F6CA9" w:rsidRPr="002D0ACF">
        <w:rPr>
          <w:bCs/>
          <w:lang w:val="fr-FR"/>
        </w:rPr>
        <w:t xml:space="preserve"> </w:t>
      </w:r>
      <w:r w:rsidRPr="002D0ACF">
        <w:rPr>
          <w:bCs/>
          <w:lang w:val="fr-FR"/>
        </w:rPr>
        <w:t xml:space="preserve">a affecté </w:t>
      </w:r>
      <w:r w:rsidR="009F6CA9" w:rsidRPr="002D0ACF">
        <w:rPr>
          <w:bCs/>
          <w:lang w:val="fr-FR"/>
        </w:rPr>
        <w:t>554</w:t>
      </w:r>
      <w:r w:rsidRPr="002D0ACF">
        <w:rPr>
          <w:bCs/>
          <w:lang w:val="fr-FR"/>
        </w:rPr>
        <w:t> </w:t>
      </w:r>
      <w:r w:rsidR="009F6CA9" w:rsidRPr="002D0ACF">
        <w:rPr>
          <w:bCs/>
          <w:lang w:val="fr-FR"/>
        </w:rPr>
        <w:t>million</w:t>
      </w:r>
      <w:r w:rsidRPr="002D0ACF">
        <w:rPr>
          <w:bCs/>
          <w:lang w:val="fr-FR"/>
        </w:rPr>
        <w:t>s de dollars des ressources du FEM au domaine d’intervention relatif aux produits chimiques et aux déchets</w:t>
      </w:r>
      <w:r w:rsidR="009F6CA9" w:rsidRPr="002D0ACF">
        <w:rPr>
          <w:bCs/>
          <w:lang w:val="fr-FR"/>
        </w:rPr>
        <w:t>,</w:t>
      </w:r>
      <w:r w:rsidRPr="002D0ACF">
        <w:rPr>
          <w:bCs/>
          <w:lang w:val="fr-FR"/>
        </w:rPr>
        <w:t xml:space="preserve"> dont </w:t>
      </w:r>
      <w:r w:rsidR="009F6CA9" w:rsidRPr="002D0ACF">
        <w:rPr>
          <w:bCs/>
          <w:lang w:val="fr-FR"/>
        </w:rPr>
        <w:t>141</w:t>
      </w:r>
      <w:r w:rsidRPr="002D0ACF">
        <w:rPr>
          <w:bCs/>
          <w:lang w:val="fr-FR"/>
        </w:rPr>
        <w:t> </w:t>
      </w:r>
      <w:r w:rsidR="009F6CA9" w:rsidRPr="002D0ACF">
        <w:rPr>
          <w:bCs/>
          <w:lang w:val="fr-FR"/>
        </w:rPr>
        <w:t>million</w:t>
      </w:r>
      <w:r w:rsidRPr="002D0ACF">
        <w:rPr>
          <w:bCs/>
          <w:lang w:val="fr-FR"/>
        </w:rPr>
        <w:t>s ont été alloués à la mise en œuvre de la Convention de Minamata</w:t>
      </w:r>
      <w:r w:rsidR="00D22A29" w:rsidRPr="002D0ACF">
        <w:rPr>
          <w:bCs/>
          <w:lang w:val="fr-FR"/>
        </w:rPr>
        <w:t>.</w:t>
      </w:r>
    </w:p>
    <w:p w14:paraId="2DEC37D1" w14:textId="3A5DC17E" w:rsidR="009F6CA9" w:rsidRPr="002D0ACF" w:rsidRDefault="001B2826" w:rsidP="009F6CA9">
      <w:pPr>
        <w:pStyle w:val="Normalnumber"/>
        <w:numPr>
          <w:ilvl w:val="0"/>
          <w:numId w:val="33"/>
        </w:numPr>
        <w:rPr>
          <w:bCs/>
          <w:lang w:val="fr-FR"/>
        </w:rPr>
      </w:pPr>
      <w:r w:rsidRPr="002D0ACF">
        <w:rPr>
          <w:bCs/>
          <w:lang w:val="fr-FR"/>
        </w:rPr>
        <w:t>Durant</w:t>
      </w:r>
      <w:r w:rsidR="009F6CA9" w:rsidRPr="002D0ACF">
        <w:rPr>
          <w:bCs/>
          <w:lang w:val="fr-FR"/>
        </w:rPr>
        <w:t xml:space="preserve"> </w:t>
      </w:r>
      <w:r w:rsidR="000B3114" w:rsidRPr="002D0ACF">
        <w:rPr>
          <w:bCs/>
          <w:lang w:val="fr-FR"/>
        </w:rPr>
        <w:t>la sixième reconstitution du FEM</w:t>
      </w:r>
      <w:r w:rsidR="009F6CA9" w:rsidRPr="002D0ACF">
        <w:rPr>
          <w:bCs/>
          <w:lang w:val="fr-FR"/>
        </w:rPr>
        <w:t>, 148</w:t>
      </w:r>
      <w:r w:rsidRPr="002D0ACF">
        <w:rPr>
          <w:bCs/>
          <w:lang w:val="fr-FR"/>
        </w:rPr>
        <w:t>,</w:t>
      </w:r>
      <w:r w:rsidR="009F6CA9" w:rsidRPr="002D0ACF">
        <w:rPr>
          <w:bCs/>
          <w:lang w:val="fr-FR"/>
        </w:rPr>
        <w:t>7</w:t>
      </w:r>
      <w:r w:rsidRPr="002D0ACF">
        <w:rPr>
          <w:bCs/>
          <w:lang w:val="fr-FR"/>
        </w:rPr>
        <w:t> </w:t>
      </w:r>
      <w:r w:rsidR="009F6CA9" w:rsidRPr="002D0ACF">
        <w:rPr>
          <w:bCs/>
          <w:lang w:val="fr-FR"/>
        </w:rPr>
        <w:t>million</w:t>
      </w:r>
      <w:r w:rsidRPr="002D0ACF">
        <w:rPr>
          <w:bCs/>
          <w:lang w:val="fr-FR"/>
        </w:rPr>
        <w:t xml:space="preserve">s de dollars ont été prévus pour mettre en œuvre la Convention de Minamata, dont </w:t>
      </w:r>
      <w:r w:rsidR="009F6CA9" w:rsidRPr="002D0ACF">
        <w:rPr>
          <w:bCs/>
          <w:lang w:val="fr-FR"/>
        </w:rPr>
        <w:t>134</w:t>
      </w:r>
      <w:r w:rsidRPr="002D0ACF">
        <w:rPr>
          <w:bCs/>
          <w:lang w:val="fr-FR"/>
        </w:rPr>
        <w:t> </w:t>
      </w:r>
      <w:r w:rsidR="009F6CA9" w:rsidRPr="002D0ACF">
        <w:rPr>
          <w:bCs/>
          <w:lang w:val="fr-FR"/>
        </w:rPr>
        <w:t>million</w:t>
      </w:r>
      <w:r w:rsidRPr="002D0ACF">
        <w:rPr>
          <w:bCs/>
          <w:lang w:val="fr-FR"/>
        </w:rPr>
        <w:t xml:space="preserve">s </w:t>
      </w:r>
      <w:r w:rsidR="00C16737" w:rsidRPr="002D0ACF">
        <w:rPr>
          <w:bCs/>
          <w:lang w:val="fr-FR"/>
        </w:rPr>
        <w:t xml:space="preserve">ont été alloués à des pays, </w:t>
      </w:r>
      <w:r w:rsidR="009F6CA9" w:rsidRPr="002D0ACF">
        <w:rPr>
          <w:bCs/>
          <w:lang w:val="fr-FR"/>
        </w:rPr>
        <w:t>2</w:t>
      </w:r>
      <w:r w:rsidR="00C16737" w:rsidRPr="002D0ACF">
        <w:rPr>
          <w:bCs/>
          <w:lang w:val="fr-FR"/>
        </w:rPr>
        <w:t> </w:t>
      </w:r>
      <w:r w:rsidR="009F6CA9" w:rsidRPr="002D0ACF">
        <w:rPr>
          <w:bCs/>
          <w:lang w:val="fr-FR"/>
        </w:rPr>
        <w:t>million</w:t>
      </w:r>
      <w:r w:rsidR="00C16737" w:rsidRPr="002D0ACF">
        <w:rPr>
          <w:bCs/>
          <w:lang w:val="fr-FR"/>
        </w:rPr>
        <w:t>s</w:t>
      </w:r>
      <w:r w:rsidR="009F6CA9" w:rsidRPr="002D0ACF">
        <w:rPr>
          <w:bCs/>
          <w:lang w:val="fr-FR"/>
        </w:rPr>
        <w:t xml:space="preserve"> </w:t>
      </w:r>
      <w:r w:rsidR="00C16737" w:rsidRPr="002D0ACF">
        <w:rPr>
          <w:bCs/>
          <w:lang w:val="fr-FR"/>
        </w:rPr>
        <w:t xml:space="preserve">à la préparation de projets et </w:t>
      </w:r>
      <w:r w:rsidR="009F6CA9" w:rsidRPr="002D0ACF">
        <w:rPr>
          <w:bCs/>
          <w:lang w:val="fr-FR"/>
        </w:rPr>
        <w:t>12</w:t>
      </w:r>
      <w:r w:rsidR="00C16737" w:rsidRPr="002D0ACF">
        <w:rPr>
          <w:bCs/>
          <w:lang w:val="fr-FR"/>
        </w:rPr>
        <w:t>,</w:t>
      </w:r>
      <w:r w:rsidR="009F6CA9" w:rsidRPr="002D0ACF">
        <w:rPr>
          <w:bCs/>
          <w:lang w:val="fr-FR"/>
        </w:rPr>
        <w:t>5</w:t>
      </w:r>
      <w:r w:rsidR="00C16737" w:rsidRPr="002D0ACF">
        <w:rPr>
          <w:bCs/>
          <w:lang w:val="fr-FR"/>
        </w:rPr>
        <w:t> millions à des frais d’agence</w:t>
      </w:r>
      <w:r w:rsidR="009F6CA9" w:rsidRPr="002D0ACF">
        <w:rPr>
          <w:bCs/>
          <w:lang w:val="fr-FR"/>
        </w:rPr>
        <w:t>.</w:t>
      </w:r>
    </w:p>
    <w:p w14:paraId="5A261D19" w14:textId="6DF5A6CA" w:rsidR="009F6CA9" w:rsidRPr="002D0ACF" w:rsidRDefault="00C16737" w:rsidP="009F6CA9">
      <w:pPr>
        <w:pStyle w:val="Normalnumber"/>
        <w:numPr>
          <w:ilvl w:val="0"/>
          <w:numId w:val="33"/>
        </w:numPr>
        <w:rPr>
          <w:bCs/>
          <w:lang w:val="fr-FR"/>
        </w:rPr>
      </w:pPr>
      <w:r w:rsidRPr="002D0ACF">
        <w:rPr>
          <w:bCs/>
          <w:lang w:val="fr-FR"/>
        </w:rPr>
        <w:t xml:space="preserve">Les ressources </w:t>
      </w:r>
      <w:r w:rsidR="000B3114" w:rsidRPr="002D0ACF">
        <w:rPr>
          <w:bCs/>
          <w:lang w:val="fr-FR"/>
        </w:rPr>
        <w:t xml:space="preserve">recueillies au cours </w:t>
      </w:r>
      <w:r w:rsidRPr="002D0ACF">
        <w:rPr>
          <w:bCs/>
          <w:lang w:val="fr-FR"/>
        </w:rPr>
        <w:t>de</w:t>
      </w:r>
      <w:r w:rsidR="009F6CA9" w:rsidRPr="002D0ACF">
        <w:rPr>
          <w:bCs/>
          <w:lang w:val="fr-FR"/>
        </w:rPr>
        <w:t xml:space="preserve"> </w:t>
      </w:r>
      <w:r w:rsidR="000B3114" w:rsidRPr="002D0ACF">
        <w:rPr>
          <w:bCs/>
          <w:lang w:val="fr-FR"/>
        </w:rPr>
        <w:t xml:space="preserve">la sixième reconstitution du FEM </w:t>
      </w:r>
      <w:r w:rsidRPr="002D0ACF">
        <w:rPr>
          <w:bCs/>
          <w:lang w:val="fr-FR"/>
        </w:rPr>
        <w:t>ont aidé</w:t>
      </w:r>
      <w:r w:rsidR="009F6CA9" w:rsidRPr="002D0ACF">
        <w:rPr>
          <w:bCs/>
          <w:lang w:val="fr-FR"/>
        </w:rPr>
        <w:t xml:space="preserve"> 85</w:t>
      </w:r>
      <w:r w:rsidRPr="002D0ACF">
        <w:rPr>
          <w:bCs/>
          <w:lang w:val="fr-FR"/>
        </w:rPr>
        <w:t> pays à effectuer des évaluations initiales</w:t>
      </w:r>
      <w:r w:rsidR="009F6CA9" w:rsidRPr="002D0ACF">
        <w:rPr>
          <w:bCs/>
          <w:lang w:val="fr-FR"/>
        </w:rPr>
        <w:t xml:space="preserve"> </w:t>
      </w:r>
      <w:r w:rsidRPr="002D0ACF">
        <w:rPr>
          <w:bCs/>
          <w:lang w:val="fr-FR"/>
        </w:rPr>
        <w:t>de la Convention de Minamata, ce qui porte à 110 le nombre total des pays ayant reçu, à ce jour, un appui pour leurs évaluations initiales</w:t>
      </w:r>
      <w:r w:rsidR="009F6CA9" w:rsidRPr="002D0ACF">
        <w:rPr>
          <w:bCs/>
          <w:lang w:val="fr-FR"/>
        </w:rPr>
        <w:t xml:space="preserve">. </w:t>
      </w:r>
    </w:p>
    <w:p w14:paraId="03372F90" w14:textId="05D0ECAE" w:rsidR="009F6CA9" w:rsidRPr="002D0ACF" w:rsidRDefault="00C16737" w:rsidP="009F6CA9">
      <w:pPr>
        <w:pStyle w:val="Normalnumber"/>
        <w:numPr>
          <w:ilvl w:val="0"/>
          <w:numId w:val="33"/>
        </w:numPr>
        <w:rPr>
          <w:bCs/>
          <w:lang w:val="fr-FR"/>
        </w:rPr>
      </w:pPr>
      <w:r w:rsidRPr="002D0ACF">
        <w:rPr>
          <w:bCs/>
          <w:lang w:val="fr-FR"/>
        </w:rPr>
        <w:t xml:space="preserve">Dans le cadre de </w:t>
      </w:r>
      <w:r w:rsidR="000B3114" w:rsidRPr="002D0ACF">
        <w:rPr>
          <w:bCs/>
          <w:lang w:val="fr-FR"/>
        </w:rPr>
        <w:t>la sixième reconstitution du FEM</w:t>
      </w:r>
      <w:r w:rsidR="009F6CA9" w:rsidRPr="002D0ACF">
        <w:rPr>
          <w:bCs/>
          <w:lang w:val="fr-FR"/>
        </w:rPr>
        <w:t xml:space="preserve">, </w:t>
      </w:r>
      <w:r w:rsidR="008071D8" w:rsidRPr="002D0ACF">
        <w:rPr>
          <w:bCs/>
          <w:lang w:val="fr-FR"/>
        </w:rPr>
        <w:t>des plans d’action nationaux concernant l’extraction minière artisanale et à petite échelle d’or ont également été soutenus</w:t>
      </w:r>
      <w:r w:rsidR="009F6CA9" w:rsidRPr="002D0ACF">
        <w:rPr>
          <w:bCs/>
          <w:lang w:val="fr-FR"/>
        </w:rPr>
        <w:t>,</w:t>
      </w:r>
      <w:r w:rsidR="008071D8" w:rsidRPr="002D0ACF">
        <w:rPr>
          <w:bCs/>
          <w:lang w:val="fr-FR"/>
        </w:rPr>
        <w:t xml:space="preserve"> 32 pays ayant bénéficié d’un appui</w:t>
      </w:r>
      <w:r w:rsidR="009F6CA9" w:rsidRPr="002D0ACF">
        <w:rPr>
          <w:bCs/>
          <w:lang w:val="fr-FR"/>
        </w:rPr>
        <w:t>.</w:t>
      </w:r>
    </w:p>
    <w:p w14:paraId="772854DE" w14:textId="62A27A52" w:rsidR="009F6CA9" w:rsidRPr="002D0ACF" w:rsidRDefault="002A26A7" w:rsidP="009F6CA9">
      <w:pPr>
        <w:pStyle w:val="Normalnumber"/>
        <w:numPr>
          <w:ilvl w:val="0"/>
          <w:numId w:val="33"/>
        </w:numPr>
        <w:rPr>
          <w:bCs/>
          <w:lang w:val="fr-FR"/>
        </w:rPr>
      </w:pPr>
      <w:r w:rsidRPr="002D0ACF">
        <w:rPr>
          <w:bCs/>
          <w:lang w:val="fr-FR"/>
        </w:rPr>
        <w:t xml:space="preserve">Au cours de </w:t>
      </w:r>
      <w:r w:rsidR="000B3114" w:rsidRPr="002D0ACF">
        <w:rPr>
          <w:bCs/>
          <w:lang w:val="fr-FR"/>
        </w:rPr>
        <w:t>la sixième reconstitution du FEM</w:t>
      </w:r>
      <w:r w:rsidR="008071D8" w:rsidRPr="002D0ACF">
        <w:rPr>
          <w:bCs/>
          <w:lang w:val="fr-FR"/>
        </w:rPr>
        <w:t xml:space="preserve">, </w:t>
      </w:r>
      <w:r w:rsidR="009F6CA9" w:rsidRPr="002D0ACF">
        <w:rPr>
          <w:bCs/>
          <w:lang w:val="fr-FR"/>
        </w:rPr>
        <w:t>26</w:t>
      </w:r>
      <w:r w:rsidR="008071D8" w:rsidRPr="002D0ACF">
        <w:rPr>
          <w:bCs/>
          <w:lang w:val="fr-FR"/>
        </w:rPr>
        <w:t xml:space="preserve"> pays ont reçu un appui </w:t>
      </w:r>
      <w:r w:rsidRPr="002D0ACF">
        <w:rPr>
          <w:bCs/>
          <w:lang w:val="fr-FR"/>
        </w:rPr>
        <w:t>pour des activités de mise en œuvre dans le cadre d’approches programmatiques, de projets de grande envergure et de projets de moyenne envergure</w:t>
      </w:r>
      <w:r w:rsidR="009F6CA9" w:rsidRPr="002D0ACF">
        <w:rPr>
          <w:bCs/>
          <w:lang w:val="fr-FR"/>
        </w:rPr>
        <w:t xml:space="preserve">. </w:t>
      </w:r>
    </w:p>
    <w:p w14:paraId="614CB346" w14:textId="5C5CED04" w:rsidR="009F6CA9" w:rsidRPr="002D0ACF" w:rsidRDefault="002A26A7" w:rsidP="009F6CA9">
      <w:pPr>
        <w:pStyle w:val="Normalnumber"/>
        <w:numPr>
          <w:ilvl w:val="0"/>
          <w:numId w:val="33"/>
        </w:numPr>
        <w:rPr>
          <w:bCs/>
          <w:lang w:val="fr-FR"/>
        </w:rPr>
      </w:pPr>
      <w:r w:rsidRPr="002D0ACF">
        <w:rPr>
          <w:bCs/>
          <w:lang w:val="fr-FR"/>
        </w:rPr>
        <w:t>En moyenne</w:t>
      </w:r>
      <w:r w:rsidR="009F6CA9" w:rsidRPr="002D0ACF">
        <w:rPr>
          <w:bCs/>
          <w:lang w:val="fr-FR"/>
        </w:rPr>
        <w:t xml:space="preserve">, </w:t>
      </w:r>
      <w:r w:rsidRPr="002D0ACF">
        <w:rPr>
          <w:bCs/>
          <w:lang w:val="fr-FR"/>
        </w:rPr>
        <w:t>à l’exclusion des activités habilitantes, le portefeuille</w:t>
      </w:r>
      <w:r w:rsidR="00887034" w:rsidRPr="002D0ACF">
        <w:rPr>
          <w:bCs/>
          <w:lang w:val="fr-FR"/>
        </w:rPr>
        <w:t xml:space="preserve"> a obtenu quatre dollars de cofinancement pour chaque dollar investi par le FEM</w:t>
      </w:r>
      <w:r w:rsidR="009F6CA9" w:rsidRPr="002D0ACF">
        <w:rPr>
          <w:bCs/>
          <w:lang w:val="fr-FR"/>
        </w:rPr>
        <w:t xml:space="preserve">. </w:t>
      </w:r>
    </w:p>
    <w:p w14:paraId="5686611D" w14:textId="55173C71" w:rsidR="009F6CA9" w:rsidRPr="002D0ACF" w:rsidRDefault="00887034" w:rsidP="00E16294">
      <w:pPr>
        <w:pStyle w:val="Normalnumber"/>
        <w:keepNext/>
        <w:keepLines/>
        <w:numPr>
          <w:ilvl w:val="0"/>
          <w:numId w:val="33"/>
        </w:numPr>
        <w:rPr>
          <w:bCs/>
          <w:lang w:val="fr-FR"/>
        </w:rPr>
      </w:pPr>
      <w:r w:rsidRPr="002D0ACF">
        <w:rPr>
          <w:bCs/>
          <w:lang w:val="fr-FR"/>
        </w:rPr>
        <w:t xml:space="preserve">L’objectif institutionnel en matière de réduction du mercure durant la </w:t>
      </w:r>
      <w:r w:rsidR="000B3114" w:rsidRPr="002D0ACF">
        <w:rPr>
          <w:bCs/>
          <w:lang w:val="fr-FR"/>
        </w:rPr>
        <w:t>sixième reconstitution du FEM</w:t>
      </w:r>
      <w:r w:rsidRPr="002D0ACF">
        <w:rPr>
          <w:bCs/>
          <w:lang w:val="fr-FR"/>
        </w:rPr>
        <w:t xml:space="preserve"> était de </w:t>
      </w:r>
      <w:r w:rsidR="009F6CA9" w:rsidRPr="002D0ACF">
        <w:rPr>
          <w:bCs/>
          <w:lang w:val="fr-FR"/>
        </w:rPr>
        <w:t>1</w:t>
      </w:r>
      <w:r w:rsidR="000B3114" w:rsidRPr="002D0ACF">
        <w:rPr>
          <w:bCs/>
          <w:lang w:val="fr-FR"/>
        </w:rPr>
        <w:t> </w:t>
      </w:r>
      <w:r w:rsidR="009F6CA9" w:rsidRPr="002D0ACF">
        <w:rPr>
          <w:bCs/>
          <w:lang w:val="fr-FR"/>
        </w:rPr>
        <w:t>000</w:t>
      </w:r>
      <w:r w:rsidR="000B3114" w:rsidRPr="002D0ACF">
        <w:rPr>
          <w:bCs/>
          <w:lang w:val="fr-FR"/>
        </w:rPr>
        <w:t> </w:t>
      </w:r>
      <w:r w:rsidRPr="002D0ACF">
        <w:rPr>
          <w:bCs/>
          <w:lang w:val="fr-FR"/>
        </w:rPr>
        <w:t>tonnes métriques</w:t>
      </w:r>
      <w:r w:rsidR="009F6CA9" w:rsidRPr="002D0ACF">
        <w:rPr>
          <w:bCs/>
          <w:lang w:val="fr-FR"/>
        </w:rPr>
        <w:t xml:space="preserve">. </w:t>
      </w:r>
      <w:r w:rsidRPr="002D0ACF">
        <w:rPr>
          <w:bCs/>
          <w:lang w:val="fr-FR"/>
        </w:rPr>
        <w:t>Le tableau de bord institutionnel</w:t>
      </w:r>
      <w:r w:rsidR="009F6CA9" w:rsidRPr="002D0ACF">
        <w:rPr>
          <w:bCs/>
          <w:lang w:val="fr-FR"/>
        </w:rPr>
        <w:t xml:space="preserve"> </w:t>
      </w:r>
      <w:r w:rsidR="000B3114" w:rsidRPr="002D0ACF">
        <w:rPr>
          <w:bCs/>
          <w:lang w:val="fr-FR"/>
        </w:rPr>
        <w:t>présenté à la cinquante</w:t>
      </w:r>
      <w:r w:rsidR="000B3114" w:rsidRPr="002D0ACF">
        <w:rPr>
          <w:bCs/>
          <w:lang w:val="fr-FR"/>
        </w:rPr>
        <w:noBreakHyphen/>
      </w:r>
      <w:r w:rsidRPr="002D0ACF">
        <w:rPr>
          <w:bCs/>
          <w:lang w:val="fr-FR"/>
        </w:rPr>
        <w:t>quatrième</w:t>
      </w:r>
      <w:r w:rsidR="00A43932" w:rsidRPr="002D0ACF">
        <w:rPr>
          <w:bCs/>
          <w:lang w:val="fr-FR"/>
        </w:rPr>
        <w:t xml:space="preserve"> réunion du Conseil du FEM, qui s’est tenue en juin </w:t>
      </w:r>
      <w:r w:rsidR="009F6CA9" w:rsidRPr="002D0ACF">
        <w:rPr>
          <w:bCs/>
          <w:lang w:val="fr-FR"/>
        </w:rPr>
        <w:t>2018</w:t>
      </w:r>
      <w:r w:rsidR="00A43932" w:rsidRPr="002D0ACF">
        <w:rPr>
          <w:bCs/>
          <w:lang w:val="fr-FR"/>
        </w:rPr>
        <w:t>, a montré que les projets</w:t>
      </w:r>
      <w:r w:rsidR="00AA4445" w:rsidRPr="002D0ACF">
        <w:rPr>
          <w:bCs/>
          <w:lang w:val="fr-FR"/>
        </w:rPr>
        <w:t xml:space="preserve"> </w:t>
      </w:r>
      <w:r w:rsidR="000B3114" w:rsidRPr="002D0ACF">
        <w:rPr>
          <w:bCs/>
          <w:lang w:val="fr-FR"/>
        </w:rPr>
        <w:t xml:space="preserve">au titre </w:t>
      </w:r>
      <w:r w:rsidR="00AA4445" w:rsidRPr="002D0ACF">
        <w:rPr>
          <w:bCs/>
          <w:lang w:val="fr-FR"/>
        </w:rPr>
        <w:t>de</w:t>
      </w:r>
      <w:r w:rsidR="009F6CA9" w:rsidRPr="002D0ACF">
        <w:rPr>
          <w:bCs/>
          <w:lang w:val="fr-FR"/>
        </w:rPr>
        <w:t xml:space="preserve"> </w:t>
      </w:r>
      <w:r w:rsidR="000B3114" w:rsidRPr="002D0ACF">
        <w:rPr>
          <w:bCs/>
          <w:lang w:val="fr-FR"/>
        </w:rPr>
        <w:t xml:space="preserve">la sixième reconstitution du FEM </w:t>
      </w:r>
      <w:r w:rsidR="00A43932" w:rsidRPr="002D0ACF">
        <w:rPr>
          <w:bCs/>
          <w:lang w:val="fr-FR"/>
        </w:rPr>
        <w:t xml:space="preserve">approuvés concernant le mercure ont contribué à hauteur de </w:t>
      </w:r>
      <w:r w:rsidR="009F6CA9" w:rsidRPr="002D0ACF">
        <w:rPr>
          <w:bCs/>
          <w:lang w:val="fr-FR"/>
        </w:rPr>
        <w:t>638</w:t>
      </w:r>
      <w:r w:rsidR="00A43932" w:rsidRPr="002D0ACF">
        <w:rPr>
          <w:bCs/>
          <w:lang w:val="fr-FR"/>
        </w:rPr>
        <w:t xml:space="preserve"> tonnes, soit 64 % de l’objectif institutionnel de </w:t>
      </w:r>
      <w:r w:rsidR="000B3114" w:rsidRPr="002D0ACF">
        <w:rPr>
          <w:bCs/>
          <w:lang w:val="fr-FR"/>
        </w:rPr>
        <w:t xml:space="preserve">la sixième reconstitution du FEM </w:t>
      </w:r>
      <w:r w:rsidR="00A43932" w:rsidRPr="002D0ACF">
        <w:rPr>
          <w:bCs/>
          <w:lang w:val="fr-FR"/>
        </w:rPr>
        <w:t>en matière de réduction du mercure</w:t>
      </w:r>
      <w:r w:rsidR="00D22A29" w:rsidRPr="002D0ACF">
        <w:rPr>
          <w:bCs/>
          <w:lang w:val="fr-FR"/>
        </w:rPr>
        <w:t>.</w:t>
      </w:r>
    </w:p>
    <w:p w14:paraId="0475E071" w14:textId="77E72A79" w:rsidR="00C66DAD" w:rsidRPr="002D0ACF" w:rsidRDefault="00C66DAD">
      <w:pPr>
        <w:tabs>
          <w:tab w:val="clear" w:pos="1247"/>
          <w:tab w:val="clear" w:pos="1814"/>
          <w:tab w:val="clear" w:pos="2381"/>
          <w:tab w:val="clear" w:pos="2948"/>
          <w:tab w:val="clear" w:pos="3515"/>
        </w:tabs>
        <w:rPr>
          <w:bCs/>
          <w:lang w:val="fr-FR"/>
        </w:rPr>
      </w:pPr>
      <w:r w:rsidRPr="002D0ACF">
        <w:rPr>
          <w:bCs/>
          <w:lang w:val="fr-FR"/>
        </w:rPr>
        <w:br w:type="page"/>
      </w:r>
    </w:p>
    <w:p w14:paraId="010AB50E" w14:textId="390B2467" w:rsidR="00C66DAD" w:rsidRPr="002D0ACF" w:rsidRDefault="00C66DAD" w:rsidP="00C66DAD">
      <w:pPr>
        <w:pStyle w:val="ZZAnxheader"/>
        <w:rPr>
          <w:lang w:val="fr-FR"/>
        </w:rPr>
      </w:pPr>
      <w:r w:rsidRPr="002D0ACF">
        <w:rPr>
          <w:lang w:val="fr-FR"/>
        </w:rPr>
        <w:t>Annex</w:t>
      </w:r>
      <w:r w:rsidR="000E6D2F" w:rsidRPr="002D0ACF">
        <w:rPr>
          <w:lang w:val="fr-FR"/>
        </w:rPr>
        <w:t>e </w:t>
      </w:r>
      <w:r w:rsidRPr="002D0ACF">
        <w:rPr>
          <w:lang w:val="fr-FR"/>
        </w:rPr>
        <w:t xml:space="preserve">II </w:t>
      </w:r>
    </w:p>
    <w:p w14:paraId="12D07C55" w14:textId="6D626D8B" w:rsidR="00C66DAD" w:rsidRPr="002D0ACF" w:rsidRDefault="00F04373" w:rsidP="00C66DAD">
      <w:pPr>
        <w:pStyle w:val="ZZAnxtitle"/>
        <w:rPr>
          <w:lang w:val="fr-FR"/>
        </w:rPr>
      </w:pPr>
      <w:r w:rsidRPr="002D0ACF">
        <w:rPr>
          <w:lang w:val="fr-FR"/>
        </w:rPr>
        <w:t>Projet de mémorandum d’accord en</w:t>
      </w:r>
      <w:r w:rsidR="003F08D6" w:rsidRPr="002D0ACF">
        <w:rPr>
          <w:lang w:val="fr-FR"/>
        </w:rPr>
        <w:t>tre la Conférence des Parties à </w:t>
      </w:r>
      <w:r w:rsidRPr="002D0ACF">
        <w:rPr>
          <w:lang w:val="fr-FR"/>
        </w:rPr>
        <w:t>la Convention de Minamata sur le mercure et le Conseil du Fonds pour l’environnement mondial</w:t>
      </w:r>
    </w:p>
    <w:p w14:paraId="0B5AC668" w14:textId="7E23EBD3" w:rsidR="00F04373" w:rsidRPr="002D0ACF" w:rsidRDefault="00F04373" w:rsidP="00F04373">
      <w:pPr>
        <w:pStyle w:val="NormalNonumber"/>
        <w:rPr>
          <w:b/>
          <w:lang w:val="fr-FR"/>
        </w:rPr>
      </w:pPr>
      <w:r w:rsidRPr="002D0ACF">
        <w:rPr>
          <w:lang w:val="fr-FR"/>
        </w:rPr>
        <w:tab/>
        <w:t>La Conférence des Parties à la Convention de Minamata sur le mercure (</w:t>
      </w:r>
      <w:r w:rsidRPr="002D0ACF">
        <w:rPr>
          <w:lang w:val="fr-FR" w:eastAsia="en-GB"/>
        </w:rPr>
        <w:t xml:space="preserve">ci-après dénommée « la </w:t>
      </w:r>
      <w:r w:rsidRPr="002D0ACF">
        <w:rPr>
          <w:lang w:val="fr-FR"/>
        </w:rPr>
        <w:t>Conférence</w:t>
      </w:r>
      <w:r w:rsidRPr="002D0ACF">
        <w:rPr>
          <w:lang w:val="fr-FR" w:eastAsia="en-GB"/>
        </w:rPr>
        <w:t xml:space="preserve"> des Parties »</w:t>
      </w:r>
      <w:r w:rsidRPr="002D0ACF">
        <w:rPr>
          <w:lang w:val="fr-FR"/>
        </w:rPr>
        <w:t>) et le Conseil du Fonds pour l’environnement mondial (</w:t>
      </w:r>
      <w:r w:rsidRPr="002D0ACF">
        <w:rPr>
          <w:lang w:val="fr-FR" w:eastAsia="en-GB"/>
        </w:rPr>
        <w:t>ci-après dénommé « le Conseil »</w:t>
      </w:r>
      <w:r w:rsidRPr="002D0ACF">
        <w:rPr>
          <w:lang w:val="fr-FR"/>
        </w:rPr>
        <w:t xml:space="preserve">), </w:t>
      </w:r>
    </w:p>
    <w:p w14:paraId="347A49C4" w14:textId="7DB2DFA8" w:rsidR="00F04373" w:rsidRPr="002D0ACF" w:rsidRDefault="00F04373" w:rsidP="00F04373">
      <w:pPr>
        <w:pStyle w:val="NormalNonumber"/>
        <w:rPr>
          <w:lang w:val="fr-FR"/>
        </w:rPr>
      </w:pPr>
      <w:r w:rsidRPr="002D0ACF">
        <w:rPr>
          <w:i/>
          <w:lang w:val="fr-FR"/>
        </w:rPr>
        <w:tab/>
        <w:t xml:space="preserve">Rappelant </w:t>
      </w:r>
      <w:r w:rsidRPr="002D0ACF">
        <w:rPr>
          <w:lang w:val="fr-FR"/>
        </w:rPr>
        <w:t xml:space="preserve">le paragraphe 5 de l’article 13 de la Convention, qui définit un </w:t>
      </w:r>
      <w:r w:rsidR="007E1D2C" w:rsidRPr="002D0ACF">
        <w:rPr>
          <w:lang w:val="fr-FR"/>
        </w:rPr>
        <w:t>m</w:t>
      </w:r>
      <w:r w:rsidRPr="002D0ACF">
        <w:rPr>
          <w:lang w:val="fr-FR"/>
        </w:rPr>
        <w:t xml:space="preserve">écanisme destiné à fournir en temps voulu des ressources financières adéquates et prévisibles afin d’aider les Parties qui sont des pays en développement ou des pays à économie en transition dans la mise en œuvre de leurs obligations au titre de la Convention, ainsi que le paragraphe 6 de l’article 13, qui précise que le </w:t>
      </w:r>
      <w:r w:rsidR="007E1D2C" w:rsidRPr="002D0ACF">
        <w:rPr>
          <w:lang w:val="fr-FR"/>
        </w:rPr>
        <w:t>m</w:t>
      </w:r>
      <w:r w:rsidRPr="002D0ACF">
        <w:rPr>
          <w:lang w:val="fr-FR"/>
        </w:rPr>
        <w:t xml:space="preserve">écanisme « inclut la Caisse du Fonds pour l’environnement mondial </w:t>
      </w:r>
      <w:r w:rsidR="00FC4DAC" w:rsidRPr="002D0ACF">
        <w:rPr>
          <w:lang w:val="fr-FR"/>
        </w:rPr>
        <w:t xml:space="preserve">et </w:t>
      </w:r>
      <w:r w:rsidRPr="002D0ACF">
        <w:rPr>
          <w:lang w:val="fr-FR"/>
        </w:rPr>
        <w:t>un programme international spécifique visant à soutenir le renforcement des capacités et l’assistance technique »,</w:t>
      </w:r>
    </w:p>
    <w:p w14:paraId="526CB0B4" w14:textId="1EE399F7" w:rsidR="00F04373" w:rsidRPr="002D0ACF" w:rsidRDefault="00F04373" w:rsidP="00F04373">
      <w:pPr>
        <w:pStyle w:val="NormalNonumber"/>
        <w:rPr>
          <w:lang w:val="fr-FR"/>
        </w:rPr>
      </w:pPr>
      <w:r w:rsidRPr="002D0ACF">
        <w:rPr>
          <w:lang w:val="fr-FR"/>
        </w:rPr>
        <w:tab/>
      </w:r>
      <w:r w:rsidRPr="002D0ACF">
        <w:rPr>
          <w:i/>
          <w:iCs/>
          <w:lang w:val="fr-FR"/>
        </w:rPr>
        <w:t>Rappelant également</w:t>
      </w:r>
      <w:r w:rsidRPr="002D0ACF">
        <w:rPr>
          <w:lang w:val="fr-FR"/>
        </w:rPr>
        <w:t xml:space="preserve"> le paragraphe 7 de l’article 13 de la Convention, qui précise que la Caisse du Fonds pour l’environnement mondial « fournit en temps voulu des ressources financières nouvelles, prévisibles et adéquates pour couvrir les coûts de l’aide à la mise en œuvre de la présente Convention, comme convenu par la Conférence des Parties » et que la Caisse du Fonds pour l’environnement mondial « est placée sous la direction de la Conférence des Parties à laquelle elle rend compte »</w:t>
      </w:r>
      <w:r w:rsidRPr="002D0ACF">
        <w:rPr>
          <w:rFonts w:cs="Myriad Pro"/>
          <w:lang w:val="fr-FR"/>
        </w:rPr>
        <w:t xml:space="preserve"> et qui « énonce des orientations sur les stratégies, politiques et priorités programmatiques globales ainsi que sur les conditions requises pour avoir accès aux ressources financières et utiliser ces dernières »</w:t>
      </w:r>
      <w:r w:rsidR="00CB12EC" w:rsidRPr="002D0ACF">
        <w:rPr>
          <w:rFonts w:cs="Myriad Pro"/>
          <w:lang w:val="fr-FR"/>
        </w:rPr>
        <w:t> </w:t>
      </w:r>
      <w:r w:rsidRPr="002D0ACF">
        <w:rPr>
          <w:rFonts w:cs="Myriad Pro"/>
          <w:lang w:val="fr-FR"/>
        </w:rPr>
        <w:t>; en outre, la Conférence des Parties « énonce des orientations sur une liste indicative des cat</w:t>
      </w:r>
      <w:r w:rsidRPr="002D0ACF">
        <w:rPr>
          <w:lang w:val="fr-FR"/>
        </w:rPr>
        <w:t>égories d’activités qui pourraient bénéficier du soutien de la Caisse du Fonds pour l’environnement mondial »,</w:t>
      </w:r>
    </w:p>
    <w:p w14:paraId="2EC3D4B0" w14:textId="77777777" w:rsidR="00F04373" w:rsidRPr="002D0ACF" w:rsidRDefault="00F04373" w:rsidP="00F04373">
      <w:pPr>
        <w:pStyle w:val="NormalNonumber"/>
        <w:rPr>
          <w:rFonts w:cs="Myriad Pro"/>
          <w:lang w:val="fr-FR"/>
        </w:rPr>
      </w:pPr>
      <w:r w:rsidRPr="002D0ACF">
        <w:rPr>
          <w:rFonts w:cs="Myriad Pro"/>
          <w:i/>
          <w:iCs/>
          <w:lang w:val="fr-FR"/>
        </w:rPr>
        <w:tab/>
        <w:t>Rappelant en outre</w:t>
      </w:r>
      <w:r w:rsidRPr="002D0ACF">
        <w:rPr>
          <w:rFonts w:cs="Myriad Pro"/>
          <w:lang w:val="fr-FR"/>
        </w:rPr>
        <w:t xml:space="preserve"> </w:t>
      </w:r>
      <w:r w:rsidRPr="002D0ACF">
        <w:rPr>
          <w:lang w:val="fr-FR"/>
        </w:rPr>
        <w:t xml:space="preserve">le paragraphe 7 de l’article 13 de la Convention, qui prévoit que la Caisse du Fonds pour l’environnement mondial « fournit des ressources pour couvrir les surcoûts convenus liés aux avantages environnementaux mondiaux et l’ensemble des coûts convenus de certaines activités habilitantes », ainsi que le </w:t>
      </w:r>
      <w:r w:rsidRPr="002D0ACF">
        <w:rPr>
          <w:rFonts w:cs="Myriad Pro"/>
          <w:lang w:val="fr-FR"/>
        </w:rPr>
        <w:t xml:space="preserve">paragraphe 8 de l’article 13, qui précise que lorsqu’elle fournit des ressources pour une activité, </w:t>
      </w:r>
      <w:r w:rsidRPr="002D0ACF">
        <w:rPr>
          <w:lang w:val="fr-FR"/>
        </w:rPr>
        <w:t>la Caisse du Fonds pour l’environnement mondial « devrait tenir compte du potentiel de réduction du mercure de l’activité proposée par rapport à ses coûts »,</w:t>
      </w:r>
    </w:p>
    <w:p w14:paraId="29C341F9" w14:textId="1274321C" w:rsidR="00F04373" w:rsidRPr="002D0ACF" w:rsidRDefault="00F04373" w:rsidP="00F04373">
      <w:pPr>
        <w:pStyle w:val="NormalNonumber"/>
        <w:rPr>
          <w:lang w:val="fr-FR"/>
        </w:rPr>
      </w:pPr>
      <w:r w:rsidRPr="002D0ACF">
        <w:rPr>
          <w:i/>
          <w:lang w:val="fr-FR"/>
        </w:rPr>
        <w:tab/>
        <w:t xml:space="preserve">Rappelant </w:t>
      </w:r>
      <w:r w:rsidRPr="002D0ACF">
        <w:rPr>
          <w:lang w:val="fr-FR"/>
        </w:rPr>
        <w:t>le paragraphe 6 de l’Instrument pour la restructuration du Fonds pour</w:t>
      </w:r>
      <w:r w:rsidR="00FC4DAC" w:rsidRPr="002D0ACF">
        <w:rPr>
          <w:lang w:val="fr-FR"/>
        </w:rPr>
        <w:t xml:space="preserve"> </w:t>
      </w:r>
      <w:r w:rsidRPr="002D0ACF">
        <w:rPr>
          <w:lang w:val="fr-FR"/>
        </w:rPr>
        <w:t>l’environnement mondial, tel que modifié lors de la cinquième Assemblée du Fonds pour l’environnement mondial, en mai</w:t>
      </w:r>
      <w:r w:rsidR="00CB12EC" w:rsidRPr="002D0ACF">
        <w:rPr>
          <w:lang w:val="fr-FR"/>
        </w:rPr>
        <w:t> </w:t>
      </w:r>
      <w:r w:rsidRPr="002D0ACF">
        <w:rPr>
          <w:lang w:val="fr-FR"/>
        </w:rPr>
        <w:t xml:space="preserve">2014, qui prévoit que le Fonds </w:t>
      </w:r>
      <w:r w:rsidRPr="002D0ACF">
        <w:rPr>
          <w:rFonts w:cs="Myriad Pro"/>
          <w:lang w:val="fr-FR"/>
        </w:rPr>
        <w:t>est « </w:t>
      </w:r>
      <w:r w:rsidRPr="002D0ACF">
        <w:rPr>
          <w:lang w:val="fr-FR"/>
        </w:rPr>
        <w:t>l’une des entités constitutives du mécanisme de financement de la Convention de Minamata sur le mercure »,</w:t>
      </w:r>
    </w:p>
    <w:p w14:paraId="42C6C5B9" w14:textId="77777777" w:rsidR="00F04373" w:rsidRPr="002D0ACF" w:rsidRDefault="00F04373" w:rsidP="00F04373">
      <w:pPr>
        <w:pStyle w:val="NormalNonumber"/>
        <w:rPr>
          <w:lang w:val="fr-FR"/>
        </w:rPr>
      </w:pPr>
      <w:r w:rsidRPr="002D0ACF">
        <w:rPr>
          <w:lang w:val="fr-FR"/>
        </w:rPr>
        <w:tab/>
        <w:t xml:space="preserve">Après s’être consultés et compte tenu des aspects pertinents de leurs structures de gouvernance, telles que reflétées dans leurs instruments constitutifs, </w:t>
      </w:r>
    </w:p>
    <w:p w14:paraId="1BE00823" w14:textId="5E9C22FF" w:rsidR="00C66DAD" w:rsidRPr="002D0ACF" w:rsidRDefault="00F04373" w:rsidP="00F04373">
      <w:pPr>
        <w:pStyle w:val="Normal-pool"/>
        <w:tabs>
          <w:tab w:val="clear" w:pos="1247"/>
          <w:tab w:val="clear" w:pos="1814"/>
          <w:tab w:val="clear" w:pos="2381"/>
          <w:tab w:val="clear" w:pos="2948"/>
          <w:tab w:val="clear" w:pos="3515"/>
          <w:tab w:val="clear" w:pos="4082"/>
          <w:tab w:val="left" w:pos="624"/>
        </w:tabs>
        <w:spacing w:after="120"/>
        <w:ind w:left="1247" w:firstLine="624"/>
        <w:rPr>
          <w:lang w:val="fr-FR"/>
        </w:rPr>
      </w:pPr>
      <w:r w:rsidRPr="002D0ACF">
        <w:rPr>
          <w:lang w:val="fr-FR"/>
        </w:rPr>
        <w:tab/>
        <w:t>Sont convenus de ce qui suit :</w:t>
      </w:r>
    </w:p>
    <w:p w14:paraId="7CA4DE62" w14:textId="7B02C97A" w:rsidR="00C66DAD" w:rsidRPr="002D0ACF" w:rsidRDefault="00C66DAD" w:rsidP="00C66DAD">
      <w:pPr>
        <w:pStyle w:val="CH2"/>
        <w:rPr>
          <w:lang w:val="fr-FR"/>
        </w:rPr>
      </w:pPr>
      <w:r w:rsidRPr="002D0ACF">
        <w:rPr>
          <w:rFonts w:cs="Arial Unicode MS"/>
          <w:lang w:val="fr-FR"/>
        </w:rPr>
        <w:tab/>
      </w:r>
      <w:r w:rsidRPr="002D0ACF">
        <w:rPr>
          <w:rFonts w:cs="Arial Unicode MS"/>
          <w:lang w:val="fr-FR"/>
        </w:rPr>
        <w:tab/>
        <w:t>D</w:t>
      </w:r>
      <w:r w:rsidR="00F04373" w:rsidRPr="002D0ACF">
        <w:rPr>
          <w:rFonts w:cs="Arial Unicode MS"/>
          <w:lang w:val="fr-FR"/>
        </w:rPr>
        <w:t>é</w:t>
      </w:r>
      <w:r w:rsidRPr="002D0ACF">
        <w:rPr>
          <w:rFonts w:cs="Arial Unicode MS"/>
          <w:lang w:val="fr-FR"/>
        </w:rPr>
        <w:t>finitions</w:t>
      </w:r>
    </w:p>
    <w:p w14:paraId="0168CF89" w14:textId="42A24BF6" w:rsidR="00F04373" w:rsidRPr="002D0ACF" w:rsidRDefault="00F04373" w:rsidP="00F04373">
      <w:pPr>
        <w:pStyle w:val="Normalnumber"/>
        <w:numPr>
          <w:ilvl w:val="0"/>
          <w:numId w:val="34"/>
        </w:numPr>
        <w:rPr>
          <w:lang w:val="fr-FR"/>
        </w:rPr>
      </w:pPr>
      <w:r w:rsidRPr="002D0ACF">
        <w:rPr>
          <w:lang w:val="fr-FR"/>
        </w:rPr>
        <w:t xml:space="preserve">Aux fins du présent </w:t>
      </w:r>
      <w:r w:rsidR="007E1D2C" w:rsidRPr="002D0ACF">
        <w:rPr>
          <w:lang w:val="fr-FR"/>
        </w:rPr>
        <w:t>m</w:t>
      </w:r>
      <w:r w:rsidRPr="002D0ACF">
        <w:rPr>
          <w:lang w:val="fr-FR"/>
        </w:rPr>
        <w:t>émorandum d’accord, il faut entendre par :</w:t>
      </w:r>
    </w:p>
    <w:p w14:paraId="2CEE6614" w14:textId="22F25CFF" w:rsidR="00F04373" w:rsidRPr="002D0ACF" w:rsidRDefault="00F04373" w:rsidP="00F04373">
      <w:pPr>
        <w:pStyle w:val="Normalnumber"/>
        <w:numPr>
          <w:ilvl w:val="1"/>
          <w:numId w:val="34"/>
        </w:numPr>
        <w:rPr>
          <w:lang w:val="fr-FR"/>
        </w:rPr>
      </w:pPr>
      <w:r w:rsidRPr="002D0ACF">
        <w:rPr>
          <w:lang w:val="fr-FR"/>
        </w:rPr>
        <w:t>« Assemblée »</w:t>
      </w:r>
      <w:r w:rsidR="006F05A1" w:rsidRPr="002D0ACF">
        <w:rPr>
          <w:lang w:val="fr-FR"/>
        </w:rPr>
        <w:t>,</w:t>
      </w:r>
      <w:r w:rsidRPr="002D0ACF">
        <w:rPr>
          <w:lang w:val="fr-FR"/>
        </w:rPr>
        <w:t xml:space="preserve"> l’Assemblée du Fonds pour l’environnement mondial (FEM) telle que définie dans l’Instrument pour la restructuration du Fonds pour l’environnement mondial ;</w:t>
      </w:r>
    </w:p>
    <w:p w14:paraId="50CEE6A8" w14:textId="46E66D44" w:rsidR="00F04373" w:rsidRPr="002D0ACF" w:rsidRDefault="00F04373" w:rsidP="00F04373">
      <w:pPr>
        <w:pStyle w:val="Normalnumber"/>
        <w:numPr>
          <w:ilvl w:val="1"/>
          <w:numId w:val="34"/>
        </w:numPr>
        <w:rPr>
          <w:lang w:val="fr-FR"/>
        </w:rPr>
      </w:pPr>
      <w:r w:rsidRPr="002D0ACF">
        <w:rPr>
          <w:lang w:val="fr-FR"/>
        </w:rPr>
        <w:t>« Conférence des Parties »</w:t>
      </w:r>
      <w:r w:rsidR="006F05A1" w:rsidRPr="002D0ACF">
        <w:rPr>
          <w:lang w:val="fr-FR"/>
        </w:rPr>
        <w:t>,</w:t>
      </w:r>
      <w:r w:rsidRPr="002D0ACF">
        <w:rPr>
          <w:lang w:val="fr-FR"/>
        </w:rPr>
        <w:t xml:space="preserve"> la Conférence des Parties à la Convention de Minamata sur le mercure ;</w:t>
      </w:r>
    </w:p>
    <w:p w14:paraId="2C7394C2" w14:textId="10FAA040" w:rsidR="00F04373" w:rsidRPr="002D0ACF" w:rsidRDefault="00F04373" w:rsidP="00F04373">
      <w:pPr>
        <w:pStyle w:val="Normalnumber"/>
        <w:numPr>
          <w:ilvl w:val="1"/>
          <w:numId w:val="34"/>
        </w:numPr>
        <w:rPr>
          <w:lang w:val="fr-FR"/>
        </w:rPr>
      </w:pPr>
      <w:r w:rsidRPr="002D0ACF">
        <w:rPr>
          <w:lang w:val="fr-FR"/>
        </w:rPr>
        <w:t>« Convention »</w:t>
      </w:r>
      <w:r w:rsidR="006F05A1" w:rsidRPr="002D0ACF">
        <w:rPr>
          <w:lang w:val="fr-FR"/>
        </w:rPr>
        <w:t>,</w:t>
      </w:r>
      <w:r w:rsidRPr="002D0ACF">
        <w:rPr>
          <w:lang w:val="fr-FR"/>
        </w:rPr>
        <w:t xml:space="preserve"> la Convention de Minamata sur le mercure ;</w:t>
      </w:r>
    </w:p>
    <w:p w14:paraId="691EB0D7" w14:textId="79E262DB" w:rsidR="00F04373" w:rsidRPr="002D0ACF" w:rsidRDefault="00F04373" w:rsidP="00F04373">
      <w:pPr>
        <w:pStyle w:val="Normalnumber"/>
        <w:numPr>
          <w:ilvl w:val="1"/>
          <w:numId w:val="34"/>
        </w:numPr>
        <w:rPr>
          <w:lang w:val="fr-FR"/>
        </w:rPr>
      </w:pPr>
      <w:r w:rsidRPr="002D0ACF">
        <w:rPr>
          <w:lang w:val="fr-FR"/>
        </w:rPr>
        <w:t>« Conseil »</w:t>
      </w:r>
      <w:r w:rsidR="006F05A1" w:rsidRPr="002D0ACF">
        <w:rPr>
          <w:lang w:val="fr-FR"/>
        </w:rPr>
        <w:t>,</w:t>
      </w:r>
      <w:r w:rsidRPr="002D0ACF">
        <w:rPr>
          <w:lang w:val="fr-FR"/>
        </w:rPr>
        <w:t xml:space="preserve"> le Conseil du FEM tel que défini dans l’Instrument pour la restructuration du Fonds pour l’environnement mondial ;</w:t>
      </w:r>
    </w:p>
    <w:p w14:paraId="59730431" w14:textId="7CF760D1" w:rsidR="00F04373" w:rsidRPr="002D0ACF" w:rsidRDefault="00F04373" w:rsidP="00F04373">
      <w:pPr>
        <w:pStyle w:val="Normalnumber"/>
        <w:numPr>
          <w:ilvl w:val="1"/>
          <w:numId w:val="34"/>
        </w:numPr>
        <w:rPr>
          <w:lang w:val="fr-FR"/>
        </w:rPr>
      </w:pPr>
      <w:r w:rsidRPr="002D0ACF">
        <w:rPr>
          <w:lang w:val="fr-FR"/>
        </w:rPr>
        <w:t>« FEM »</w:t>
      </w:r>
      <w:r w:rsidR="006F05A1" w:rsidRPr="002D0ACF">
        <w:rPr>
          <w:lang w:val="fr-FR"/>
        </w:rPr>
        <w:t>,</w:t>
      </w:r>
      <w:r w:rsidRPr="002D0ACF">
        <w:rPr>
          <w:lang w:val="fr-FR"/>
        </w:rPr>
        <w:t xml:space="preserve"> le mécanisme établi par l’Instrument pour la restructuration du Fonds pour l’environnement mondial ;</w:t>
      </w:r>
    </w:p>
    <w:p w14:paraId="2C74AEB5" w14:textId="394A3C78" w:rsidR="00F04373" w:rsidRPr="002D0ACF" w:rsidRDefault="00F04373" w:rsidP="00F04373">
      <w:pPr>
        <w:pStyle w:val="Normalnumber"/>
        <w:numPr>
          <w:ilvl w:val="1"/>
          <w:numId w:val="34"/>
        </w:numPr>
        <w:rPr>
          <w:lang w:val="fr-FR"/>
        </w:rPr>
      </w:pPr>
      <w:r w:rsidRPr="002D0ACF">
        <w:rPr>
          <w:lang w:val="fr-FR"/>
        </w:rPr>
        <w:t>« Instrument du FEM »</w:t>
      </w:r>
      <w:r w:rsidR="006F05A1" w:rsidRPr="002D0ACF">
        <w:rPr>
          <w:lang w:val="fr-FR"/>
        </w:rPr>
        <w:t>,</w:t>
      </w:r>
      <w:r w:rsidRPr="002D0ACF">
        <w:rPr>
          <w:lang w:val="fr-FR"/>
        </w:rPr>
        <w:t xml:space="preserve"> l’Instrument pour la restructuration du Fonds pour l’environnement mondial ; </w:t>
      </w:r>
    </w:p>
    <w:p w14:paraId="135F269B" w14:textId="1A134471" w:rsidR="00F04373" w:rsidRPr="002D0ACF" w:rsidRDefault="00F04373" w:rsidP="00F04373">
      <w:pPr>
        <w:pStyle w:val="Normalnumber"/>
        <w:numPr>
          <w:ilvl w:val="1"/>
          <w:numId w:val="34"/>
        </w:numPr>
        <w:rPr>
          <w:lang w:val="fr-FR"/>
        </w:rPr>
      </w:pPr>
      <w:r w:rsidRPr="002D0ACF">
        <w:rPr>
          <w:lang w:val="fr-FR"/>
        </w:rPr>
        <w:t>« Partie »</w:t>
      </w:r>
      <w:r w:rsidR="006F05A1" w:rsidRPr="002D0ACF">
        <w:rPr>
          <w:lang w:val="fr-FR"/>
        </w:rPr>
        <w:t>,</w:t>
      </w:r>
      <w:r w:rsidRPr="002D0ACF">
        <w:rPr>
          <w:lang w:val="fr-FR"/>
        </w:rPr>
        <w:t xml:space="preserve"> une Partie à la Convention de Minamata sur le mercure</w:t>
      </w:r>
      <w:r w:rsidR="006F05A1" w:rsidRPr="002D0ACF">
        <w:rPr>
          <w:lang w:val="fr-FR"/>
        </w:rPr>
        <w:t> ;</w:t>
      </w:r>
      <w:r w:rsidRPr="002D0ACF">
        <w:rPr>
          <w:lang w:val="fr-FR"/>
        </w:rPr>
        <w:t xml:space="preserve"> et</w:t>
      </w:r>
    </w:p>
    <w:p w14:paraId="406C9C89" w14:textId="15AF3A92" w:rsidR="00C66DAD" w:rsidRPr="002D0ACF" w:rsidRDefault="00F04373" w:rsidP="00F04373">
      <w:pPr>
        <w:pStyle w:val="Normalnumber"/>
        <w:numPr>
          <w:ilvl w:val="1"/>
          <w:numId w:val="34"/>
        </w:numPr>
        <w:tabs>
          <w:tab w:val="left" w:pos="624"/>
          <w:tab w:val="left" w:pos="1134"/>
          <w:tab w:val="left" w:pos="1871"/>
          <w:tab w:val="left" w:pos="3119"/>
        </w:tabs>
        <w:rPr>
          <w:lang w:val="fr-FR"/>
        </w:rPr>
      </w:pPr>
      <w:r w:rsidRPr="002D0ACF">
        <w:rPr>
          <w:lang w:val="fr-FR"/>
        </w:rPr>
        <w:t>« Mercure »</w:t>
      </w:r>
      <w:r w:rsidR="006F05A1" w:rsidRPr="002D0ACF">
        <w:rPr>
          <w:lang w:val="fr-FR"/>
        </w:rPr>
        <w:t>,</w:t>
      </w:r>
      <w:r w:rsidRPr="002D0ACF">
        <w:rPr>
          <w:lang w:val="fr-FR"/>
        </w:rPr>
        <w:t xml:space="preserve"> les substances visées par la Convention de Minamata sur le mercure.</w:t>
      </w:r>
    </w:p>
    <w:p w14:paraId="21BDFA6E" w14:textId="31FFC957" w:rsidR="00C66DAD" w:rsidRPr="002D0ACF" w:rsidRDefault="00C66DAD" w:rsidP="00C66DAD">
      <w:pPr>
        <w:pStyle w:val="CH2"/>
        <w:rPr>
          <w:lang w:val="fr-FR"/>
        </w:rPr>
      </w:pPr>
      <w:r w:rsidRPr="002D0ACF">
        <w:rPr>
          <w:rFonts w:cs="Arial Unicode MS"/>
          <w:lang w:val="fr-FR"/>
        </w:rPr>
        <w:tab/>
      </w:r>
      <w:r w:rsidRPr="002D0ACF">
        <w:rPr>
          <w:rFonts w:cs="Arial Unicode MS"/>
          <w:lang w:val="fr-FR"/>
        </w:rPr>
        <w:tab/>
      </w:r>
      <w:r w:rsidR="00F04373" w:rsidRPr="002D0ACF">
        <w:rPr>
          <w:rFonts w:cs="Arial Unicode MS"/>
          <w:lang w:val="fr-FR"/>
        </w:rPr>
        <w:t>Objet</w:t>
      </w:r>
    </w:p>
    <w:p w14:paraId="103D0C74" w14:textId="72206332" w:rsidR="00C66DAD" w:rsidRPr="002D0ACF" w:rsidRDefault="00F04373" w:rsidP="00F04373">
      <w:pPr>
        <w:pStyle w:val="Normalnumber"/>
        <w:numPr>
          <w:ilvl w:val="0"/>
          <w:numId w:val="34"/>
        </w:numPr>
        <w:tabs>
          <w:tab w:val="left" w:pos="624"/>
          <w:tab w:val="left" w:pos="1134"/>
          <w:tab w:val="left" w:pos="2495"/>
          <w:tab w:val="left" w:pos="3119"/>
        </w:tabs>
        <w:rPr>
          <w:lang w:val="fr-FR"/>
        </w:rPr>
      </w:pPr>
      <w:r w:rsidRPr="002D0ACF">
        <w:rPr>
          <w:lang w:val="fr-FR"/>
        </w:rPr>
        <w:t xml:space="preserve">L’objet du présent </w:t>
      </w:r>
      <w:r w:rsidR="007E1D2C" w:rsidRPr="002D0ACF">
        <w:rPr>
          <w:lang w:val="fr-FR"/>
        </w:rPr>
        <w:t>m</w:t>
      </w:r>
      <w:r w:rsidRPr="002D0ACF">
        <w:rPr>
          <w:lang w:val="fr-FR"/>
        </w:rPr>
        <w:t>émorandum d’accord est d’établir les modalités de la relation entre la Conférence des Parties et le Conseil visant à donner effet aux dispositions qui sont associées à la Caisse du FEM et qui figurent dans les paragraphes 5, 6, 7, 8, 10 et 11 de l’article 13 de la Convention et dans les paragraphes 6, 26 et 27 de l’</w:t>
      </w:r>
      <w:r w:rsidR="001B2745" w:rsidRPr="002D0ACF">
        <w:rPr>
          <w:lang w:val="fr-FR"/>
        </w:rPr>
        <w:t>I</w:t>
      </w:r>
      <w:r w:rsidRPr="002D0ACF">
        <w:rPr>
          <w:lang w:val="fr-FR"/>
        </w:rPr>
        <w:t>nstrument du FEM.</w:t>
      </w:r>
    </w:p>
    <w:p w14:paraId="1113845A" w14:textId="13203B41" w:rsidR="00C66DAD" w:rsidRPr="002D0ACF" w:rsidRDefault="00F04373" w:rsidP="00F04373">
      <w:pPr>
        <w:pStyle w:val="CH2"/>
        <w:ind w:firstLine="0"/>
        <w:rPr>
          <w:lang w:val="fr-FR"/>
        </w:rPr>
      </w:pPr>
      <w:r w:rsidRPr="002D0ACF">
        <w:rPr>
          <w:rFonts w:cs="Arial Unicode MS"/>
          <w:lang w:val="fr-FR"/>
        </w:rPr>
        <w:t>Orientations de la Conférence des Parties</w:t>
      </w:r>
    </w:p>
    <w:p w14:paraId="34C92BBD" w14:textId="5AA36CE7" w:rsidR="00C66DAD" w:rsidRPr="002D0ACF" w:rsidRDefault="00F04373" w:rsidP="00F04373">
      <w:pPr>
        <w:pStyle w:val="Normalnumber"/>
        <w:numPr>
          <w:ilvl w:val="0"/>
          <w:numId w:val="34"/>
        </w:numPr>
        <w:tabs>
          <w:tab w:val="left" w:pos="624"/>
          <w:tab w:val="left" w:pos="1134"/>
          <w:tab w:val="left" w:pos="2495"/>
          <w:tab w:val="left" w:pos="3119"/>
        </w:tabs>
        <w:rPr>
          <w:rStyle w:val="Inget"/>
          <w:rFonts w:ascii="Times" w:hAnsi="Times" w:cs="Times"/>
          <w:lang w:val="fr-FR"/>
        </w:rPr>
      </w:pPr>
      <w:r w:rsidRPr="002D0ACF">
        <w:rPr>
          <w:lang w:val="fr-FR"/>
        </w:rPr>
        <w:t>La Conférence des Parties fournira au FEM des orientations appropriées, conformément au paragraphe 7 de l’article 13 de la Convention. Ces orientations porteront sur les stratégies, politiques et priorités programmatiques globales ainsi que sur les conditions requises pour avoir accès aux ressources financières et utiliser ces dernières. Ces orientations porteront également sur une liste indicative des catégories d’activités qui pourraient bénéficier du soutien de la caisse du FEM</w:t>
      </w:r>
      <w:r w:rsidRPr="002D0ACF">
        <w:rPr>
          <w:rFonts w:cs="Myriad Pro"/>
          <w:color w:val="000000"/>
          <w:lang w:val="fr-FR"/>
        </w:rPr>
        <w:t>.</w:t>
      </w:r>
      <w:r w:rsidRPr="002D0ACF">
        <w:rPr>
          <w:lang w:val="fr-FR"/>
        </w:rPr>
        <w:t xml:space="preserve"> Ces orientations seront examinées par la Conférence des Parties au plus tard à sa troisième réunion, et, par la suite, à intervalles réguliers, conformément au paragraphe 11 de l’article 13. Sur la base de cet examen, la Conférence des Parties pourra décider de mettre à jour ou de réviser ces orientations. Par la suite, la Conférence des Parties conviendra avec le FEM des dispositions supplémentaires qui pourraient être nécessaires pour compléter le présent </w:t>
      </w:r>
      <w:r w:rsidR="007E1D2C" w:rsidRPr="002D0ACF">
        <w:rPr>
          <w:lang w:val="fr-FR"/>
        </w:rPr>
        <w:t>m</w:t>
      </w:r>
      <w:r w:rsidRPr="002D0ACF">
        <w:rPr>
          <w:lang w:val="fr-FR"/>
        </w:rPr>
        <w:t>émorandum d’accord.</w:t>
      </w:r>
      <w:r w:rsidR="00C66DAD" w:rsidRPr="002D0ACF">
        <w:rPr>
          <w:rStyle w:val="Inget"/>
          <w:rFonts w:ascii="Times" w:hAnsi="Times" w:cs="Times"/>
          <w:lang w:val="fr-FR"/>
        </w:rPr>
        <w:t xml:space="preserve"> </w:t>
      </w:r>
    </w:p>
    <w:p w14:paraId="249FD099" w14:textId="24A4D271" w:rsidR="00C66DAD" w:rsidRPr="002D0ACF" w:rsidRDefault="00C66DAD" w:rsidP="00C66DAD">
      <w:pPr>
        <w:pStyle w:val="CH2"/>
        <w:rPr>
          <w:rStyle w:val="Inget"/>
          <w:rFonts w:ascii="Times" w:hAnsi="Times" w:cs="Times"/>
          <w:lang w:val="fr-FR"/>
        </w:rPr>
      </w:pPr>
      <w:r w:rsidRPr="002D0ACF">
        <w:rPr>
          <w:rFonts w:cs="Arial Unicode MS"/>
          <w:lang w:val="fr-FR"/>
        </w:rPr>
        <w:tab/>
      </w:r>
      <w:r w:rsidRPr="002D0ACF">
        <w:rPr>
          <w:rFonts w:cs="Arial Unicode MS"/>
          <w:lang w:val="fr-FR"/>
        </w:rPr>
        <w:tab/>
      </w:r>
      <w:r w:rsidR="00F04373" w:rsidRPr="002D0ACF">
        <w:rPr>
          <w:rFonts w:cs="Arial Unicode MS"/>
          <w:lang w:val="fr-FR"/>
        </w:rPr>
        <w:t>Conformité avec les orientations de la Conférence des Parties</w:t>
      </w:r>
    </w:p>
    <w:p w14:paraId="31CDF64B" w14:textId="77777777" w:rsidR="00F04373" w:rsidRPr="002D0ACF" w:rsidRDefault="00F04373" w:rsidP="00F04373">
      <w:pPr>
        <w:pStyle w:val="Normalnumber"/>
        <w:numPr>
          <w:ilvl w:val="0"/>
          <w:numId w:val="34"/>
        </w:numPr>
        <w:tabs>
          <w:tab w:val="left" w:pos="624"/>
          <w:tab w:val="left" w:pos="1134"/>
          <w:tab w:val="left" w:pos="2495"/>
          <w:tab w:val="left" w:pos="3119"/>
        </w:tabs>
        <w:rPr>
          <w:lang w:val="fr-FR"/>
        </w:rPr>
      </w:pPr>
      <w:r w:rsidRPr="002D0ACF">
        <w:rPr>
          <w:lang w:val="fr-FR"/>
        </w:rPr>
        <w:t xml:space="preserve">Le Conseil assure le bon fonctionnement du FEM en tant que source de financement des activités à mener en application de la Convention, conformément aux orientations que lui donne la Conférence des Parties. </w:t>
      </w:r>
    </w:p>
    <w:p w14:paraId="456E5803" w14:textId="77777777" w:rsidR="00F04373" w:rsidRPr="002D0ACF" w:rsidRDefault="00F04373" w:rsidP="00F04373">
      <w:pPr>
        <w:pStyle w:val="Normalnumber"/>
        <w:numPr>
          <w:ilvl w:val="0"/>
          <w:numId w:val="34"/>
        </w:numPr>
        <w:tabs>
          <w:tab w:val="left" w:pos="624"/>
          <w:tab w:val="left" w:pos="1134"/>
          <w:tab w:val="left" w:pos="2495"/>
          <w:tab w:val="left" w:pos="3119"/>
        </w:tabs>
        <w:rPr>
          <w:lang w:val="fr-FR"/>
        </w:rPr>
      </w:pPr>
      <w:r w:rsidRPr="002D0ACF">
        <w:rPr>
          <w:lang w:val="fr-FR"/>
        </w:rPr>
        <w:t>Le Conseil peut saisir la Conférence des Parties de toute question découlant des orientations adoptées par celle-ci. En particulier, si la Conférence des Parties donne postérieurement à sa première réunion des orientations au FEM, le Conseil peut consulter la Conférence des Parties afin d’obtenir une mise à jour ou des précisions sur les orientations existantes compte tenu des nouvelles directives ou des directives supplémentaires qu’il reçoit.</w:t>
      </w:r>
    </w:p>
    <w:p w14:paraId="7F0D82E2" w14:textId="5B1DC70D" w:rsidR="00C66DAD" w:rsidRPr="002D0ACF" w:rsidRDefault="00F04373" w:rsidP="00F04373">
      <w:pPr>
        <w:pStyle w:val="Normalnumber"/>
        <w:numPr>
          <w:ilvl w:val="0"/>
          <w:numId w:val="34"/>
        </w:numPr>
        <w:tabs>
          <w:tab w:val="left" w:pos="624"/>
          <w:tab w:val="left" w:pos="1134"/>
          <w:tab w:val="left" w:pos="2495"/>
          <w:tab w:val="left" w:pos="3119"/>
        </w:tabs>
        <w:rPr>
          <w:rStyle w:val="Inget"/>
          <w:rFonts w:ascii="Times" w:hAnsi="Times" w:cs="Times"/>
          <w:lang w:val="fr-FR"/>
        </w:rPr>
      </w:pPr>
      <w:r w:rsidRPr="002D0ACF">
        <w:rPr>
          <w:lang w:val="fr-FR"/>
        </w:rPr>
        <w:t>Les décisions relatives au financement de projets et d’activités spécifiques devraient être prises d’un commun accord par la Partie qui est un pays en développement ou</w:t>
      </w:r>
      <w:r w:rsidR="001B2745" w:rsidRPr="002D0ACF">
        <w:rPr>
          <w:lang w:val="fr-FR"/>
        </w:rPr>
        <w:t xml:space="preserve"> à économie</w:t>
      </w:r>
      <w:r w:rsidRPr="002D0ACF">
        <w:rPr>
          <w:lang w:val="fr-FR"/>
        </w:rPr>
        <w:t xml:space="preserve"> en transition concernée et le FEM, conformément aux stratégies, politiques et priorités programmatiques globales ainsi qu’aux conditions requises et établies par la Conférence des Parties pour avoir accès aux ressources financières et utiliser ces dernières. Le Conseil du FEM est chargé d’approuver les programmes de travail du FEM. Si une Partie considère qu’une décision du Conseil concernant un projet particulier n’a pas été prise conformément aux orientations fixées par la Conférence des Parties dans le contexte de la Convention, et si, après examen, la Conférence des Parties décide que les préoccupations de la Partie concernée sont valables, elle demandera au FEM des précisions et elle analysera les observations présentées par la Partie concernée ainsi que la réponse du FEM. Si la Conférence des Parties considère que la décision du Conseil du FEM relative à un projet déterminé n’est conforme ni aux stratégies, politiques et priorités programmatiques globales, ni aux conditions requises et établies par la Conférence des Parties pour avoir accès aux ressources financières et utiliser ces dernières, elle peut décider de demander au FEM de proposer et d’appliquer une solution pour prendre en compte les préoccupations exprimées au sujet du projet en question.</w:t>
      </w:r>
    </w:p>
    <w:p w14:paraId="4463274A" w14:textId="24C417D5" w:rsidR="00C66DAD" w:rsidRPr="002D0ACF" w:rsidRDefault="00F04373" w:rsidP="00F04373">
      <w:pPr>
        <w:pStyle w:val="CH2"/>
        <w:ind w:firstLine="0"/>
        <w:rPr>
          <w:lang w:val="fr-FR"/>
        </w:rPr>
      </w:pPr>
      <w:r w:rsidRPr="002D0ACF">
        <w:rPr>
          <w:lang w:val="fr-FR"/>
        </w:rPr>
        <w:t>É</w:t>
      </w:r>
      <w:r w:rsidRPr="002D0ACF">
        <w:rPr>
          <w:rFonts w:cs="Arial Unicode MS"/>
          <w:lang w:val="fr-FR"/>
        </w:rPr>
        <w:t>tablissement des rapports</w:t>
      </w:r>
    </w:p>
    <w:p w14:paraId="022B57A6" w14:textId="77777777" w:rsidR="00F04373" w:rsidRPr="002D0ACF" w:rsidRDefault="00F04373" w:rsidP="00F04373">
      <w:pPr>
        <w:pStyle w:val="Normalnumber"/>
        <w:numPr>
          <w:ilvl w:val="0"/>
          <w:numId w:val="34"/>
        </w:numPr>
        <w:rPr>
          <w:lang w:val="fr-FR"/>
        </w:rPr>
      </w:pPr>
      <w:r w:rsidRPr="002D0ACF">
        <w:rPr>
          <w:lang w:val="fr-FR"/>
        </w:rPr>
        <w:t>Afin de s’acquitter de ses obligations de rendre compte à la Conférence des Parties, le Conseil préparera et présentera des rapports pour examen par la Conférence des Parties à chacune de ses réunions ordinaires. Les rapports du Conseil seront des documents officiels des réunions de la Conférence des Parties.</w:t>
      </w:r>
    </w:p>
    <w:p w14:paraId="53CE1C33" w14:textId="77777777" w:rsidR="00F04373" w:rsidRPr="002D0ACF" w:rsidRDefault="00F04373" w:rsidP="00F04373">
      <w:pPr>
        <w:pStyle w:val="Normalnumber"/>
        <w:numPr>
          <w:ilvl w:val="0"/>
          <w:numId w:val="34"/>
        </w:numPr>
        <w:rPr>
          <w:lang w:val="fr-FR"/>
        </w:rPr>
      </w:pPr>
      <w:r w:rsidRPr="002D0ACF">
        <w:rPr>
          <w:lang w:val="fr-FR"/>
        </w:rPr>
        <w:t>Les rapports du Conseil contiendront notamment des informations sur les activités du FEM liées à la Convention et sur la conformité de ces activités avec les orientations de la Conférence des Parties, ainsi que des informations sur toute décision prise par la Conférence des Parties et transmise au FEM, en vertu de l’article 13 de la Convention.</w:t>
      </w:r>
    </w:p>
    <w:p w14:paraId="251CA068" w14:textId="77777777" w:rsidR="00F04373" w:rsidRPr="002D0ACF" w:rsidRDefault="00F04373" w:rsidP="00F04373">
      <w:pPr>
        <w:pStyle w:val="Normalnumber"/>
        <w:numPr>
          <w:ilvl w:val="0"/>
          <w:numId w:val="34"/>
        </w:numPr>
        <w:rPr>
          <w:lang w:val="fr-FR"/>
        </w:rPr>
      </w:pPr>
      <w:r w:rsidRPr="002D0ACF">
        <w:rPr>
          <w:lang w:val="fr-FR"/>
        </w:rPr>
        <w:t>Les rapports contiendront notamment :</w:t>
      </w:r>
    </w:p>
    <w:p w14:paraId="56427206" w14:textId="64BA2CEA" w:rsidR="00F04373" w:rsidRPr="002D0ACF" w:rsidRDefault="00F04373" w:rsidP="00F04373">
      <w:pPr>
        <w:pStyle w:val="Normalnumber"/>
        <w:numPr>
          <w:ilvl w:val="1"/>
          <w:numId w:val="34"/>
        </w:numPr>
        <w:rPr>
          <w:lang w:val="fr-FR"/>
        </w:rPr>
      </w:pPr>
      <w:r w:rsidRPr="002D0ACF">
        <w:rPr>
          <w:lang w:val="fr-FR"/>
        </w:rPr>
        <w:t>Des informations sur la manière dont le FEM a donné suite aux orientations données par la Conférence des Parties, notamment, le cas échéant, en incorporant ces orientations dans les stratégies et les politiques opérationnelles du FEM</w:t>
      </w:r>
      <w:r w:rsidR="00E93AAE" w:rsidRPr="002D0ACF">
        <w:rPr>
          <w:lang w:val="fr-FR"/>
        </w:rPr>
        <w:t> </w:t>
      </w:r>
      <w:r w:rsidRPr="002D0ACF">
        <w:rPr>
          <w:lang w:val="fr-FR"/>
        </w:rPr>
        <w:t xml:space="preserve">; </w:t>
      </w:r>
    </w:p>
    <w:p w14:paraId="4E1D2B84" w14:textId="555A04D1" w:rsidR="00F04373" w:rsidRPr="002D0ACF" w:rsidRDefault="00F04373" w:rsidP="00F04373">
      <w:pPr>
        <w:pStyle w:val="Normalnumber"/>
        <w:keepNext/>
        <w:keepLines/>
        <w:numPr>
          <w:ilvl w:val="1"/>
          <w:numId w:val="34"/>
        </w:numPr>
        <w:rPr>
          <w:lang w:val="fr-FR"/>
        </w:rPr>
      </w:pPr>
      <w:r w:rsidRPr="002D0ACF">
        <w:rPr>
          <w:lang w:val="fr-FR"/>
        </w:rPr>
        <w:t>Une synthèse des projets approuvés par le Conseil, ainsi que de ceux qui sont associés au mercure et qui ont été exécutés au cours de la période couverte par le rapport, avec des précisions sur les ressources provenant du FEM, sur les autres ressources allouées à chacun de ces projets, et sur l’état d’avancement de chaque projet</w:t>
      </w:r>
      <w:r w:rsidR="00E93AAE" w:rsidRPr="002D0ACF">
        <w:rPr>
          <w:lang w:val="fr-FR"/>
        </w:rPr>
        <w:t> </w:t>
      </w:r>
      <w:r w:rsidRPr="002D0ACF">
        <w:rPr>
          <w:lang w:val="fr-FR"/>
        </w:rPr>
        <w:t>; et</w:t>
      </w:r>
    </w:p>
    <w:p w14:paraId="501B50E7" w14:textId="77777777" w:rsidR="00F04373" w:rsidRPr="002D0ACF" w:rsidRDefault="00F04373" w:rsidP="00F04373">
      <w:pPr>
        <w:pStyle w:val="Normalnumber"/>
        <w:numPr>
          <w:ilvl w:val="1"/>
          <w:numId w:val="34"/>
        </w:numPr>
        <w:rPr>
          <w:lang w:val="fr-FR"/>
        </w:rPr>
      </w:pPr>
      <w:r w:rsidRPr="002D0ACF">
        <w:rPr>
          <w:lang w:val="fr-FR"/>
        </w:rPr>
        <w:t>Au cas où une proposition de projet figurant dans un programme de travail n’est pas approuvée par le Conseil, les raisons motivant ce refus.</w:t>
      </w:r>
    </w:p>
    <w:p w14:paraId="42FB819D" w14:textId="77777777" w:rsidR="00F04373" w:rsidRPr="002D0ACF" w:rsidRDefault="00F04373" w:rsidP="00F04373">
      <w:pPr>
        <w:pStyle w:val="Normalnumber"/>
        <w:numPr>
          <w:ilvl w:val="0"/>
          <w:numId w:val="34"/>
        </w:numPr>
        <w:rPr>
          <w:lang w:val="fr-FR"/>
        </w:rPr>
      </w:pPr>
      <w:r w:rsidRPr="002D0ACF">
        <w:rPr>
          <w:lang w:val="fr-FR"/>
        </w:rPr>
        <w:t>Le Conseil établira également des rapports sur les activités de suivi et d’évaluation du FEM pour ce qui concerne des projets dans le domaine d’intervention relatif aux produits chimiques et aux déchets associés au mercure.</w:t>
      </w:r>
    </w:p>
    <w:p w14:paraId="45A839C1" w14:textId="78934C2B" w:rsidR="00F04373" w:rsidRPr="002D0ACF" w:rsidRDefault="00F04373" w:rsidP="00F04373">
      <w:pPr>
        <w:pStyle w:val="Normalnumber"/>
        <w:numPr>
          <w:ilvl w:val="0"/>
          <w:numId w:val="34"/>
        </w:numPr>
        <w:rPr>
          <w:lang w:val="fr-FR"/>
        </w:rPr>
      </w:pPr>
      <w:r w:rsidRPr="002D0ACF">
        <w:rPr>
          <w:lang w:val="fr-FR"/>
        </w:rPr>
        <w:t>Sur demande de la Conférence des Parties, le Conseil fournira également des informations sur d’autres questions relatives à l’exercice des fonctions prévues au paragraphe 5 de l’article 13 et qui se rapportent à la Caisse du FEM. Si le Conseil rencontre des difficultés à donner suite à cette demande, il en fera part à la Conférence des Parties qui trouvera, avec le Conseil, une solution mutuellement acceptable.</w:t>
      </w:r>
    </w:p>
    <w:p w14:paraId="61BC7328" w14:textId="77777777" w:rsidR="00F04373" w:rsidRPr="002D0ACF" w:rsidRDefault="00F04373" w:rsidP="00F04373">
      <w:pPr>
        <w:pStyle w:val="Normalnumber"/>
        <w:numPr>
          <w:ilvl w:val="0"/>
          <w:numId w:val="34"/>
        </w:numPr>
        <w:rPr>
          <w:lang w:val="fr-FR"/>
        </w:rPr>
      </w:pPr>
      <w:r w:rsidRPr="002D0ACF">
        <w:rPr>
          <w:lang w:val="fr-FR"/>
        </w:rPr>
        <w:t>Le Conseil inclura dans ses rapports à la Conférence des Parties tout avis qu’il pourrait avoir sur les orientations fournies par la Conférence des Parties.</w:t>
      </w:r>
    </w:p>
    <w:p w14:paraId="68B862AF" w14:textId="159AC1C4" w:rsidR="00C66DAD" w:rsidRPr="002D0ACF" w:rsidRDefault="00F04373" w:rsidP="00F04373">
      <w:pPr>
        <w:pStyle w:val="Normalnumber"/>
        <w:numPr>
          <w:ilvl w:val="0"/>
          <w:numId w:val="34"/>
        </w:numPr>
        <w:tabs>
          <w:tab w:val="left" w:pos="624"/>
          <w:tab w:val="left" w:pos="1134"/>
          <w:tab w:val="left" w:pos="2495"/>
          <w:tab w:val="left" w:pos="3119"/>
        </w:tabs>
        <w:rPr>
          <w:lang w:val="fr-FR"/>
        </w:rPr>
      </w:pPr>
      <w:r w:rsidRPr="002D0ACF">
        <w:rPr>
          <w:lang w:val="fr-FR"/>
        </w:rPr>
        <w:t>La Conférence des Parties pourra saisir le Conseil de toute question découlant des rapports qu’elle aura reçus de ce dernier et demander des éclaircissements ou des explications au FEM</w:t>
      </w:r>
      <w:r w:rsidR="00C66DAD" w:rsidRPr="002D0ACF">
        <w:rPr>
          <w:lang w:val="fr-FR"/>
        </w:rPr>
        <w:t xml:space="preserve">. </w:t>
      </w:r>
    </w:p>
    <w:p w14:paraId="04AECE16" w14:textId="7C549680" w:rsidR="00C66DAD" w:rsidRPr="002D0ACF" w:rsidRDefault="00E93AAE" w:rsidP="00E93AAE">
      <w:pPr>
        <w:pStyle w:val="CH2"/>
        <w:ind w:firstLine="0"/>
        <w:rPr>
          <w:lang w:val="fr-FR"/>
        </w:rPr>
      </w:pPr>
      <w:r w:rsidRPr="002D0ACF">
        <w:rPr>
          <w:rFonts w:cs="Arial Unicode MS"/>
          <w:lang w:val="fr-FR"/>
        </w:rPr>
        <w:t>Suivi et évaluation</w:t>
      </w:r>
    </w:p>
    <w:p w14:paraId="1C107EAD" w14:textId="41A70F22" w:rsidR="00E93AAE" w:rsidRPr="002D0ACF" w:rsidRDefault="00E93AAE" w:rsidP="00E93AAE">
      <w:pPr>
        <w:pStyle w:val="Normalnumber"/>
        <w:numPr>
          <w:ilvl w:val="0"/>
          <w:numId w:val="34"/>
        </w:numPr>
        <w:rPr>
          <w:lang w:val="fr-FR"/>
        </w:rPr>
      </w:pPr>
      <w:r w:rsidRPr="002D0ACF">
        <w:rPr>
          <w:lang w:val="fr-FR"/>
        </w:rPr>
        <w:t xml:space="preserve">Comme prévu au paragraphe 11 de l’article 13 de la Convention, la Conférence des Parties examinera, au plus tard à sa troisième réunion et, par la suite, à intervalles réguliers, le niveau de financement, les orientations fournies par la Conférence des Parties au FEM, constituant l’une des deux entités chargées d’assurer le fonctionnement du </w:t>
      </w:r>
      <w:r w:rsidR="007E1D2C" w:rsidRPr="002D0ACF">
        <w:rPr>
          <w:lang w:val="fr-FR"/>
        </w:rPr>
        <w:t>m</w:t>
      </w:r>
      <w:r w:rsidRPr="002D0ACF">
        <w:rPr>
          <w:lang w:val="fr-FR"/>
        </w:rPr>
        <w:t xml:space="preserve">écanisme institué en vertu de cet article, ainsi que l’efficacité du FEM et sa capacité à répondre aux besoins en évolution des Parties qui sont des pays en développement et des pays à économie en transition. Sur la base de cet examen, la Conférence des Parties prendra des mesures appropriées pour améliorer l’efficacité du </w:t>
      </w:r>
      <w:r w:rsidR="007E1D2C" w:rsidRPr="002D0ACF">
        <w:rPr>
          <w:lang w:val="fr-FR"/>
        </w:rPr>
        <w:t>m</w:t>
      </w:r>
      <w:r w:rsidRPr="002D0ACF">
        <w:rPr>
          <w:lang w:val="fr-FR"/>
        </w:rPr>
        <w:t>écanisme.</w:t>
      </w:r>
    </w:p>
    <w:p w14:paraId="3FD86C9E" w14:textId="2C86A8B3" w:rsidR="00E93AAE" w:rsidRPr="002D0ACF" w:rsidRDefault="00E93AAE" w:rsidP="00E93AAE">
      <w:pPr>
        <w:pStyle w:val="Normalnumber"/>
        <w:numPr>
          <w:ilvl w:val="0"/>
          <w:numId w:val="34"/>
        </w:numPr>
        <w:rPr>
          <w:lang w:val="fr-FR"/>
        </w:rPr>
      </w:pPr>
      <w:r w:rsidRPr="002D0ACF">
        <w:rPr>
          <w:lang w:val="fr-FR"/>
        </w:rPr>
        <w:t xml:space="preserve">Afin de préparer l’examen du FEM, qui constitue l’une des deux entités chargées d’assurer le fonctionnement du </w:t>
      </w:r>
      <w:r w:rsidR="007E1D2C" w:rsidRPr="002D0ACF">
        <w:rPr>
          <w:lang w:val="fr-FR"/>
        </w:rPr>
        <w:t>m</w:t>
      </w:r>
      <w:r w:rsidRPr="002D0ACF">
        <w:rPr>
          <w:lang w:val="fr-FR"/>
        </w:rPr>
        <w:t>écanisme au titre de la Convention, la Conférence des Parties prendra en compte, le cas échéant, les rapports de la Cellule indépendante de suivi et d’évaluation du FEM ainsi que les opinions du FEM. Si nécessaire, la Cellule indépendante de suivi et d’évaluation consultera le secrétariat de la Convention lors de la préparation des évaluations des activités du FEM associées au mercure.</w:t>
      </w:r>
    </w:p>
    <w:p w14:paraId="69680713" w14:textId="6CCBC4F5" w:rsidR="00C66DAD" w:rsidRPr="002D0ACF" w:rsidRDefault="00E93AAE" w:rsidP="00E93AAE">
      <w:pPr>
        <w:pStyle w:val="Normalnumber"/>
        <w:numPr>
          <w:ilvl w:val="0"/>
          <w:numId w:val="34"/>
        </w:numPr>
        <w:tabs>
          <w:tab w:val="left" w:pos="624"/>
          <w:tab w:val="left" w:pos="1134"/>
          <w:tab w:val="left" w:pos="2495"/>
          <w:tab w:val="left" w:pos="3119"/>
        </w:tabs>
        <w:rPr>
          <w:lang w:val="fr-FR"/>
        </w:rPr>
      </w:pPr>
      <w:r w:rsidRPr="002D0ACF">
        <w:rPr>
          <w:lang w:val="fr-FR"/>
        </w:rPr>
        <w:t>En se fondant sur les examens susmentionnés, la Conférence des Parties fera part au Conseil des décisions pertinentes qu’elle a prises à la suite desdits examens pour améliorer le fonctionnement et l’efficacité du FEM dans l’aide fournie aux Parties qui sont des pays en développement ou à économie en transition dans la mise en œuvre de leurs obligations au titre de la Convention.</w:t>
      </w:r>
    </w:p>
    <w:p w14:paraId="56E4551E" w14:textId="27CBF4AE" w:rsidR="00C66DAD" w:rsidRPr="002D0ACF" w:rsidRDefault="00C66DAD" w:rsidP="00C66DAD">
      <w:pPr>
        <w:pStyle w:val="CH2"/>
        <w:keepNext w:val="0"/>
        <w:keepLines w:val="0"/>
        <w:rPr>
          <w:lang w:val="fr-FR"/>
        </w:rPr>
      </w:pPr>
      <w:r w:rsidRPr="002D0ACF">
        <w:rPr>
          <w:lang w:val="fr-FR"/>
        </w:rPr>
        <w:tab/>
      </w:r>
      <w:r w:rsidRPr="002D0ACF">
        <w:rPr>
          <w:lang w:val="fr-FR"/>
        </w:rPr>
        <w:tab/>
        <w:t>Coop</w:t>
      </w:r>
      <w:r w:rsidR="00E93AAE" w:rsidRPr="002D0ACF">
        <w:rPr>
          <w:lang w:val="fr-FR"/>
        </w:rPr>
        <w:t>é</w:t>
      </w:r>
      <w:r w:rsidRPr="002D0ACF">
        <w:rPr>
          <w:lang w:val="fr-FR"/>
        </w:rPr>
        <w:t xml:space="preserve">ration </w:t>
      </w:r>
      <w:r w:rsidR="00E93AAE" w:rsidRPr="002D0ACF">
        <w:rPr>
          <w:lang w:val="fr-FR"/>
        </w:rPr>
        <w:t>entre les</w:t>
      </w:r>
      <w:r w:rsidRPr="002D0ACF">
        <w:rPr>
          <w:lang w:val="fr-FR"/>
        </w:rPr>
        <w:t xml:space="preserve"> secr</w:t>
      </w:r>
      <w:r w:rsidR="00E93AAE" w:rsidRPr="002D0ACF">
        <w:rPr>
          <w:lang w:val="fr-FR"/>
        </w:rPr>
        <w:t>é</w:t>
      </w:r>
      <w:r w:rsidRPr="002D0ACF">
        <w:rPr>
          <w:lang w:val="fr-FR"/>
        </w:rPr>
        <w:t xml:space="preserve">tariats </w:t>
      </w:r>
    </w:p>
    <w:p w14:paraId="692BB340" w14:textId="39B9875D" w:rsidR="00E93AAE" w:rsidRPr="002D0ACF" w:rsidRDefault="00E93AAE" w:rsidP="00E93AAE">
      <w:pPr>
        <w:pStyle w:val="Normalnumber"/>
        <w:numPr>
          <w:ilvl w:val="0"/>
          <w:numId w:val="34"/>
        </w:numPr>
        <w:rPr>
          <w:lang w:val="fr-FR"/>
        </w:rPr>
      </w:pPr>
      <w:r w:rsidRPr="002D0ACF">
        <w:rPr>
          <w:lang w:val="fr-FR"/>
        </w:rPr>
        <w:t>Le secrétariat de la Convention et le secrétariat du FEM communiqueront et coopèreront entre eux et se consulteront de façon régulière afin d’améliorer l’efficacité du FEM dans l’aide fournie aux Parties qui sont des pays en développement ou à économie de transition dans la mise en œuvre de leurs obligations au titre de la Convention.</w:t>
      </w:r>
    </w:p>
    <w:p w14:paraId="4C889742" w14:textId="58900215" w:rsidR="00E93AAE" w:rsidRPr="002D0ACF" w:rsidRDefault="00E93AAE" w:rsidP="00E93AAE">
      <w:pPr>
        <w:pStyle w:val="Normalnumber"/>
        <w:numPr>
          <w:ilvl w:val="0"/>
          <w:numId w:val="34"/>
        </w:numPr>
        <w:rPr>
          <w:lang w:val="fr-FR"/>
        </w:rPr>
      </w:pPr>
      <w:r w:rsidRPr="002D0ACF">
        <w:rPr>
          <w:lang w:val="fr-FR"/>
        </w:rPr>
        <w:t xml:space="preserve">En particulier, conformément au cycle des projets du FEM, le secrétariat de la Convention sera invité à formuler des </w:t>
      </w:r>
      <w:r w:rsidR="007E1D2C" w:rsidRPr="002D0ACF">
        <w:rPr>
          <w:lang w:val="fr-FR"/>
        </w:rPr>
        <w:t>observations</w:t>
      </w:r>
      <w:r w:rsidRPr="002D0ACF">
        <w:rPr>
          <w:lang w:val="fr-FR"/>
        </w:rPr>
        <w:t xml:space="preserve"> sur les propositions de projets relatifs au mercure qui sont en cours d’examen en vue de leur inclusion dans un projet de programme de travail, notamment pour déterminer si ces propositions sont conformes aux orientations données par la Conférence des Parties.</w:t>
      </w:r>
    </w:p>
    <w:p w14:paraId="2F1FA63B" w14:textId="24B6C01F" w:rsidR="00E93AAE" w:rsidRPr="002D0ACF" w:rsidRDefault="00E93AAE" w:rsidP="00E93AAE">
      <w:pPr>
        <w:pStyle w:val="Normalnumber"/>
        <w:numPr>
          <w:ilvl w:val="0"/>
          <w:numId w:val="34"/>
        </w:numPr>
        <w:rPr>
          <w:lang w:val="fr-FR"/>
        </w:rPr>
      </w:pPr>
      <w:r w:rsidRPr="002D0ACF">
        <w:rPr>
          <w:lang w:val="fr-FR"/>
        </w:rPr>
        <w:t>Les secrétariats de la Convention et du FEM se consulteront mutuellement sur les projets de documents concernant la Convention et le FEM et prendront en compte tou</w:t>
      </w:r>
      <w:r w:rsidR="007E1D2C" w:rsidRPr="002D0ACF">
        <w:rPr>
          <w:lang w:val="fr-FR"/>
        </w:rPr>
        <w:t>te</w:t>
      </w:r>
      <w:r w:rsidRPr="002D0ACF">
        <w:rPr>
          <w:lang w:val="fr-FR"/>
        </w:rPr>
        <w:t xml:space="preserve">s les </w:t>
      </w:r>
      <w:r w:rsidR="007E1D2C" w:rsidRPr="002D0ACF">
        <w:rPr>
          <w:lang w:val="fr-FR"/>
        </w:rPr>
        <w:t>observations</w:t>
      </w:r>
      <w:r w:rsidRPr="002D0ACF">
        <w:rPr>
          <w:lang w:val="fr-FR"/>
        </w:rPr>
        <w:t xml:space="preserve"> avant de publier la version finale desdits documents.</w:t>
      </w:r>
    </w:p>
    <w:p w14:paraId="6048A3F1" w14:textId="4F5A47EF" w:rsidR="00C66DAD" w:rsidRPr="002D0ACF" w:rsidRDefault="00E93AAE" w:rsidP="00E93AAE">
      <w:pPr>
        <w:pStyle w:val="Normalnumber"/>
        <w:numPr>
          <w:ilvl w:val="0"/>
          <w:numId w:val="34"/>
        </w:numPr>
        <w:tabs>
          <w:tab w:val="left" w:pos="624"/>
          <w:tab w:val="left" w:pos="1134"/>
          <w:tab w:val="left" w:pos="2495"/>
          <w:tab w:val="left" w:pos="3119"/>
        </w:tabs>
        <w:rPr>
          <w:rStyle w:val="Inget"/>
          <w:lang w:val="fr-FR"/>
        </w:rPr>
      </w:pPr>
      <w:r w:rsidRPr="002D0ACF">
        <w:rPr>
          <w:lang w:val="fr-FR"/>
        </w:rPr>
        <w:t xml:space="preserve">On trouvera la documentation officielle de la Convention ainsi que du FEM, y compris des informations sur les activités relatives aux projets, sur les sites </w:t>
      </w:r>
      <w:r w:rsidR="005B6A42" w:rsidRPr="002D0ACF">
        <w:rPr>
          <w:lang w:val="fr-FR"/>
        </w:rPr>
        <w:t>Web</w:t>
      </w:r>
      <w:r w:rsidRPr="002D0ACF">
        <w:rPr>
          <w:lang w:val="fr-FR"/>
        </w:rPr>
        <w:t xml:space="preserve"> respectifs de la Convention et du FEM.</w:t>
      </w:r>
      <w:r w:rsidR="00C66DAD" w:rsidRPr="002D0ACF">
        <w:rPr>
          <w:rStyle w:val="Inget"/>
          <w:lang w:val="fr-FR"/>
        </w:rPr>
        <w:t xml:space="preserve"> </w:t>
      </w:r>
    </w:p>
    <w:p w14:paraId="5DC630B6" w14:textId="647B1A2B" w:rsidR="00C66DAD" w:rsidRPr="002D0ACF" w:rsidRDefault="00E93AAE" w:rsidP="00141267">
      <w:pPr>
        <w:pStyle w:val="CH2"/>
        <w:ind w:firstLine="0"/>
        <w:rPr>
          <w:rStyle w:val="Inget"/>
          <w:rFonts w:ascii="Times" w:hAnsi="Times" w:cs="Times"/>
          <w:sz w:val="23"/>
          <w:szCs w:val="23"/>
          <w:lang w:val="fr-FR"/>
        </w:rPr>
      </w:pPr>
      <w:r w:rsidRPr="002D0ACF">
        <w:rPr>
          <w:lang w:val="fr-FR"/>
        </w:rPr>
        <w:t>R</w:t>
      </w:r>
      <w:r w:rsidR="00C66DAD" w:rsidRPr="002D0ACF">
        <w:rPr>
          <w:lang w:val="fr-FR"/>
        </w:rPr>
        <w:t>epr</w:t>
      </w:r>
      <w:r w:rsidRPr="002D0ACF">
        <w:rPr>
          <w:lang w:val="fr-FR"/>
        </w:rPr>
        <w:t>é</w:t>
      </w:r>
      <w:r w:rsidR="00C66DAD" w:rsidRPr="002D0ACF">
        <w:rPr>
          <w:lang w:val="fr-FR"/>
        </w:rPr>
        <w:t>sentation</w:t>
      </w:r>
      <w:r w:rsidRPr="002D0ACF">
        <w:rPr>
          <w:lang w:val="fr-FR"/>
        </w:rPr>
        <w:t xml:space="preserve"> réciproque</w:t>
      </w:r>
    </w:p>
    <w:p w14:paraId="17479FFE" w14:textId="6FBCF2A7" w:rsidR="00C66DAD" w:rsidRPr="002D0ACF" w:rsidRDefault="00E93AAE" w:rsidP="00141267">
      <w:pPr>
        <w:pStyle w:val="Normalnumber"/>
        <w:keepNext/>
        <w:keepLines/>
        <w:numPr>
          <w:ilvl w:val="0"/>
          <w:numId w:val="34"/>
        </w:numPr>
        <w:tabs>
          <w:tab w:val="left" w:pos="624"/>
          <w:tab w:val="left" w:pos="1134"/>
          <w:tab w:val="left" w:pos="2495"/>
          <w:tab w:val="left" w:pos="3119"/>
        </w:tabs>
        <w:rPr>
          <w:rStyle w:val="Inget"/>
          <w:u w:val="single"/>
          <w:lang w:val="fr-FR"/>
        </w:rPr>
      </w:pPr>
      <w:r w:rsidRPr="002D0ACF">
        <w:rPr>
          <w:lang w:val="fr-FR"/>
        </w:rPr>
        <w:t>Dans le cadre du principe de réciprocité, les représentants du FEM seront invités aux réunions de la Conférence des Parties et des organes subsidiaires concernés, le cas échéant, et les représentants de la Convention seront invités aux réunions du Conseil et de l’Assemblée ainsi qu’à toute autre réunion pertinente.</w:t>
      </w:r>
    </w:p>
    <w:p w14:paraId="31D1A000" w14:textId="428A0D7F" w:rsidR="00C66DAD" w:rsidRPr="002D0ACF" w:rsidRDefault="00C66DAD" w:rsidP="00C66DAD">
      <w:pPr>
        <w:pStyle w:val="CH2"/>
        <w:keepLines w:val="0"/>
        <w:rPr>
          <w:rStyle w:val="Inget"/>
          <w:u w:val="single"/>
          <w:lang w:val="fr-FR"/>
        </w:rPr>
      </w:pPr>
      <w:r w:rsidRPr="002D0ACF">
        <w:rPr>
          <w:lang w:val="fr-FR"/>
        </w:rPr>
        <w:tab/>
      </w:r>
      <w:r w:rsidRPr="002D0ACF">
        <w:rPr>
          <w:lang w:val="fr-FR"/>
        </w:rPr>
        <w:tab/>
        <w:t>Amend</w:t>
      </w:r>
      <w:r w:rsidR="00E93AAE" w:rsidRPr="002D0ACF">
        <w:rPr>
          <w:lang w:val="fr-FR"/>
        </w:rPr>
        <w:t>e</w:t>
      </w:r>
      <w:r w:rsidRPr="002D0ACF">
        <w:rPr>
          <w:lang w:val="fr-FR"/>
        </w:rPr>
        <w:t>ments</w:t>
      </w:r>
    </w:p>
    <w:p w14:paraId="51F3F9D7" w14:textId="0DE3D191" w:rsidR="00C66DAD" w:rsidRPr="002D0ACF" w:rsidRDefault="00E93AAE" w:rsidP="00E93AAE">
      <w:pPr>
        <w:pStyle w:val="Normalnumber"/>
        <w:numPr>
          <w:ilvl w:val="0"/>
          <w:numId w:val="34"/>
        </w:numPr>
        <w:tabs>
          <w:tab w:val="left" w:pos="624"/>
          <w:tab w:val="left" w:pos="1134"/>
          <w:tab w:val="left" w:pos="2495"/>
          <w:tab w:val="left" w:pos="3119"/>
        </w:tabs>
        <w:rPr>
          <w:rStyle w:val="Inget"/>
          <w:sz w:val="24"/>
          <w:szCs w:val="24"/>
          <w:u w:val="single"/>
          <w:lang w:val="fr-FR"/>
        </w:rPr>
      </w:pPr>
      <w:r w:rsidRPr="002D0ACF">
        <w:rPr>
          <w:lang w:val="fr-FR"/>
        </w:rPr>
        <w:t>Le présent mémorandum d’accord pourra être amendé à tout moment par consentement écrit entre la Conférence des Parties et le Conseil</w:t>
      </w:r>
      <w:r w:rsidR="00C66DAD" w:rsidRPr="002D0ACF">
        <w:rPr>
          <w:lang w:val="fr-FR"/>
        </w:rPr>
        <w:t>.</w:t>
      </w:r>
    </w:p>
    <w:p w14:paraId="17C47EC8" w14:textId="74C501E2" w:rsidR="00C66DAD" w:rsidRPr="002D0ACF" w:rsidRDefault="00C66DAD" w:rsidP="00C66DAD">
      <w:pPr>
        <w:pStyle w:val="CH2"/>
        <w:rPr>
          <w:rStyle w:val="Inget"/>
          <w:rFonts w:ascii="Times" w:hAnsi="Times" w:cs="Times"/>
          <w:sz w:val="23"/>
          <w:szCs w:val="23"/>
          <w:lang w:val="fr-FR"/>
        </w:rPr>
      </w:pPr>
      <w:r w:rsidRPr="002D0ACF">
        <w:rPr>
          <w:rFonts w:cs="Arial Unicode MS"/>
          <w:lang w:val="fr-FR"/>
        </w:rPr>
        <w:tab/>
      </w:r>
      <w:r w:rsidRPr="002D0ACF">
        <w:rPr>
          <w:rFonts w:cs="Arial Unicode MS"/>
          <w:lang w:val="fr-FR"/>
        </w:rPr>
        <w:tab/>
        <w:t>Interpr</w:t>
      </w:r>
      <w:r w:rsidR="00E93AAE" w:rsidRPr="002D0ACF">
        <w:rPr>
          <w:rFonts w:cs="Arial Unicode MS"/>
          <w:lang w:val="fr-FR"/>
        </w:rPr>
        <w:t>é</w:t>
      </w:r>
      <w:r w:rsidRPr="002D0ACF">
        <w:rPr>
          <w:rFonts w:cs="Arial Unicode MS"/>
          <w:lang w:val="fr-FR"/>
        </w:rPr>
        <w:t>tation</w:t>
      </w:r>
    </w:p>
    <w:p w14:paraId="684071AE" w14:textId="4DD15E46" w:rsidR="00C66DAD" w:rsidRPr="002D0ACF" w:rsidRDefault="00E93AAE" w:rsidP="00E93AAE">
      <w:pPr>
        <w:pStyle w:val="Normalnumber"/>
        <w:keepNext/>
        <w:keepLines/>
        <w:numPr>
          <w:ilvl w:val="0"/>
          <w:numId w:val="34"/>
        </w:numPr>
        <w:tabs>
          <w:tab w:val="left" w:pos="624"/>
          <w:tab w:val="left" w:pos="1134"/>
          <w:tab w:val="left" w:pos="2495"/>
          <w:tab w:val="left" w:pos="3119"/>
        </w:tabs>
        <w:rPr>
          <w:rStyle w:val="Inget"/>
          <w:u w:val="single"/>
          <w:lang w:val="fr-FR"/>
        </w:rPr>
      </w:pPr>
      <w:r w:rsidRPr="002D0ACF">
        <w:rPr>
          <w:lang w:val="fr-FR"/>
        </w:rPr>
        <w:t>Si des divergences apparaissaient dans l’interprétation du présent mémorandum d’accord, la Conférence des Parties et le Conseil du FEM pourront être saisis pour examiner toute question, le cas échéant, et mettront tout en œuvre pour trouver une solution acceptable pour tous</w:t>
      </w:r>
      <w:r w:rsidR="00C66DAD" w:rsidRPr="002D0ACF">
        <w:rPr>
          <w:lang w:val="fr-FR"/>
        </w:rPr>
        <w:t xml:space="preserve">. </w:t>
      </w:r>
    </w:p>
    <w:p w14:paraId="0B5614CE" w14:textId="35D3EB0C" w:rsidR="00C66DAD" w:rsidRPr="002D0ACF" w:rsidRDefault="00E93AAE" w:rsidP="00E93AAE">
      <w:pPr>
        <w:pStyle w:val="CH2"/>
        <w:keepNext w:val="0"/>
        <w:keepLines w:val="0"/>
        <w:ind w:firstLine="0"/>
        <w:rPr>
          <w:rStyle w:val="Inget"/>
          <w:rFonts w:ascii="Times" w:hAnsi="Times" w:cs="Times"/>
          <w:sz w:val="23"/>
          <w:szCs w:val="23"/>
          <w:lang w:val="fr-FR"/>
        </w:rPr>
      </w:pPr>
      <w:r w:rsidRPr="002D0ACF">
        <w:rPr>
          <w:lang w:val="fr-FR"/>
        </w:rPr>
        <w:t>Entrée en vigueur</w:t>
      </w:r>
    </w:p>
    <w:p w14:paraId="0068C83B" w14:textId="120E5008" w:rsidR="00C66DAD" w:rsidRPr="002D0ACF" w:rsidRDefault="00E93AAE" w:rsidP="00E93AAE">
      <w:pPr>
        <w:pStyle w:val="Normalnumber"/>
        <w:numPr>
          <w:ilvl w:val="0"/>
          <w:numId w:val="34"/>
        </w:numPr>
        <w:tabs>
          <w:tab w:val="left" w:pos="624"/>
          <w:tab w:val="left" w:pos="1134"/>
          <w:tab w:val="left" w:pos="2495"/>
          <w:tab w:val="left" w:pos="3119"/>
        </w:tabs>
        <w:rPr>
          <w:rStyle w:val="Inget"/>
          <w:u w:val="single"/>
          <w:lang w:val="fr-FR"/>
        </w:rPr>
      </w:pPr>
      <w:r w:rsidRPr="002D0ACF">
        <w:rPr>
          <w:lang w:val="fr-FR"/>
        </w:rPr>
        <w:t>Le présent mémorandum d’accord prendra effet dès qu’il aura été approuvé par la Conférence des Parties et par le Conseil</w:t>
      </w:r>
      <w:r w:rsidR="00C66DAD" w:rsidRPr="002D0ACF">
        <w:rPr>
          <w:lang w:val="fr-FR"/>
        </w:rPr>
        <w:t>.</w:t>
      </w:r>
    </w:p>
    <w:p w14:paraId="4ED6250C" w14:textId="5195E2A5" w:rsidR="00C66DAD" w:rsidRPr="002D0ACF" w:rsidRDefault="00C66DAD" w:rsidP="00C66DAD">
      <w:pPr>
        <w:pStyle w:val="CH2"/>
        <w:keepNext w:val="0"/>
        <w:keepLines w:val="0"/>
        <w:rPr>
          <w:rStyle w:val="Inget"/>
          <w:rFonts w:ascii="Times" w:hAnsi="Times" w:cs="Times"/>
          <w:sz w:val="23"/>
          <w:szCs w:val="23"/>
          <w:lang w:val="fr-FR"/>
        </w:rPr>
      </w:pPr>
      <w:r w:rsidRPr="002D0ACF">
        <w:rPr>
          <w:lang w:val="fr-FR"/>
        </w:rPr>
        <w:tab/>
      </w:r>
      <w:r w:rsidRPr="002D0ACF">
        <w:rPr>
          <w:lang w:val="fr-FR"/>
        </w:rPr>
        <w:tab/>
      </w:r>
      <w:r w:rsidR="00E93AAE" w:rsidRPr="002D0ACF">
        <w:rPr>
          <w:lang w:val="fr-FR"/>
        </w:rPr>
        <w:t>Résiliation</w:t>
      </w:r>
    </w:p>
    <w:p w14:paraId="08581E3F" w14:textId="3B2CBA22" w:rsidR="00C66DAD" w:rsidRPr="002D0ACF" w:rsidRDefault="00E93AAE" w:rsidP="00E93AAE">
      <w:pPr>
        <w:pStyle w:val="Normalnumber"/>
        <w:numPr>
          <w:ilvl w:val="0"/>
          <w:numId w:val="34"/>
        </w:numPr>
        <w:tabs>
          <w:tab w:val="left" w:pos="624"/>
          <w:tab w:val="left" w:pos="1134"/>
          <w:tab w:val="left" w:pos="2495"/>
          <w:tab w:val="left" w:pos="3119"/>
        </w:tabs>
        <w:rPr>
          <w:lang w:val="fr-FR"/>
        </w:rPr>
      </w:pPr>
      <w:r w:rsidRPr="002D0ACF">
        <w:rPr>
          <w:lang w:val="fr-FR"/>
        </w:rPr>
        <w:t xml:space="preserve">La Conférence des Parties et le Conseil pourront à tout moment mettre fin au présent </w:t>
      </w:r>
      <w:r w:rsidR="007E1D2C" w:rsidRPr="002D0ACF">
        <w:rPr>
          <w:lang w:val="fr-FR"/>
        </w:rPr>
        <w:t>m</w:t>
      </w:r>
      <w:r w:rsidRPr="002D0ACF">
        <w:rPr>
          <w:lang w:val="fr-FR"/>
        </w:rPr>
        <w:t xml:space="preserve">émorandum d’accord au moyen d’une notification écrite adressée à l’autre partie. La résiliation prendra effet six mois après sa notification et n’affectera ni la validité ni la durée des activités lancées avant qu’il ne soit mis fin à ce </w:t>
      </w:r>
      <w:r w:rsidR="007E1D2C" w:rsidRPr="002D0ACF">
        <w:rPr>
          <w:lang w:val="fr-FR"/>
        </w:rPr>
        <w:t>m</w:t>
      </w:r>
      <w:r w:rsidRPr="002D0ACF">
        <w:rPr>
          <w:lang w:val="fr-FR"/>
        </w:rPr>
        <w:t>émorandum d’accord</w:t>
      </w:r>
      <w:r w:rsidR="00C66DAD" w:rsidRPr="002D0ACF">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567F9" w:rsidRPr="00702B5B" w14:paraId="6E53CFB0" w14:textId="77777777" w:rsidTr="00F567F9">
        <w:tc>
          <w:tcPr>
            <w:tcW w:w="1897" w:type="dxa"/>
          </w:tcPr>
          <w:p w14:paraId="01EB0BDD" w14:textId="77777777" w:rsidR="00F567F9" w:rsidRPr="00D410E3" w:rsidRDefault="00F567F9" w:rsidP="00F567F9">
            <w:pPr>
              <w:pStyle w:val="ZZAnxheader"/>
              <w:spacing w:before="520"/>
              <w:rPr>
                <w:sz w:val="20"/>
                <w:szCs w:val="20"/>
                <w:lang w:val="fr-FR"/>
              </w:rPr>
            </w:pPr>
          </w:p>
        </w:tc>
        <w:tc>
          <w:tcPr>
            <w:tcW w:w="1897" w:type="dxa"/>
          </w:tcPr>
          <w:p w14:paraId="3132C167" w14:textId="77777777" w:rsidR="00F567F9" w:rsidRPr="00D410E3" w:rsidRDefault="00F567F9" w:rsidP="00F567F9">
            <w:pPr>
              <w:pStyle w:val="ZZAnxheader"/>
              <w:spacing w:before="520"/>
              <w:rPr>
                <w:sz w:val="20"/>
                <w:szCs w:val="20"/>
                <w:lang w:val="fr-FR"/>
              </w:rPr>
            </w:pPr>
          </w:p>
        </w:tc>
        <w:tc>
          <w:tcPr>
            <w:tcW w:w="1897" w:type="dxa"/>
            <w:tcBorders>
              <w:bottom w:val="single" w:sz="4" w:space="0" w:color="auto"/>
            </w:tcBorders>
          </w:tcPr>
          <w:p w14:paraId="03325508" w14:textId="77777777" w:rsidR="00F567F9" w:rsidRPr="00D410E3" w:rsidRDefault="00F567F9" w:rsidP="00F567F9">
            <w:pPr>
              <w:pStyle w:val="ZZAnxheader"/>
              <w:spacing w:before="520"/>
              <w:rPr>
                <w:sz w:val="20"/>
                <w:szCs w:val="20"/>
                <w:lang w:val="fr-FR"/>
              </w:rPr>
            </w:pPr>
          </w:p>
        </w:tc>
        <w:tc>
          <w:tcPr>
            <w:tcW w:w="1897" w:type="dxa"/>
          </w:tcPr>
          <w:p w14:paraId="3CF4B866" w14:textId="77777777" w:rsidR="00F567F9" w:rsidRPr="00D410E3" w:rsidRDefault="00F567F9" w:rsidP="00F567F9">
            <w:pPr>
              <w:pStyle w:val="ZZAnxheader"/>
              <w:spacing w:before="520"/>
              <w:rPr>
                <w:sz w:val="20"/>
                <w:szCs w:val="20"/>
                <w:lang w:val="fr-FR"/>
              </w:rPr>
            </w:pPr>
          </w:p>
        </w:tc>
        <w:tc>
          <w:tcPr>
            <w:tcW w:w="1898" w:type="dxa"/>
          </w:tcPr>
          <w:p w14:paraId="1352E625" w14:textId="77777777" w:rsidR="00F567F9" w:rsidRPr="00D410E3" w:rsidRDefault="00F567F9" w:rsidP="00F567F9">
            <w:pPr>
              <w:pStyle w:val="ZZAnxheader"/>
              <w:spacing w:before="520"/>
              <w:rPr>
                <w:sz w:val="20"/>
                <w:szCs w:val="20"/>
                <w:lang w:val="fr-FR"/>
              </w:rPr>
            </w:pPr>
          </w:p>
        </w:tc>
      </w:tr>
    </w:tbl>
    <w:p w14:paraId="065ED8F2" w14:textId="4C7BD720" w:rsidR="00FE7303" w:rsidRPr="00D410E3" w:rsidRDefault="00FE7303" w:rsidP="0004098F">
      <w:pPr>
        <w:pStyle w:val="ZZAnxheader"/>
        <w:rPr>
          <w:sz w:val="20"/>
          <w:szCs w:val="20"/>
          <w:lang w:val="fr-FR"/>
        </w:rPr>
      </w:pPr>
    </w:p>
    <w:sectPr w:rsidR="00FE7303" w:rsidRPr="00D410E3"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0AAAC" w14:textId="77777777" w:rsidR="00EC5E71" w:rsidRDefault="00EC5E71">
      <w:r>
        <w:separator/>
      </w:r>
    </w:p>
  </w:endnote>
  <w:endnote w:type="continuationSeparator" w:id="0">
    <w:p w14:paraId="130CEC45" w14:textId="77777777" w:rsidR="00EC5E71" w:rsidRDefault="00EC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63D913F3" w:rsidR="00064772" w:rsidRDefault="00064772">
    <w:pPr>
      <w:pStyle w:val="Footer"/>
    </w:pPr>
    <w:r>
      <w:rPr>
        <w:rStyle w:val="PageNumber"/>
      </w:rPr>
      <w:fldChar w:fldCharType="begin"/>
    </w:r>
    <w:r>
      <w:rPr>
        <w:rStyle w:val="PageNumber"/>
      </w:rPr>
      <w:instrText xml:space="preserve"> PAGE </w:instrText>
    </w:r>
    <w:r>
      <w:rPr>
        <w:rStyle w:val="PageNumber"/>
      </w:rPr>
      <w:fldChar w:fldCharType="separate"/>
    </w:r>
    <w:r w:rsidR="00683344">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58084B26" w:rsidR="00064772" w:rsidRDefault="0006477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83344">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1ED" w14:textId="45ABD00C" w:rsidR="00064772" w:rsidRPr="00F567F9" w:rsidRDefault="000232D2">
    <w:pPr>
      <w:pStyle w:val="Footer"/>
      <w:rPr>
        <w:sz w:val="20"/>
      </w:rPr>
    </w:pPr>
    <w:r>
      <w:rPr>
        <w:sz w:val="20"/>
      </w:rPr>
      <w:t>K1802586</w:t>
    </w:r>
    <w:r>
      <w:rPr>
        <w:sz w:val="20"/>
      </w:rPr>
      <w:tab/>
      <w:t>16</w:t>
    </w:r>
    <w:r w:rsidR="00064772" w:rsidRPr="00F567F9">
      <w:rPr>
        <w:sz w:val="20"/>
      </w:rPr>
      <w:t>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F3F0" w14:textId="77777777" w:rsidR="00EC5E71" w:rsidRDefault="00EC5E71" w:rsidP="00D92DE0">
      <w:pPr>
        <w:ind w:left="624"/>
      </w:pPr>
      <w:r>
        <w:separator/>
      </w:r>
    </w:p>
  </w:footnote>
  <w:footnote w:type="continuationSeparator" w:id="0">
    <w:p w14:paraId="4F8F16BB" w14:textId="77777777" w:rsidR="00EC5E71" w:rsidRDefault="00EC5E71">
      <w:r>
        <w:continuationSeparator/>
      </w:r>
    </w:p>
  </w:footnote>
  <w:footnote w:id="1">
    <w:p w14:paraId="4C3E9309" w14:textId="70F08ECF" w:rsidR="00064772" w:rsidRPr="0052077C" w:rsidRDefault="00064772" w:rsidP="00FE7303">
      <w:pPr>
        <w:tabs>
          <w:tab w:val="left" w:pos="624"/>
        </w:tabs>
        <w:spacing w:before="20" w:after="40"/>
        <w:ind w:left="1247"/>
        <w:rPr>
          <w:sz w:val="18"/>
          <w:szCs w:val="18"/>
          <w:lang w:val="fr-FR"/>
        </w:rPr>
      </w:pPr>
      <w:r w:rsidRPr="0052077C">
        <w:rPr>
          <w:sz w:val="18"/>
          <w:szCs w:val="18"/>
          <w:lang w:val="fr-FR"/>
        </w:rPr>
        <w:t>* UNEP/MC/COP.2/1.</w:t>
      </w:r>
    </w:p>
  </w:footnote>
  <w:footnote w:id="2">
    <w:p w14:paraId="46673853" w14:textId="3F77DA00" w:rsidR="00064772" w:rsidRPr="0052077C" w:rsidRDefault="00064772">
      <w:pPr>
        <w:pStyle w:val="FootnoteText"/>
      </w:pPr>
      <w:r w:rsidRPr="0052077C">
        <w:rPr>
          <w:rStyle w:val="FootnoteReference"/>
        </w:rPr>
        <w:footnoteRef/>
      </w:r>
      <w:r w:rsidRPr="0052077C">
        <w:t xml:space="preserve"> </w:t>
      </w:r>
      <w:r>
        <w:t xml:space="preserve">Le document </w:t>
      </w:r>
      <w:r w:rsidRPr="0052077C">
        <w:rPr>
          <w:bCs/>
          <w:szCs w:val="18"/>
        </w:rPr>
        <w:t>UNEP</w:t>
      </w:r>
      <w:r w:rsidRPr="00E67605">
        <w:rPr>
          <w:bCs/>
          <w:szCs w:val="18"/>
        </w:rPr>
        <w:t xml:space="preserve">/MC/COP.2/9 aborde des questions concernant la deuxième entité du mécanisme de financement, à savoir le </w:t>
      </w:r>
      <w:r>
        <w:rPr>
          <w:bCs/>
          <w:szCs w:val="18"/>
        </w:rPr>
        <w:t>P</w:t>
      </w:r>
      <w:r w:rsidRPr="00E67605">
        <w:rPr>
          <w:bCs/>
          <w:szCs w:val="18"/>
        </w:rPr>
        <w:t>rogramme international spécifique visant à soutenir le renforcement des capacités et l’assistance technique</w:t>
      </w:r>
      <w:r w:rsidRPr="0052077C">
        <w:rPr>
          <w:bCs/>
          <w:szCs w:val="18"/>
        </w:rPr>
        <w:t>.</w:t>
      </w:r>
    </w:p>
  </w:footnote>
  <w:footnote w:id="3">
    <w:p w14:paraId="5EBB52B2" w14:textId="05AC53E1" w:rsidR="00064772" w:rsidRPr="0052077C" w:rsidRDefault="00064772">
      <w:pPr>
        <w:pStyle w:val="FootnoteText"/>
      </w:pPr>
      <w:r w:rsidRPr="0052077C">
        <w:rPr>
          <w:rStyle w:val="FootnoteReference"/>
        </w:rPr>
        <w:footnoteRef/>
      </w:r>
      <w:r w:rsidRPr="0052077C">
        <w:t xml:space="preserve"> </w:t>
      </w:r>
      <w:hyperlink r:id="rId1" w:history="1">
        <w:r w:rsidRPr="0052077C">
          <w:rPr>
            <w:rStyle w:val="Hyperlink"/>
            <w:sz w:val="18"/>
          </w:rPr>
          <w:t>http://www.mercuryconvention.org/Implementation/Projectsdatabase</w:t>
        </w:r>
      </w:hyperlink>
      <w:r w:rsidRPr="0052077C">
        <w:rPr>
          <w:rStyle w:val="Hyperlink"/>
          <w:sz w:val="18"/>
        </w:rPr>
        <w:t>.</w:t>
      </w:r>
      <w:r w:rsidRPr="0052077C">
        <w:t xml:space="preserve"> </w:t>
      </w:r>
    </w:p>
  </w:footnote>
  <w:footnote w:id="4">
    <w:p w14:paraId="77D85F7C" w14:textId="328F7A0E" w:rsidR="00064772" w:rsidRPr="0052077C" w:rsidRDefault="00064772" w:rsidP="00DA1D80">
      <w:pPr>
        <w:pStyle w:val="FootnoteText"/>
      </w:pPr>
      <w:r w:rsidRPr="0052077C">
        <w:rPr>
          <w:rStyle w:val="FootnoteReference"/>
        </w:rPr>
        <w:footnoteRef/>
      </w:r>
      <w:r w:rsidRPr="0052077C">
        <w:t xml:space="preserve"> </w:t>
      </w:r>
      <w:r w:rsidR="008E55BB">
        <w:t>Voir le paragraphe </w:t>
      </w:r>
      <w:r w:rsidRPr="0052077C">
        <w:t xml:space="preserve">33 </w:t>
      </w:r>
      <w:r w:rsidR="008E55BB">
        <w:t>des « </w:t>
      </w:r>
      <w:r w:rsidRPr="0052077C">
        <w:t>Highlights of the Council’s discussions</w:t>
      </w:r>
      <w:r w:rsidR="003322D3">
        <w:t xml:space="preserve"> » à l’adresse suivante : </w:t>
      </w:r>
      <w:r w:rsidRPr="0052077C">
        <w:t>http://www.thegef.org/sites/default/files/council-meeting-documents/HIGHLIGHTS_53rd_Council_Meeting.pdf.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013FDD42" w:rsidR="00064772" w:rsidRPr="00CA5CA9" w:rsidRDefault="00064772"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0A17D5D1" w:rsidR="00064772" w:rsidRPr="00CA5CA9" w:rsidRDefault="0006477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2E86B7A4" w:rsidR="00064772" w:rsidRDefault="0006477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064"/>
    <w:multiLevelType w:val="multilevel"/>
    <w:tmpl w:val="F4ACF36E"/>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Roman"/>
      <w:lvlText w:val="%5."/>
      <w:lvlJc w:val="left"/>
      <w:pPr>
        <w:tabs>
          <w:tab w:val="num" w:pos="567"/>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5A217B9"/>
    <w:multiLevelType w:val="hybridMultilevel"/>
    <w:tmpl w:val="9ED27720"/>
    <w:lvl w:ilvl="0" w:tplc="A8EE1C58">
      <w:start w:val="1"/>
      <w:numFmt w:val="decimal"/>
      <w:pStyle w:val="MainParagraphwith"/>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E3EBF"/>
    <w:multiLevelType w:val="multilevel"/>
    <w:tmpl w:val="B18CB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FE34526"/>
    <w:multiLevelType w:val="hybridMultilevel"/>
    <w:tmpl w:val="D07A6E4C"/>
    <w:numStyleLink w:val="Normallist"/>
  </w:abstractNum>
  <w:abstractNum w:abstractNumId="8" w15:restartNumberingAfterBreak="0">
    <w:nsid w:val="62291BF8"/>
    <w:multiLevelType w:val="multilevel"/>
    <w:tmpl w:val="1BB2BB1A"/>
    <w:lvl w:ilvl="0">
      <w:start w:val="1"/>
      <w:numFmt w:val="decimal"/>
      <w:lvlText w:val="%1."/>
      <w:lvlJc w:val="left"/>
      <w:pPr>
        <w:tabs>
          <w:tab w:val="num" w:pos="567"/>
        </w:tabs>
        <w:ind w:left="1247" w:firstLine="0"/>
      </w:pPr>
      <w:rPr>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Roman"/>
      <w:lvlText w:val="%5."/>
      <w:lvlJc w:val="left"/>
      <w:pPr>
        <w:tabs>
          <w:tab w:val="num" w:pos="567"/>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num w:numId="1">
    <w:abstractNumId w:val="6"/>
  </w:num>
  <w:num w:numId="2">
    <w:abstractNumId w:val="1"/>
  </w:num>
  <w:num w:numId="3">
    <w:abstractNumId w:val="3"/>
  </w:num>
  <w:num w:numId="4">
    <w:abstractNumId w:val="6"/>
  </w:num>
  <w:num w:numId="5">
    <w:abstractNumId w:val="6"/>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7"/>
    <w:lvlOverride w:ilvl="0">
      <w:startOverride w:val="1"/>
      <w:lvl w:ilvl="0" w:tplc="CA4201BE">
        <w:start w:val="1"/>
        <w:numFmt w:val="decimal"/>
        <w:lvlText w:val="%1."/>
        <w:lvlJc w:val="left"/>
        <w:pPr>
          <w:tabs>
            <w:tab w:val="left" w:pos="624"/>
            <w:tab w:val="left" w:pos="1134"/>
            <w:tab w:val="left" w:pos="1247"/>
            <w:tab w:val="num" w:pos="1871"/>
            <w:tab w:val="left" w:pos="2495"/>
            <w:tab w:val="left" w:pos="3119"/>
          </w:tabs>
          <w:ind w:left="1247"/>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startOverride w:val="1"/>
      <w:lvl w:ilvl="1" w:tplc="14E2A3EA">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CEE7932">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F3EC3C4A">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43E4015A">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66C4C42">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F4F61300">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66A0104">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63588D16">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3">
    <w:abstractNumId w:val="7"/>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6"/>
  </w:num>
  <w:num w:numId="30">
    <w:abstractNumId w:val="6"/>
  </w:num>
  <w:num w:numId="31">
    <w:abstractNumId w:val="4"/>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FR"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995"/>
    <w:rsid w:val="00000E4A"/>
    <w:rsid w:val="0000179E"/>
    <w:rsid w:val="0000222A"/>
    <w:rsid w:val="000024A3"/>
    <w:rsid w:val="000077AD"/>
    <w:rsid w:val="000078CE"/>
    <w:rsid w:val="00011A16"/>
    <w:rsid w:val="000149E6"/>
    <w:rsid w:val="000232D2"/>
    <w:rsid w:val="00023DA9"/>
    <w:rsid w:val="000247B0"/>
    <w:rsid w:val="0002588C"/>
    <w:rsid w:val="00026997"/>
    <w:rsid w:val="00026A08"/>
    <w:rsid w:val="00032E4E"/>
    <w:rsid w:val="00033E0B"/>
    <w:rsid w:val="000340A2"/>
    <w:rsid w:val="00035EDE"/>
    <w:rsid w:val="0004098F"/>
    <w:rsid w:val="0005075A"/>
    <w:rsid w:val="000509B4"/>
    <w:rsid w:val="00051DC8"/>
    <w:rsid w:val="0006035B"/>
    <w:rsid w:val="0006096F"/>
    <w:rsid w:val="00064772"/>
    <w:rsid w:val="000649C5"/>
    <w:rsid w:val="00066CC0"/>
    <w:rsid w:val="00071886"/>
    <w:rsid w:val="000742BC"/>
    <w:rsid w:val="00076CC6"/>
    <w:rsid w:val="000803B0"/>
    <w:rsid w:val="000813F1"/>
    <w:rsid w:val="00082A0C"/>
    <w:rsid w:val="00083504"/>
    <w:rsid w:val="000839C0"/>
    <w:rsid w:val="00085EFC"/>
    <w:rsid w:val="00091D87"/>
    <w:rsid w:val="00095A76"/>
    <w:rsid w:val="00096083"/>
    <w:rsid w:val="0009640C"/>
    <w:rsid w:val="000A730C"/>
    <w:rsid w:val="000B20E4"/>
    <w:rsid w:val="000B22A2"/>
    <w:rsid w:val="000B3114"/>
    <w:rsid w:val="000B4F5E"/>
    <w:rsid w:val="000B541B"/>
    <w:rsid w:val="000B73F9"/>
    <w:rsid w:val="000C25C0"/>
    <w:rsid w:val="000C262E"/>
    <w:rsid w:val="000C2A52"/>
    <w:rsid w:val="000C2A88"/>
    <w:rsid w:val="000C7417"/>
    <w:rsid w:val="000D33C0"/>
    <w:rsid w:val="000D3FEB"/>
    <w:rsid w:val="000D4CF6"/>
    <w:rsid w:val="000D59BC"/>
    <w:rsid w:val="000D6941"/>
    <w:rsid w:val="000E23D8"/>
    <w:rsid w:val="000E2A28"/>
    <w:rsid w:val="000E2DAC"/>
    <w:rsid w:val="000E6D2F"/>
    <w:rsid w:val="000F4829"/>
    <w:rsid w:val="001020A9"/>
    <w:rsid w:val="00102AAC"/>
    <w:rsid w:val="001030C9"/>
    <w:rsid w:val="00103368"/>
    <w:rsid w:val="001202E3"/>
    <w:rsid w:val="00123699"/>
    <w:rsid w:val="001241FB"/>
    <w:rsid w:val="00125FEF"/>
    <w:rsid w:val="00126CAC"/>
    <w:rsid w:val="0013059D"/>
    <w:rsid w:val="00132FAC"/>
    <w:rsid w:val="00136187"/>
    <w:rsid w:val="0014074F"/>
    <w:rsid w:val="00141267"/>
    <w:rsid w:val="00141A55"/>
    <w:rsid w:val="00141F90"/>
    <w:rsid w:val="0014293F"/>
    <w:rsid w:val="0014397D"/>
    <w:rsid w:val="00143F8B"/>
    <w:rsid w:val="001446A3"/>
    <w:rsid w:val="001516D0"/>
    <w:rsid w:val="0015187C"/>
    <w:rsid w:val="00152B6B"/>
    <w:rsid w:val="00155395"/>
    <w:rsid w:val="00155A2F"/>
    <w:rsid w:val="00156B6B"/>
    <w:rsid w:val="00160D74"/>
    <w:rsid w:val="001646EA"/>
    <w:rsid w:val="00167D02"/>
    <w:rsid w:val="001714BF"/>
    <w:rsid w:val="001759D8"/>
    <w:rsid w:val="00176A7F"/>
    <w:rsid w:val="00177D7F"/>
    <w:rsid w:val="001800F9"/>
    <w:rsid w:val="00180C3F"/>
    <w:rsid w:val="00181EC8"/>
    <w:rsid w:val="00181F66"/>
    <w:rsid w:val="00184349"/>
    <w:rsid w:val="001875E9"/>
    <w:rsid w:val="001933B0"/>
    <w:rsid w:val="00195F33"/>
    <w:rsid w:val="001A1DFE"/>
    <w:rsid w:val="001B1617"/>
    <w:rsid w:val="001B2745"/>
    <w:rsid w:val="001B2826"/>
    <w:rsid w:val="001B504B"/>
    <w:rsid w:val="001B6F98"/>
    <w:rsid w:val="001C191A"/>
    <w:rsid w:val="001D3874"/>
    <w:rsid w:val="001D625B"/>
    <w:rsid w:val="001D7E75"/>
    <w:rsid w:val="001E0D73"/>
    <w:rsid w:val="001E45BD"/>
    <w:rsid w:val="001E56D2"/>
    <w:rsid w:val="001E7D56"/>
    <w:rsid w:val="001F235D"/>
    <w:rsid w:val="001F75DE"/>
    <w:rsid w:val="00200D58"/>
    <w:rsid w:val="002011C1"/>
    <w:rsid w:val="002013BE"/>
    <w:rsid w:val="00201EDC"/>
    <w:rsid w:val="00203C88"/>
    <w:rsid w:val="002063A4"/>
    <w:rsid w:val="0021145B"/>
    <w:rsid w:val="00220C23"/>
    <w:rsid w:val="00222EFD"/>
    <w:rsid w:val="002244E3"/>
    <w:rsid w:val="002247F6"/>
    <w:rsid w:val="00225E21"/>
    <w:rsid w:val="00225E44"/>
    <w:rsid w:val="00226D2C"/>
    <w:rsid w:val="00234E78"/>
    <w:rsid w:val="00243D36"/>
    <w:rsid w:val="00246151"/>
    <w:rsid w:val="00247707"/>
    <w:rsid w:val="00252456"/>
    <w:rsid w:val="00253913"/>
    <w:rsid w:val="0026018E"/>
    <w:rsid w:val="00266723"/>
    <w:rsid w:val="0027136D"/>
    <w:rsid w:val="002723AB"/>
    <w:rsid w:val="0027451E"/>
    <w:rsid w:val="002761B1"/>
    <w:rsid w:val="002769ED"/>
    <w:rsid w:val="002801BE"/>
    <w:rsid w:val="002810BA"/>
    <w:rsid w:val="00286740"/>
    <w:rsid w:val="002874F3"/>
    <w:rsid w:val="00291EAE"/>
    <w:rsid w:val="002923BE"/>
    <w:rsid w:val="002929D8"/>
    <w:rsid w:val="00296E5F"/>
    <w:rsid w:val="00297B74"/>
    <w:rsid w:val="002A1D06"/>
    <w:rsid w:val="002A237D"/>
    <w:rsid w:val="002A25E7"/>
    <w:rsid w:val="002A26A7"/>
    <w:rsid w:val="002A4C53"/>
    <w:rsid w:val="002A783B"/>
    <w:rsid w:val="002B0672"/>
    <w:rsid w:val="002B247F"/>
    <w:rsid w:val="002B50D4"/>
    <w:rsid w:val="002B58BF"/>
    <w:rsid w:val="002B5AC1"/>
    <w:rsid w:val="002C145D"/>
    <w:rsid w:val="002C2C3E"/>
    <w:rsid w:val="002C533E"/>
    <w:rsid w:val="002C5C69"/>
    <w:rsid w:val="002D027F"/>
    <w:rsid w:val="002D0ACF"/>
    <w:rsid w:val="002D16BF"/>
    <w:rsid w:val="002D2D13"/>
    <w:rsid w:val="002D3E15"/>
    <w:rsid w:val="002D766E"/>
    <w:rsid w:val="002D7A85"/>
    <w:rsid w:val="002D7B60"/>
    <w:rsid w:val="002E11A7"/>
    <w:rsid w:val="002E5339"/>
    <w:rsid w:val="002E6C6A"/>
    <w:rsid w:val="002E73F4"/>
    <w:rsid w:val="002E7FBE"/>
    <w:rsid w:val="002F08DB"/>
    <w:rsid w:val="002F123A"/>
    <w:rsid w:val="002F4761"/>
    <w:rsid w:val="002F5C79"/>
    <w:rsid w:val="002F68EE"/>
    <w:rsid w:val="003008CC"/>
    <w:rsid w:val="003019E2"/>
    <w:rsid w:val="00302B7F"/>
    <w:rsid w:val="00310162"/>
    <w:rsid w:val="00310A32"/>
    <w:rsid w:val="00310B32"/>
    <w:rsid w:val="00310BEB"/>
    <w:rsid w:val="0031413F"/>
    <w:rsid w:val="00314854"/>
    <w:rsid w:val="003148BB"/>
    <w:rsid w:val="00317976"/>
    <w:rsid w:val="00320E6A"/>
    <w:rsid w:val="00320F2F"/>
    <w:rsid w:val="0032457E"/>
    <w:rsid w:val="00325D38"/>
    <w:rsid w:val="00327BE0"/>
    <w:rsid w:val="003322D3"/>
    <w:rsid w:val="00333A1C"/>
    <w:rsid w:val="00334792"/>
    <w:rsid w:val="00335FB2"/>
    <w:rsid w:val="003410C9"/>
    <w:rsid w:val="003458E2"/>
    <w:rsid w:val="00347C79"/>
    <w:rsid w:val="00351678"/>
    <w:rsid w:val="0035277E"/>
    <w:rsid w:val="00355EA9"/>
    <w:rsid w:val="003578DE"/>
    <w:rsid w:val="00361688"/>
    <w:rsid w:val="00364032"/>
    <w:rsid w:val="00366FB3"/>
    <w:rsid w:val="00367FFE"/>
    <w:rsid w:val="00372D38"/>
    <w:rsid w:val="0037396C"/>
    <w:rsid w:val="00380A39"/>
    <w:rsid w:val="0038536E"/>
    <w:rsid w:val="003877D5"/>
    <w:rsid w:val="003929B8"/>
    <w:rsid w:val="00393432"/>
    <w:rsid w:val="00393E6F"/>
    <w:rsid w:val="00396257"/>
    <w:rsid w:val="00397EB8"/>
    <w:rsid w:val="003A4FD0"/>
    <w:rsid w:val="003A5430"/>
    <w:rsid w:val="003A6111"/>
    <w:rsid w:val="003A69D1"/>
    <w:rsid w:val="003A7705"/>
    <w:rsid w:val="003A77F1"/>
    <w:rsid w:val="003B04FE"/>
    <w:rsid w:val="003B0920"/>
    <w:rsid w:val="003B1545"/>
    <w:rsid w:val="003B208C"/>
    <w:rsid w:val="003C05D7"/>
    <w:rsid w:val="003C3219"/>
    <w:rsid w:val="003C3840"/>
    <w:rsid w:val="003C409D"/>
    <w:rsid w:val="003C4544"/>
    <w:rsid w:val="003C5583"/>
    <w:rsid w:val="003C5BA6"/>
    <w:rsid w:val="003C74CF"/>
    <w:rsid w:val="003D0AA5"/>
    <w:rsid w:val="003D31BE"/>
    <w:rsid w:val="003D3752"/>
    <w:rsid w:val="003E35DA"/>
    <w:rsid w:val="003E455D"/>
    <w:rsid w:val="003F08D6"/>
    <w:rsid w:val="003F0E85"/>
    <w:rsid w:val="00410C55"/>
    <w:rsid w:val="00411042"/>
    <w:rsid w:val="00414005"/>
    <w:rsid w:val="00416854"/>
    <w:rsid w:val="00417725"/>
    <w:rsid w:val="0042266F"/>
    <w:rsid w:val="00422B0C"/>
    <w:rsid w:val="004245E2"/>
    <w:rsid w:val="00425695"/>
    <w:rsid w:val="00425B9F"/>
    <w:rsid w:val="00432FD5"/>
    <w:rsid w:val="00437F26"/>
    <w:rsid w:val="00444097"/>
    <w:rsid w:val="00445487"/>
    <w:rsid w:val="00447E0D"/>
    <w:rsid w:val="00453EA8"/>
    <w:rsid w:val="00454769"/>
    <w:rsid w:val="00466991"/>
    <w:rsid w:val="0047064C"/>
    <w:rsid w:val="00473671"/>
    <w:rsid w:val="004742F5"/>
    <w:rsid w:val="00477A02"/>
    <w:rsid w:val="004822B7"/>
    <w:rsid w:val="004834AA"/>
    <w:rsid w:val="0048755F"/>
    <w:rsid w:val="00493033"/>
    <w:rsid w:val="0049469E"/>
    <w:rsid w:val="004A1D8F"/>
    <w:rsid w:val="004A2217"/>
    <w:rsid w:val="004A24F9"/>
    <w:rsid w:val="004A42E1"/>
    <w:rsid w:val="004B033D"/>
    <w:rsid w:val="004B162C"/>
    <w:rsid w:val="004B2ABE"/>
    <w:rsid w:val="004C1A88"/>
    <w:rsid w:val="004C3A6C"/>
    <w:rsid w:val="004C3DBE"/>
    <w:rsid w:val="004C5C96"/>
    <w:rsid w:val="004C768A"/>
    <w:rsid w:val="004D06A4"/>
    <w:rsid w:val="004D1317"/>
    <w:rsid w:val="004E0DFF"/>
    <w:rsid w:val="004F1A81"/>
    <w:rsid w:val="004F2DBC"/>
    <w:rsid w:val="004F4A4F"/>
    <w:rsid w:val="004F5C4C"/>
    <w:rsid w:val="004F78FD"/>
    <w:rsid w:val="00501354"/>
    <w:rsid w:val="005050D2"/>
    <w:rsid w:val="0051062C"/>
    <w:rsid w:val="0052077C"/>
    <w:rsid w:val="005218D9"/>
    <w:rsid w:val="00521E3A"/>
    <w:rsid w:val="00525403"/>
    <w:rsid w:val="00532D35"/>
    <w:rsid w:val="00535E09"/>
    <w:rsid w:val="00536186"/>
    <w:rsid w:val="00544CBB"/>
    <w:rsid w:val="005464D2"/>
    <w:rsid w:val="00551B65"/>
    <w:rsid w:val="00554E00"/>
    <w:rsid w:val="00556704"/>
    <w:rsid w:val="005656D7"/>
    <w:rsid w:val="0057315F"/>
    <w:rsid w:val="00573A85"/>
    <w:rsid w:val="00573E8F"/>
    <w:rsid w:val="00576104"/>
    <w:rsid w:val="00585979"/>
    <w:rsid w:val="00586418"/>
    <w:rsid w:val="0059133F"/>
    <w:rsid w:val="00592B21"/>
    <w:rsid w:val="005A2B9E"/>
    <w:rsid w:val="005B44BF"/>
    <w:rsid w:val="005B6A42"/>
    <w:rsid w:val="005B7421"/>
    <w:rsid w:val="005C3436"/>
    <w:rsid w:val="005C67C8"/>
    <w:rsid w:val="005D0249"/>
    <w:rsid w:val="005D18FA"/>
    <w:rsid w:val="005D2E3E"/>
    <w:rsid w:val="005D4FD4"/>
    <w:rsid w:val="005D6E8C"/>
    <w:rsid w:val="005D709B"/>
    <w:rsid w:val="005E2A4D"/>
    <w:rsid w:val="005E3004"/>
    <w:rsid w:val="005E3357"/>
    <w:rsid w:val="005F100C"/>
    <w:rsid w:val="005F2FDB"/>
    <w:rsid w:val="005F68DA"/>
    <w:rsid w:val="005F7419"/>
    <w:rsid w:val="0060123A"/>
    <w:rsid w:val="00601BC9"/>
    <w:rsid w:val="00603EC1"/>
    <w:rsid w:val="00604142"/>
    <w:rsid w:val="006048E0"/>
    <w:rsid w:val="0060773B"/>
    <w:rsid w:val="0061107E"/>
    <w:rsid w:val="006110FA"/>
    <w:rsid w:val="00611CFF"/>
    <w:rsid w:val="00613025"/>
    <w:rsid w:val="00613FD6"/>
    <w:rsid w:val="006157B5"/>
    <w:rsid w:val="00617224"/>
    <w:rsid w:val="00626FC6"/>
    <w:rsid w:val="006303B4"/>
    <w:rsid w:val="00630ADC"/>
    <w:rsid w:val="00633D3D"/>
    <w:rsid w:val="006342A2"/>
    <w:rsid w:val="00640196"/>
    <w:rsid w:val="0064069B"/>
    <w:rsid w:val="00641703"/>
    <w:rsid w:val="006431A6"/>
    <w:rsid w:val="00643E3A"/>
    <w:rsid w:val="00645263"/>
    <w:rsid w:val="006459F6"/>
    <w:rsid w:val="006501AD"/>
    <w:rsid w:val="00651BFA"/>
    <w:rsid w:val="00654475"/>
    <w:rsid w:val="00656D9D"/>
    <w:rsid w:val="00656DF0"/>
    <w:rsid w:val="00663DDB"/>
    <w:rsid w:val="00665A4B"/>
    <w:rsid w:val="00667388"/>
    <w:rsid w:val="00670FAE"/>
    <w:rsid w:val="00681ADF"/>
    <w:rsid w:val="00682B4E"/>
    <w:rsid w:val="006830E9"/>
    <w:rsid w:val="00683344"/>
    <w:rsid w:val="00692E2A"/>
    <w:rsid w:val="006946EE"/>
    <w:rsid w:val="0069496A"/>
    <w:rsid w:val="00696C1C"/>
    <w:rsid w:val="006A76F2"/>
    <w:rsid w:val="006B7D29"/>
    <w:rsid w:val="006D071F"/>
    <w:rsid w:val="006D19D4"/>
    <w:rsid w:val="006D5644"/>
    <w:rsid w:val="006D6146"/>
    <w:rsid w:val="006D70BC"/>
    <w:rsid w:val="006D7EFB"/>
    <w:rsid w:val="006E17D2"/>
    <w:rsid w:val="006E6672"/>
    <w:rsid w:val="006E6722"/>
    <w:rsid w:val="006E68AA"/>
    <w:rsid w:val="006F05A1"/>
    <w:rsid w:val="006F4759"/>
    <w:rsid w:val="006F6FF3"/>
    <w:rsid w:val="006F7AFF"/>
    <w:rsid w:val="00702511"/>
    <w:rsid w:val="0070279D"/>
    <w:rsid w:val="007027B9"/>
    <w:rsid w:val="00702B5B"/>
    <w:rsid w:val="0070374D"/>
    <w:rsid w:val="007066B5"/>
    <w:rsid w:val="007072C8"/>
    <w:rsid w:val="007121D1"/>
    <w:rsid w:val="007145DA"/>
    <w:rsid w:val="00715E88"/>
    <w:rsid w:val="00724512"/>
    <w:rsid w:val="00734CAA"/>
    <w:rsid w:val="00740EE2"/>
    <w:rsid w:val="00742134"/>
    <w:rsid w:val="00742680"/>
    <w:rsid w:val="00743E90"/>
    <w:rsid w:val="00744A3A"/>
    <w:rsid w:val="00747058"/>
    <w:rsid w:val="00747081"/>
    <w:rsid w:val="00752918"/>
    <w:rsid w:val="0075473D"/>
    <w:rsid w:val="0075533C"/>
    <w:rsid w:val="00755A18"/>
    <w:rsid w:val="00757581"/>
    <w:rsid w:val="007602F5"/>
    <w:rsid w:val="00760D36"/>
    <w:rsid w:val="007611A0"/>
    <w:rsid w:val="007701A6"/>
    <w:rsid w:val="007720C0"/>
    <w:rsid w:val="00772574"/>
    <w:rsid w:val="00773E54"/>
    <w:rsid w:val="007814C2"/>
    <w:rsid w:val="00781BE0"/>
    <w:rsid w:val="00783B0C"/>
    <w:rsid w:val="00784676"/>
    <w:rsid w:val="00787688"/>
    <w:rsid w:val="007901C3"/>
    <w:rsid w:val="00790481"/>
    <w:rsid w:val="0079083E"/>
    <w:rsid w:val="007935E6"/>
    <w:rsid w:val="00794326"/>
    <w:rsid w:val="0079604B"/>
    <w:rsid w:val="00796D3F"/>
    <w:rsid w:val="007A1683"/>
    <w:rsid w:val="007A5C12"/>
    <w:rsid w:val="007A681D"/>
    <w:rsid w:val="007A7CB0"/>
    <w:rsid w:val="007B68A3"/>
    <w:rsid w:val="007C2541"/>
    <w:rsid w:val="007C4CBC"/>
    <w:rsid w:val="007D2A38"/>
    <w:rsid w:val="007D66A8"/>
    <w:rsid w:val="007E003F"/>
    <w:rsid w:val="007E1D2C"/>
    <w:rsid w:val="007E3768"/>
    <w:rsid w:val="007E5F26"/>
    <w:rsid w:val="007E69D8"/>
    <w:rsid w:val="007F0CF8"/>
    <w:rsid w:val="007F62CB"/>
    <w:rsid w:val="008068A6"/>
    <w:rsid w:val="008071D8"/>
    <w:rsid w:val="008142EC"/>
    <w:rsid w:val="008164F2"/>
    <w:rsid w:val="00821395"/>
    <w:rsid w:val="00823789"/>
    <w:rsid w:val="00825B40"/>
    <w:rsid w:val="00830E26"/>
    <w:rsid w:val="00831322"/>
    <w:rsid w:val="00833602"/>
    <w:rsid w:val="00834368"/>
    <w:rsid w:val="0083441A"/>
    <w:rsid w:val="00843576"/>
    <w:rsid w:val="00843B64"/>
    <w:rsid w:val="00845261"/>
    <w:rsid w:val="0084657E"/>
    <w:rsid w:val="008478FC"/>
    <w:rsid w:val="00851C51"/>
    <w:rsid w:val="00852097"/>
    <w:rsid w:val="00867BFF"/>
    <w:rsid w:val="00867FD2"/>
    <w:rsid w:val="00871542"/>
    <w:rsid w:val="00872BF6"/>
    <w:rsid w:val="00883E23"/>
    <w:rsid w:val="0088480A"/>
    <w:rsid w:val="00887034"/>
    <w:rsid w:val="008874BC"/>
    <w:rsid w:val="0088757A"/>
    <w:rsid w:val="00891849"/>
    <w:rsid w:val="0089283F"/>
    <w:rsid w:val="00892BFF"/>
    <w:rsid w:val="0089431B"/>
    <w:rsid w:val="00895668"/>
    <w:rsid w:val="008957DD"/>
    <w:rsid w:val="00897D98"/>
    <w:rsid w:val="008A6DF2"/>
    <w:rsid w:val="008A7524"/>
    <w:rsid w:val="008A7807"/>
    <w:rsid w:val="008B4CC9"/>
    <w:rsid w:val="008C0B15"/>
    <w:rsid w:val="008D75E4"/>
    <w:rsid w:val="008D7C99"/>
    <w:rsid w:val="008E0FCB"/>
    <w:rsid w:val="008E22C4"/>
    <w:rsid w:val="008E2A08"/>
    <w:rsid w:val="008E5341"/>
    <w:rsid w:val="008E55BB"/>
    <w:rsid w:val="008E6E64"/>
    <w:rsid w:val="008F49A8"/>
    <w:rsid w:val="008F6DFE"/>
    <w:rsid w:val="0090529F"/>
    <w:rsid w:val="00906282"/>
    <w:rsid w:val="009063B6"/>
    <w:rsid w:val="0092157D"/>
    <w:rsid w:val="0092178C"/>
    <w:rsid w:val="00923A6B"/>
    <w:rsid w:val="00930B88"/>
    <w:rsid w:val="009313B5"/>
    <w:rsid w:val="00934F2E"/>
    <w:rsid w:val="00935376"/>
    <w:rsid w:val="00940DCC"/>
    <w:rsid w:val="0094179A"/>
    <w:rsid w:val="00942355"/>
    <w:rsid w:val="0094325D"/>
    <w:rsid w:val="0094459E"/>
    <w:rsid w:val="00944806"/>
    <w:rsid w:val="00944DBC"/>
    <w:rsid w:val="00950977"/>
    <w:rsid w:val="00951673"/>
    <w:rsid w:val="00951A7B"/>
    <w:rsid w:val="00955512"/>
    <w:rsid w:val="009564A6"/>
    <w:rsid w:val="00957EF8"/>
    <w:rsid w:val="00957FA0"/>
    <w:rsid w:val="009629CA"/>
    <w:rsid w:val="00966A53"/>
    <w:rsid w:val="00967621"/>
    <w:rsid w:val="00967E6A"/>
    <w:rsid w:val="0097154F"/>
    <w:rsid w:val="00972302"/>
    <w:rsid w:val="0097365F"/>
    <w:rsid w:val="009771B5"/>
    <w:rsid w:val="009807B3"/>
    <w:rsid w:val="00984E5F"/>
    <w:rsid w:val="009907B9"/>
    <w:rsid w:val="00990918"/>
    <w:rsid w:val="009972C0"/>
    <w:rsid w:val="009A3A83"/>
    <w:rsid w:val="009B4A0F"/>
    <w:rsid w:val="009B52CD"/>
    <w:rsid w:val="009C11D2"/>
    <w:rsid w:val="009C3B5E"/>
    <w:rsid w:val="009C3E45"/>
    <w:rsid w:val="009C6C70"/>
    <w:rsid w:val="009C7B0A"/>
    <w:rsid w:val="009D0B63"/>
    <w:rsid w:val="009D3E22"/>
    <w:rsid w:val="009D5CB8"/>
    <w:rsid w:val="009E307E"/>
    <w:rsid w:val="009F2730"/>
    <w:rsid w:val="009F6871"/>
    <w:rsid w:val="009F6CA9"/>
    <w:rsid w:val="00A02DF0"/>
    <w:rsid w:val="00A07870"/>
    <w:rsid w:val="00A07C54"/>
    <w:rsid w:val="00A07F19"/>
    <w:rsid w:val="00A1348D"/>
    <w:rsid w:val="00A13C99"/>
    <w:rsid w:val="00A232EE"/>
    <w:rsid w:val="00A31923"/>
    <w:rsid w:val="00A31E49"/>
    <w:rsid w:val="00A4175F"/>
    <w:rsid w:val="00A43932"/>
    <w:rsid w:val="00A43B15"/>
    <w:rsid w:val="00A43FA6"/>
    <w:rsid w:val="00A44411"/>
    <w:rsid w:val="00A469FA"/>
    <w:rsid w:val="00A53662"/>
    <w:rsid w:val="00A53BF5"/>
    <w:rsid w:val="00A55B01"/>
    <w:rsid w:val="00A56B5B"/>
    <w:rsid w:val="00A603FF"/>
    <w:rsid w:val="00A619B6"/>
    <w:rsid w:val="00A61F4F"/>
    <w:rsid w:val="00A648CA"/>
    <w:rsid w:val="00A657DD"/>
    <w:rsid w:val="00A66474"/>
    <w:rsid w:val="00A666A6"/>
    <w:rsid w:val="00A675FD"/>
    <w:rsid w:val="00A70D10"/>
    <w:rsid w:val="00A72437"/>
    <w:rsid w:val="00A8048B"/>
    <w:rsid w:val="00A80611"/>
    <w:rsid w:val="00A80B86"/>
    <w:rsid w:val="00A94539"/>
    <w:rsid w:val="00A96321"/>
    <w:rsid w:val="00AA0C59"/>
    <w:rsid w:val="00AA4445"/>
    <w:rsid w:val="00AA5BF4"/>
    <w:rsid w:val="00AB09ED"/>
    <w:rsid w:val="00AB5340"/>
    <w:rsid w:val="00AB6F63"/>
    <w:rsid w:val="00AC0A89"/>
    <w:rsid w:val="00AC7C96"/>
    <w:rsid w:val="00AC7DEC"/>
    <w:rsid w:val="00AE0812"/>
    <w:rsid w:val="00AE1DCC"/>
    <w:rsid w:val="00AE237D"/>
    <w:rsid w:val="00AE502A"/>
    <w:rsid w:val="00AF0010"/>
    <w:rsid w:val="00AF1AA8"/>
    <w:rsid w:val="00AF2673"/>
    <w:rsid w:val="00AF28A7"/>
    <w:rsid w:val="00AF2C1F"/>
    <w:rsid w:val="00AF398A"/>
    <w:rsid w:val="00AF5B8A"/>
    <w:rsid w:val="00AF7C07"/>
    <w:rsid w:val="00B06C64"/>
    <w:rsid w:val="00B07D8E"/>
    <w:rsid w:val="00B11CAC"/>
    <w:rsid w:val="00B15A29"/>
    <w:rsid w:val="00B22C93"/>
    <w:rsid w:val="00B2633D"/>
    <w:rsid w:val="00B27589"/>
    <w:rsid w:val="00B332B4"/>
    <w:rsid w:val="00B3462A"/>
    <w:rsid w:val="00B3517A"/>
    <w:rsid w:val="00B3712A"/>
    <w:rsid w:val="00B40056"/>
    <w:rsid w:val="00B405B7"/>
    <w:rsid w:val="00B4223A"/>
    <w:rsid w:val="00B468C0"/>
    <w:rsid w:val="00B52222"/>
    <w:rsid w:val="00B531DA"/>
    <w:rsid w:val="00B54895"/>
    <w:rsid w:val="00B54FE7"/>
    <w:rsid w:val="00B61FF5"/>
    <w:rsid w:val="00B647C6"/>
    <w:rsid w:val="00B655F9"/>
    <w:rsid w:val="00B66901"/>
    <w:rsid w:val="00B66F60"/>
    <w:rsid w:val="00B71E6D"/>
    <w:rsid w:val="00B72070"/>
    <w:rsid w:val="00B777DE"/>
    <w:rsid w:val="00B779E1"/>
    <w:rsid w:val="00B81E3A"/>
    <w:rsid w:val="00B85CFB"/>
    <w:rsid w:val="00B914E9"/>
    <w:rsid w:val="00B91EE1"/>
    <w:rsid w:val="00B92087"/>
    <w:rsid w:val="00B929E1"/>
    <w:rsid w:val="00B94602"/>
    <w:rsid w:val="00BA0090"/>
    <w:rsid w:val="00BA1A67"/>
    <w:rsid w:val="00BA6A80"/>
    <w:rsid w:val="00BA7625"/>
    <w:rsid w:val="00BB4ABB"/>
    <w:rsid w:val="00BB5B0F"/>
    <w:rsid w:val="00BC0658"/>
    <w:rsid w:val="00BC4C81"/>
    <w:rsid w:val="00BC62BA"/>
    <w:rsid w:val="00BD4E66"/>
    <w:rsid w:val="00BE16BC"/>
    <w:rsid w:val="00BE51F5"/>
    <w:rsid w:val="00BE5290"/>
    <w:rsid w:val="00BE5B5F"/>
    <w:rsid w:val="00BE7993"/>
    <w:rsid w:val="00BF0620"/>
    <w:rsid w:val="00BF18A4"/>
    <w:rsid w:val="00BF6C58"/>
    <w:rsid w:val="00C02CDC"/>
    <w:rsid w:val="00C06BE8"/>
    <w:rsid w:val="00C15963"/>
    <w:rsid w:val="00C16737"/>
    <w:rsid w:val="00C169FE"/>
    <w:rsid w:val="00C179DE"/>
    <w:rsid w:val="00C240C1"/>
    <w:rsid w:val="00C26E5D"/>
    <w:rsid w:val="00C26F55"/>
    <w:rsid w:val="00C30C63"/>
    <w:rsid w:val="00C30FF3"/>
    <w:rsid w:val="00C34D5C"/>
    <w:rsid w:val="00C36B8B"/>
    <w:rsid w:val="00C376CF"/>
    <w:rsid w:val="00C415C1"/>
    <w:rsid w:val="00C47DBF"/>
    <w:rsid w:val="00C54E81"/>
    <w:rsid w:val="00C552FF"/>
    <w:rsid w:val="00C558DA"/>
    <w:rsid w:val="00C55AF3"/>
    <w:rsid w:val="00C646E1"/>
    <w:rsid w:val="00C66DAD"/>
    <w:rsid w:val="00C7044B"/>
    <w:rsid w:val="00C70AFE"/>
    <w:rsid w:val="00C73E44"/>
    <w:rsid w:val="00C75B72"/>
    <w:rsid w:val="00C771A9"/>
    <w:rsid w:val="00C80767"/>
    <w:rsid w:val="00C84759"/>
    <w:rsid w:val="00C91E8D"/>
    <w:rsid w:val="00C925E5"/>
    <w:rsid w:val="00C93096"/>
    <w:rsid w:val="00C96293"/>
    <w:rsid w:val="00C974D5"/>
    <w:rsid w:val="00CA5CA9"/>
    <w:rsid w:val="00CA664E"/>
    <w:rsid w:val="00CA6C7F"/>
    <w:rsid w:val="00CB007D"/>
    <w:rsid w:val="00CB12EC"/>
    <w:rsid w:val="00CB60CA"/>
    <w:rsid w:val="00CC0FC7"/>
    <w:rsid w:val="00CC10A6"/>
    <w:rsid w:val="00CC111E"/>
    <w:rsid w:val="00CD1017"/>
    <w:rsid w:val="00CD2391"/>
    <w:rsid w:val="00CD5EB8"/>
    <w:rsid w:val="00CD7044"/>
    <w:rsid w:val="00CD7A30"/>
    <w:rsid w:val="00CE08B9"/>
    <w:rsid w:val="00CE3515"/>
    <w:rsid w:val="00CE524C"/>
    <w:rsid w:val="00CE59A0"/>
    <w:rsid w:val="00CE6405"/>
    <w:rsid w:val="00CF141F"/>
    <w:rsid w:val="00CF3D13"/>
    <w:rsid w:val="00CF4777"/>
    <w:rsid w:val="00CF4E6A"/>
    <w:rsid w:val="00CF65C8"/>
    <w:rsid w:val="00D013F5"/>
    <w:rsid w:val="00D05E3F"/>
    <w:rsid w:val="00D062B6"/>
    <w:rsid w:val="00D067BB"/>
    <w:rsid w:val="00D1243E"/>
    <w:rsid w:val="00D1352A"/>
    <w:rsid w:val="00D1638E"/>
    <w:rsid w:val="00D169AF"/>
    <w:rsid w:val="00D200EF"/>
    <w:rsid w:val="00D21A23"/>
    <w:rsid w:val="00D22A29"/>
    <w:rsid w:val="00D2367C"/>
    <w:rsid w:val="00D24A52"/>
    <w:rsid w:val="00D25175"/>
    <w:rsid w:val="00D25249"/>
    <w:rsid w:val="00D25766"/>
    <w:rsid w:val="00D26854"/>
    <w:rsid w:val="00D40F7A"/>
    <w:rsid w:val="00D410E3"/>
    <w:rsid w:val="00D42000"/>
    <w:rsid w:val="00D44172"/>
    <w:rsid w:val="00D468FB"/>
    <w:rsid w:val="00D47BE3"/>
    <w:rsid w:val="00D5006A"/>
    <w:rsid w:val="00D63B8C"/>
    <w:rsid w:val="00D67794"/>
    <w:rsid w:val="00D67FF7"/>
    <w:rsid w:val="00D739CC"/>
    <w:rsid w:val="00D806F9"/>
    <w:rsid w:val="00D8093D"/>
    <w:rsid w:val="00D8108C"/>
    <w:rsid w:val="00D842AE"/>
    <w:rsid w:val="00D9211C"/>
    <w:rsid w:val="00D92DE0"/>
    <w:rsid w:val="00D92E8C"/>
    <w:rsid w:val="00D92FEF"/>
    <w:rsid w:val="00D931F9"/>
    <w:rsid w:val="00D93A0F"/>
    <w:rsid w:val="00D97A04"/>
    <w:rsid w:val="00DA1BCA"/>
    <w:rsid w:val="00DA1D80"/>
    <w:rsid w:val="00DA3663"/>
    <w:rsid w:val="00DA42AB"/>
    <w:rsid w:val="00DA6690"/>
    <w:rsid w:val="00DB1D42"/>
    <w:rsid w:val="00DB1FA1"/>
    <w:rsid w:val="00DB25FA"/>
    <w:rsid w:val="00DB7822"/>
    <w:rsid w:val="00DC46FF"/>
    <w:rsid w:val="00DC5254"/>
    <w:rsid w:val="00DC569D"/>
    <w:rsid w:val="00DD1A4F"/>
    <w:rsid w:val="00DD3107"/>
    <w:rsid w:val="00DD457C"/>
    <w:rsid w:val="00DD5C52"/>
    <w:rsid w:val="00DD7C2C"/>
    <w:rsid w:val="00DE5BDA"/>
    <w:rsid w:val="00DF0784"/>
    <w:rsid w:val="00DF433C"/>
    <w:rsid w:val="00DF519F"/>
    <w:rsid w:val="00E0035A"/>
    <w:rsid w:val="00E06100"/>
    <w:rsid w:val="00E06797"/>
    <w:rsid w:val="00E1265B"/>
    <w:rsid w:val="00E12E09"/>
    <w:rsid w:val="00E136F8"/>
    <w:rsid w:val="00E13B48"/>
    <w:rsid w:val="00E1404F"/>
    <w:rsid w:val="00E14807"/>
    <w:rsid w:val="00E16294"/>
    <w:rsid w:val="00E21C83"/>
    <w:rsid w:val="00E24ADA"/>
    <w:rsid w:val="00E32F59"/>
    <w:rsid w:val="00E3646D"/>
    <w:rsid w:val="00E37CA8"/>
    <w:rsid w:val="00E41908"/>
    <w:rsid w:val="00E46D9A"/>
    <w:rsid w:val="00E5132F"/>
    <w:rsid w:val="00E52927"/>
    <w:rsid w:val="00E565FF"/>
    <w:rsid w:val="00E600E6"/>
    <w:rsid w:val="00E65388"/>
    <w:rsid w:val="00E66179"/>
    <w:rsid w:val="00E67605"/>
    <w:rsid w:val="00E71235"/>
    <w:rsid w:val="00E72B5F"/>
    <w:rsid w:val="00E73178"/>
    <w:rsid w:val="00E7563E"/>
    <w:rsid w:val="00E7741D"/>
    <w:rsid w:val="00E808CD"/>
    <w:rsid w:val="00E82DAC"/>
    <w:rsid w:val="00E8348F"/>
    <w:rsid w:val="00E85B7D"/>
    <w:rsid w:val="00E9121B"/>
    <w:rsid w:val="00E9302E"/>
    <w:rsid w:val="00E93AAE"/>
    <w:rsid w:val="00E956DC"/>
    <w:rsid w:val="00E976AB"/>
    <w:rsid w:val="00EA0AE2"/>
    <w:rsid w:val="00EA39E5"/>
    <w:rsid w:val="00EA57A3"/>
    <w:rsid w:val="00EB47FE"/>
    <w:rsid w:val="00EB6B2D"/>
    <w:rsid w:val="00EC2813"/>
    <w:rsid w:val="00EC5A46"/>
    <w:rsid w:val="00EC5E71"/>
    <w:rsid w:val="00EC63E2"/>
    <w:rsid w:val="00ED0225"/>
    <w:rsid w:val="00ED366A"/>
    <w:rsid w:val="00ED3A07"/>
    <w:rsid w:val="00ED6BB7"/>
    <w:rsid w:val="00EF22B3"/>
    <w:rsid w:val="00EF3A61"/>
    <w:rsid w:val="00F02718"/>
    <w:rsid w:val="00F03B69"/>
    <w:rsid w:val="00F03EC0"/>
    <w:rsid w:val="00F04373"/>
    <w:rsid w:val="00F05257"/>
    <w:rsid w:val="00F07A50"/>
    <w:rsid w:val="00F113DA"/>
    <w:rsid w:val="00F151EA"/>
    <w:rsid w:val="00F2463D"/>
    <w:rsid w:val="00F2638C"/>
    <w:rsid w:val="00F266FC"/>
    <w:rsid w:val="00F3037A"/>
    <w:rsid w:val="00F344EA"/>
    <w:rsid w:val="00F3465A"/>
    <w:rsid w:val="00F35D08"/>
    <w:rsid w:val="00F36140"/>
    <w:rsid w:val="00F37DC8"/>
    <w:rsid w:val="00F439B3"/>
    <w:rsid w:val="00F50D4C"/>
    <w:rsid w:val="00F50D97"/>
    <w:rsid w:val="00F534EC"/>
    <w:rsid w:val="00F54D81"/>
    <w:rsid w:val="00F567F9"/>
    <w:rsid w:val="00F62F77"/>
    <w:rsid w:val="00F650C3"/>
    <w:rsid w:val="00F65D85"/>
    <w:rsid w:val="00F6700B"/>
    <w:rsid w:val="00F7137B"/>
    <w:rsid w:val="00F8091E"/>
    <w:rsid w:val="00F8615C"/>
    <w:rsid w:val="00F86F9A"/>
    <w:rsid w:val="00F96879"/>
    <w:rsid w:val="00F969E5"/>
    <w:rsid w:val="00FA0390"/>
    <w:rsid w:val="00FA2A5A"/>
    <w:rsid w:val="00FA4972"/>
    <w:rsid w:val="00FA6BB0"/>
    <w:rsid w:val="00FA7A43"/>
    <w:rsid w:val="00FB2DBD"/>
    <w:rsid w:val="00FC41EF"/>
    <w:rsid w:val="00FC4DAC"/>
    <w:rsid w:val="00FD0963"/>
    <w:rsid w:val="00FD17F9"/>
    <w:rsid w:val="00FD48DF"/>
    <w:rsid w:val="00FD5860"/>
    <w:rsid w:val="00FD632E"/>
    <w:rsid w:val="00FE0EBF"/>
    <w:rsid w:val="00FE352D"/>
    <w:rsid w:val="00FE40EB"/>
    <w:rsid w:val="00FE4D02"/>
    <w:rsid w:val="00FE512B"/>
    <w:rsid w:val="00FE6067"/>
    <w:rsid w:val="00FE7303"/>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06B4B"/>
  <w15:docId w15:val="{86A76775-DFB5-4ADB-A65A-A9F521E9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Superscript 6 Point + 11 pt,Appel note de bas de page,-E Fußnotenzeichen,(Diplomarbeit FZ),(Diplomarbeit FZ)1"/>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 w:type="paragraph" w:customStyle="1" w:styleId="MainParagraphwith">
    <w:name w:val="Main Paragraph with #"/>
    <w:basedOn w:val="ListParagraph"/>
    <w:next w:val="Normal"/>
    <w:link w:val="MainParagraphwithChar"/>
    <w:autoRedefine/>
    <w:qFormat/>
    <w:rsid w:val="0004098F"/>
    <w:pPr>
      <w:numPr>
        <w:numId w:val="31"/>
      </w:numPr>
      <w:tabs>
        <w:tab w:val="clear" w:pos="1247"/>
        <w:tab w:val="clear" w:pos="1814"/>
        <w:tab w:val="clear" w:pos="2381"/>
        <w:tab w:val="clear" w:pos="2948"/>
        <w:tab w:val="clear" w:pos="3515"/>
      </w:tabs>
      <w:adjustRightInd w:val="0"/>
      <w:spacing w:before="240" w:after="240"/>
      <w:ind w:left="0" w:firstLine="0"/>
    </w:pPr>
    <w:rPr>
      <w:rFonts w:asciiTheme="minorHAnsi" w:eastAsiaTheme="minorEastAsia" w:hAnsiTheme="minorHAnsi" w:cs="Verdana"/>
      <w:bCs/>
      <w:color w:val="000000"/>
      <w:sz w:val="24"/>
      <w:szCs w:val="24"/>
      <w:lang w:val="en-US" w:eastAsia="zh-CN"/>
    </w:rPr>
  </w:style>
  <w:style w:type="character" w:customStyle="1" w:styleId="MainParagraphwithChar">
    <w:name w:val="Main Paragraph with # Char"/>
    <w:basedOn w:val="DefaultParagraphFont"/>
    <w:link w:val="MainParagraphwith"/>
    <w:rsid w:val="0004098F"/>
    <w:rPr>
      <w:rFonts w:asciiTheme="minorHAnsi" w:eastAsiaTheme="minorEastAsia" w:hAnsiTheme="minorHAnsi" w:cs="Verdana"/>
      <w:bCs/>
      <w:color w:val="000000"/>
      <w:sz w:val="24"/>
      <w:szCs w:val="24"/>
      <w:lang w:val="en-US"/>
    </w:rPr>
  </w:style>
  <w:style w:type="character" w:styleId="FollowedHyperlink">
    <w:name w:val="FollowedHyperlink"/>
    <w:basedOn w:val="DefaultParagraphFont"/>
    <w:semiHidden/>
    <w:unhideWhenUsed/>
    <w:rsid w:val="0084657E"/>
    <w:rPr>
      <w:color w:val="800080" w:themeColor="followedHyperlink"/>
      <w:u w:val="single"/>
    </w:rPr>
  </w:style>
  <w:style w:type="character" w:customStyle="1" w:styleId="NormalNonumberChar">
    <w:name w:val="Normal_No_number Char"/>
    <w:link w:val="NormalNonumber"/>
    <w:locked/>
    <w:rsid w:val="00F043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110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2789751">
      <w:bodyDiv w:val="1"/>
      <w:marLeft w:val="0"/>
      <w:marRight w:val="0"/>
      <w:marTop w:val="0"/>
      <w:marBottom w:val="0"/>
      <w:divBdr>
        <w:top w:val="none" w:sz="0" w:space="0" w:color="auto"/>
        <w:left w:val="none" w:sz="0" w:space="0" w:color="auto"/>
        <w:bottom w:val="none" w:sz="0" w:space="0" w:color="auto"/>
        <w:right w:val="none" w:sz="0" w:space="0" w:color="auto"/>
      </w:divBdr>
    </w:div>
    <w:div w:id="10191142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7125216">
      <w:bodyDiv w:val="1"/>
      <w:marLeft w:val="0"/>
      <w:marRight w:val="0"/>
      <w:marTop w:val="0"/>
      <w:marBottom w:val="0"/>
      <w:divBdr>
        <w:top w:val="none" w:sz="0" w:space="0" w:color="auto"/>
        <w:left w:val="none" w:sz="0" w:space="0" w:color="auto"/>
        <w:bottom w:val="none" w:sz="0" w:space="0" w:color="auto"/>
        <w:right w:val="none" w:sz="0" w:space="0" w:color="auto"/>
      </w:divBdr>
    </w:div>
    <w:div w:id="1450275889">
      <w:bodyDiv w:val="1"/>
      <w:marLeft w:val="0"/>
      <w:marRight w:val="0"/>
      <w:marTop w:val="0"/>
      <w:marBottom w:val="0"/>
      <w:divBdr>
        <w:top w:val="none" w:sz="0" w:space="0" w:color="auto"/>
        <w:left w:val="none" w:sz="0" w:space="0" w:color="auto"/>
        <w:bottom w:val="none" w:sz="0" w:space="0" w:color="auto"/>
        <w:right w:val="none" w:sz="0" w:space="0" w:color="auto"/>
      </w:divBdr>
    </w:div>
    <w:div w:id="1773813787">
      <w:bodyDiv w:val="1"/>
      <w:marLeft w:val="0"/>
      <w:marRight w:val="0"/>
      <w:marTop w:val="0"/>
      <w:marBottom w:val="0"/>
      <w:divBdr>
        <w:top w:val="none" w:sz="0" w:space="0" w:color="auto"/>
        <w:left w:val="none" w:sz="0" w:space="0" w:color="auto"/>
        <w:bottom w:val="none" w:sz="0" w:space="0" w:color="auto"/>
        <w:right w:val="none" w:sz="0" w:space="0" w:color="auto"/>
      </w:divBdr>
    </w:div>
    <w:div w:id="1778257208">
      <w:bodyDiv w:val="1"/>
      <w:marLeft w:val="0"/>
      <w:marRight w:val="0"/>
      <w:marTop w:val="0"/>
      <w:marBottom w:val="0"/>
      <w:divBdr>
        <w:top w:val="none" w:sz="0" w:space="0" w:color="auto"/>
        <w:left w:val="none" w:sz="0" w:space="0" w:color="auto"/>
        <w:bottom w:val="none" w:sz="0" w:space="0" w:color="auto"/>
        <w:right w:val="none" w:sz="0" w:space="0" w:color="auto"/>
      </w:divBdr>
    </w:div>
    <w:div w:id="19499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rcuryconvention.org/Implementation/Project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9F67-29AC-42E6-89EB-E258C4F9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4881</Words>
  <Characters>27822</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2018-10-11T08:07:00Z</cp:lastPrinted>
  <dcterms:created xsi:type="dcterms:W3CDTF">2018-10-17T11:37:00Z</dcterms:created>
  <dcterms:modified xsi:type="dcterms:W3CDTF">2018-10-17T11:37:00Z</dcterms:modified>
</cp:coreProperties>
</file>