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906D96" w:rsidRPr="005808ED" w14:paraId="7DC8DD94" w14:textId="77777777" w:rsidTr="006D27CD">
        <w:trPr>
          <w:cantSplit/>
          <w:trHeight w:val="850"/>
          <w:jc w:val="right"/>
        </w:trPr>
        <w:tc>
          <w:tcPr>
            <w:tcW w:w="1560" w:type="dxa"/>
          </w:tcPr>
          <w:p w14:paraId="4DF811D3" w14:textId="77777777" w:rsidR="00906D96" w:rsidRPr="005808ED" w:rsidRDefault="00906D96" w:rsidP="006D27CD">
            <w:pPr>
              <w:rPr>
                <w:rFonts w:ascii="Univers" w:hAnsi="Univers"/>
                <w:b/>
                <w:noProof/>
                <w:sz w:val="27"/>
                <w:szCs w:val="27"/>
                <w:lang w:val="fr-FR"/>
              </w:rPr>
            </w:pPr>
            <w:bookmarkStart w:id="0" w:name="_GoBack"/>
            <w:bookmarkEnd w:id="0"/>
            <w:r w:rsidRPr="005808ED">
              <w:rPr>
                <w:rFonts w:ascii="Arial" w:hAnsi="Arial" w:cs="Arial"/>
                <w:b/>
                <w:noProof/>
                <w:sz w:val="27"/>
                <w:szCs w:val="27"/>
                <w:lang w:val="fr-FR"/>
              </w:rPr>
              <w:t>NATIONS</w:t>
            </w:r>
            <w:r w:rsidRPr="005808ED">
              <w:rPr>
                <w:rFonts w:ascii="Arial" w:hAnsi="Arial" w:cs="Arial"/>
                <w:b/>
                <w:noProof/>
                <w:sz w:val="27"/>
                <w:szCs w:val="27"/>
                <w:lang w:val="fr-FR"/>
              </w:rPr>
              <w:br/>
              <w:t>UNIES</w:t>
            </w:r>
          </w:p>
        </w:tc>
        <w:tc>
          <w:tcPr>
            <w:tcW w:w="4785" w:type="dxa"/>
          </w:tcPr>
          <w:p w14:paraId="40D0A0D9" w14:textId="77777777" w:rsidR="00906D96" w:rsidRPr="005808ED" w:rsidRDefault="00906D96" w:rsidP="006D27CD">
            <w:pPr>
              <w:rPr>
                <w:rFonts w:ascii="Univers" w:hAnsi="Univers"/>
                <w:b/>
                <w:sz w:val="27"/>
                <w:szCs w:val="27"/>
                <w:lang w:val="fr-FR"/>
              </w:rPr>
            </w:pPr>
          </w:p>
        </w:tc>
        <w:tc>
          <w:tcPr>
            <w:tcW w:w="3435" w:type="dxa"/>
          </w:tcPr>
          <w:p w14:paraId="1EB76C77" w14:textId="77777777" w:rsidR="00906D96" w:rsidRPr="005808ED" w:rsidRDefault="00906D96" w:rsidP="006D27CD">
            <w:pPr>
              <w:jc w:val="right"/>
              <w:rPr>
                <w:rFonts w:ascii="Arial" w:hAnsi="Arial" w:cs="Arial"/>
                <w:b/>
                <w:sz w:val="64"/>
                <w:szCs w:val="64"/>
                <w:lang w:val="fr-FR"/>
              </w:rPr>
            </w:pPr>
            <w:r w:rsidRPr="005808ED">
              <w:rPr>
                <w:rFonts w:ascii="Arial" w:hAnsi="Arial" w:cs="Arial"/>
                <w:b/>
                <w:sz w:val="64"/>
                <w:szCs w:val="64"/>
                <w:lang w:val="fr-FR"/>
              </w:rPr>
              <w:t>MC</w:t>
            </w:r>
          </w:p>
        </w:tc>
      </w:tr>
      <w:tr w:rsidR="00906D96" w:rsidRPr="005808ED" w14:paraId="76A5DBC1" w14:textId="77777777" w:rsidTr="006D27CD">
        <w:trPr>
          <w:cantSplit/>
          <w:trHeight w:val="281"/>
          <w:jc w:val="right"/>
        </w:trPr>
        <w:tc>
          <w:tcPr>
            <w:tcW w:w="1560" w:type="dxa"/>
            <w:tcBorders>
              <w:bottom w:val="single" w:sz="4" w:space="0" w:color="auto"/>
            </w:tcBorders>
          </w:tcPr>
          <w:p w14:paraId="1DE97A7E" w14:textId="77777777" w:rsidR="00906D96" w:rsidRPr="005808ED" w:rsidRDefault="00906D96" w:rsidP="006D27CD">
            <w:pPr>
              <w:rPr>
                <w:noProof/>
                <w:sz w:val="18"/>
                <w:szCs w:val="18"/>
                <w:lang w:val="fr-FR"/>
              </w:rPr>
            </w:pPr>
          </w:p>
        </w:tc>
        <w:tc>
          <w:tcPr>
            <w:tcW w:w="4785" w:type="dxa"/>
            <w:tcBorders>
              <w:bottom w:val="single" w:sz="4" w:space="0" w:color="auto"/>
            </w:tcBorders>
          </w:tcPr>
          <w:p w14:paraId="210CF3D7" w14:textId="77777777" w:rsidR="00906D96" w:rsidRPr="005808ED" w:rsidRDefault="00906D96" w:rsidP="006D27CD">
            <w:pPr>
              <w:rPr>
                <w:rFonts w:ascii="Univers" w:hAnsi="Univers"/>
                <w:b/>
                <w:sz w:val="18"/>
                <w:szCs w:val="18"/>
                <w:lang w:val="fr-FR"/>
              </w:rPr>
            </w:pPr>
          </w:p>
        </w:tc>
        <w:tc>
          <w:tcPr>
            <w:tcW w:w="3435" w:type="dxa"/>
            <w:tcBorders>
              <w:bottom w:val="single" w:sz="4" w:space="0" w:color="auto"/>
            </w:tcBorders>
          </w:tcPr>
          <w:p w14:paraId="08F33E33" w14:textId="068522BE" w:rsidR="00906D96" w:rsidRPr="005808ED" w:rsidRDefault="00906D96" w:rsidP="006D27CD">
            <w:pPr>
              <w:rPr>
                <w:noProof/>
                <w:sz w:val="18"/>
                <w:szCs w:val="18"/>
                <w:lang w:val="fr-FR"/>
              </w:rPr>
            </w:pPr>
            <w:r w:rsidRPr="005808ED">
              <w:rPr>
                <w:b/>
                <w:bCs/>
                <w:sz w:val="28"/>
                <w:lang w:val="fr-FR"/>
              </w:rPr>
              <w:t>UNEP</w:t>
            </w:r>
            <w:bookmarkStart w:id="1" w:name="OLE_LINK1"/>
            <w:bookmarkStart w:id="2" w:name="OLE_LINK2"/>
            <w:r w:rsidRPr="005808ED">
              <w:rPr>
                <w:b/>
                <w:bCs/>
                <w:sz w:val="28"/>
                <w:lang w:val="fr-FR"/>
              </w:rPr>
              <w:t>/</w:t>
            </w:r>
            <w:r w:rsidRPr="005808ED">
              <w:rPr>
                <w:lang w:val="fr-FR"/>
              </w:rPr>
              <w:t>MC/</w:t>
            </w:r>
            <w:bookmarkEnd w:id="1"/>
            <w:bookmarkEnd w:id="2"/>
            <w:r w:rsidRPr="005808ED">
              <w:rPr>
                <w:lang w:val="fr-FR"/>
              </w:rPr>
              <w:t>COP.2/</w:t>
            </w:r>
            <w:r w:rsidR="00335735" w:rsidRPr="005808ED">
              <w:rPr>
                <w:lang w:val="fr-FR"/>
              </w:rPr>
              <w:t>7</w:t>
            </w:r>
          </w:p>
        </w:tc>
      </w:tr>
      <w:bookmarkStart w:id="3" w:name="_MON_1021710482"/>
      <w:bookmarkEnd w:id="3"/>
      <w:bookmarkStart w:id="4" w:name="_MON_1021710510"/>
      <w:bookmarkEnd w:id="4"/>
      <w:tr w:rsidR="00906D96" w:rsidRPr="005808ED" w14:paraId="2DA560BD" w14:textId="77777777" w:rsidTr="006D27CD">
        <w:trPr>
          <w:cantSplit/>
          <w:trHeight w:val="2549"/>
          <w:jc w:val="right"/>
        </w:trPr>
        <w:tc>
          <w:tcPr>
            <w:tcW w:w="1560" w:type="dxa"/>
            <w:tcBorders>
              <w:top w:val="single" w:sz="4" w:space="0" w:color="auto"/>
              <w:bottom w:val="single" w:sz="24" w:space="0" w:color="auto"/>
            </w:tcBorders>
          </w:tcPr>
          <w:p w14:paraId="53EC61EA" w14:textId="77777777" w:rsidR="00906D96" w:rsidRPr="005808ED" w:rsidRDefault="00906D96" w:rsidP="006D27CD">
            <w:pPr>
              <w:rPr>
                <w:noProof/>
                <w:lang w:val="fr-FR"/>
              </w:rPr>
            </w:pPr>
            <w:r w:rsidRPr="005808ED">
              <w:rPr>
                <w:noProof/>
                <w:lang w:val="fr-FR"/>
              </w:rPr>
              <w:object w:dxaOrig="1831" w:dyaOrig="1726" w14:anchorId="4C1F5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o:ole="" fillcolor="window">
                  <v:imagedata r:id="rId8" o:title=""/>
                </v:shape>
                <o:OLEObject Type="Embed" ProgID="Word.Picture.8" ShapeID="_x0000_i1025" DrawAspect="Content" ObjectID="_1600842960" r:id="rId9"/>
              </w:object>
            </w:r>
            <w:r w:rsidRPr="005808ED">
              <w:rPr>
                <w:noProof/>
                <w:lang w:eastAsia="zh-CN"/>
              </w:rPr>
              <w:drawing>
                <wp:inline distT="0" distB="0" distL="0" distR="0" wp14:anchorId="3B312DD8" wp14:editId="68B87E93">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E752FF1" w14:textId="7B000A67" w:rsidR="00906D96" w:rsidRPr="005808ED" w:rsidRDefault="00906D96" w:rsidP="006D27CD">
            <w:pPr>
              <w:spacing w:before="1200"/>
              <w:rPr>
                <w:rFonts w:ascii="Arial" w:hAnsi="Arial" w:cs="Arial"/>
                <w:b/>
                <w:sz w:val="28"/>
                <w:lang w:val="fr-FR"/>
              </w:rPr>
            </w:pPr>
            <w:r w:rsidRPr="005808ED">
              <w:rPr>
                <w:rFonts w:ascii="Arial" w:hAnsi="Arial" w:cs="Arial"/>
                <w:b/>
                <w:sz w:val="32"/>
                <w:szCs w:val="32"/>
                <w:lang w:val="fr-FR"/>
              </w:rPr>
              <w:t>Programme</w:t>
            </w:r>
            <w:r w:rsidRPr="005808ED">
              <w:rPr>
                <w:rFonts w:ascii="Arial" w:hAnsi="Arial" w:cs="Arial"/>
                <w:b/>
                <w:sz w:val="32"/>
                <w:szCs w:val="32"/>
                <w:lang w:val="fr-FR"/>
              </w:rPr>
              <w:br/>
              <w:t>des Nations Unies</w:t>
            </w:r>
            <w:r w:rsidRPr="005808ED">
              <w:rPr>
                <w:rFonts w:ascii="Arial" w:hAnsi="Arial" w:cs="Arial"/>
                <w:b/>
                <w:sz w:val="32"/>
                <w:szCs w:val="32"/>
                <w:lang w:val="fr-FR"/>
              </w:rPr>
              <w:br/>
              <w:t>pour l</w:t>
            </w:r>
            <w:r w:rsidR="00B3097B" w:rsidRPr="005808ED">
              <w:rPr>
                <w:rFonts w:ascii="Arial" w:hAnsi="Arial" w:cs="Arial"/>
                <w:b/>
                <w:sz w:val="32"/>
                <w:szCs w:val="32"/>
                <w:lang w:val="fr-FR"/>
              </w:rPr>
              <w:t>’</w:t>
            </w:r>
            <w:r w:rsidRPr="005808ED">
              <w:rPr>
                <w:rFonts w:ascii="Arial" w:hAnsi="Arial" w:cs="Arial"/>
                <w:b/>
                <w:sz w:val="32"/>
                <w:szCs w:val="32"/>
                <w:lang w:val="fr-FR"/>
              </w:rPr>
              <w:t>environnement</w:t>
            </w:r>
          </w:p>
        </w:tc>
        <w:tc>
          <w:tcPr>
            <w:tcW w:w="3435" w:type="dxa"/>
            <w:tcBorders>
              <w:top w:val="single" w:sz="4" w:space="0" w:color="auto"/>
              <w:bottom w:val="single" w:sz="24" w:space="0" w:color="auto"/>
            </w:tcBorders>
          </w:tcPr>
          <w:p w14:paraId="60BCF389" w14:textId="013D4A9F" w:rsidR="00906D96" w:rsidRPr="005808ED" w:rsidRDefault="00906D96" w:rsidP="006D27CD">
            <w:pPr>
              <w:spacing w:before="120"/>
              <w:rPr>
                <w:lang w:val="fr-FR"/>
              </w:rPr>
            </w:pPr>
            <w:r w:rsidRPr="005808ED">
              <w:rPr>
                <w:lang w:val="fr-FR"/>
              </w:rPr>
              <w:t xml:space="preserve">Distr. générale </w:t>
            </w:r>
            <w:r w:rsidRPr="005808ED">
              <w:rPr>
                <w:lang w:val="fr-FR"/>
              </w:rPr>
              <w:br/>
            </w:r>
            <w:r w:rsidR="00825F66" w:rsidRPr="005808ED">
              <w:rPr>
                <w:lang w:val="fr-FR"/>
              </w:rPr>
              <w:t>6 </w:t>
            </w:r>
            <w:r w:rsidR="00335735" w:rsidRPr="005808ED">
              <w:rPr>
                <w:lang w:val="fr-FR"/>
              </w:rPr>
              <w:t>août</w:t>
            </w:r>
            <w:r w:rsidRPr="005808ED">
              <w:rPr>
                <w:lang w:val="fr-FR"/>
              </w:rPr>
              <w:t xml:space="preserve"> 2018</w:t>
            </w:r>
          </w:p>
          <w:p w14:paraId="4BD7B772" w14:textId="60FEF699" w:rsidR="00906D96" w:rsidRPr="005808ED" w:rsidRDefault="00906D96" w:rsidP="006D27CD">
            <w:pPr>
              <w:spacing w:before="240"/>
              <w:rPr>
                <w:lang w:val="fr-FR"/>
              </w:rPr>
            </w:pPr>
            <w:r w:rsidRPr="005808ED">
              <w:rPr>
                <w:lang w:val="fr-FR"/>
              </w:rPr>
              <w:t>Français</w:t>
            </w:r>
            <w:r w:rsidRPr="005808ED">
              <w:rPr>
                <w:lang w:val="fr-FR"/>
              </w:rPr>
              <w:br/>
              <w:t>Original</w:t>
            </w:r>
            <w:r w:rsidR="0097152B" w:rsidRPr="005808ED">
              <w:rPr>
                <w:lang w:val="fr-FR"/>
              </w:rPr>
              <w:t> :</w:t>
            </w:r>
            <w:r w:rsidRPr="005808ED">
              <w:rPr>
                <w:lang w:val="fr-FR"/>
              </w:rPr>
              <w:t xml:space="preserve"> anglais</w:t>
            </w:r>
          </w:p>
        </w:tc>
      </w:tr>
    </w:tbl>
    <w:p w14:paraId="3C7D01B6" w14:textId="77777777" w:rsidR="00906D96" w:rsidRPr="005808ED" w:rsidRDefault="00906D96" w:rsidP="003974C1">
      <w:pPr>
        <w:pStyle w:val="AATitle"/>
        <w:ind w:left="-14" w:right="5098"/>
        <w:rPr>
          <w:lang w:val="fr-FR"/>
        </w:rPr>
      </w:pPr>
      <w:r w:rsidRPr="005808ED">
        <w:rPr>
          <w:lang w:val="fr-FR"/>
        </w:rPr>
        <w:t xml:space="preserve">Conférence des Parties à la Convention </w:t>
      </w:r>
      <w:r w:rsidRPr="005808ED">
        <w:rPr>
          <w:lang w:val="fr-FR"/>
        </w:rPr>
        <w:br/>
        <w:t>de Minamata sur le mercure</w:t>
      </w:r>
    </w:p>
    <w:p w14:paraId="22B76ECC" w14:textId="77777777" w:rsidR="00906D96" w:rsidRPr="005808ED" w:rsidRDefault="00906D96" w:rsidP="003974C1">
      <w:pPr>
        <w:pStyle w:val="AATitle"/>
        <w:ind w:left="-14" w:right="5098"/>
        <w:rPr>
          <w:lang w:val="fr-FR"/>
        </w:rPr>
      </w:pPr>
      <w:r w:rsidRPr="005808ED">
        <w:rPr>
          <w:lang w:val="fr-FR"/>
        </w:rPr>
        <w:t>Deuxième réunion</w:t>
      </w:r>
    </w:p>
    <w:p w14:paraId="72224D1E" w14:textId="77777777" w:rsidR="00787688" w:rsidRPr="005808ED" w:rsidRDefault="00906D96" w:rsidP="003974C1">
      <w:pPr>
        <w:pStyle w:val="AATitle"/>
        <w:ind w:left="-14"/>
        <w:rPr>
          <w:b w:val="0"/>
          <w:lang w:val="fr-FR"/>
        </w:rPr>
      </w:pPr>
      <w:r w:rsidRPr="005808ED">
        <w:rPr>
          <w:b w:val="0"/>
          <w:lang w:val="fr-FR"/>
        </w:rPr>
        <w:t>Genève, 19-23 novembre 2018</w:t>
      </w:r>
    </w:p>
    <w:p w14:paraId="28F55CE7" w14:textId="45FE4548" w:rsidR="00F15578" w:rsidRPr="005808ED" w:rsidRDefault="00825F66" w:rsidP="003974C1">
      <w:pPr>
        <w:pStyle w:val="AATitle"/>
        <w:keepNext w:val="0"/>
        <w:keepLines w:val="0"/>
        <w:ind w:left="-14"/>
        <w:rPr>
          <w:b w:val="0"/>
          <w:lang w:val="fr-FR"/>
        </w:rPr>
      </w:pPr>
      <w:r w:rsidRPr="005808ED">
        <w:rPr>
          <w:b w:val="0"/>
          <w:lang w:val="fr-FR"/>
        </w:rPr>
        <w:t>Point </w:t>
      </w:r>
      <w:r w:rsidR="00E54866" w:rsidRPr="005808ED">
        <w:rPr>
          <w:b w:val="0"/>
          <w:lang w:val="fr-FR"/>
        </w:rPr>
        <w:t>5</w:t>
      </w:r>
      <w:r w:rsidRPr="005808ED">
        <w:rPr>
          <w:b w:val="0"/>
          <w:lang w:val="fr-FR"/>
        </w:rPr>
        <w:t> </w:t>
      </w:r>
      <w:r w:rsidR="00E54866" w:rsidRPr="005808ED">
        <w:rPr>
          <w:b w:val="0"/>
          <w:lang w:val="fr-FR"/>
        </w:rPr>
        <w:t>d) de l</w:t>
      </w:r>
      <w:r w:rsidR="00B3097B" w:rsidRPr="005808ED">
        <w:rPr>
          <w:b w:val="0"/>
          <w:lang w:val="fr-FR"/>
        </w:rPr>
        <w:t>’</w:t>
      </w:r>
      <w:r w:rsidR="00E54866" w:rsidRPr="005808ED">
        <w:rPr>
          <w:b w:val="0"/>
          <w:lang w:val="fr-FR"/>
        </w:rPr>
        <w:t>ordre du jour provisoire</w:t>
      </w:r>
      <w:r w:rsidR="00E54866" w:rsidRPr="005808ED">
        <w:rPr>
          <w:b w:val="0"/>
          <w:lang w:val="fr-FR"/>
        </w:rPr>
        <w:footnoteReference w:customMarkFollows="1" w:id="1"/>
        <w:t>*</w:t>
      </w:r>
    </w:p>
    <w:p w14:paraId="67F9DE0F" w14:textId="1B143422" w:rsidR="001F683A" w:rsidRPr="005808ED" w:rsidRDefault="00035ED3" w:rsidP="003974C1">
      <w:pPr>
        <w:pStyle w:val="AATitle"/>
        <w:spacing w:before="60" w:after="120"/>
        <w:ind w:left="-14"/>
        <w:rPr>
          <w:lang w:val="fr-FR"/>
        </w:rPr>
      </w:pPr>
      <w:r w:rsidRPr="005808ED">
        <w:rPr>
          <w:bCs/>
          <w:lang w:val="fr-FR"/>
        </w:rPr>
        <w:t>Questions soumises à</w:t>
      </w:r>
      <w:r w:rsidR="00825F66" w:rsidRPr="005808ED">
        <w:rPr>
          <w:bCs/>
          <w:lang w:val="fr-FR"/>
        </w:rPr>
        <w:t xml:space="preserve"> la Conférence des Parties pour </w:t>
      </w:r>
      <w:r w:rsidRPr="005808ED">
        <w:rPr>
          <w:bCs/>
          <w:lang w:val="fr-FR"/>
        </w:rPr>
        <w:t>examen ou décision</w:t>
      </w:r>
      <w:r w:rsidR="0097152B" w:rsidRPr="005808ED">
        <w:rPr>
          <w:bCs/>
          <w:lang w:val="fr-FR"/>
        </w:rPr>
        <w:t> :</w:t>
      </w:r>
      <w:r w:rsidRPr="005808ED">
        <w:rPr>
          <w:bCs/>
          <w:lang w:val="fr-FR"/>
        </w:rPr>
        <w:t xml:space="preserve"> orientations sur la</w:t>
      </w:r>
      <w:r w:rsidR="00EC111E" w:rsidRPr="005808ED">
        <w:rPr>
          <w:bCs/>
          <w:lang w:val="fr-FR"/>
        </w:rPr>
        <w:t> </w:t>
      </w:r>
      <w:r w:rsidRPr="005808ED">
        <w:rPr>
          <w:bCs/>
          <w:lang w:val="fr-FR"/>
        </w:rPr>
        <w:t>gestion des sites contaminés</w:t>
      </w:r>
    </w:p>
    <w:p w14:paraId="77C8E4F9" w14:textId="77777777" w:rsidR="00CD0518" w:rsidRPr="005808ED" w:rsidRDefault="00F17673" w:rsidP="00F51980">
      <w:pPr>
        <w:pStyle w:val="BBTitle"/>
        <w:rPr>
          <w:lang w:val="fr-FR"/>
        </w:rPr>
      </w:pPr>
      <w:r w:rsidRPr="005808ED">
        <w:rPr>
          <w:bCs/>
          <w:lang w:val="fr-FR"/>
        </w:rPr>
        <w:t>Orientations sur la gestion des sites contaminés</w:t>
      </w:r>
    </w:p>
    <w:p w14:paraId="71052A80" w14:textId="6281B902" w:rsidR="001F683A" w:rsidRPr="005808ED" w:rsidRDefault="00520198" w:rsidP="00FA6C22">
      <w:pPr>
        <w:pStyle w:val="CH2"/>
        <w:ind w:firstLine="27"/>
        <w:rPr>
          <w:lang w:val="fr-FR"/>
        </w:rPr>
      </w:pPr>
      <w:bookmarkStart w:id="5" w:name="_Toc526346206"/>
      <w:bookmarkStart w:id="6" w:name="_Toc527017890"/>
      <w:r w:rsidRPr="005808ED">
        <w:rPr>
          <w:bCs/>
          <w:lang w:val="fr-FR"/>
        </w:rPr>
        <w:t>Note du secrétariat</w:t>
      </w:r>
      <w:bookmarkStart w:id="7" w:name="_Toc524355392"/>
      <w:bookmarkEnd w:id="5"/>
      <w:bookmarkEnd w:id="6"/>
      <w:bookmarkEnd w:id="7"/>
    </w:p>
    <w:p w14:paraId="6E3C6F0D" w14:textId="7FDE369C" w:rsidR="00CD0518" w:rsidRPr="005808ED" w:rsidRDefault="00FA6C22" w:rsidP="00F51980">
      <w:pPr>
        <w:pStyle w:val="Normalnumber"/>
        <w:ind w:left="1247" w:firstLine="0"/>
        <w:rPr>
          <w:iCs/>
          <w:lang w:val="fr-FR"/>
        </w:rPr>
      </w:pPr>
      <w:r w:rsidRPr="005808ED">
        <w:rPr>
          <w:lang w:val="fr-FR"/>
        </w:rPr>
        <w:t>À sa première </w:t>
      </w:r>
      <w:r w:rsidR="00480343" w:rsidRPr="005808ED">
        <w:rPr>
          <w:lang w:val="fr-FR"/>
        </w:rPr>
        <w:t>réunion, la Conférence des Parties à la Convention de Minamata sur le mercure s</w:t>
      </w:r>
      <w:r w:rsidR="00B3097B" w:rsidRPr="005808ED">
        <w:rPr>
          <w:lang w:val="fr-FR"/>
        </w:rPr>
        <w:t>’</w:t>
      </w:r>
      <w:r w:rsidR="00480343" w:rsidRPr="005808ED">
        <w:rPr>
          <w:lang w:val="fr-FR"/>
        </w:rPr>
        <w:t>est penchée sur l</w:t>
      </w:r>
      <w:r w:rsidR="00B3097B" w:rsidRPr="005808ED">
        <w:rPr>
          <w:lang w:val="fr-FR"/>
        </w:rPr>
        <w:t>’</w:t>
      </w:r>
      <w:r w:rsidR="00480343" w:rsidRPr="005808ED">
        <w:rPr>
          <w:lang w:val="fr-FR"/>
        </w:rPr>
        <w:t>élaboration d</w:t>
      </w:r>
      <w:r w:rsidR="00B3097B" w:rsidRPr="005808ED">
        <w:rPr>
          <w:lang w:val="fr-FR"/>
        </w:rPr>
        <w:t>’</w:t>
      </w:r>
      <w:r w:rsidR="00480343" w:rsidRPr="005808ED">
        <w:rPr>
          <w:lang w:val="fr-FR"/>
        </w:rPr>
        <w:t>orientations concernant la gestion des sites contami</w:t>
      </w:r>
      <w:r w:rsidR="00825F66" w:rsidRPr="005808ED">
        <w:rPr>
          <w:lang w:val="fr-FR"/>
        </w:rPr>
        <w:t>nés, conformément au paragraphe </w:t>
      </w:r>
      <w:r w:rsidR="00480343" w:rsidRPr="005808ED">
        <w:rPr>
          <w:lang w:val="fr-FR"/>
        </w:rPr>
        <w:t>3 de l</w:t>
      </w:r>
      <w:r w:rsidR="00B3097B" w:rsidRPr="005808ED">
        <w:rPr>
          <w:lang w:val="fr-FR"/>
        </w:rPr>
        <w:t>’</w:t>
      </w:r>
      <w:r w:rsidR="00825F66" w:rsidRPr="005808ED">
        <w:rPr>
          <w:lang w:val="fr-FR"/>
        </w:rPr>
        <w:t>article 12. Dans sa décision </w:t>
      </w:r>
      <w:r w:rsidR="00480343" w:rsidRPr="005808ED">
        <w:rPr>
          <w:lang w:val="fr-FR"/>
        </w:rPr>
        <w:t>MC-1/20, la Conférence des Parties a prié le secrétariat d</w:t>
      </w:r>
      <w:r w:rsidR="00B3097B" w:rsidRPr="005808ED">
        <w:rPr>
          <w:lang w:val="fr-FR"/>
        </w:rPr>
        <w:t>’</w:t>
      </w:r>
      <w:r w:rsidR="00480343" w:rsidRPr="005808ED">
        <w:rPr>
          <w:lang w:val="fr-FR"/>
        </w:rPr>
        <w:t>élaborer, sur la base des informations qui lui ont été communiquées précédemment et des travaux entrepris dans d</w:t>
      </w:r>
      <w:r w:rsidR="00B3097B" w:rsidRPr="005808ED">
        <w:rPr>
          <w:lang w:val="fr-FR"/>
        </w:rPr>
        <w:t>’</w:t>
      </w:r>
      <w:r w:rsidR="00480343" w:rsidRPr="005808ED">
        <w:rPr>
          <w:lang w:val="fr-FR"/>
        </w:rPr>
        <w:t>autres instances et en se servant du plan approuvé par la Conférence des Parties décrivant dans les grandes lignes la structure et le contenu des orientations, un</w:t>
      </w:r>
      <w:r w:rsidR="00C97309" w:rsidRPr="005808ED">
        <w:rPr>
          <w:lang w:val="fr-FR"/>
        </w:rPr>
        <w:t> </w:t>
      </w:r>
      <w:r w:rsidR="00480343" w:rsidRPr="005808ED">
        <w:rPr>
          <w:lang w:val="fr-FR"/>
        </w:rPr>
        <w:t>premier</w:t>
      </w:r>
      <w:r w:rsidR="00C97309" w:rsidRPr="005808ED">
        <w:rPr>
          <w:lang w:val="fr-FR"/>
        </w:rPr>
        <w:t> </w:t>
      </w:r>
      <w:r w:rsidR="00480343" w:rsidRPr="005808ED">
        <w:rPr>
          <w:lang w:val="fr-FR"/>
        </w:rPr>
        <w:t>projet d</w:t>
      </w:r>
      <w:r w:rsidR="00B3097B" w:rsidRPr="005808ED">
        <w:rPr>
          <w:lang w:val="fr-FR"/>
        </w:rPr>
        <w:t>’</w:t>
      </w:r>
      <w:r w:rsidR="00480343" w:rsidRPr="005808ED">
        <w:rPr>
          <w:lang w:val="fr-FR"/>
        </w:rPr>
        <w:t xml:space="preserve">orientations sur la gestion des sites contaminés et de le diffuser par voie électronique auprès des experts, lesquels devaient communiquer leurs observations au secrétariat. </w:t>
      </w:r>
    </w:p>
    <w:p w14:paraId="1F7D3DFC" w14:textId="78D30335" w:rsidR="00CD0518" w:rsidRPr="005808ED" w:rsidRDefault="00152C44" w:rsidP="00F51980">
      <w:pPr>
        <w:pStyle w:val="Normalnumber"/>
        <w:ind w:left="1247" w:firstLine="0"/>
        <w:rPr>
          <w:lang w:val="fr-FR"/>
        </w:rPr>
      </w:pPr>
      <w:r w:rsidRPr="005808ED">
        <w:rPr>
          <w:lang w:val="fr-FR"/>
        </w:rPr>
        <w:t>La décision précisait également que le secrétariat devait élaborer des versions révisées du projet d</w:t>
      </w:r>
      <w:r w:rsidR="00B3097B" w:rsidRPr="005808ED">
        <w:rPr>
          <w:lang w:val="fr-FR"/>
        </w:rPr>
        <w:t>’</w:t>
      </w:r>
      <w:r w:rsidRPr="005808ED">
        <w:rPr>
          <w:lang w:val="fr-FR"/>
        </w:rPr>
        <w:t xml:space="preserve">orientations et les diffuser auprès des experts pour </w:t>
      </w:r>
      <w:r w:rsidR="00A73993" w:rsidRPr="005808ED">
        <w:rPr>
          <w:lang w:val="fr-FR"/>
        </w:rPr>
        <w:t xml:space="preserve">qu’ils puissent les </w:t>
      </w:r>
      <w:r w:rsidRPr="005808ED">
        <w:rPr>
          <w:lang w:val="fr-FR"/>
        </w:rPr>
        <w:t>exam</w:t>
      </w:r>
      <w:r w:rsidR="00A73993" w:rsidRPr="005808ED">
        <w:rPr>
          <w:lang w:val="fr-FR"/>
        </w:rPr>
        <w:t>iner et en débattre plus avant</w:t>
      </w:r>
      <w:r w:rsidRPr="005808ED">
        <w:rPr>
          <w:lang w:val="fr-FR"/>
        </w:rPr>
        <w:t xml:space="preserve"> par voie électronique. Le premier projet d</w:t>
      </w:r>
      <w:r w:rsidR="00B3097B" w:rsidRPr="005808ED">
        <w:rPr>
          <w:lang w:val="fr-FR"/>
        </w:rPr>
        <w:t>’</w:t>
      </w:r>
      <w:r w:rsidRPr="005808ED">
        <w:rPr>
          <w:lang w:val="fr-FR"/>
        </w:rPr>
        <w:t>orientations a été publié à la fin du mois de mars</w:t>
      </w:r>
      <w:r w:rsidR="00FA6C22" w:rsidRPr="005808ED">
        <w:rPr>
          <w:lang w:val="fr-FR"/>
        </w:rPr>
        <w:t> </w:t>
      </w:r>
      <w:r w:rsidRPr="005808ED">
        <w:rPr>
          <w:lang w:val="fr-FR"/>
        </w:rPr>
        <w:t>2018, alors que le processus de désignation des experts était encore en cours. Par conséquent, la phase de communication des observations a été prolongée jusqu</w:t>
      </w:r>
      <w:r w:rsidR="00B3097B" w:rsidRPr="005808ED">
        <w:rPr>
          <w:lang w:val="fr-FR"/>
        </w:rPr>
        <w:t>’</w:t>
      </w:r>
      <w:r w:rsidR="00FA6C22" w:rsidRPr="005808ED">
        <w:rPr>
          <w:lang w:val="fr-FR"/>
        </w:rPr>
        <w:t>à la fin du mois de </w:t>
      </w:r>
      <w:r w:rsidRPr="005808ED">
        <w:rPr>
          <w:lang w:val="fr-FR"/>
        </w:rPr>
        <w:t>mai. Un nombre important d</w:t>
      </w:r>
      <w:r w:rsidR="00B3097B" w:rsidRPr="005808ED">
        <w:rPr>
          <w:lang w:val="fr-FR"/>
        </w:rPr>
        <w:t>’</w:t>
      </w:r>
      <w:r w:rsidRPr="005808ED">
        <w:rPr>
          <w:lang w:val="fr-FR"/>
        </w:rPr>
        <w:t>observations a été reçu durant les premières</w:t>
      </w:r>
      <w:r w:rsidR="00FA6C22" w:rsidRPr="005808ED">
        <w:rPr>
          <w:lang w:val="fr-FR"/>
        </w:rPr>
        <w:t> </w:t>
      </w:r>
      <w:r w:rsidRPr="005808ED">
        <w:rPr>
          <w:lang w:val="fr-FR"/>
        </w:rPr>
        <w:t>semaines du mois de juin et certaines ont été communiquées</w:t>
      </w:r>
      <w:r w:rsidR="00FA6C22" w:rsidRPr="005808ED">
        <w:rPr>
          <w:lang w:val="fr-FR"/>
        </w:rPr>
        <w:t xml:space="preserve"> en </w:t>
      </w:r>
      <w:r w:rsidRPr="005808ED">
        <w:rPr>
          <w:lang w:val="fr-FR"/>
        </w:rPr>
        <w:t>juillet. En raison des délais de communication des observations et des nombreuses révisions engendrées par des observations souvent divergentes, le temps a manqué pour la seconde phase de communication d</w:t>
      </w:r>
      <w:r w:rsidR="00B3097B" w:rsidRPr="005808ED">
        <w:rPr>
          <w:lang w:val="fr-FR"/>
        </w:rPr>
        <w:t>’</w:t>
      </w:r>
      <w:r w:rsidRPr="005808ED">
        <w:rPr>
          <w:lang w:val="fr-FR"/>
        </w:rPr>
        <w:t>observations que prévoyait la feuille de route pour l</w:t>
      </w:r>
      <w:r w:rsidR="00B3097B" w:rsidRPr="005808ED">
        <w:rPr>
          <w:lang w:val="fr-FR"/>
        </w:rPr>
        <w:t>’</w:t>
      </w:r>
      <w:r w:rsidRPr="005808ED">
        <w:rPr>
          <w:lang w:val="fr-FR"/>
        </w:rPr>
        <w:t>élaboration du projet d</w:t>
      </w:r>
      <w:r w:rsidR="00B3097B" w:rsidRPr="005808ED">
        <w:rPr>
          <w:lang w:val="fr-FR"/>
        </w:rPr>
        <w:t>’</w:t>
      </w:r>
      <w:r w:rsidRPr="005808ED">
        <w:rPr>
          <w:lang w:val="fr-FR"/>
        </w:rPr>
        <w:t>orientations. La version révisée du projet d</w:t>
      </w:r>
      <w:r w:rsidR="00B3097B" w:rsidRPr="005808ED">
        <w:rPr>
          <w:lang w:val="fr-FR"/>
        </w:rPr>
        <w:t>’</w:t>
      </w:r>
      <w:r w:rsidRPr="005808ED">
        <w:rPr>
          <w:lang w:val="fr-FR"/>
        </w:rPr>
        <w:t>orientations</w:t>
      </w:r>
      <w:r w:rsidR="00E327DF" w:rsidRPr="005808ED">
        <w:rPr>
          <w:lang w:val="fr-FR"/>
        </w:rPr>
        <w:t>,</w:t>
      </w:r>
      <w:r w:rsidRPr="005808ED">
        <w:rPr>
          <w:lang w:val="fr-FR"/>
        </w:rPr>
        <w:t xml:space="preserve"> élaboré</w:t>
      </w:r>
      <w:r w:rsidR="00E327DF" w:rsidRPr="005808ED">
        <w:rPr>
          <w:lang w:val="fr-FR"/>
        </w:rPr>
        <w:t>e</w:t>
      </w:r>
      <w:r w:rsidRPr="005808ED">
        <w:rPr>
          <w:lang w:val="fr-FR"/>
        </w:rPr>
        <w:t xml:space="preserve"> en tenant compte des observations des experts</w:t>
      </w:r>
      <w:r w:rsidR="00E327DF" w:rsidRPr="005808ED">
        <w:rPr>
          <w:lang w:val="fr-FR"/>
        </w:rPr>
        <w:t>,</w:t>
      </w:r>
      <w:r w:rsidRPr="005808ED">
        <w:rPr>
          <w:lang w:val="fr-FR"/>
        </w:rPr>
        <w:t xml:space="preserve"> est présenté</w:t>
      </w:r>
      <w:r w:rsidR="00E327DF" w:rsidRPr="005808ED">
        <w:rPr>
          <w:lang w:val="fr-FR"/>
        </w:rPr>
        <w:t>e</w:t>
      </w:r>
      <w:r w:rsidRPr="005808ED">
        <w:rPr>
          <w:lang w:val="fr-FR"/>
        </w:rPr>
        <w:t xml:space="preserve"> à la Conférence des Parties à sa deuxième</w:t>
      </w:r>
      <w:r w:rsidR="00D93ADB">
        <w:rPr>
          <w:lang w:val="fr-FR"/>
        </w:rPr>
        <w:t> </w:t>
      </w:r>
      <w:r w:rsidRPr="005808ED">
        <w:rPr>
          <w:lang w:val="fr-FR"/>
        </w:rPr>
        <w:t>réunion afin qu</w:t>
      </w:r>
      <w:r w:rsidR="00B3097B" w:rsidRPr="005808ED">
        <w:rPr>
          <w:lang w:val="fr-FR"/>
        </w:rPr>
        <w:t>’</w:t>
      </w:r>
      <w:r w:rsidRPr="005808ED">
        <w:rPr>
          <w:lang w:val="fr-FR"/>
        </w:rPr>
        <w:t>elle l</w:t>
      </w:r>
      <w:r w:rsidR="00B3097B" w:rsidRPr="005808ED">
        <w:rPr>
          <w:lang w:val="fr-FR"/>
        </w:rPr>
        <w:t>’</w:t>
      </w:r>
      <w:r w:rsidRPr="005808ED">
        <w:rPr>
          <w:lang w:val="fr-FR"/>
        </w:rPr>
        <w:t>examine et formule des recommandations supplémentaires. L</w:t>
      </w:r>
      <w:r w:rsidR="00B3097B" w:rsidRPr="005808ED">
        <w:rPr>
          <w:lang w:val="fr-FR"/>
        </w:rPr>
        <w:t>’</w:t>
      </w:r>
      <w:r w:rsidR="00825F66" w:rsidRPr="005808ED">
        <w:rPr>
          <w:lang w:val="fr-FR"/>
        </w:rPr>
        <w:t>annexe </w:t>
      </w:r>
      <w:r w:rsidRPr="005808ED">
        <w:rPr>
          <w:lang w:val="fr-FR"/>
        </w:rPr>
        <w:t>I de la présente note contient un projet de décision sur d</w:t>
      </w:r>
      <w:r w:rsidR="00B3097B" w:rsidRPr="005808ED">
        <w:rPr>
          <w:lang w:val="fr-FR"/>
        </w:rPr>
        <w:t>’</w:t>
      </w:r>
      <w:r w:rsidRPr="005808ED">
        <w:rPr>
          <w:lang w:val="fr-FR"/>
        </w:rPr>
        <w:t>éventuels travaux supplémentaires qui tient compte du fait qu</w:t>
      </w:r>
      <w:r w:rsidR="00B3097B" w:rsidRPr="005808ED">
        <w:rPr>
          <w:lang w:val="fr-FR"/>
        </w:rPr>
        <w:t>’</w:t>
      </w:r>
      <w:r w:rsidRPr="005808ED">
        <w:rPr>
          <w:lang w:val="fr-FR"/>
        </w:rPr>
        <w:t>il n</w:t>
      </w:r>
      <w:r w:rsidR="00B3097B" w:rsidRPr="005808ED">
        <w:rPr>
          <w:lang w:val="fr-FR"/>
        </w:rPr>
        <w:t>’</w:t>
      </w:r>
      <w:r w:rsidRPr="005808ED">
        <w:rPr>
          <w:lang w:val="fr-FR"/>
        </w:rPr>
        <w:t>a pu y avoir qu</w:t>
      </w:r>
      <w:r w:rsidR="00B3097B" w:rsidRPr="005808ED">
        <w:rPr>
          <w:lang w:val="fr-FR"/>
        </w:rPr>
        <w:t>’</w:t>
      </w:r>
      <w:r w:rsidRPr="005808ED">
        <w:rPr>
          <w:lang w:val="fr-FR"/>
        </w:rPr>
        <w:t>une seule phase d</w:t>
      </w:r>
      <w:r w:rsidR="00B3097B" w:rsidRPr="005808ED">
        <w:rPr>
          <w:lang w:val="fr-FR"/>
        </w:rPr>
        <w:t>’</w:t>
      </w:r>
      <w:r w:rsidRPr="005808ED">
        <w:rPr>
          <w:lang w:val="fr-FR"/>
        </w:rPr>
        <w:t>observations entre la première et la deuxième réunion</w:t>
      </w:r>
      <w:r w:rsidR="00C97309" w:rsidRPr="005808ED">
        <w:rPr>
          <w:lang w:val="fr-FR"/>
        </w:rPr>
        <w:t>s</w:t>
      </w:r>
      <w:r w:rsidRPr="005808ED">
        <w:rPr>
          <w:lang w:val="fr-FR"/>
        </w:rPr>
        <w:t>, tandis que le projet d</w:t>
      </w:r>
      <w:r w:rsidR="00B3097B" w:rsidRPr="005808ED">
        <w:rPr>
          <w:lang w:val="fr-FR"/>
        </w:rPr>
        <w:t>’</w:t>
      </w:r>
      <w:r w:rsidRPr="005808ED">
        <w:rPr>
          <w:lang w:val="fr-FR"/>
        </w:rPr>
        <w:t>orientations est reproduit dans l</w:t>
      </w:r>
      <w:r w:rsidR="00B3097B" w:rsidRPr="005808ED">
        <w:rPr>
          <w:lang w:val="fr-FR"/>
        </w:rPr>
        <w:t>’</w:t>
      </w:r>
      <w:r w:rsidRPr="005808ED">
        <w:rPr>
          <w:lang w:val="fr-FR"/>
        </w:rPr>
        <w:t>anne</w:t>
      </w:r>
      <w:r w:rsidR="00825F66" w:rsidRPr="005808ED">
        <w:rPr>
          <w:lang w:val="fr-FR"/>
        </w:rPr>
        <w:t>xe </w:t>
      </w:r>
      <w:r w:rsidRPr="005808ED">
        <w:rPr>
          <w:lang w:val="fr-FR"/>
        </w:rPr>
        <w:t xml:space="preserve">II de la présente note. </w:t>
      </w:r>
    </w:p>
    <w:p w14:paraId="22BFB48E" w14:textId="141D96DD" w:rsidR="00480343" w:rsidRPr="005808ED" w:rsidRDefault="00520198" w:rsidP="00EC111E">
      <w:pPr>
        <w:pStyle w:val="CH2"/>
        <w:ind w:firstLine="29"/>
        <w:rPr>
          <w:lang w:val="fr-FR"/>
        </w:rPr>
      </w:pPr>
      <w:bookmarkStart w:id="8" w:name="_Toc526346207"/>
      <w:bookmarkStart w:id="9" w:name="_Toc527017891"/>
      <w:r w:rsidRPr="005808ED">
        <w:rPr>
          <w:bCs/>
          <w:lang w:val="fr-FR"/>
        </w:rPr>
        <w:t>Mesures que pourrait prendre la Conférence des Parties</w:t>
      </w:r>
      <w:bookmarkStart w:id="10" w:name="_Toc524355393"/>
      <w:bookmarkEnd w:id="8"/>
      <w:bookmarkEnd w:id="9"/>
      <w:bookmarkEnd w:id="10"/>
    </w:p>
    <w:p w14:paraId="2F7E746B" w14:textId="3260CF02" w:rsidR="00480343" w:rsidRPr="005808ED" w:rsidRDefault="000B0923" w:rsidP="00F51980">
      <w:pPr>
        <w:pStyle w:val="Normalnumber"/>
        <w:ind w:left="1247" w:firstLine="0"/>
        <w:rPr>
          <w:lang w:val="fr-FR"/>
        </w:rPr>
      </w:pPr>
      <w:r w:rsidRPr="005808ED">
        <w:rPr>
          <w:lang w:val="fr-FR"/>
        </w:rPr>
        <w:t>La Conférence des Parties souhaitera peut-être examiner le projet d</w:t>
      </w:r>
      <w:r w:rsidR="00B3097B" w:rsidRPr="005808ED">
        <w:rPr>
          <w:lang w:val="fr-FR"/>
        </w:rPr>
        <w:t>’</w:t>
      </w:r>
      <w:r w:rsidRPr="005808ED">
        <w:rPr>
          <w:lang w:val="fr-FR"/>
        </w:rPr>
        <w:t xml:space="preserve">orientations sur la gestion des sites contaminés, formuler des recommandations supplémentaires et envisager de demander des travaux supplémentaires sur la question. </w:t>
      </w:r>
    </w:p>
    <w:p w14:paraId="6D8FE346" w14:textId="628F8B95" w:rsidR="00480343" w:rsidRPr="005808ED" w:rsidRDefault="00480343" w:rsidP="00F51980">
      <w:pPr>
        <w:pStyle w:val="ZZAnxheader"/>
        <w:rPr>
          <w:lang w:val="fr-FR"/>
        </w:rPr>
      </w:pPr>
      <w:bookmarkStart w:id="11" w:name="_Toc524355394"/>
      <w:bookmarkStart w:id="12" w:name="_Toc526346208"/>
      <w:bookmarkStart w:id="13" w:name="_Toc527017892"/>
      <w:r w:rsidRPr="005808ED">
        <w:rPr>
          <w:lang w:val="fr-FR"/>
        </w:rPr>
        <w:lastRenderedPageBreak/>
        <w:t>Annexe</w:t>
      </w:r>
      <w:r w:rsidR="00FA6C22" w:rsidRPr="005808ED">
        <w:rPr>
          <w:lang w:val="fr-FR"/>
        </w:rPr>
        <w:t> </w:t>
      </w:r>
      <w:r w:rsidRPr="005808ED">
        <w:rPr>
          <w:lang w:val="fr-FR"/>
        </w:rPr>
        <w:t>I</w:t>
      </w:r>
      <w:bookmarkEnd w:id="11"/>
      <w:bookmarkEnd w:id="12"/>
      <w:bookmarkEnd w:id="13"/>
    </w:p>
    <w:p w14:paraId="440EE0B3" w14:textId="5BB753B9" w:rsidR="00480343" w:rsidRPr="005808ED" w:rsidRDefault="00FA6C22" w:rsidP="00F51980">
      <w:pPr>
        <w:pStyle w:val="ZZAnxtitle"/>
        <w:rPr>
          <w:lang w:val="fr-FR"/>
        </w:rPr>
      </w:pPr>
      <w:bookmarkStart w:id="14" w:name="_Toc526346209"/>
      <w:bookmarkStart w:id="15" w:name="_Toc527017893"/>
      <w:bookmarkStart w:id="16" w:name="_Toc524355395"/>
      <w:r w:rsidRPr="005808ED">
        <w:rPr>
          <w:lang w:val="fr-FR"/>
        </w:rPr>
        <w:t>Projet de décision </w:t>
      </w:r>
      <w:r w:rsidR="00480343" w:rsidRPr="005808ED">
        <w:rPr>
          <w:lang w:val="fr-FR"/>
        </w:rPr>
        <w:t>MC-2/[XX]</w:t>
      </w:r>
      <w:r w:rsidR="0097152B" w:rsidRPr="005808ED">
        <w:rPr>
          <w:lang w:val="fr-FR"/>
        </w:rPr>
        <w:t> :</w:t>
      </w:r>
      <w:r w:rsidR="00480343" w:rsidRPr="005808ED">
        <w:rPr>
          <w:lang w:val="fr-FR"/>
        </w:rPr>
        <w:t xml:space="preserve"> Orientations sur la gestion des sites contaminés</w:t>
      </w:r>
      <w:bookmarkEnd w:id="14"/>
      <w:bookmarkEnd w:id="15"/>
      <w:r w:rsidR="0097152B" w:rsidRPr="005808ED">
        <w:rPr>
          <w:lang w:val="fr-FR"/>
        </w:rPr>
        <w:t xml:space="preserve"> </w:t>
      </w:r>
      <w:bookmarkEnd w:id="16"/>
    </w:p>
    <w:p w14:paraId="09CF1F01" w14:textId="77777777" w:rsidR="000C2F3D" w:rsidRPr="005808ED" w:rsidRDefault="000C2F3D" w:rsidP="00F51980">
      <w:pPr>
        <w:pStyle w:val="Normal-pool"/>
        <w:tabs>
          <w:tab w:val="clear" w:pos="1247"/>
          <w:tab w:val="clear" w:pos="1814"/>
          <w:tab w:val="clear" w:pos="2381"/>
          <w:tab w:val="clear" w:pos="2948"/>
          <w:tab w:val="clear" w:pos="3515"/>
          <w:tab w:val="clear" w:pos="4082"/>
          <w:tab w:val="left" w:pos="624"/>
        </w:tabs>
        <w:spacing w:after="120"/>
        <w:ind w:left="1247" w:firstLine="624"/>
        <w:rPr>
          <w:i/>
          <w:lang w:val="fr-FR"/>
        </w:rPr>
      </w:pPr>
      <w:r w:rsidRPr="005808ED">
        <w:rPr>
          <w:i/>
          <w:iCs/>
          <w:lang w:val="fr-FR"/>
        </w:rPr>
        <w:t>La Conférence des Parties,</w:t>
      </w:r>
    </w:p>
    <w:p w14:paraId="69E51305" w14:textId="6BCB71DB" w:rsidR="00BA6E1D" w:rsidRPr="005808ED" w:rsidRDefault="000C2F3D" w:rsidP="00F51980">
      <w:pPr>
        <w:pStyle w:val="Normal-pool"/>
        <w:tabs>
          <w:tab w:val="clear" w:pos="1247"/>
          <w:tab w:val="clear" w:pos="1814"/>
          <w:tab w:val="clear" w:pos="2381"/>
          <w:tab w:val="clear" w:pos="2948"/>
          <w:tab w:val="clear" w:pos="3515"/>
          <w:tab w:val="clear" w:pos="4082"/>
          <w:tab w:val="left" w:pos="624"/>
        </w:tabs>
        <w:spacing w:after="120"/>
        <w:ind w:left="1247" w:firstLine="624"/>
        <w:rPr>
          <w:i/>
          <w:lang w:val="fr-FR"/>
        </w:rPr>
      </w:pPr>
      <w:r w:rsidRPr="005808ED">
        <w:rPr>
          <w:i/>
          <w:iCs/>
          <w:lang w:val="fr-FR"/>
        </w:rPr>
        <w:t xml:space="preserve">Considérant </w:t>
      </w:r>
      <w:r w:rsidRPr="005808ED">
        <w:rPr>
          <w:lang w:val="fr-FR"/>
        </w:rPr>
        <w:t>qu</w:t>
      </w:r>
      <w:r w:rsidR="00B3097B" w:rsidRPr="005808ED">
        <w:rPr>
          <w:lang w:val="fr-FR"/>
        </w:rPr>
        <w:t>’</w:t>
      </w:r>
      <w:r w:rsidRPr="005808ED">
        <w:rPr>
          <w:lang w:val="fr-FR"/>
        </w:rPr>
        <w:t>il faut aider les Parties à gérer les sites contaminés de manière écologiquement rationnelle en leur donnant des orientations à cet effet,</w:t>
      </w:r>
    </w:p>
    <w:p w14:paraId="1417A6B9" w14:textId="739E80EC" w:rsidR="00D33492" w:rsidRPr="005808ED" w:rsidRDefault="00BA6E1D" w:rsidP="00F51980">
      <w:pPr>
        <w:pStyle w:val="Normal-pool"/>
        <w:tabs>
          <w:tab w:val="clear" w:pos="1247"/>
          <w:tab w:val="clear" w:pos="1814"/>
          <w:tab w:val="clear" w:pos="2381"/>
          <w:tab w:val="clear" w:pos="2948"/>
          <w:tab w:val="clear" w:pos="3515"/>
          <w:tab w:val="clear" w:pos="4082"/>
          <w:tab w:val="left" w:pos="624"/>
        </w:tabs>
        <w:spacing w:after="120"/>
        <w:ind w:left="1247" w:firstLine="624"/>
        <w:rPr>
          <w:i/>
          <w:lang w:val="fr-FR"/>
        </w:rPr>
      </w:pPr>
      <w:r w:rsidRPr="005808ED">
        <w:rPr>
          <w:i/>
          <w:iCs/>
          <w:lang w:val="fr-FR"/>
        </w:rPr>
        <w:t>Prenant note</w:t>
      </w:r>
      <w:r w:rsidRPr="005808ED">
        <w:rPr>
          <w:lang w:val="fr-FR"/>
        </w:rPr>
        <w:t xml:space="preserve"> du projet d</w:t>
      </w:r>
      <w:r w:rsidR="00B3097B" w:rsidRPr="005808ED">
        <w:rPr>
          <w:lang w:val="fr-FR"/>
        </w:rPr>
        <w:t>’</w:t>
      </w:r>
      <w:r w:rsidRPr="005808ED">
        <w:rPr>
          <w:lang w:val="fr-FR"/>
        </w:rPr>
        <w:t>orientations élaboré par le secrétariat en consultation avec les experts désignés,</w:t>
      </w:r>
    </w:p>
    <w:p w14:paraId="6A63BD01" w14:textId="1B840C03" w:rsidR="00BA6E1D" w:rsidRPr="005808ED" w:rsidRDefault="00BA6E1D" w:rsidP="00F51980">
      <w:pPr>
        <w:pStyle w:val="Normal-pool"/>
        <w:tabs>
          <w:tab w:val="clear" w:pos="1247"/>
          <w:tab w:val="clear" w:pos="1814"/>
          <w:tab w:val="clear" w:pos="2381"/>
          <w:tab w:val="clear" w:pos="2948"/>
          <w:tab w:val="clear" w:pos="3515"/>
          <w:tab w:val="clear" w:pos="4082"/>
          <w:tab w:val="left" w:pos="624"/>
        </w:tabs>
        <w:spacing w:after="120"/>
        <w:ind w:left="1247" w:firstLine="624"/>
        <w:rPr>
          <w:iCs/>
          <w:lang w:val="fr-FR"/>
        </w:rPr>
      </w:pPr>
      <w:r w:rsidRPr="005808ED">
        <w:rPr>
          <w:i/>
          <w:iCs/>
          <w:lang w:val="fr-FR"/>
        </w:rPr>
        <w:t xml:space="preserve">Prie </w:t>
      </w:r>
      <w:r w:rsidRPr="005808ED">
        <w:rPr>
          <w:lang w:val="fr-FR"/>
        </w:rPr>
        <w:t>le secrétariat</w:t>
      </w:r>
      <w:r w:rsidR="0097152B" w:rsidRPr="005808ED">
        <w:rPr>
          <w:lang w:val="fr-FR"/>
        </w:rPr>
        <w:t> :</w:t>
      </w:r>
      <w:r w:rsidRPr="005808ED">
        <w:rPr>
          <w:lang w:val="fr-FR"/>
        </w:rPr>
        <w:t xml:space="preserve"> </w:t>
      </w:r>
    </w:p>
    <w:p w14:paraId="0F56B93E" w14:textId="18A0765A" w:rsidR="00BA6E1D" w:rsidRPr="005808ED" w:rsidRDefault="009B23A5" w:rsidP="00F51980">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fr-FR"/>
        </w:rPr>
      </w:pPr>
      <w:r w:rsidRPr="005808ED">
        <w:rPr>
          <w:lang w:val="fr-FR"/>
        </w:rPr>
        <w:t>De demander des observations supplémentaires sur le projet d</w:t>
      </w:r>
      <w:r w:rsidR="00B3097B" w:rsidRPr="005808ED">
        <w:rPr>
          <w:lang w:val="fr-FR"/>
        </w:rPr>
        <w:t>’</w:t>
      </w:r>
      <w:r w:rsidRPr="005808ED">
        <w:rPr>
          <w:lang w:val="fr-FR"/>
        </w:rPr>
        <w:t>orientations présenté à la Conférence des Parties à sa deuxième réunion</w:t>
      </w:r>
      <w:r w:rsidR="0097152B" w:rsidRPr="005808ED">
        <w:rPr>
          <w:lang w:val="fr-FR"/>
        </w:rPr>
        <w:t> ;</w:t>
      </w:r>
      <w:r w:rsidRPr="005808ED">
        <w:rPr>
          <w:lang w:val="fr-FR"/>
        </w:rPr>
        <w:t xml:space="preserve"> </w:t>
      </w:r>
    </w:p>
    <w:p w14:paraId="0D0D25E4" w14:textId="3089205C" w:rsidR="00BA6E1D" w:rsidRPr="005808ED" w:rsidRDefault="009B23A5" w:rsidP="00F51980">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fr-FR"/>
        </w:rPr>
      </w:pPr>
      <w:r w:rsidRPr="005808ED">
        <w:rPr>
          <w:lang w:val="fr-FR"/>
        </w:rPr>
        <w:t>D</w:t>
      </w:r>
      <w:r w:rsidR="00B3097B" w:rsidRPr="005808ED">
        <w:rPr>
          <w:lang w:val="fr-FR"/>
        </w:rPr>
        <w:t>’</w:t>
      </w:r>
      <w:r w:rsidRPr="005808ED">
        <w:rPr>
          <w:lang w:val="fr-FR"/>
        </w:rPr>
        <w:t>élaborer une version révisée du projet d</w:t>
      </w:r>
      <w:r w:rsidR="00B3097B" w:rsidRPr="005808ED">
        <w:rPr>
          <w:lang w:val="fr-FR"/>
        </w:rPr>
        <w:t>’</w:t>
      </w:r>
      <w:r w:rsidRPr="005808ED">
        <w:rPr>
          <w:lang w:val="fr-FR"/>
        </w:rPr>
        <w:t>orientations</w:t>
      </w:r>
      <w:r w:rsidR="0097152B" w:rsidRPr="005808ED">
        <w:rPr>
          <w:lang w:val="fr-FR"/>
        </w:rPr>
        <w:t> ;</w:t>
      </w:r>
      <w:r w:rsidRPr="005808ED">
        <w:rPr>
          <w:lang w:val="fr-FR"/>
        </w:rPr>
        <w:t xml:space="preserve"> </w:t>
      </w:r>
    </w:p>
    <w:p w14:paraId="4C734F4E" w14:textId="2034B388" w:rsidR="000C2F3D" w:rsidRPr="005808ED" w:rsidRDefault="009B23A5" w:rsidP="00F51980">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fr-FR"/>
        </w:rPr>
      </w:pPr>
      <w:r w:rsidRPr="005808ED">
        <w:rPr>
          <w:lang w:val="fr-FR"/>
        </w:rPr>
        <w:t>De publier le projet d</w:t>
      </w:r>
      <w:r w:rsidR="00B3097B" w:rsidRPr="005808ED">
        <w:rPr>
          <w:lang w:val="fr-FR"/>
        </w:rPr>
        <w:t>’</w:t>
      </w:r>
      <w:r w:rsidRPr="005808ED">
        <w:rPr>
          <w:lang w:val="fr-FR"/>
        </w:rPr>
        <w:t>orientations révisé afin de recueillir les observations de l</w:t>
      </w:r>
      <w:r w:rsidR="00B3097B" w:rsidRPr="005808ED">
        <w:rPr>
          <w:lang w:val="fr-FR"/>
        </w:rPr>
        <w:t>’</w:t>
      </w:r>
      <w:r w:rsidRPr="005808ED">
        <w:rPr>
          <w:lang w:val="fr-FR"/>
        </w:rPr>
        <w:t>ensemble des parties prenantes</w:t>
      </w:r>
      <w:r w:rsidR="0097152B" w:rsidRPr="005808ED">
        <w:rPr>
          <w:lang w:val="fr-FR"/>
        </w:rPr>
        <w:t> ;</w:t>
      </w:r>
    </w:p>
    <w:p w14:paraId="7EB63501" w14:textId="365E63BA" w:rsidR="00BA6E1D" w:rsidRPr="005808ED" w:rsidRDefault="009B23A5" w:rsidP="00F51980">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rPr>
          <w:lang w:val="fr-FR"/>
        </w:rPr>
      </w:pPr>
      <w:r w:rsidRPr="005808ED">
        <w:rPr>
          <w:lang w:val="fr-FR"/>
        </w:rPr>
        <w:t>De présenter le projet d</w:t>
      </w:r>
      <w:r w:rsidR="00B3097B" w:rsidRPr="005808ED">
        <w:rPr>
          <w:lang w:val="fr-FR"/>
        </w:rPr>
        <w:t>’</w:t>
      </w:r>
      <w:r w:rsidRPr="005808ED">
        <w:rPr>
          <w:lang w:val="fr-FR"/>
        </w:rPr>
        <w:t>orientations révisé à la Conférence des Parties à sa troisième</w:t>
      </w:r>
      <w:r w:rsidR="00FA6C22" w:rsidRPr="005808ED">
        <w:rPr>
          <w:lang w:val="fr-FR"/>
        </w:rPr>
        <w:t> </w:t>
      </w:r>
      <w:r w:rsidRPr="005808ED">
        <w:rPr>
          <w:lang w:val="fr-FR"/>
        </w:rPr>
        <w:t xml:space="preserve">réunion, pour examen et adoption éventuelle. </w:t>
      </w:r>
    </w:p>
    <w:p w14:paraId="2F1C671E" w14:textId="77777777" w:rsidR="000C2F3D" w:rsidRPr="005808ED" w:rsidRDefault="000C2F3D">
      <w:pPr>
        <w:tabs>
          <w:tab w:val="clear" w:pos="1247"/>
          <w:tab w:val="clear" w:pos="1814"/>
          <w:tab w:val="clear" w:pos="2381"/>
          <w:tab w:val="clear" w:pos="2948"/>
          <w:tab w:val="clear" w:pos="3515"/>
        </w:tabs>
        <w:rPr>
          <w:lang w:val="fr-FR"/>
        </w:rPr>
      </w:pPr>
    </w:p>
    <w:p w14:paraId="6FACB832" w14:textId="77777777" w:rsidR="00DA6A8D" w:rsidRPr="005808ED" w:rsidRDefault="00DA6A8D">
      <w:pPr>
        <w:tabs>
          <w:tab w:val="clear" w:pos="1247"/>
          <w:tab w:val="clear" w:pos="1814"/>
          <w:tab w:val="clear" w:pos="2381"/>
          <w:tab w:val="clear" w:pos="2948"/>
          <w:tab w:val="clear" w:pos="3515"/>
        </w:tabs>
        <w:rPr>
          <w:lang w:val="fr-FR"/>
        </w:rPr>
        <w:sectPr w:rsidR="00DA6A8D" w:rsidRPr="005808ED" w:rsidSect="00F51980">
          <w:headerReference w:type="even" r:id="rId11"/>
          <w:headerReference w:type="default" r:id="rId12"/>
          <w:footerReference w:type="even" r:id="rId13"/>
          <w:footerReference w:type="default" r:id="rId14"/>
          <w:headerReference w:type="first" r:id="rId15"/>
          <w:footerReference w:type="first" r:id="rId16"/>
          <w:pgSz w:w="11906" w:h="16838" w:code="9"/>
          <w:pgMar w:top="907" w:right="992" w:bottom="1418" w:left="1418" w:header="539" w:footer="975" w:gutter="0"/>
          <w:cols w:space="539"/>
          <w:titlePg/>
          <w:docGrid w:linePitch="360"/>
        </w:sectPr>
      </w:pPr>
    </w:p>
    <w:p w14:paraId="50234F3F" w14:textId="427B6461" w:rsidR="00F252EE" w:rsidRPr="005808ED" w:rsidRDefault="00F252EE" w:rsidP="00F51980">
      <w:pPr>
        <w:pStyle w:val="ZZAnxheader"/>
        <w:rPr>
          <w:sz w:val="24"/>
          <w:szCs w:val="24"/>
          <w:lang w:val="fr-FR"/>
        </w:rPr>
      </w:pPr>
      <w:bookmarkStart w:id="17" w:name="_Toc524355396"/>
      <w:bookmarkStart w:id="18" w:name="_Toc526346210"/>
      <w:bookmarkStart w:id="19" w:name="_Toc527017894"/>
      <w:r w:rsidRPr="005808ED">
        <w:rPr>
          <w:lang w:val="fr-FR"/>
        </w:rPr>
        <w:lastRenderedPageBreak/>
        <w:t>Annexe</w:t>
      </w:r>
      <w:r w:rsidR="00FA6C22" w:rsidRPr="005808ED">
        <w:rPr>
          <w:lang w:val="fr-FR"/>
        </w:rPr>
        <w:t> </w:t>
      </w:r>
      <w:r w:rsidRPr="005808ED">
        <w:rPr>
          <w:lang w:val="fr-FR"/>
        </w:rPr>
        <w:t>II</w:t>
      </w:r>
      <w:bookmarkEnd w:id="17"/>
      <w:bookmarkEnd w:id="18"/>
      <w:bookmarkEnd w:id="19"/>
    </w:p>
    <w:p w14:paraId="75A4121A" w14:textId="77777777" w:rsidR="00F252EE" w:rsidRPr="005808ED" w:rsidRDefault="00F252EE" w:rsidP="00F51980">
      <w:pPr>
        <w:pStyle w:val="ZZAnxtitle"/>
        <w:rPr>
          <w:lang w:val="fr-FR"/>
        </w:rPr>
      </w:pPr>
      <w:bookmarkStart w:id="20" w:name="_Toc526346211"/>
      <w:bookmarkStart w:id="21" w:name="_Toc527017895"/>
      <w:bookmarkStart w:id="22" w:name="_Toc524355397"/>
      <w:r w:rsidRPr="005808ED">
        <w:rPr>
          <w:lang w:val="fr-FR"/>
        </w:rPr>
        <w:t>Orientations sur la gestion des sites contaminés</w:t>
      </w:r>
      <w:bookmarkEnd w:id="20"/>
      <w:bookmarkEnd w:id="21"/>
      <w:r w:rsidRPr="005808ED">
        <w:rPr>
          <w:lang w:val="fr-FR"/>
        </w:rPr>
        <w:t xml:space="preserve"> </w:t>
      </w:r>
      <w:bookmarkEnd w:id="22"/>
    </w:p>
    <w:bookmarkStart w:id="23" w:name="_Toc524355398" w:displacedByCustomXml="next"/>
    <w:bookmarkStart w:id="24" w:name="_Toc526346212" w:displacedByCustomXml="next"/>
    <w:bookmarkStart w:id="25" w:name="_Toc527017896" w:displacedByCustomXml="next"/>
    <w:sdt>
      <w:sdtPr>
        <w:rPr>
          <w:b w:val="0"/>
          <w:sz w:val="20"/>
          <w:szCs w:val="20"/>
          <w:lang w:val="fr-FR"/>
        </w:rPr>
        <w:id w:val="300966580"/>
        <w:docPartObj>
          <w:docPartGallery w:val="Table of Contents"/>
          <w:docPartUnique/>
        </w:docPartObj>
      </w:sdtPr>
      <w:sdtEndPr>
        <w:rPr>
          <w:bCs/>
          <w:noProof/>
        </w:rPr>
      </w:sdtEndPr>
      <w:sdtContent>
        <w:p w14:paraId="1958439E" w14:textId="1E5DEA40" w:rsidR="00FA6C22" w:rsidRPr="005808ED" w:rsidRDefault="006D4D70" w:rsidP="00C97309">
          <w:pPr>
            <w:pStyle w:val="CH1"/>
            <w:spacing w:before="0" w:line="360" w:lineRule="auto"/>
            <w:ind w:firstLine="0"/>
            <w:rPr>
              <w:rFonts w:asciiTheme="minorHAnsi" w:eastAsiaTheme="minorEastAsia" w:hAnsiTheme="minorHAnsi" w:cstheme="minorBidi"/>
              <w:bCs/>
              <w:noProof/>
              <w:sz w:val="22"/>
              <w:szCs w:val="22"/>
              <w:lang w:val="fr-FR" w:eastAsia="en-GB"/>
            </w:rPr>
          </w:pPr>
          <w:r w:rsidRPr="005808ED">
            <w:rPr>
              <w:bCs/>
              <w:lang w:val="fr-FR"/>
            </w:rPr>
            <w:t>Table des matières</w:t>
          </w:r>
          <w:bookmarkEnd w:id="25"/>
          <w:bookmarkEnd w:id="24"/>
          <w:bookmarkEnd w:id="23"/>
          <w:r w:rsidR="00F51980" w:rsidRPr="005808ED">
            <w:rPr>
              <w:sz w:val="20"/>
              <w:szCs w:val="20"/>
              <w:lang w:val="fr-FR"/>
            </w:rPr>
            <w:fldChar w:fldCharType="begin"/>
          </w:r>
          <w:r w:rsidR="00F51980" w:rsidRPr="005808ED">
            <w:rPr>
              <w:sz w:val="20"/>
              <w:szCs w:val="20"/>
              <w:lang w:val="fr-FR"/>
            </w:rPr>
            <w:instrText xml:space="preserve"> TOC \h \z \t "CH1,1,CH2,2,ZZ_Anx_header,1,ZZ_Anx_title,2" </w:instrText>
          </w:r>
          <w:r w:rsidR="00F51980" w:rsidRPr="005808ED">
            <w:rPr>
              <w:sz w:val="20"/>
              <w:szCs w:val="20"/>
              <w:lang w:val="fr-FR"/>
            </w:rPr>
            <w:fldChar w:fldCharType="separate"/>
          </w:r>
        </w:p>
        <w:p w14:paraId="6A26C80E" w14:textId="45735745" w:rsidR="00FA6C22" w:rsidRPr="005808ED" w:rsidRDefault="00803936" w:rsidP="00C97309">
          <w:pPr>
            <w:pStyle w:val="TOC1"/>
            <w:spacing w:line="360" w:lineRule="auto"/>
            <w:rPr>
              <w:rFonts w:asciiTheme="minorHAnsi" w:eastAsiaTheme="minorEastAsia" w:hAnsiTheme="minorHAnsi" w:cstheme="minorBidi"/>
              <w:bCs w:val="0"/>
              <w:noProof/>
              <w:sz w:val="22"/>
              <w:szCs w:val="22"/>
              <w:lang w:eastAsia="en-GB"/>
            </w:rPr>
          </w:pPr>
          <w:hyperlink w:anchor="_Toc527017897" w:history="1">
            <w:r w:rsidR="00FA6C22" w:rsidRPr="005808ED">
              <w:rPr>
                <w:rStyle w:val="Hyperlink"/>
                <w:noProof/>
              </w:rPr>
              <w:t>A.</w:t>
            </w:r>
            <w:r w:rsidR="00FA6C22" w:rsidRPr="005808ED">
              <w:rPr>
                <w:rFonts w:asciiTheme="minorHAnsi" w:eastAsiaTheme="minorEastAsia" w:hAnsiTheme="minorHAnsi" w:cstheme="minorBidi"/>
                <w:bCs w:val="0"/>
                <w:noProof/>
                <w:sz w:val="22"/>
                <w:szCs w:val="22"/>
                <w:lang w:eastAsia="en-GB"/>
              </w:rPr>
              <w:tab/>
            </w:r>
            <w:r w:rsidR="00FA6C22" w:rsidRPr="005808ED">
              <w:rPr>
                <w:rStyle w:val="Hyperlink"/>
                <w:noProof/>
              </w:rPr>
              <w:t>Introduction</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_Toc527017897 \h </w:instrText>
            </w:r>
            <w:r w:rsidR="00FA6C22" w:rsidRPr="005808ED">
              <w:rPr>
                <w:noProof/>
                <w:webHidden/>
              </w:rPr>
            </w:r>
            <w:r w:rsidR="00FA6C22" w:rsidRPr="005808ED">
              <w:rPr>
                <w:noProof/>
                <w:webHidden/>
              </w:rPr>
              <w:fldChar w:fldCharType="separate"/>
            </w:r>
            <w:r w:rsidR="00862034">
              <w:rPr>
                <w:noProof/>
                <w:webHidden/>
              </w:rPr>
              <w:t>4</w:t>
            </w:r>
            <w:r w:rsidR="00FA6C22" w:rsidRPr="005808ED">
              <w:rPr>
                <w:noProof/>
                <w:webHidden/>
              </w:rPr>
              <w:fldChar w:fldCharType="end"/>
            </w:r>
          </w:hyperlink>
        </w:p>
        <w:p w14:paraId="6CD5C21C" w14:textId="36B27CD0" w:rsidR="00FA6C22" w:rsidRPr="005808ED" w:rsidRDefault="00803936" w:rsidP="00C97309">
          <w:pPr>
            <w:pStyle w:val="TOC2"/>
            <w:spacing w:line="360" w:lineRule="auto"/>
            <w:rPr>
              <w:rFonts w:asciiTheme="minorHAnsi" w:eastAsiaTheme="minorEastAsia" w:hAnsiTheme="minorHAnsi" w:cstheme="minorBidi"/>
              <w:noProof/>
              <w:sz w:val="22"/>
              <w:szCs w:val="22"/>
              <w:lang w:eastAsia="en-GB"/>
            </w:rPr>
          </w:pPr>
          <w:hyperlink w:anchor="_Toc527017898" w:history="1">
            <w:r w:rsidR="00FA6C22" w:rsidRPr="005808ED">
              <w:rPr>
                <w:rStyle w:val="Hyperlink"/>
                <w:noProof/>
              </w:rPr>
              <w:t>Risques pour la santé humaine et l’environnement</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_Toc527017898 \h </w:instrText>
            </w:r>
            <w:r w:rsidR="00FA6C22" w:rsidRPr="005808ED">
              <w:rPr>
                <w:noProof/>
                <w:webHidden/>
              </w:rPr>
            </w:r>
            <w:r w:rsidR="00FA6C22" w:rsidRPr="005808ED">
              <w:rPr>
                <w:noProof/>
                <w:webHidden/>
              </w:rPr>
              <w:fldChar w:fldCharType="separate"/>
            </w:r>
            <w:r w:rsidR="00862034">
              <w:rPr>
                <w:noProof/>
                <w:webHidden/>
              </w:rPr>
              <w:t>4</w:t>
            </w:r>
            <w:r w:rsidR="00FA6C22" w:rsidRPr="005808ED">
              <w:rPr>
                <w:noProof/>
                <w:webHidden/>
              </w:rPr>
              <w:fldChar w:fldCharType="end"/>
            </w:r>
          </w:hyperlink>
        </w:p>
        <w:p w14:paraId="5F84A421" w14:textId="3E876E17" w:rsidR="00FA6C22" w:rsidRPr="005808ED" w:rsidRDefault="00803936" w:rsidP="00C97309">
          <w:pPr>
            <w:pStyle w:val="TOC2"/>
            <w:spacing w:line="360" w:lineRule="auto"/>
            <w:rPr>
              <w:rFonts w:asciiTheme="minorHAnsi" w:eastAsiaTheme="minorEastAsia" w:hAnsiTheme="minorHAnsi" w:cstheme="minorBidi"/>
              <w:noProof/>
              <w:sz w:val="22"/>
              <w:szCs w:val="22"/>
              <w:lang w:eastAsia="en-GB"/>
            </w:rPr>
          </w:pPr>
          <w:hyperlink w:anchor="_Toc527017899" w:history="1">
            <w:r w:rsidR="00FA6C22" w:rsidRPr="005808ED">
              <w:rPr>
                <w:rStyle w:val="Hyperlink"/>
                <w:noProof/>
              </w:rPr>
              <w:t>Utilisation du mercure à l’échelle mondiale</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_Toc527017899 \h </w:instrText>
            </w:r>
            <w:r w:rsidR="00FA6C22" w:rsidRPr="005808ED">
              <w:rPr>
                <w:noProof/>
                <w:webHidden/>
              </w:rPr>
            </w:r>
            <w:r w:rsidR="00FA6C22" w:rsidRPr="005808ED">
              <w:rPr>
                <w:noProof/>
                <w:webHidden/>
              </w:rPr>
              <w:fldChar w:fldCharType="separate"/>
            </w:r>
            <w:r w:rsidR="00862034">
              <w:rPr>
                <w:noProof/>
                <w:webHidden/>
              </w:rPr>
              <w:t>6</w:t>
            </w:r>
            <w:r w:rsidR="00FA6C22" w:rsidRPr="005808ED">
              <w:rPr>
                <w:noProof/>
                <w:webHidden/>
              </w:rPr>
              <w:fldChar w:fldCharType="end"/>
            </w:r>
          </w:hyperlink>
        </w:p>
        <w:p w14:paraId="7E997ED8" w14:textId="01C7CA5B" w:rsidR="00FA6C22" w:rsidRPr="005808ED" w:rsidRDefault="00803936" w:rsidP="00C97309">
          <w:pPr>
            <w:pStyle w:val="TOC2"/>
            <w:spacing w:line="360" w:lineRule="auto"/>
            <w:rPr>
              <w:rFonts w:asciiTheme="minorHAnsi" w:eastAsiaTheme="minorEastAsia" w:hAnsiTheme="minorHAnsi" w:cstheme="minorBidi"/>
              <w:noProof/>
              <w:sz w:val="22"/>
              <w:szCs w:val="22"/>
              <w:lang w:eastAsia="en-GB"/>
            </w:rPr>
          </w:pPr>
          <w:hyperlink w:anchor="_Toc527017900" w:history="1">
            <w:r w:rsidR="00FA6C22" w:rsidRPr="005808ED">
              <w:rPr>
                <w:rStyle w:val="Hyperlink"/>
                <w:noProof/>
              </w:rPr>
              <w:t>Émissions et rejets de mercure</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_Toc527017900 \h </w:instrText>
            </w:r>
            <w:r w:rsidR="00FA6C22" w:rsidRPr="005808ED">
              <w:rPr>
                <w:noProof/>
                <w:webHidden/>
              </w:rPr>
            </w:r>
            <w:r w:rsidR="00FA6C22" w:rsidRPr="005808ED">
              <w:rPr>
                <w:noProof/>
                <w:webHidden/>
              </w:rPr>
              <w:fldChar w:fldCharType="separate"/>
            </w:r>
            <w:r w:rsidR="00862034">
              <w:rPr>
                <w:noProof/>
                <w:webHidden/>
              </w:rPr>
              <w:t>6</w:t>
            </w:r>
            <w:r w:rsidR="00FA6C22" w:rsidRPr="005808ED">
              <w:rPr>
                <w:noProof/>
                <w:webHidden/>
              </w:rPr>
              <w:fldChar w:fldCharType="end"/>
            </w:r>
          </w:hyperlink>
        </w:p>
        <w:p w14:paraId="61A42425" w14:textId="7AE31582" w:rsidR="00FA6C22" w:rsidRPr="005808ED" w:rsidRDefault="00803936" w:rsidP="00C97309">
          <w:pPr>
            <w:pStyle w:val="TOC2"/>
            <w:spacing w:line="360" w:lineRule="auto"/>
            <w:rPr>
              <w:rFonts w:asciiTheme="minorHAnsi" w:eastAsiaTheme="minorEastAsia" w:hAnsiTheme="minorHAnsi" w:cstheme="minorBidi"/>
              <w:noProof/>
              <w:sz w:val="22"/>
              <w:szCs w:val="22"/>
              <w:lang w:eastAsia="en-GB"/>
            </w:rPr>
          </w:pPr>
          <w:hyperlink w:anchor="_Toc527017901" w:history="1">
            <w:r w:rsidR="00FA6C22" w:rsidRPr="005808ED">
              <w:rPr>
                <w:rStyle w:val="Hyperlink"/>
                <w:noProof/>
              </w:rPr>
              <w:t>Obligations au titre de la Convention de Minamata sur le mercure</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_Toc527017901 \h </w:instrText>
            </w:r>
            <w:r w:rsidR="00FA6C22" w:rsidRPr="005808ED">
              <w:rPr>
                <w:noProof/>
                <w:webHidden/>
              </w:rPr>
            </w:r>
            <w:r w:rsidR="00FA6C22" w:rsidRPr="005808ED">
              <w:rPr>
                <w:noProof/>
                <w:webHidden/>
              </w:rPr>
              <w:fldChar w:fldCharType="separate"/>
            </w:r>
            <w:r w:rsidR="00862034">
              <w:rPr>
                <w:noProof/>
                <w:webHidden/>
              </w:rPr>
              <w:t>7</w:t>
            </w:r>
            <w:r w:rsidR="00FA6C22" w:rsidRPr="005808ED">
              <w:rPr>
                <w:noProof/>
                <w:webHidden/>
              </w:rPr>
              <w:fldChar w:fldCharType="end"/>
            </w:r>
          </w:hyperlink>
        </w:p>
        <w:p w14:paraId="710B8D0F" w14:textId="126F0260" w:rsidR="00FA6C22" w:rsidRPr="005808ED" w:rsidRDefault="00803936" w:rsidP="00C97309">
          <w:pPr>
            <w:pStyle w:val="TOC1"/>
            <w:spacing w:line="360" w:lineRule="auto"/>
            <w:rPr>
              <w:rFonts w:asciiTheme="minorHAnsi" w:eastAsiaTheme="minorEastAsia" w:hAnsiTheme="minorHAnsi" w:cstheme="minorBidi"/>
              <w:bCs w:val="0"/>
              <w:noProof/>
              <w:sz w:val="22"/>
              <w:szCs w:val="22"/>
              <w:lang w:eastAsia="en-GB"/>
            </w:rPr>
          </w:pPr>
          <w:hyperlink w:anchor="_Toc527017902" w:history="1">
            <w:r w:rsidR="00FA6C22" w:rsidRPr="005808ED">
              <w:rPr>
                <w:rStyle w:val="Hyperlink"/>
                <w:noProof/>
              </w:rPr>
              <w:t>B.</w:t>
            </w:r>
            <w:r w:rsidR="00FA6C22" w:rsidRPr="005808ED">
              <w:rPr>
                <w:rFonts w:asciiTheme="minorHAnsi" w:eastAsiaTheme="minorEastAsia" w:hAnsiTheme="minorHAnsi" w:cstheme="minorBidi"/>
                <w:bCs w:val="0"/>
                <w:noProof/>
                <w:sz w:val="22"/>
                <w:szCs w:val="22"/>
                <w:lang w:eastAsia="en-GB"/>
              </w:rPr>
              <w:tab/>
            </w:r>
            <w:r w:rsidR="00FA6C22" w:rsidRPr="005808ED">
              <w:rPr>
                <w:rStyle w:val="Hyperlink"/>
                <w:noProof/>
              </w:rPr>
              <w:t>Identification et caractérisation des sites contaminés</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_Toc527017902 \h </w:instrText>
            </w:r>
            <w:r w:rsidR="00FA6C22" w:rsidRPr="005808ED">
              <w:rPr>
                <w:noProof/>
                <w:webHidden/>
              </w:rPr>
            </w:r>
            <w:r w:rsidR="00FA6C22" w:rsidRPr="005808ED">
              <w:rPr>
                <w:noProof/>
                <w:webHidden/>
              </w:rPr>
              <w:fldChar w:fldCharType="separate"/>
            </w:r>
            <w:r w:rsidR="00862034">
              <w:rPr>
                <w:noProof/>
                <w:webHidden/>
              </w:rPr>
              <w:t>7</w:t>
            </w:r>
            <w:r w:rsidR="00FA6C22" w:rsidRPr="005808ED">
              <w:rPr>
                <w:noProof/>
                <w:webHidden/>
              </w:rPr>
              <w:fldChar w:fldCharType="end"/>
            </w:r>
          </w:hyperlink>
        </w:p>
        <w:p w14:paraId="632F6EAF" w14:textId="63DAE9BF" w:rsidR="00FA6C22" w:rsidRPr="005808ED" w:rsidRDefault="00803936" w:rsidP="00C97309">
          <w:pPr>
            <w:pStyle w:val="TOC2"/>
            <w:spacing w:line="360" w:lineRule="auto"/>
            <w:rPr>
              <w:rFonts w:asciiTheme="minorHAnsi" w:eastAsiaTheme="minorEastAsia" w:hAnsiTheme="minorHAnsi" w:cstheme="minorBidi"/>
              <w:noProof/>
              <w:sz w:val="22"/>
              <w:szCs w:val="22"/>
              <w:lang w:eastAsia="en-GB"/>
            </w:rPr>
          </w:pPr>
          <w:hyperlink w:anchor="_Toc527017903" w:history="1">
            <w:r w:rsidR="00FA6C22" w:rsidRPr="005808ED">
              <w:rPr>
                <w:rStyle w:val="Hyperlink"/>
                <w:noProof/>
              </w:rPr>
              <w:t>Identification des sites</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_Toc527017903 \h </w:instrText>
            </w:r>
            <w:r w:rsidR="00FA6C22" w:rsidRPr="005808ED">
              <w:rPr>
                <w:noProof/>
                <w:webHidden/>
              </w:rPr>
            </w:r>
            <w:r w:rsidR="00FA6C22" w:rsidRPr="005808ED">
              <w:rPr>
                <w:noProof/>
                <w:webHidden/>
              </w:rPr>
              <w:fldChar w:fldCharType="separate"/>
            </w:r>
            <w:r w:rsidR="00862034">
              <w:rPr>
                <w:noProof/>
                <w:webHidden/>
              </w:rPr>
              <w:t>7</w:t>
            </w:r>
            <w:r w:rsidR="00FA6C22" w:rsidRPr="005808ED">
              <w:rPr>
                <w:noProof/>
                <w:webHidden/>
              </w:rPr>
              <w:fldChar w:fldCharType="end"/>
            </w:r>
          </w:hyperlink>
        </w:p>
        <w:p w14:paraId="2DB621B1" w14:textId="7F8C0B83" w:rsidR="00FA6C22" w:rsidRPr="005808ED" w:rsidRDefault="00803936" w:rsidP="00C97309">
          <w:pPr>
            <w:pStyle w:val="TOC2"/>
            <w:spacing w:line="360" w:lineRule="auto"/>
            <w:rPr>
              <w:rFonts w:asciiTheme="minorHAnsi" w:eastAsiaTheme="minorEastAsia" w:hAnsiTheme="minorHAnsi" w:cstheme="minorBidi"/>
              <w:noProof/>
              <w:sz w:val="22"/>
              <w:szCs w:val="22"/>
              <w:lang w:eastAsia="en-GB"/>
            </w:rPr>
          </w:pPr>
          <w:hyperlink w:anchor="_Toc527017904" w:history="1">
            <w:r w:rsidR="00FA6C22" w:rsidRPr="005808ED">
              <w:rPr>
                <w:rStyle w:val="Hyperlink"/>
                <w:noProof/>
              </w:rPr>
              <w:t>Caractérisation des sites</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_Toc527017904 \h </w:instrText>
            </w:r>
            <w:r w:rsidR="00FA6C22" w:rsidRPr="005808ED">
              <w:rPr>
                <w:noProof/>
                <w:webHidden/>
              </w:rPr>
            </w:r>
            <w:r w:rsidR="00FA6C22" w:rsidRPr="005808ED">
              <w:rPr>
                <w:noProof/>
                <w:webHidden/>
              </w:rPr>
              <w:fldChar w:fldCharType="separate"/>
            </w:r>
            <w:r w:rsidR="00862034">
              <w:rPr>
                <w:noProof/>
                <w:webHidden/>
              </w:rPr>
              <w:t>9</w:t>
            </w:r>
            <w:r w:rsidR="00FA6C22" w:rsidRPr="005808ED">
              <w:rPr>
                <w:noProof/>
                <w:webHidden/>
              </w:rPr>
              <w:fldChar w:fldCharType="end"/>
            </w:r>
          </w:hyperlink>
        </w:p>
        <w:p w14:paraId="3F374F47" w14:textId="0A55F0A3" w:rsidR="00FA6C22" w:rsidRPr="005808ED" w:rsidRDefault="00803936" w:rsidP="00C97309">
          <w:pPr>
            <w:pStyle w:val="TOC1"/>
            <w:spacing w:line="360" w:lineRule="auto"/>
            <w:rPr>
              <w:rFonts w:asciiTheme="minorHAnsi" w:eastAsiaTheme="minorEastAsia" w:hAnsiTheme="minorHAnsi" w:cstheme="minorBidi"/>
              <w:bCs w:val="0"/>
              <w:noProof/>
              <w:sz w:val="22"/>
              <w:szCs w:val="22"/>
              <w:lang w:eastAsia="en-GB"/>
            </w:rPr>
          </w:pPr>
          <w:hyperlink w:anchor="_Toc527017905" w:history="1">
            <w:r w:rsidR="00FA6C22" w:rsidRPr="005808ED">
              <w:rPr>
                <w:rStyle w:val="Hyperlink"/>
                <w:noProof/>
              </w:rPr>
              <w:t>C.</w:t>
            </w:r>
            <w:r w:rsidR="00FA6C22" w:rsidRPr="005808ED">
              <w:rPr>
                <w:rFonts w:asciiTheme="minorHAnsi" w:eastAsiaTheme="minorEastAsia" w:hAnsiTheme="minorHAnsi" w:cstheme="minorBidi"/>
                <w:bCs w:val="0"/>
                <w:noProof/>
                <w:sz w:val="22"/>
                <w:szCs w:val="22"/>
                <w:lang w:eastAsia="en-GB"/>
              </w:rPr>
              <w:tab/>
            </w:r>
            <w:r w:rsidR="00FA6C22" w:rsidRPr="005808ED">
              <w:rPr>
                <w:rStyle w:val="Hyperlink"/>
                <w:noProof/>
              </w:rPr>
              <w:t>Mobilisation du public</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_Toc527017905 \h </w:instrText>
            </w:r>
            <w:r w:rsidR="00FA6C22" w:rsidRPr="005808ED">
              <w:rPr>
                <w:noProof/>
                <w:webHidden/>
              </w:rPr>
            </w:r>
            <w:r w:rsidR="00FA6C22" w:rsidRPr="005808ED">
              <w:rPr>
                <w:noProof/>
                <w:webHidden/>
              </w:rPr>
              <w:fldChar w:fldCharType="separate"/>
            </w:r>
            <w:r w:rsidR="00862034">
              <w:rPr>
                <w:noProof/>
                <w:webHidden/>
              </w:rPr>
              <w:t>11</w:t>
            </w:r>
            <w:r w:rsidR="00FA6C22" w:rsidRPr="005808ED">
              <w:rPr>
                <w:noProof/>
                <w:webHidden/>
              </w:rPr>
              <w:fldChar w:fldCharType="end"/>
            </w:r>
          </w:hyperlink>
        </w:p>
        <w:p w14:paraId="47E937AD" w14:textId="1A720373" w:rsidR="00FA6C22" w:rsidRPr="005808ED" w:rsidRDefault="00803936" w:rsidP="00C97309">
          <w:pPr>
            <w:pStyle w:val="TOC1"/>
            <w:spacing w:line="360" w:lineRule="auto"/>
            <w:rPr>
              <w:rFonts w:asciiTheme="minorHAnsi" w:eastAsiaTheme="minorEastAsia" w:hAnsiTheme="minorHAnsi" w:cstheme="minorBidi"/>
              <w:bCs w:val="0"/>
              <w:noProof/>
              <w:sz w:val="22"/>
              <w:szCs w:val="22"/>
              <w:lang w:eastAsia="en-GB"/>
            </w:rPr>
          </w:pPr>
          <w:hyperlink w:anchor="_Toc527017906" w:history="1">
            <w:r w:rsidR="00FA6C22" w:rsidRPr="005808ED">
              <w:rPr>
                <w:rStyle w:val="Hyperlink"/>
                <w:noProof/>
              </w:rPr>
              <w:t>D.</w:t>
            </w:r>
            <w:r w:rsidR="00FA6C22" w:rsidRPr="005808ED">
              <w:rPr>
                <w:rFonts w:asciiTheme="minorHAnsi" w:eastAsiaTheme="minorEastAsia" w:hAnsiTheme="minorHAnsi" w:cstheme="minorBidi"/>
                <w:bCs w:val="0"/>
                <w:noProof/>
                <w:sz w:val="22"/>
                <w:szCs w:val="22"/>
                <w:lang w:eastAsia="en-GB"/>
              </w:rPr>
              <w:tab/>
            </w:r>
            <w:r w:rsidR="00FA6C22" w:rsidRPr="005808ED">
              <w:rPr>
                <w:rStyle w:val="Hyperlink"/>
                <w:noProof/>
              </w:rPr>
              <w:t>Évaluations des risques pour la santé humaine et l’environnement</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_Toc527017906 \h </w:instrText>
            </w:r>
            <w:r w:rsidR="00FA6C22" w:rsidRPr="005808ED">
              <w:rPr>
                <w:noProof/>
                <w:webHidden/>
              </w:rPr>
            </w:r>
            <w:r w:rsidR="00FA6C22" w:rsidRPr="005808ED">
              <w:rPr>
                <w:noProof/>
                <w:webHidden/>
              </w:rPr>
              <w:fldChar w:fldCharType="separate"/>
            </w:r>
            <w:r w:rsidR="00862034">
              <w:rPr>
                <w:noProof/>
                <w:webHidden/>
              </w:rPr>
              <w:t>12</w:t>
            </w:r>
            <w:r w:rsidR="00FA6C22" w:rsidRPr="005808ED">
              <w:rPr>
                <w:noProof/>
                <w:webHidden/>
              </w:rPr>
              <w:fldChar w:fldCharType="end"/>
            </w:r>
          </w:hyperlink>
        </w:p>
        <w:p w14:paraId="5909BC5E" w14:textId="147C0E28" w:rsidR="00FA6C22" w:rsidRPr="005808ED" w:rsidRDefault="00803936" w:rsidP="00C97309">
          <w:pPr>
            <w:pStyle w:val="TOC1"/>
            <w:spacing w:line="360" w:lineRule="auto"/>
            <w:rPr>
              <w:rFonts w:asciiTheme="minorHAnsi" w:eastAsiaTheme="minorEastAsia" w:hAnsiTheme="minorHAnsi" w:cstheme="minorBidi"/>
              <w:bCs w:val="0"/>
              <w:noProof/>
              <w:sz w:val="22"/>
              <w:szCs w:val="22"/>
              <w:lang w:eastAsia="en-GB"/>
            </w:rPr>
          </w:pPr>
          <w:hyperlink w:anchor="_Toc527017907" w:history="1">
            <w:r w:rsidR="00FA6C22" w:rsidRPr="005808ED">
              <w:rPr>
                <w:rStyle w:val="Hyperlink"/>
                <w:noProof/>
              </w:rPr>
              <w:t>E.</w:t>
            </w:r>
            <w:r w:rsidR="00FA6C22" w:rsidRPr="005808ED">
              <w:rPr>
                <w:rFonts w:asciiTheme="minorHAnsi" w:eastAsiaTheme="minorEastAsia" w:hAnsiTheme="minorHAnsi" w:cstheme="minorBidi"/>
                <w:bCs w:val="0"/>
                <w:noProof/>
                <w:sz w:val="22"/>
                <w:szCs w:val="22"/>
                <w:lang w:eastAsia="en-GB"/>
              </w:rPr>
              <w:tab/>
            </w:r>
            <w:r w:rsidR="00FA6C22" w:rsidRPr="005808ED">
              <w:rPr>
                <w:rStyle w:val="Hyperlink"/>
                <w:noProof/>
              </w:rPr>
              <w:t>Options de gestion des risques présentés par les sites contaminés</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_Toc527017907 \h </w:instrText>
            </w:r>
            <w:r w:rsidR="00FA6C22" w:rsidRPr="005808ED">
              <w:rPr>
                <w:noProof/>
                <w:webHidden/>
              </w:rPr>
            </w:r>
            <w:r w:rsidR="00FA6C22" w:rsidRPr="005808ED">
              <w:rPr>
                <w:noProof/>
                <w:webHidden/>
              </w:rPr>
              <w:fldChar w:fldCharType="separate"/>
            </w:r>
            <w:r w:rsidR="00862034">
              <w:rPr>
                <w:noProof/>
                <w:webHidden/>
              </w:rPr>
              <w:t>14</w:t>
            </w:r>
            <w:r w:rsidR="00FA6C22" w:rsidRPr="005808ED">
              <w:rPr>
                <w:noProof/>
                <w:webHidden/>
              </w:rPr>
              <w:fldChar w:fldCharType="end"/>
            </w:r>
          </w:hyperlink>
        </w:p>
        <w:p w14:paraId="658C37CA" w14:textId="576ACA98" w:rsidR="00FA6C22" w:rsidRPr="005808ED" w:rsidRDefault="00803936" w:rsidP="00C97309">
          <w:pPr>
            <w:pStyle w:val="TOC2"/>
            <w:spacing w:line="360" w:lineRule="auto"/>
            <w:rPr>
              <w:rFonts w:asciiTheme="minorHAnsi" w:eastAsiaTheme="minorEastAsia" w:hAnsiTheme="minorHAnsi" w:cstheme="minorBidi"/>
              <w:noProof/>
              <w:sz w:val="22"/>
              <w:szCs w:val="22"/>
              <w:lang w:eastAsia="en-GB"/>
            </w:rPr>
          </w:pPr>
          <w:hyperlink w:anchor="_Toc527017908" w:history="1">
            <w:r w:rsidR="00FA6C22" w:rsidRPr="005808ED">
              <w:rPr>
                <w:rStyle w:val="Hyperlink"/>
                <w:noProof/>
              </w:rPr>
              <w:t>Traitement des sols</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_Toc527017908 \h </w:instrText>
            </w:r>
            <w:r w:rsidR="00FA6C22" w:rsidRPr="005808ED">
              <w:rPr>
                <w:noProof/>
                <w:webHidden/>
              </w:rPr>
            </w:r>
            <w:r w:rsidR="00FA6C22" w:rsidRPr="005808ED">
              <w:rPr>
                <w:noProof/>
                <w:webHidden/>
              </w:rPr>
              <w:fldChar w:fldCharType="separate"/>
            </w:r>
            <w:r w:rsidR="00862034">
              <w:rPr>
                <w:noProof/>
                <w:webHidden/>
              </w:rPr>
              <w:t>15</w:t>
            </w:r>
            <w:r w:rsidR="00FA6C22" w:rsidRPr="005808ED">
              <w:rPr>
                <w:noProof/>
                <w:webHidden/>
              </w:rPr>
              <w:fldChar w:fldCharType="end"/>
            </w:r>
          </w:hyperlink>
        </w:p>
        <w:p w14:paraId="4F4531D3" w14:textId="7045EF1A" w:rsidR="00FA6C22" w:rsidRPr="005808ED" w:rsidRDefault="00803936" w:rsidP="00C97309">
          <w:pPr>
            <w:pStyle w:val="TOC2"/>
            <w:spacing w:line="360" w:lineRule="auto"/>
            <w:rPr>
              <w:rFonts w:asciiTheme="minorHAnsi" w:eastAsiaTheme="minorEastAsia" w:hAnsiTheme="minorHAnsi" w:cstheme="minorBidi"/>
              <w:noProof/>
              <w:sz w:val="22"/>
              <w:szCs w:val="22"/>
              <w:lang w:eastAsia="en-GB"/>
            </w:rPr>
          </w:pPr>
          <w:hyperlink w:anchor="_Toc527017909" w:history="1">
            <w:r w:rsidR="00FA6C22" w:rsidRPr="005808ED">
              <w:rPr>
                <w:rStyle w:val="Hyperlink"/>
                <w:noProof/>
              </w:rPr>
              <w:t>Techniques de traitement de l’eau</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_Toc527017909 \h </w:instrText>
            </w:r>
            <w:r w:rsidR="00FA6C22" w:rsidRPr="005808ED">
              <w:rPr>
                <w:noProof/>
                <w:webHidden/>
              </w:rPr>
            </w:r>
            <w:r w:rsidR="00FA6C22" w:rsidRPr="005808ED">
              <w:rPr>
                <w:noProof/>
                <w:webHidden/>
              </w:rPr>
              <w:fldChar w:fldCharType="separate"/>
            </w:r>
            <w:r w:rsidR="00862034">
              <w:rPr>
                <w:noProof/>
                <w:webHidden/>
              </w:rPr>
              <w:t>16</w:t>
            </w:r>
            <w:r w:rsidR="00FA6C22" w:rsidRPr="005808ED">
              <w:rPr>
                <w:noProof/>
                <w:webHidden/>
              </w:rPr>
              <w:fldChar w:fldCharType="end"/>
            </w:r>
          </w:hyperlink>
        </w:p>
        <w:p w14:paraId="2C9545A5" w14:textId="0A6C1806" w:rsidR="00FA6C22" w:rsidRPr="005808ED" w:rsidRDefault="00803936" w:rsidP="00C97309">
          <w:pPr>
            <w:pStyle w:val="TOC1"/>
            <w:spacing w:line="360" w:lineRule="auto"/>
            <w:rPr>
              <w:rFonts w:asciiTheme="minorHAnsi" w:eastAsiaTheme="minorEastAsia" w:hAnsiTheme="minorHAnsi" w:cstheme="minorBidi"/>
              <w:bCs w:val="0"/>
              <w:noProof/>
              <w:sz w:val="22"/>
              <w:szCs w:val="22"/>
              <w:lang w:eastAsia="en-GB"/>
            </w:rPr>
          </w:pPr>
          <w:hyperlink w:anchor="_Toc527017910" w:history="1">
            <w:r w:rsidR="00FA6C22" w:rsidRPr="005808ED">
              <w:rPr>
                <w:rStyle w:val="Hyperlink"/>
                <w:noProof/>
              </w:rPr>
              <w:t>F.</w:t>
            </w:r>
            <w:r w:rsidR="00FA6C22" w:rsidRPr="005808ED">
              <w:rPr>
                <w:rFonts w:asciiTheme="minorHAnsi" w:eastAsiaTheme="minorEastAsia" w:hAnsiTheme="minorHAnsi" w:cstheme="minorBidi"/>
                <w:bCs w:val="0"/>
                <w:noProof/>
                <w:sz w:val="22"/>
                <w:szCs w:val="22"/>
                <w:lang w:eastAsia="en-GB"/>
              </w:rPr>
              <w:tab/>
            </w:r>
            <w:r w:rsidR="00FA6C22" w:rsidRPr="005808ED">
              <w:rPr>
                <w:rStyle w:val="Hyperlink"/>
                <w:noProof/>
              </w:rPr>
              <w:t>Évaluation des avantages et des coûts</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_Toc527017910 \h </w:instrText>
            </w:r>
            <w:r w:rsidR="00FA6C22" w:rsidRPr="005808ED">
              <w:rPr>
                <w:noProof/>
                <w:webHidden/>
              </w:rPr>
            </w:r>
            <w:r w:rsidR="00FA6C22" w:rsidRPr="005808ED">
              <w:rPr>
                <w:noProof/>
                <w:webHidden/>
              </w:rPr>
              <w:fldChar w:fldCharType="separate"/>
            </w:r>
            <w:r w:rsidR="00862034">
              <w:rPr>
                <w:noProof/>
                <w:webHidden/>
              </w:rPr>
              <w:t>17</w:t>
            </w:r>
            <w:r w:rsidR="00FA6C22" w:rsidRPr="005808ED">
              <w:rPr>
                <w:noProof/>
                <w:webHidden/>
              </w:rPr>
              <w:fldChar w:fldCharType="end"/>
            </w:r>
          </w:hyperlink>
        </w:p>
        <w:p w14:paraId="759D842F" w14:textId="57131AD5" w:rsidR="00FA6C22" w:rsidRPr="005808ED" w:rsidRDefault="00803936" w:rsidP="00C97309">
          <w:pPr>
            <w:pStyle w:val="TOC1"/>
            <w:spacing w:line="360" w:lineRule="auto"/>
            <w:rPr>
              <w:rFonts w:asciiTheme="minorHAnsi" w:eastAsiaTheme="minorEastAsia" w:hAnsiTheme="minorHAnsi" w:cstheme="minorBidi"/>
              <w:bCs w:val="0"/>
              <w:noProof/>
              <w:sz w:val="22"/>
              <w:szCs w:val="22"/>
              <w:lang w:eastAsia="en-GB"/>
            </w:rPr>
          </w:pPr>
          <w:hyperlink w:anchor="_Toc527017911" w:history="1">
            <w:r w:rsidR="00FA6C22" w:rsidRPr="005808ED">
              <w:rPr>
                <w:rStyle w:val="Hyperlink"/>
                <w:noProof/>
              </w:rPr>
              <w:t>G.</w:t>
            </w:r>
            <w:r w:rsidR="00FA6C22" w:rsidRPr="005808ED">
              <w:rPr>
                <w:rFonts w:asciiTheme="minorHAnsi" w:eastAsiaTheme="minorEastAsia" w:hAnsiTheme="minorHAnsi" w:cstheme="minorBidi"/>
                <w:bCs w:val="0"/>
                <w:noProof/>
                <w:sz w:val="22"/>
                <w:szCs w:val="22"/>
                <w:lang w:eastAsia="en-GB"/>
              </w:rPr>
              <w:tab/>
            </w:r>
            <w:r w:rsidR="00FA6C22" w:rsidRPr="005808ED">
              <w:rPr>
                <w:rStyle w:val="Hyperlink"/>
                <w:noProof/>
              </w:rPr>
              <w:t>Validation des résultats</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_Toc527017911 \h </w:instrText>
            </w:r>
            <w:r w:rsidR="00FA6C22" w:rsidRPr="005808ED">
              <w:rPr>
                <w:noProof/>
                <w:webHidden/>
              </w:rPr>
            </w:r>
            <w:r w:rsidR="00FA6C22" w:rsidRPr="005808ED">
              <w:rPr>
                <w:noProof/>
                <w:webHidden/>
              </w:rPr>
              <w:fldChar w:fldCharType="separate"/>
            </w:r>
            <w:r w:rsidR="00862034">
              <w:rPr>
                <w:noProof/>
                <w:webHidden/>
              </w:rPr>
              <w:t>18</w:t>
            </w:r>
            <w:r w:rsidR="00FA6C22" w:rsidRPr="005808ED">
              <w:rPr>
                <w:noProof/>
                <w:webHidden/>
              </w:rPr>
              <w:fldChar w:fldCharType="end"/>
            </w:r>
          </w:hyperlink>
        </w:p>
        <w:p w14:paraId="36E4F696" w14:textId="00FE4C08" w:rsidR="00FA6C22" w:rsidRPr="005808ED" w:rsidRDefault="00803936" w:rsidP="00C97309">
          <w:pPr>
            <w:pStyle w:val="TOC1"/>
            <w:spacing w:before="120"/>
            <w:rPr>
              <w:rFonts w:asciiTheme="minorHAnsi" w:eastAsiaTheme="minorEastAsia" w:hAnsiTheme="minorHAnsi" w:cstheme="minorBidi"/>
              <w:bCs w:val="0"/>
              <w:noProof/>
              <w:sz w:val="22"/>
              <w:szCs w:val="22"/>
              <w:lang w:eastAsia="en-GB"/>
            </w:rPr>
          </w:pPr>
          <w:hyperlink w:anchor="_Toc527017912" w:history="1">
            <w:r w:rsidR="00FA6C22" w:rsidRPr="005808ED">
              <w:rPr>
                <w:rStyle w:val="Hyperlink"/>
                <w:noProof/>
              </w:rPr>
              <w:t>H.</w:t>
            </w:r>
            <w:r w:rsidR="00FA6C22" w:rsidRPr="005808ED">
              <w:rPr>
                <w:rFonts w:asciiTheme="minorHAnsi" w:eastAsiaTheme="minorEastAsia" w:hAnsiTheme="minorHAnsi" w:cstheme="minorBidi"/>
                <w:bCs w:val="0"/>
                <w:noProof/>
                <w:sz w:val="22"/>
                <w:szCs w:val="22"/>
                <w:lang w:eastAsia="en-GB"/>
              </w:rPr>
              <w:tab/>
            </w:r>
            <w:r w:rsidR="00FA6C22" w:rsidRPr="005808ED">
              <w:rPr>
                <w:rStyle w:val="Hyperlink"/>
                <w:noProof/>
              </w:rPr>
              <w:t xml:space="preserve">Coopération pour l’élaboration de stratégies et l’exécution d’activités visant à identifier, évaluer, classer par ordre de priorité, gérer et, s’il y a lieu, </w:t>
            </w:r>
            <w:r w:rsidR="00F32A79" w:rsidRPr="005808ED">
              <w:rPr>
                <w:rStyle w:val="Hyperlink"/>
                <w:noProof/>
              </w:rPr>
              <w:br/>
            </w:r>
            <w:r w:rsidR="00FA6C22" w:rsidRPr="005808ED">
              <w:rPr>
                <w:rStyle w:val="Hyperlink"/>
                <w:noProof/>
              </w:rPr>
              <w:t>remettre en état les sites contaminés</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_Toc527017912 \h </w:instrText>
            </w:r>
            <w:r w:rsidR="00FA6C22" w:rsidRPr="005808ED">
              <w:rPr>
                <w:noProof/>
                <w:webHidden/>
              </w:rPr>
            </w:r>
            <w:r w:rsidR="00FA6C22" w:rsidRPr="005808ED">
              <w:rPr>
                <w:noProof/>
                <w:webHidden/>
              </w:rPr>
              <w:fldChar w:fldCharType="separate"/>
            </w:r>
            <w:r w:rsidR="00862034">
              <w:rPr>
                <w:noProof/>
                <w:webHidden/>
              </w:rPr>
              <w:t>18</w:t>
            </w:r>
            <w:r w:rsidR="00FA6C22" w:rsidRPr="005808ED">
              <w:rPr>
                <w:noProof/>
                <w:webHidden/>
              </w:rPr>
              <w:fldChar w:fldCharType="end"/>
            </w:r>
          </w:hyperlink>
        </w:p>
        <w:p w14:paraId="08D4A78C" w14:textId="3A98A9B0" w:rsidR="00FA6C22" w:rsidRPr="005808ED" w:rsidRDefault="00803936" w:rsidP="00C97309">
          <w:pPr>
            <w:pStyle w:val="TOC1"/>
            <w:spacing w:line="360" w:lineRule="auto"/>
            <w:rPr>
              <w:rFonts w:asciiTheme="minorHAnsi" w:eastAsiaTheme="minorEastAsia" w:hAnsiTheme="minorHAnsi" w:cstheme="minorBidi"/>
              <w:bCs w:val="0"/>
              <w:noProof/>
              <w:sz w:val="22"/>
              <w:szCs w:val="22"/>
              <w:lang w:eastAsia="en-GB"/>
            </w:rPr>
          </w:pPr>
          <w:hyperlink w:anchor="_Toc527017913" w:history="1">
            <w:r w:rsidR="00FA6C22" w:rsidRPr="005808ED">
              <w:rPr>
                <w:rStyle w:val="Hyperlink"/>
                <w:noProof/>
              </w:rPr>
              <w:t>R</w:t>
            </w:r>
            <w:r w:rsidR="001118BA" w:rsidRPr="005808ED">
              <w:rPr>
                <w:rStyle w:val="Hyperlink"/>
                <w:noProof/>
              </w:rPr>
              <w:t>éfé</w:t>
            </w:r>
            <w:r w:rsidR="00FA6C22" w:rsidRPr="005808ED">
              <w:rPr>
                <w:rStyle w:val="Hyperlink"/>
                <w:noProof/>
              </w:rPr>
              <w:t>rences</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_Toc527017913 \h </w:instrText>
            </w:r>
            <w:r w:rsidR="00FA6C22" w:rsidRPr="005808ED">
              <w:rPr>
                <w:noProof/>
                <w:webHidden/>
              </w:rPr>
            </w:r>
            <w:r w:rsidR="00FA6C22" w:rsidRPr="005808ED">
              <w:rPr>
                <w:noProof/>
                <w:webHidden/>
              </w:rPr>
              <w:fldChar w:fldCharType="separate"/>
            </w:r>
            <w:r w:rsidR="00862034">
              <w:rPr>
                <w:noProof/>
                <w:webHidden/>
              </w:rPr>
              <w:t>20</w:t>
            </w:r>
            <w:r w:rsidR="00FA6C22" w:rsidRPr="005808ED">
              <w:rPr>
                <w:noProof/>
                <w:webHidden/>
              </w:rPr>
              <w:fldChar w:fldCharType="end"/>
            </w:r>
          </w:hyperlink>
        </w:p>
        <w:p w14:paraId="7B4CC25A" w14:textId="16A7BF4E" w:rsidR="00FA6C22" w:rsidRPr="005808ED" w:rsidRDefault="00803936" w:rsidP="00D93ADB">
          <w:pPr>
            <w:pStyle w:val="TOC1"/>
            <w:tabs>
              <w:tab w:val="clear" w:pos="1814"/>
              <w:tab w:val="left" w:pos="1843"/>
            </w:tabs>
            <w:spacing w:line="360" w:lineRule="auto"/>
            <w:ind w:left="1247" w:firstLine="0"/>
            <w:rPr>
              <w:rFonts w:asciiTheme="minorHAnsi" w:eastAsiaTheme="minorEastAsia" w:hAnsiTheme="minorHAnsi" w:cstheme="minorBidi"/>
              <w:noProof/>
              <w:sz w:val="22"/>
              <w:szCs w:val="22"/>
              <w:lang w:eastAsia="en-GB"/>
            </w:rPr>
          </w:pPr>
          <w:hyperlink w:anchor="_Toc527017914" w:history="1">
            <w:r w:rsidR="00FA6C22" w:rsidRPr="005808ED">
              <w:rPr>
                <w:rStyle w:val="Hyperlink"/>
                <w:noProof/>
              </w:rPr>
              <w:t>Appendice</w:t>
            </w:r>
            <w:r w:rsidR="00D93ADB">
              <w:rPr>
                <w:rStyle w:val="Hyperlink"/>
                <w:noProof/>
              </w:rPr>
              <w:t>s</w:t>
            </w:r>
            <w:r w:rsidR="00D93ADB">
              <w:rPr>
                <w:rStyle w:val="Hyperlink"/>
                <w:noProof/>
              </w:rPr>
              <w:br/>
            </w:r>
            <w:r w:rsidR="00FA6C22" w:rsidRPr="005808ED">
              <w:rPr>
                <w:rStyle w:val="Hyperlink"/>
                <w:noProof/>
              </w:rPr>
              <w:t>I</w:t>
            </w:r>
          </w:hyperlink>
          <w:r w:rsidR="00D93ADB">
            <w:rPr>
              <w:rStyle w:val="Hyperlink"/>
              <w:noProof/>
            </w:rPr>
            <w:t xml:space="preserve"> </w:t>
          </w:r>
          <w:r w:rsidR="00D93ADB">
            <w:rPr>
              <w:rStyle w:val="Hyperlink"/>
              <w:noProof/>
            </w:rPr>
            <w:tab/>
          </w:r>
          <w:hyperlink w:anchor="_Toc527017915" w:history="1">
            <w:r w:rsidR="00FA6C22" w:rsidRPr="005808ED">
              <w:rPr>
                <w:rStyle w:val="Hyperlink"/>
                <w:noProof/>
              </w:rPr>
              <w:t>Informations techniques supplémentaires</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_Toc527017915 \h </w:instrText>
            </w:r>
            <w:r w:rsidR="00FA6C22" w:rsidRPr="005808ED">
              <w:rPr>
                <w:noProof/>
                <w:webHidden/>
              </w:rPr>
            </w:r>
            <w:r w:rsidR="00FA6C22" w:rsidRPr="005808ED">
              <w:rPr>
                <w:noProof/>
                <w:webHidden/>
              </w:rPr>
              <w:fldChar w:fldCharType="separate"/>
            </w:r>
            <w:r w:rsidR="00862034">
              <w:rPr>
                <w:noProof/>
                <w:webHidden/>
              </w:rPr>
              <w:t>21</w:t>
            </w:r>
            <w:r w:rsidR="00FA6C22" w:rsidRPr="005808ED">
              <w:rPr>
                <w:noProof/>
                <w:webHidden/>
              </w:rPr>
              <w:fldChar w:fldCharType="end"/>
            </w:r>
          </w:hyperlink>
        </w:p>
        <w:p w14:paraId="4E7BD72B" w14:textId="388B1C08" w:rsidR="00FA6C22" w:rsidRPr="005808ED" w:rsidRDefault="00D93ADB" w:rsidP="00C97309">
          <w:pPr>
            <w:pStyle w:val="TOC1"/>
            <w:spacing w:line="360" w:lineRule="auto"/>
            <w:rPr>
              <w:rFonts w:asciiTheme="minorHAnsi" w:eastAsiaTheme="minorEastAsia" w:hAnsiTheme="minorHAnsi" w:cstheme="minorBidi"/>
              <w:noProof/>
              <w:sz w:val="22"/>
              <w:szCs w:val="22"/>
              <w:lang w:eastAsia="en-GB"/>
            </w:rPr>
          </w:pPr>
          <w:r>
            <w:rPr>
              <w:rStyle w:val="Hyperlink"/>
              <w:noProof/>
            </w:rPr>
            <w:t>II</w:t>
          </w:r>
          <w:r>
            <w:rPr>
              <w:rStyle w:val="Hyperlink"/>
              <w:noProof/>
            </w:rPr>
            <w:tab/>
          </w:r>
          <w:hyperlink w:anchor="_Toc527017917" w:history="1"/>
          <w:hyperlink w:anchor="_Toc527017918" w:history="1">
            <w:r w:rsidR="00FA6C22" w:rsidRPr="005808ED">
              <w:rPr>
                <w:rStyle w:val="Hyperlink"/>
                <w:noProof/>
              </w:rPr>
              <w:t>Cadre et arbre de décision initial pour la gestion des sites contaminés</w:t>
            </w:r>
            <w:r w:rsidR="00FA6C22" w:rsidRPr="005808ED">
              <w:rPr>
                <w:noProof/>
                <w:webHidden/>
              </w:rPr>
              <w:tab/>
            </w:r>
            <w:r w:rsidR="00FA6C22" w:rsidRPr="005808ED">
              <w:rPr>
                <w:noProof/>
                <w:webHidden/>
              </w:rPr>
              <w:fldChar w:fldCharType="begin"/>
            </w:r>
            <w:r w:rsidR="00FA6C22" w:rsidRPr="005808ED">
              <w:rPr>
                <w:noProof/>
                <w:webHidden/>
              </w:rPr>
              <w:instrText xml:space="preserve"> PAGEREF _Toc527017918 \h </w:instrText>
            </w:r>
            <w:r w:rsidR="00FA6C22" w:rsidRPr="005808ED">
              <w:rPr>
                <w:noProof/>
                <w:webHidden/>
              </w:rPr>
            </w:r>
            <w:r w:rsidR="00FA6C22" w:rsidRPr="005808ED">
              <w:rPr>
                <w:noProof/>
                <w:webHidden/>
              </w:rPr>
              <w:fldChar w:fldCharType="separate"/>
            </w:r>
            <w:r w:rsidR="00862034">
              <w:rPr>
                <w:noProof/>
                <w:webHidden/>
              </w:rPr>
              <w:t>22</w:t>
            </w:r>
            <w:r w:rsidR="00FA6C22" w:rsidRPr="005808ED">
              <w:rPr>
                <w:noProof/>
                <w:webHidden/>
              </w:rPr>
              <w:fldChar w:fldCharType="end"/>
            </w:r>
          </w:hyperlink>
        </w:p>
        <w:p w14:paraId="6E23A4FE" w14:textId="77777777" w:rsidR="006D4D70" w:rsidRPr="005808ED" w:rsidRDefault="00F51980" w:rsidP="00F51980">
          <w:pPr>
            <w:spacing w:after="120"/>
            <w:rPr>
              <w:lang w:val="fr-FR"/>
            </w:rPr>
          </w:pPr>
          <w:r w:rsidRPr="005808ED">
            <w:rPr>
              <w:lang w:val="fr-FR"/>
            </w:rPr>
            <w:fldChar w:fldCharType="end"/>
          </w:r>
        </w:p>
      </w:sdtContent>
    </w:sdt>
    <w:p w14:paraId="687D89B9" w14:textId="77777777" w:rsidR="00F252EE" w:rsidRPr="005808ED" w:rsidRDefault="00F252EE" w:rsidP="00F252EE">
      <w:pPr>
        <w:pStyle w:val="CH2"/>
        <w:rPr>
          <w:sz w:val="20"/>
          <w:szCs w:val="20"/>
          <w:lang w:val="fr-FR"/>
        </w:rPr>
      </w:pPr>
      <w:r w:rsidRPr="005808ED">
        <w:rPr>
          <w:sz w:val="20"/>
          <w:szCs w:val="20"/>
          <w:lang w:val="fr-FR"/>
        </w:rPr>
        <w:br w:type="page"/>
      </w:r>
    </w:p>
    <w:p w14:paraId="33197C50" w14:textId="1A3D748C" w:rsidR="00F252EE" w:rsidRPr="005808ED" w:rsidRDefault="00825F66" w:rsidP="00F51980">
      <w:pPr>
        <w:pStyle w:val="CH1"/>
        <w:rPr>
          <w:lang w:val="fr-FR"/>
        </w:rPr>
      </w:pPr>
      <w:r w:rsidRPr="005808ED">
        <w:rPr>
          <w:lang w:val="fr-FR"/>
        </w:rPr>
        <w:lastRenderedPageBreak/>
        <w:tab/>
      </w:r>
      <w:bookmarkStart w:id="26" w:name="_Toc527017897"/>
      <w:r w:rsidR="00F252EE" w:rsidRPr="005808ED">
        <w:rPr>
          <w:lang w:val="fr-FR"/>
        </w:rPr>
        <w:t>A.</w:t>
      </w:r>
      <w:r w:rsidR="00F252EE" w:rsidRPr="005808ED">
        <w:rPr>
          <w:lang w:val="fr-FR"/>
        </w:rPr>
        <w:tab/>
      </w:r>
      <w:r w:rsidR="00F252EE" w:rsidRPr="005808ED">
        <w:rPr>
          <w:bCs/>
          <w:lang w:val="fr-FR"/>
        </w:rPr>
        <w:t>Introduction</w:t>
      </w:r>
      <w:bookmarkEnd w:id="26"/>
    </w:p>
    <w:p w14:paraId="73C2D76F" w14:textId="1EF441B0" w:rsidR="00F252EE" w:rsidRPr="005808ED" w:rsidRDefault="00F252EE" w:rsidP="00F51980">
      <w:pPr>
        <w:pStyle w:val="Normalnumber"/>
        <w:numPr>
          <w:ilvl w:val="0"/>
          <w:numId w:val="12"/>
        </w:numPr>
        <w:ind w:left="1247" w:firstLine="0"/>
        <w:rPr>
          <w:lang w:val="fr-FR"/>
        </w:rPr>
      </w:pPr>
      <w:r w:rsidRPr="005808ED">
        <w:rPr>
          <w:lang w:val="fr-FR"/>
        </w:rPr>
        <w:t>La Convention de Minamata sur le mercure contient des dispositions relatives à l</w:t>
      </w:r>
      <w:r w:rsidR="00B3097B" w:rsidRPr="005808ED">
        <w:rPr>
          <w:lang w:val="fr-FR"/>
        </w:rPr>
        <w:t>’</w:t>
      </w:r>
      <w:r w:rsidRPr="005808ED">
        <w:rPr>
          <w:lang w:val="fr-FR"/>
        </w:rPr>
        <w:t>identification et à la gestion des sites contaminés par du mercure, y compris l</w:t>
      </w:r>
      <w:r w:rsidR="00B3097B" w:rsidRPr="005808ED">
        <w:rPr>
          <w:lang w:val="fr-FR"/>
        </w:rPr>
        <w:t>’</w:t>
      </w:r>
      <w:r w:rsidRPr="005808ED">
        <w:rPr>
          <w:lang w:val="fr-FR"/>
        </w:rPr>
        <w:t>adoption par la Conférence des Parties d</w:t>
      </w:r>
      <w:r w:rsidR="00B3097B" w:rsidRPr="005808ED">
        <w:rPr>
          <w:lang w:val="fr-FR"/>
        </w:rPr>
        <w:t>’</w:t>
      </w:r>
      <w:r w:rsidRPr="005808ED">
        <w:rPr>
          <w:lang w:val="fr-FR"/>
        </w:rPr>
        <w:t xml:space="preserve">orientations sur la gestion des sites contaminés. Le présent </w:t>
      </w:r>
      <w:r w:rsidR="00A73993" w:rsidRPr="005808ED">
        <w:rPr>
          <w:lang w:val="fr-FR"/>
        </w:rPr>
        <w:t xml:space="preserve">document </w:t>
      </w:r>
      <w:r w:rsidRPr="005808ED">
        <w:rPr>
          <w:lang w:val="fr-FR"/>
        </w:rPr>
        <w:t>fournit des orientations sur les principaux éléments permettant l</w:t>
      </w:r>
      <w:r w:rsidR="00B3097B" w:rsidRPr="005808ED">
        <w:rPr>
          <w:lang w:val="fr-FR"/>
        </w:rPr>
        <w:t>’</w:t>
      </w:r>
      <w:r w:rsidRPr="005808ED">
        <w:rPr>
          <w:lang w:val="fr-FR"/>
        </w:rPr>
        <w:t>identification et la gestion des sites contaminés, à destination des Parties qui prennent des mesures pour gérer de tels sites. Ce document s</w:t>
      </w:r>
      <w:r w:rsidR="00B3097B" w:rsidRPr="005808ED">
        <w:rPr>
          <w:lang w:val="fr-FR"/>
        </w:rPr>
        <w:t>’</w:t>
      </w:r>
      <w:r w:rsidRPr="005808ED">
        <w:rPr>
          <w:lang w:val="fr-FR"/>
        </w:rPr>
        <w:t xml:space="preserve">adresse à divers utilisateurs possibles. Il fournit des informations de base </w:t>
      </w:r>
      <w:r w:rsidR="00A73993" w:rsidRPr="005808ED">
        <w:rPr>
          <w:lang w:val="fr-FR"/>
        </w:rPr>
        <w:t>sur les</w:t>
      </w:r>
      <w:r w:rsidRPr="005808ED">
        <w:rPr>
          <w:lang w:val="fr-FR"/>
        </w:rPr>
        <w:t xml:space="preserve"> effets du mercure</w:t>
      </w:r>
      <w:r w:rsidR="00A73993" w:rsidRPr="005808ED">
        <w:rPr>
          <w:lang w:val="fr-FR"/>
        </w:rPr>
        <w:t xml:space="preserve"> et</w:t>
      </w:r>
      <w:r w:rsidRPr="005808ED">
        <w:rPr>
          <w:lang w:val="fr-FR"/>
        </w:rPr>
        <w:t xml:space="preserve"> des orientations </w:t>
      </w:r>
      <w:r w:rsidR="00A73993" w:rsidRPr="005808ED">
        <w:rPr>
          <w:lang w:val="fr-FR"/>
        </w:rPr>
        <w:t>po</w:t>
      </w:r>
      <w:r w:rsidRPr="005808ED">
        <w:rPr>
          <w:lang w:val="fr-FR"/>
        </w:rPr>
        <w:t xml:space="preserve">ur la gestion des sites </w:t>
      </w:r>
      <w:r w:rsidR="0076408B" w:rsidRPr="005808ED">
        <w:rPr>
          <w:lang w:val="fr-FR"/>
        </w:rPr>
        <w:t xml:space="preserve">contaminés </w:t>
      </w:r>
      <w:r w:rsidRPr="005808ED">
        <w:rPr>
          <w:lang w:val="fr-FR"/>
        </w:rPr>
        <w:t>couvrant aussi bien l</w:t>
      </w:r>
      <w:r w:rsidR="0076408B" w:rsidRPr="005808ED">
        <w:rPr>
          <w:lang w:val="fr-FR"/>
        </w:rPr>
        <w:t xml:space="preserve">eur </w:t>
      </w:r>
      <w:r w:rsidRPr="005808ED">
        <w:rPr>
          <w:lang w:val="fr-FR"/>
        </w:rPr>
        <w:t xml:space="preserve">identification et les </w:t>
      </w:r>
      <w:r w:rsidR="00902642" w:rsidRPr="005808ED">
        <w:rPr>
          <w:lang w:val="fr-FR"/>
        </w:rPr>
        <w:t>examens</w:t>
      </w:r>
      <w:r w:rsidRPr="005808ED">
        <w:rPr>
          <w:lang w:val="fr-FR"/>
        </w:rPr>
        <w:t xml:space="preserve"> approfondis </w:t>
      </w:r>
      <w:r w:rsidR="0076408B" w:rsidRPr="005808ED">
        <w:rPr>
          <w:lang w:val="fr-FR"/>
        </w:rPr>
        <w:t xml:space="preserve">à </w:t>
      </w:r>
      <w:r w:rsidRPr="005808ED">
        <w:rPr>
          <w:lang w:val="fr-FR"/>
        </w:rPr>
        <w:t>men</w:t>
      </w:r>
      <w:r w:rsidR="0076408B" w:rsidRPr="005808ED">
        <w:rPr>
          <w:lang w:val="fr-FR"/>
        </w:rPr>
        <w:t>er</w:t>
      </w:r>
      <w:r w:rsidRPr="005808ED">
        <w:rPr>
          <w:lang w:val="fr-FR"/>
        </w:rPr>
        <w:t xml:space="preserve"> sur place que le processus de décision </w:t>
      </w:r>
      <w:r w:rsidR="00FF3448" w:rsidRPr="005808ED">
        <w:rPr>
          <w:lang w:val="fr-FR"/>
        </w:rPr>
        <w:t>pour l</w:t>
      </w:r>
      <w:r w:rsidR="0076408B" w:rsidRPr="005808ED">
        <w:rPr>
          <w:lang w:val="fr-FR"/>
        </w:rPr>
        <w:t>eur</w:t>
      </w:r>
      <w:r w:rsidRPr="005808ED">
        <w:rPr>
          <w:lang w:val="fr-FR"/>
        </w:rPr>
        <w:t xml:space="preserve"> gestion et, </w:t>
      </w:r>
      <w:r w:rsidR="0020672B" w:rsidRPr="005808ED">
        <w:rPr>
          <w:lang w:val="fr-FR"/>
        </w:rPr>
        <w:t>s’il y a lieu</w:t>
      </w:r>
      <w:r w:rsidRPr="005808ED">
        <w:rPr>
          <w:lang w:val="fr-FR"/>
        </w:rPr>
        <w:t xml:space="preserve">, </w:t>
      </w:r>
      <w:r w:rsidR="0076408B" w:rsidRPr="005808ED">
        <w:rPr>
          <w:lang w:val="fr-FR"/>
        </w:rPr>
        <w:t>leur</w:t>
      </w:r>
      <w:r w:rsidRPr="005808ED">
        <w:rPr>
          <w:lang w:val="fr-FR"/>
        </w:rPr>
        <w:t xml:space="preserve"> remise en état. Dans l</w:t>
      </w:r>
      <w:r w:rsidR="00B3097B" w:rsidRPr="005808ED">
        <w:rPr>
          <w:lang w:val="fr-FR"/>
        </w:rPr>
        <w:t>’</w:t>
      </w:r>
      <w:r w:rsidRPr="005808ED">
        <w:rPr>
          <w:lang w:val="fr-FR"/>
        </w:rPr>
        <w:t>objectif de planifier la gestion approfondie d</w:t>
      </w:r>
      <w:r w:rsidR="00B3097B" w:rsidRPr="005808ED">
        <w:rPr>
          <w:lang w:val="fr-FR"/>
        </w:rPr>
        <w:t>’</w:t>
      </w:r>
      <w:r w:rsidRPr="005808ED">
        <w:rPr>
          <w:lang w:val="fr-FR"/>
        </w:rPr>
        <w:t xml:space="preserve">un site donné, les références reproduites à la suite des orientations fournissent des informations techniques supplémentaires. </w:t>
      </w:r>
    </w:p>
    <w:p w14:paraId="14CFBD61" w14:textId="7CBDAE9D" w:rsidR="00F252EE" w:rsidRPr="005808ED" w:rsidRDefault="00F252EE" w:rsidP="00F51980">
      <w:pPr>
        <w:pStyle w:val="Normalnumber"/>
        <w:numPr>
          <w:ilvl w:val="0"/>
          <w:numId w:val="12"/>
        </w:numPr>
        <w:ind w:left="1247" w:firstLine="0"/>
        <w:rPr>
          <w:lang w:val="fr-FR"/>
        </w:rPr>
      </w:pPr>
      <w:r w:rsidRPr="005808ED">
        <w:rPr>
          <w:lang w:val="fr-FR"/>
        </w:rPr>
        <w:t>Les orientations ont été élaborées conformément à l</w:t>
      </w:r>
      <w:r w:rsidR="00B3097B" w:rsidRPr="005808ED">
        <w:rPr>
          <w:lang w:val="fr-FR"/>
        </w:rPr>
        <w:t>’</w:t>
      </w:r>
      <w:r w:rsidR="00825F66" w:rsidRPr="005808ED">
        <w:rPr>
          <w:lang w:val="fr-FR"/>
        </w:rPr>
        <w:t>article </w:t>
      </w:r>
      <w:r w:rsidRPr="005808ED">
        <w:rPr>
          <w:lang w:val="fr-FR"/>
        </w:rPr>
        <w:t xml:space="preserve">12 de la Convention. Elles ne </w:t>
      </w:r>
      <w:r w:rsidR="005D4020" w:rsidRPr="005808ED">
        <w:rPr>
          <w:lang w:val="fr-FR"/>
        </w:rPr>
        <w:t>créent</w:t>
      </w:r>
      <w:r w:rsidRPr="005808ED">
        <w:rPr>
          <w:lang w:val="fr-FR"/>
        </w:rPr>
        <w:t xml:space="preserve"> pas de mesures obligatoires </w:t>
      </w:r>
      <w:r w:rsidR="0076408B" w:rsidRPr="005808ED">
        <w:rPr>
          <w:lang w:val="fr-FR"/>
        </w:rPr>
        <w:t>et</w:t>
      </w:r>
      <w:r w:rsidRPr="005808ED">
        <w:rPr>
          <w:lang w:val="fr-FR"/>
        </w:rPr>
        <w:t xml:space="preserve"> n</w:t>
      </w:r>
      <w:r w:rsidR="00B3097B" w:rsidRPr="005808ED">
        <w:rPr>
          <w:lang w:val="fr-FR"/>
        </w:rPr>
        <w:t>’</w:t>
      </w:r>
      <w:r w:rsidRPr="005808ED">
        <w:rPr>
          <w:lang w:val="fr-FR"/>
        </w:rPr>
        <w:t xml:space="preserve">ajoutent </w:t>
      </w:r>
      <w:r w:rsidR="0076408B" w:rsidRPr="005808ED">
        <w:rPr>
          <w:lang w:val="fr-FR"/>
        </w:rPr>
        <w:t>ni</w:t>
      </w:r>
      <w:r w:rsidRPr="005808ED">
        <w:rPr>
          <w:lang w:val="fr-FR"/>
        </w:rPr>
        <w:t xml:space="preserve"> </w:t>
      </w:r>
      <w:r w:rsidR="00544CDD" w:rsidRPr="005808ED">
        <w:rPr>
          <w:lang w:val="fr-FR"/>
        </w:rPr>
        <w:t xml:space="preserve">ne </w:t>
      </w:r>
      <w:r w:rsidRPr="005808ED">
        <w:rPr>
          <w:lang w:val="fr-FR"/>
        </w:rPr>
        <w:t xml:space="preserve">soustraient aux obligations </w:t>
      </w:r>
      <w:r w:rsidR="0076408B" w:rsidRPr="005808ED">
        <w:rPr>
          <w:lang w:val="fr-FR"/>
        </w:rPr>
        <w:t>faites aux</w:t>
      </w:r>
      <w:r w:rsidRPr="005808ED">
        <w:rPr>
          <w:lang w:val="fr-FR"/>
        </w:rPr>
        <w:t xml:space="preserve"> Parties </w:t>
      </w:r>
      <w:r w:rsidR="0076408B" w:rsidRPr="005808ED">
        <w:rPr>
          <w:lang w:val="fr-FR"/>
        </w:rPr>
        <w:t>par</w:t>
      </w:r>
      <w:r w:rsidRPr="005808ED">
        <w:rPr>
          <w:lang w:val="fr-FR"/>
        </w:rPr>
        <w:t xml:space="preserve"> l</w:t>
      </w:r>
      <w:r w:rsidR="00B3097B" w:rsidRPr="005808ED">
        <w:rPr>
          <w:lang w:val="fr-FR"/>
        </w:rPr>
        <w:t>’</w:t>
      </w:r>
      <w:r w:rsidR="00825F66" w:rsidRPr="005808ED">
        <w:rPr>
          <w:lang w:val="fr-FR"/>
        </w:rPr>
        <w:t>article </w:t>
      </w:r>
      <w:r w:rsidRPr="005808ED">
        <w:rPr>
          <w:lang w:val="fr-FR"/>
        </w:rPr>
        <w:t>12. Il est admis que, pour des raisons techniques, économiques ou juridiques, certaines des mesures décrites dans le présent document d</w:t>
      </w:r>
      <w:r w:rsidR="00B3097B" w:rsidRPr="005808ED">
        <w:rPr>
          <w:lang w:val="fr-FR"/>
        </w:rPr>
        <w:t>’</w:t>
      </w:r>
      <w:r w:rsidRPr="005808ED">
        <w:rPr>
          <w:lang w:val="fr-FR"/>
        </w:rPr>
        <w:t>orientation peuvent ne pas être à la disposition de toutes les Parties.</w:t>
      </w:r>
    </w:p>
    <w:p w14:paraId="00A0F60D" w14:textId="502411C8" w:rsidR="00F252EE" w:rsidRPr="005808ED" w:rsidRDefault="00520198" w:rsidP="00F51980">
      <w:pPr>
        <w:pStyle w:val="CH2"/>
        <w:rPr>
          <w:bCs/>
          <w:lang w:val="fr-FR"/>
        </w:rPr>
      </w:pPr>
      <w:r w:rsidRPr="005808ED">
        <w:rPr>
          <w:lang w:val="fr-FR"/>
        </w:rPr>
        <w:tab/>
      </w:r>
      <w:r w:rsidRPr="005808ED">
        <w:rPr>
          <w:lang w:val="fr-FR"/>
        </w:rPr>
        <w:tab/>
      </w:r>
      <w:bookmarkStart w:id="27" w:name="_Toc527017898"/>
      <w:r w:rsidRPr="005808ED">
        <w:rPr>
          <w:bCs/>
          <w:lang w:val="fr-FR"/>
        </w:rPr>
        <w:t>Risques pour la santé humaine et l</w:t>
      </w:r>
      <w:r w:rsidR="00B3097B" w:rsidRPr="005808ED">
        <w:rPr>
          <w:bCs/>
          <w:lang w:val="fr-FR"/>
        </w:rPr>
        <w:t>’</w:t>
      </w:r>
      <w:r w:rsidRPr="005808ED">
        <w:rPr>
          <w:bCs/>
          <w:lang w:val="fr-FR"/>
        </w:rPr>
        <w:t>environnement</w:t>
      </w:r>
      <w:bookmarkEnd w:id="27"/>
    </w:p>
    <w:p w14:paraId="3A0C12F6" w14:textId="31A133FD" w:rsidR="00F252EE" w:rsidRPr="005808ED" w:rsidRDefault="00F252EE" w:rsidP="00F51980">
      <w:pPr>
        <w:pStyle w:val="Normalnumber"/>
        <w:numPr>
          <w:ilvl w:val="0"/>
          <w:numId w:val="12"/>
        </w:numPr>
        <w:ind w:left="1247" w:firstLine="0"/>
        <w:rPr>
          <w:lang w:val="fr-FR"/>
        </w:rPr>
      </w:pPr>
      <w:r w:rsidRPr="005808ED">
        <w:rPr>
          <w:lang w:val="fr-FR"/>
        </w:rPr>
        <w:t xml:space="preserve">Le mercure est une menace </w:t>
      </w:r>
      <w:r w:rsidR="0076408B" w:rsidRPr="005808ED">
        <w:rPr>
          <w:lang w:val="fr-FR"/>
        </w:rPr>
        <w:t xml:space="preserve">de portée </w:t>
      </w:r>
      <w:r w:rsidRPr="005808ED">
        <w:rPr>
          <w:lang w:val="fr-FR"/>
        </w:rPr>
        <w:t>mondiale pour la santé humaine et l</w:t>
      </w:r>
      <w:r w:rsidR="00B3097B" w:rsidRPr="005808ED">
        <w:rPr>
          <w:lang w:val="fr-FR"/>
        </w:rPr>
        <w:t>’</w:t>
      </w:r>
      <w:r w:rsidRPr="005808ED">
        <w:rPr>
          <w:lang w:val="fr-FR"/>
        </w:rPr>
        <w:t>environnement. Une</w:t>
      </w:r>
      <w:r w:rsidR="00FA6C22" w:rsidRPr="005808ED">
        <w:rPr>
          <w:lang w:val="fr-FR"/>
        </w:rPr>
        <w:t> </w:t>
      </w:r>
      <w:r w:rsidRPr="005808ED">
        <w:rPr>
          <w:lang w:val="fr-FR"/>
        </w:rPr>
        <w:t>fois rejeté dans l</w:t>
      </w:r>
      <w:r w:rsidR="00B3097B" w:rsidRPr="005808ED">
        <w:rPr>
          <w:lang w:val="fr-FR"/>
        </w:rPr>
        <w:t>’</w:t>
      </w:r>
      <w:r w:rsidRPr="005808ED">
        <w:rPr>
          <w:lang w:val="fr-FR"/>
        </w:rPr>
        <w:t xml:space="preserve">environnement, il peut </w:t>
      </w:r>
      <w:r w:rsidR="00AB2199" w:rsidRPr="005808ED">
        <w:rPr>
          <w:lang w:val="fr-FR"/>
        </w:rPr>
        <w:t xml:space="preserve">y rester, </w:t>
      </w:r>
      <w:r w:rsidR="00280D6A" w:rsidRPr="005808ED">
        <w:rPr>
          <w:lang w:val="fr-FR"/>
        </w:rPr>
        <w:t>transporté sur</w:t>
      </w:r>
      <w:r w:rsidRPr="005808ED">
        <w:rPr>
          <w:lang w:val="fr-FR"/>
        </w:rPr>
        <w:t xml:space="preserve"> de grandes distances </w:t>
      </w:r>
      <w:r w:rsidR="00280D6A" w:rsidRPr="005808ED">
        <w:rPr>
          <w:lang w:val="fr-FR"/>
        </w:rPr>
        <w:t>par</w:t>
      </w:r>
      <w:r w:rsidRPr="005808ED">
        <w:rPr>
          <w:lang w:val="fr-FR"/>
        </w:rPr>
        <w:t xml:space="preserve"> l</w:t>
      </w:r>
      <w:r w:rsidR="00B3097B" w:rsidRPr="005808ED">
        <w:rPr>
          <w:lang w:val="fr-FR"/>
        </w:rPr>
        <w:t>’</w:t>
      </w:r>
      <w:r w:rsidRPr="005808ED">
        <w:rPr>
          <w:lang w:val="fr-FR"/>
        </w:rPr>
        <w:t>air, l</w:t>
      </w:r>
      <w:r w:rsidR="00B3097B" w:rsidRPr="005808ED">
        <w:rPr>
          <w:lang w:val="fr-FR"/>
        </w:rPr>
        <w:t>’</w:t>
      </w:r>
      <w:r w:rsidRPr="005808ED">
        <w:rPr>
          <w:lang w:val="fr-FR"/>
        </w:rPr>
        <w:t xml:space="preserve">eau, les sédiments, le sol et les organismes vivants, </w:t>
      </w:r>
      <w:r w:rsidR="00E34630" w:rsidRPr="005808ED">
        <w:rPr>
          <w:lang w:val="fr-FR"/>
        </w:rPr>
        <w:t>aboutissant en fin de parcours</w:t>
      </w:r>
      <w:r w:rsidRPr="005808ED">
        <w:rPr>
          <w:lang w:val="fr-FR"/>
        </w:rPr>
        <w:t xml:space="preserve"> dans les sédiments marins des grands fonds ou dans les sols minéraux. Le comportement environnemental et les propriétés toxicologiques </w:t>
      </w:r>
      <w:r w:rsidR="00E34630" w:rsidRPr="005808ED">
        <w:rPr>
          <w:lang w:val="fr-FR"/>
        </w:rPr>
        <w:t xml:space="preserve">des composés </w:t>
      </w:r>
      <w:r w:rsidR="00280D6A" w:rsidRPr="005808ED">
        <w:rPr>
          <w:lang w:val="fr-FR"/>
        </w:rPr>
        <w:t xml:space="preserve">du mercure </w:t>
      </w:r>
      <w:r w:rsidRPr="005808ED">
        <w:rPr>
          <w:lang w:val="fr-FR"/>
        </w:rPr>
        <w:t xml:space="preserve">varient </w:t>
      </w:r>
      <w:r w:rsidR="00E34630" w:rsidRPr="005808ED">
        <w:rPr>
          <w:lang w:val="fr-FR"/>
        </w:rPr>
        <w:t>de l’un à l’autre</w:t>
      </w:r>
      <w:r w:rsidRPr="005808ED">
        <w:rPr>
          <w:lang w:val="fr-FR"/>
        </w:rPr>
        <w:t xml:space="preserve">. Le méthylmercure présente le plus grand risque pour la santé humaine et </w:t>
      </w:r>
      <w:r w:rsidR="00943572" w:rsidRPr="005808ED">
        <w:rPr>
          <w:lang w:val="fr-FR"/>
        </w:rPr>
        <w:t>la vie sauvage</w:t>
      </w:r>
      <w:r w:rsidRPr="005808ED">
        <w:rPr>
          <w:lang w:val="fr-FR"/>
        </w:rPr>
        <w:t xml:space="preserve">. Il est principalement produit </w:t>
      </w:r>
      <w:r w:rsidR="00E34630" w:rsidRPr="005808ED">
        <w:rPr>
          <w:lang w:val="fr-FR"/>
        </w:rPr>
        <w:t xml:space="preserve">dans certaines conditions </w:t>
      </w:r>
      <w:r w:rsidR="00AB2199" w:rsidRPr="005808ED">
        <w:rPr>
          <w:lang w:val="fr-FR"/>
        </w:rPr>
        <w:t xml:space="preserve">par </w:t>
      </w:r>
      <w:r w:rsidRPr="005808ED">
        <w:rPr>
          <w:lang w:val="fr-FR"/>
        </w:rPr>
        <w:t xml:space="preserve">un processus bactérien naturel </w:t>
      </w:r>
      <w:r w:rsidR="00E34630" w:rsidRPr="005808ED">
        <w:rPr>
          <w:lang w:val="fr-FR"/>
        </w:rPr>
        <w:t>en milieu aquatique anaérobie</w:t>
      </w:r>
      <w:r w:rsidRPr="005808ED">
        <w:rPr>
          <w:lang w:val="fr-FR"/>
        </w:rPr>
        <w:t>.</w:t>
      </w:r>
    </w:p>
    <w:p w14:paraId="7C4030B8" w14:textId="7C17DB1B" w:rsidR="00F252EE" w:rsidRPr="005808ED" w:rsidRDefault="00F252EE" w:rsidP="00F51980">
      <w:pPr>
        <w:pStyle w:val="Normalnumber"/>
        <w:numPr>
          <w:ilvl w:val="0"/>
          <w:numId w:val="12"/>
        </w:numPr>
        <w:ind w:left="1247" w:firstLine="0"/>
        <w:rPr>
          <w:lang w:val="fr-FR"/>
        </w:rPr>
      </w:pPr>
      <w:r w:rsidRPr="005808ED">
        <w:rPr>
          <w:lang w:val="fr-FR"/>
        </w:rPr>
        <w:t>Le mercure se bioaccumule et se bi</w:t>
      </w:r>
      <w:r w:rsidR="0088249E" w:rsidRPr="005808ED">
        <w:rPr>
          <w:lang w:val="fr-FR"/>
        </w:rPr>
        <w:t>o</w:t>
      </w:r>
      <w:r w:rsidRPr="005808ED">
        <w:rPr>
          <w:lang w:val="fr-FR"/>
        </w:rPr>
        <w:t>amplifie en se concentrant à mesure qu</w:t>
      </w:r>
      <w:r w:rsidR="00B3097B" w:rsidRPr="005808ED">
        <w:rPr>
          <w:lang w:val="fr-FR"/>
        </w:rPr>
        <w:t>’</w:t>
      </w:r>
      <w:r w:rsidRPr="005808ED">
        <w:rPr>
          <w:lang w:val="fr-FR"/>
        </w:rPr>
        <w:t>il progresse vers le sommet de la chaîne alimentaire, ce qui explique qu</w:t>
      </w:r>
      <w:r w:rsidR="00B3097B" w:rsidRPr="005808ED">
        <w:rPr>
          <w:lang w:val="fr-FR"/>
        </w:rPr>
        <w:t>’</w:t>
      </w:r>
      <w:r w:rsidRPr="005808ED">
        <w:rPr>
          <w:lang w:val="fr-FR"/>
        </w:rPr>
        <w:t>on en trouve les taux les plus élevés dans les espèces prédatrices telles que le thon, le makaire, l</w:t>
      </w:r>
      <w:r w:rsidR="00B3097B" w:rsidRPr="005808ED">
        <w:rPr>
          <w:lang w:val="fr-FR"/>
        </w:rPr>
        <w:t>’</w:t>
      </w:r>
      <w:r w:rsidRPr="005808ED">
        <w:rPr>
          <w:lang w:val="fr-FR"/>
        </w:rPr>
        <w:t xml:space="preserve">espadon, les requins, les mammifères marins et les êtres humains. Il peut avoir de graves conséquences pour les écosystèmes, y compris </w:t>
      </w:r>
      <w:r w:rsidR="00280D6A" w:rsidRPr="005808ED">
        <w:rPr>
          <w:lang w:val="fr-FR"/>
        </w:rPr>
        <w:t xml:space="preserve">sur </w:t>
      </w:r>
      <w:r w:rsidRPr="005808ED">
        <w:rPr>
          <w:lang w:val="fr-FR"/>
        </w:rPr>
        <w:t>la reproduction des oiseaux et des mammifères prédateurs. Une exposition aiguë ou chronique au mercure constitue un risque grave pour la santé humaine et l</w:t>
      </w:r>
      <w:r w:rsidR="00B3097B" w:rsidRPr="005808ED">
        <w:rPr>
          <w:lang w:val="fr-FR"/>
        </w:rPr>
        <w:t>’</w:t>
      </w:r>
      <w:r w:rsidRPr="005808ED">
        <w:rPr>
          <w:lang w:val="fr-FR"/>
        </w:rPr>
        <w:t xml:space="preserve">environnement. </w:t>
      </w:r>
    </w:p>
    <w:p w14:paraId="459A07D7" w14:textId="18F39950" w:rsidR="00F252EE" w:rsidRPr="005808ED" w:rsidRDefault="0051212F" w:rsidP="00F51980">
      <w:pPr>
        <w:pStyle w:val="Normalnumber"/>
        <w:numPr>
          <w:ilvl w:val="0"/>
          <w:numId w:val="12"/>
        </w:numPr>
        <w:ind w:left="1247" w:firstLine="0"/>
        <w:rPr>
          <w:lang w:val="fr-FR"/>
        </w:rPr>
      </w:pPr>
      <w:r w:rsidRPr="005808ED">
        <w:rPr>
          <w:lang w:val="fr-FR"/>
        </w:rPr>
        <w:t>Du point de vue de</w:t>
      </w:r>
      <w:r w:rsidR="00F252EE" w:rsidRPr="005808ED">
        <w:rPr>
          <w:lang w:val="fr-FR"/>
        </w:rPr>
        <w:t xml:space="preserve"> la santé humaine</w:t>
      </w:r>
      <w:r w:rsidRPr="005808ED">
        <w:rPr>
          <w:lang w:val="fr-FR"/>
        </w:rPr>
        <w:t>,</w:t>
      </w:r>
      <w:r w:rsidR="00F252EE" w:rsidRPr="005808ED">
        <w:rPr>
          <w:lang w:val="fr-FR"/>
        </w:rPr>
        <w:t xml:space="preserve"> </w:t>
      </w:r>
      <w:r w:rsidRPr="005808ED">
        <w:rPr>
          <w:lang w:val="fr-FR"/>
        </w:rPr>
        <w:t>il peut</w:t>
      </w:r>
      <w:r w:rsidR="00F252EE" w:rsidRPr="005808ED">
        <w:rPr>
          <w:lang w:val="fr-FR"/>
        </w:rPr>
        <w:t xml:space="preserve"> </w:t>
      </w:r>
      <w:r w:rsidRPr="005808ED">
        <w:rPr>
          <w:lang w:val="fr-FR"/>
        </w:rPr>
        <w:t xml:space="preserve">avoir des effets sur </w:t>
      </w:r>
      <w:r w:rsidR="00F252EE" w:rsidRPr="005808ED">
        <w:rPr>
          <w:lang w:val="fr-FR"/>
        </w:rPr>
        <w:t xml:space="preserve">le cerveau, le cœur, les reins, les poumons et le système immunitaire </w:t>
      </w:r>
      <w:r w:rsidRPr="005808ED">
        <w:rPr>
          <w:lang w:val="fr-FR"/>
        </w:rPr>
        <w:t xml:space="preserve">chez </w:t>
      </w:r>
      <w:r w:rsidR="00F252EE" w:rsidRPr="005808ED">
        <w:rPr>
          <w:lang w:val="fr-FR"/>
        </w:rPr>
        <w:t xml:space="preserve">des individus de tous âges. Des taux élevés de méthylmercure dans le système sanguin des </w:t>
      </w:r>
      <w:r w:rsidR="005D4020" w:rsidRPr="005808ED">
        <w:rPr>
          <w:lang w:val="fr-FR"/>
        </w:rPr>
        <w:t>fœtus</w:t>
      </w:r>
      <w:r w:rsidR="00F252EE" w:rsidRPr="005808ED">
        <w:rPr>
          <w:lang w:val="fr-FR"/>
        </w:rPr>
        <w:t xml:space="preserve"> et des jeunes enfants peuvent nuire au développement du système nerveux. Des troubles neurologiques et comportementaux chez les êtres humains peuvent être révélateurs d</w:t>
      </w:r>
      <w:r w:rsidR="00B3097B" w:rsidRPr="005808ED">
        <w:rPr>
          <w:lang w:val="fr-FR"/>
        </w:rPr>
        <w:t>’</w:t>
      </w:r>
      <w:r w:rsidR="00F252EE" w:rsidRPr="005808ED">
        <w:rPr>
          <w:lang w:val="fr-FR"/>
        </w:rPr>
        <w:t xml:space="preserve">une importante exposition au mercure, avec des symptômes tels que des tremblements, des insomnies, des pertes de mémoire, des effets neuromusculaires, des maux de tête et des troubles cognitifs et moteurs. Sur </w:t>
      </w:r>
      <w:r w:rsidR="002F7127" w:rsidRPr="005808ED">
        <w:rPr>
          <w:lang w:val="fr-FR"/>
        </w:rPr>
        <w:t>l</w:t>
      </w:r>
      <w:r w:rsidR="00F252EE" w:rsidRPr="005808ED">
        <w:rPr>
          <w:lang w:val="fr-FR"/>
        </w:rPr>
        <w:t>es lieux de travail où le mercure est utilisé, les personnes risquent d</w:t>
      </w:r>
      <w:r w:rsidR="00B3097B" w:rsidRPr="005808ED">
        <w:rPr>
          <w:lang w:val="fr-FR"/>
        </w:rPr>
        <w:t>’</w:t>
      </w:r>
      <w:r w:rsidR="00F252EE" w:rsidRPr="005808ED">
        <w:rPr>
          <w:lang w:val="fr-FR"/>
        </w:rPr>
        <w:t>inhaler des vapeurs de mercure ou d</w:t>
      </w:r>
      <w:r w:rsidR="00B3097B" w:rsidRPr="005808ED">
        <w:rPr>
          <w:lang w:val="fr-FR"/>
        </w:rPr>
        <w:t>’</w:t>
      </w:r>
      <w:r w:rsidR="00F252EE" w:rsidRPr="005808ED">
        <w:rPr>
          <w:lang w:val="fr-FR"/>
        </w:rPr>
        <w:t xml:space="preserve">y être exposées par voie cutanée en raison de leurs pratiques de travail habituelles (dans les secteurs industriel, médical ou dentaire ou </w:t>
      </w:r>
      <w:r w:rsidR="00E34630" w:rsidRPr="005808ED">
        <w:rPr>
          <w:lang w:val="fr-FR"/>
        </w:rPr>
        <w:t>celui de l’</w:t>
      </w:r>
      <w:r w:rsidR="00F252EE" w:rsidRPr="005808ED">
        <w:rPr>
          <w:lang w:val="fr-FR"/>
        </w:rPr>
        <w:t>extraction artisanale et à petite échelle</w:t>
      </w:r>
      <w:r w:rsidR="00E34630" w:rsidRPr="005808ED">
        <w:rPr>
          <w:lang w:val="fr-FR"/>
        </w:rPr>
        <w:t xml:space="preserve"> d’or</w:t>
      </w:r>
      <w:r w:rsidR="00F252EE" w:rsidRPr="005808ED">
        <w:rPr>
          <w:lang w:val="fr-FR"/>
        </w:rPr>
        <w:t>) ou par suite de déversements. En revanche, au niveau de la population générale, la forme la plus courante d</w:t>
      </w:r>
      <w:r w:rsidR="00B3097B" w:rsidRPr="005808ED">
        <w:rPr>
          <w:lang w:val="fr-FR"/>
        </w:rPr>
        <w:t>’</w:t>
      </w:r>
      <w:r w:rsidR="00F252EE" w:rsidRPr="005808ED">
        <w:rPr>
          <w:lang w:val="fr-FR"/>
        </w:rPr>
        <w:t xml:space="preserve">exposition directe au mercure est la consommation de poissons et de fruits de mer contaminés par du méthylmercure. Une fois ingéré, </w:t>
      </w:r>
      <w:r w:rsidR="00E34630" w:rsidRPr="005808ED">
        <w:rPr>
          <w:lang w:val="fr-FR"/>
        </w:rPr>
        <w:t>le mercure</w:t>
      </w:r>
      <w:r w:rsidR="00F252EE" w:rsidRPr="005808ED">
        <w:rPr>
          <w:lang w:val="fr-FR"/>
        </w:rPr>
        <w:t xml:space="preserve"> est absorbé à 95 % par le biais du tractus gastro-intestinal. </w:t>
      </w:r>
    </w:p>
    <w:p w14:paraId="412BACD4" w14:textId="77777777" w:rsidR="00F252EE" w:rsidRPr="005808ED" w:rsidRDefault="00F252EE" w:rsidP="00245B8F">
      <w:pPr>
        <w:pStyle w:val="Normalnumber"/>
        <w:numPr>
          <w:ilvl w:val="0"/>
          <w:numId w:val="0"/>
        </w:numPr>
        <w:ind w:left="1418"/>
        <w:rPr>
          <w:lang w:val="fr-FR"/>
        </w:rPr>
      </w:pPr>
      <w:r w:rsidRPr="005808ED">
        <w:rPr>
          <w:noProof/>
          <w:lang w:eastAsia="zh-CN"/>
        </w:rPr>
        <w:drawing>
          <wp:inline distT="0" distB="0" distL="0" distR="0" wp14:anchorId="53E71CE0" wp14:editId="08A8858F">
            <wp:extent cx="3917950" cy="2873187"/>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2562" cy="2876570"/>
                    </a:xfrm>
                    <a:prstGeom prst="rect">
                      <a:avLst/>
                    </a:prstGeom>
                    <a:noFill/>
                  </pic:spPr>
                </pic:pic>
              </a:graphicData>
            </a:graphic>
          </wp:inline>
        </w:drawing>
      </w:r>
    </w:p>
    <w:tbl>
      <w:tblPr>
        <w:tblStyle w:val="TableGrid"/>
        <w:tblW w:w="0" w:type="auto"/>
        <w:tblCellMar>
          <w:left w:w="115" w:type="dxa"/>
          <w:right w:w="115" w:type="dxa"/>
        </w:tblCellMar>
        <w:tblLook w:val="04A0" w:firstRow="1" w:lastRow="0" w:firstColumn="1" w:lastColumn="0" w:noHBand="0" w:noVBand="1"/>
      </w:tblPr>
      <w:tblGrid>
        <w:gridCol w:w="668"/>
        <w:gridCol w:w="4090"/>
        <w:gridCol w:w="670"/>
        <w:gridCol w:w="4058"/>
      </w:tblGrid>
      <w:tr w:rsidR="00E960C1" w:rsidRPr="005808ED" w14:paraId="3EE5E1CD" w14:textId="77777777" w:rsidTr="00FA6C22">
        <w:trPr>
          <w:cantSplit/>
          <w:tblHeader/>
        </w:trPr>
        <w:tc>
          <w:tcPr>
            <w:tcW w:w="4758" w:type="dxa"/>
            <w:gridSpan w:val="2"/>
            <w:tcBorders>
              <w:top w:val="single" w:sz="4" w:space="0" w:color="auto"/>
            </w:tcBorders>
          </w:tcPr>
          <w:p w14:paraId="110D8B7E" w14:textId="77777777" w:rsidR="00E960C1" w:rsidRPr="005808ED" w:rsidRDefault="00E960C1" w:rsidP="00CA4F2A">
            <w:pPr>
              <w:jc w:val="center"/>
              <w:rPr>
                <w:sz w:val="28"/>
                <w:szCs w:val="28"/>
                <w:lang w:val="fr-FR"/>
              </w:rPr>
            </w:pPr>
            <w:r w:rsidRPr="005808ED">
              <w:rPr>
                <w:sz w:val="28"/>
                <w:szCs w:val="28"/>
                <w:lang w:val="fr-FR"/>
              </w:rPr>
              <w:t>ENGLISH</w:t>
            </w:r>
          </w:p>
        </w:tc>
        <w:tc>
          <w:tcPr>
            <w:tcW w:w="4728" w:type="dxa"/>
            <w:gridSpan w:val="2"/>
            <w:tcBorders>
              <w:top w:val="single" w:sz="4" w:space="0" w:color="auto"/>
            </w:tcBorders>
          </w:tcPr>
          <w:p w14:paraId="4FAD1AB1" w14:textId="77777777" w:rsidR="00E960C1" w:rsidRPr="005808ED" w:rsidRDefault="00E960C1" w:rsidP="00CA4F2A">
            <w:pPr>
              <w:jc w:val="center"/>
              <w:rPr>
                <w:i/>
                <w:sz w:val="28"/>
                <w:szCs w:val="28"/>
                <w:lang w:val="fr-FR"/>
              </w:rPr>
            </w:pPr>
            <w:r w:rsidRPr="005808ED">
              <w:rPr>
                <w:i/>
                <w:color w:val="FF0000"/>
                <w:sz w:val="28"/>
                <w:szCs w:val="28"/>
                <w:lang w:val="fr-FR"/>
              </w:rPr>
              <w:t>Insert destination language here</w:t>
            </w:r>
          </w:p>
        </w:tc>
      </w:tr>
      <w:tr w:rsidR="00E960C1" w:rsidRPr="005808ED" w14:paraId="72668FC7" w14:textId="77777777" w:rsidTr="00FA6C22">
        <w:trPr>
          <w:cantSplit/>
        </w:trPr>
        <w:tc>
          <w:tcPr>
            <w:tcW w:w="668" w:type="dxa"/>
            <w:tcBorders>
              <w:top w:val="single" w:sz="4" w:space="0" w:color="auto"/>
            </w:tcBorders>
          </w:tcPr>
          <w:p w14:paraId="141445B9" w14:textId="77777777" w:rsidR="00E960C1" w:rsidRPr="005808ED" w:rsidRDefault="00E960C1" w:rsidP="00CA4F2A">
            <w:pPr>
              <w:rPr>
                <w:lang w:val="fr-FR"/>
              </w:rPr>
            </w:pPr>
            <w:r w:rsidRPr="005808ED">
              <w:rPr>
                <w:lang w:val="fr-FR"/>
              </w:rPr>
              <w:t>1</w:t>
            </w:r>
          </w:p>
        </w:tc>
        <w:tc>
          <w:tcPr>
            <w:tcW w:w="4090" w:type="dxa"/>
            <w:tcBorders>
              <w:top w:val="single" w:sz="4" w:space="0" w:color="auto"/>
            </w:tcBorders>
          </w:tcPr>
          <w:p w14:paraId="68C39249" w14:textId="77777777" w:rsidR="00E960C1" w:rsidRPr="005808ED" w:rsidRDefault="00E960C1" w:rsidP="00CA4F2A">
            <w:pPr>
              <w:rPr>
                <w:rFonts w:ascii="Arial" w:hAnsi="Arial" w:cs="Arial"/>
                <w:lang w:val="fr-FR"/>
              </w:rPr>
            </w:pPr>
            <w:r w:rsidRPr="005808ED">
              <w:rPr>
                <w:rFonts w:ascii="Arial" w:hAnsi="Arial" w:cs="Arial"/>
                <w:lang w:val="fr-FR"/>
              </w:rPr>
              <w:t>How mercury can enter our bodies</w:t>
            </w:r>
          </w:p>
        </w:tc>
        <w:tc>
          <w:tcPr>
            <w:tcW w:w="670" w:type="dxa"/>
            <w:tcBorders>
              <w:top w:val="single" w:sz="4" w:space="0" w:color="auto"/>
            </w:tcBorders>
          </w:tcPr>
          <w:p w14:paraId="31CFF0AF" w14:textId="77777777" w:rsidR="00E960C1" w:rsidRPr="005808ED" w:rsidRDefault="00E960C1" w:rsidP="00CA4F2A">
            <w:pPr>
              <w:rPr>
                <w:lang w:val="fr-FR"/>
              </w:rPr>
            </w:pPr>
            <w:r w:rsidRPr="005808ED">
              <w:rPr>
                <w:lang w:val="fr-FR"/>
              </w:rPr>
              <w:t>1</w:t>
            </w:r>
          </w:p>
        </w:tc>
        <w:tc>
          <w:tcPr>
            <w:tcW w:w="4058" w:type="dxa"/>
            <w:tcBorders>
              <w:top w:val="single" w:sz="4" w:space="0" w:color="auto"/>
            </w:tcBorders>
          </w:tcPr>
          <w:p w14:paraId="11512E36" w14:textId="28422910" w:rsidR="00E960C1" w:rsidRPr="005808ED" w:rsidRDefault="00E960C1" w:rsidP="00CA4F2A">
            <w:pPr>
              <w:rPr>
                <w:lang w:val="fr-FR"/>
              </w:rPr>
            </w:pPr>
            <w:r w:rsidRPr="005808ED">
              <w:rPr>
                <w:lang w:val="fr-FR"/>
              </w:rPr>
              <w:t>Comment le mercure entre dans notre corps</w:t>
            </w:r>
          </w:p>
        </w:tc>
      </w:tr>
      <w:tr w:rsidR="00E960C1" w:rsidRPr="005808ED" w14:paraId="5842F24A" w14:textId="77777777" w:rsidTr="00FA6C22">
        <w:trPr>
          <w:cantSplit/>
        </w:trPr>
        <w:tc>
          <w:tcPr>
            <w:tcW w:w="668" w:type="dxa"/>
          </w:tcPr>
          <w:p w14:paraId="63A6AE0A" w14:textId="77777777" w:rsidR="00E960C1" w:rsidRPr="005808ED" w:rsidRDefault="00E960C1" w:rsidP="00CA4F2A">
            <w:pPr>
              <w:rPr>
                <w:lang w:val="fr-FR"/>
              </w:rPr>
            </w:pPr>
            <w:r w:rsidRPr="005808ED">
              <w:rPr>
                <w:lang w:val="fr-FR"/>
              </w:rPr>
              <w:t>2</w:t>
            </w:r>
          </w:p>
        </w:tc>
        <w:tc>
          <w:tcPr>
            <w:tcW w:w="4090" w:type="dxa"/>
          </w:tcPr>
          <w:p w14:paraId="0C6FB371" w14:textId="77777777" w:rsidR="00E960C1" w:rsidRPr="005808ED" w:rsidRDefault="00E960C1" w:rsidP="00CA4F2A">
            <w:pPr>
              <w:rPr>
                <w:rFonts w:ascii="Arial" w:hAnsi="Arial" w:cs="Arial"/>
                <w:lang w:val="fr-FR"/>
              </w:rPr>
            </w:pPr>
            <w:r w:rsidRPr="005808ED">
              <w:rPr>
                <w:rFonts w:ascii="Arial" w:hAnsi="Arial" w:cs="Arial"/>
                <w:lang w:val="fr-FR"/>
              </w:rPr>
              <w:t>Volcanoes and other natural sources</w:t>
            </w:r>
          </w:p>
        </w:tc>
        <w:tc>
          <w:tcPr>
            <w:tcW w:w="670" w:type="dxa"/>
          </w:tcPr>
          <w:p w14:paraId="3443A88E" w14:textId="77777777" w:rsidR="00E960C1" w:rsidRPr="005808ED" w:rsidRDefault="00E960C1" w:rsidP="00CA4F2A">
            <w:pPr>
              <w:rPr>
                <w:lang w:val="fr-FR"/>
              </w:rPr>
            </w:pPr>
            <w:r w:rsidRPr="005808ED">
              <w:rPr>
                <w:lang w:val="fr-FR"/>
              </w:rPr>
              <w:t>2</w:t>
            </w:r>
          </w:p>
        </w:tc>
        <w:tc>
          <w:tcPr>
            <w:tcW w:w="4058" w:type="dxa"/>
          </w:tcPr>
          <w:p w14:paraId="22A61366" w14:textId="0B03B239" w:rsidR="00E960C1" w:rsidRPr="005808ED" w:rsidRDefault="00E960C1" w:rsidP="00CA4F2A">
            <w:pPr>
              <w:rPr>
                <w:lang w:val="fr-FR"/>
              </w:rPr>
            </w:pPr>
            <w:r w:rsidRPr="005808ED">
              <w:rPr>
                <w:lang w:val="fr-FR"/>
              </w:rPr>
              <w:t>Volcans et autres sources naturelles</w:t>
            </w:r>
          </w:p>
        </w:tc>
      </w:tr>
      <w:tr w:rsidR="00E960C1" w:rsidRPr="005808ED" w14:paraId="1781F67C" w14:textId="77777777" w:rsidTr="00FA6C22">
        <w:trPr>
          <w:cantSplit/>
        </w:trPr>
        <w:tc>
          <w:tcPr>
            <w:tcW w:w="668" w:type="dxa"/>
          </w:tcPr>
          <w:p w14:paraId="1B55F09A" w14:textId="77777777" w:rsidR="00E960C1" w:rsidRPr="005808ED" w:rsidRDefault="00E960C1" w:rsidP="00CA4F2A">
            <w:pPr>
              <w:rPr>
                <w:lang w:val="fr-FR"/>
              </w:rPr>
            </w:pPr>
            <w:r w:rsidRPr="005808ED">
              <w:rPr>
                <w:lang w:val="fr-FR"/>
              </w:rPr>
              <w:t>3</w:t>
            </w:r>
          </w:p>
        </w:tc>
        <w:tc>
          <w:tcPr>
            <w:tcW w:w="4090" w:type="dxa"/>
          </w:tcPr>
          <w:p w14:paraId="4AFC171E" w14:textId="77777777" w:rsidR="00E960C1" w:rsidRPr="005808ED" w:rsidRDefault="00E960C1" w:rsidP="00CA4F2A">
            <w:pPr>
              <w:rPr>
                <w:rFonts w:ascii="Arial" w:hAnsi="Arial" w:cs="Arial"/>
                <w:lang w:val="fr-FR"/>
              </w:rPr>
            </w:pPr>
            <w:r w:rsidRPr="005808ED">
              <w:rPr>
                <w:rFonts w:ascii="Arial" w:hAnsi="Arial" w:cs="Arial"/>
                <w:lang w:val="fr-FR"/>
              </w:rPr>
              <w:t>Artisanal and small scale gold mining</w:t>
            </w:r>
          </w:p>
        </w:tc>
        <w:tc>
          <w:tcPr>
            <w:tcW w:w="670" w:type="dxa"/>
          </w:tcPr>
          <w:p w14:paraId="440FA534" w14:textId="77777777" w:rsidR="00E960C1" w:rsidRPr="005808ED" w:rsidRDefault="00E960C1" w:rsidP="00CA4F2A">
            <w:pPr>
              <w:rPr>
                <w:lang w:val="fr-FR"/>
              </w:rPr>
            </w:pPr>
            <w:r w:rsidRPr="005808ED">
              <w:rPr>
                <w:lang w:val="fr-FR"/>
              </w:rPr>
              <w:t>3</w:t>
            </w:r>
          </w:p>
        </w:tc>
        <w:tc>
          <w:tcPr>
            <w:tcW w:w="4058" w:type="dxa"/>
          </w:tcPr>
          <w:p w14:paraId="2741846C" w14:textId="7D8CA240" w:rsidR="00E960C1" w:rsidRPr="005808ED" w:rsidRDefault="00E960C1" w:rsidP="00CA4F2A">
            <w:pPr>
              <w:rPr>
                <w:lang w:val="fr-FR"/>
              </w:rPr>
            </w:pPr>
            <w:r w:rsidRPr="005808ED">
              <w:rPr>
                <w:lang w:val="fr-FR"/>
              </w:rPr>
              <w:t>Extraction artisanale et à petite échelle</w:t>
            </w:r>
            <w:r w:rsidR="0051212F" w:rsidRPr="005808ED">
              <w:rPr>
                <w:lang w:val="fr-FR"/>
              </w:rPr>
              <w:t xml:space="preserve"> d’or</w:t>
            </w:r>
          </w:p>
        </w:tc>
      </w:tr>
      <w:tr w:rsidR="00E960C1" w:rsidRPr="005808ED" w14:paraId="77969DB7" w14:textId="77777777" w:rsidTr="00FA6C22">
        <w:trPr>
          <w:cantSplit/>
        </w:trPr>
        <w:tc>
          <w:tcPr>
            <w:tcW w:w="668" w:type="dxa"/>
          </w:tcPr>
          <w:p w14:paraId="6FD99EF4" w14:textId="77777777" w:rsidR="00E960C1" w:rsidRPr="005808ED" w:rsidRDefault="00E960C1" w:rsidP="00CA4F2A">
            <w:pPr>
              <w:rPr>
                <w:lang w:val="fr-FR"/>
              </w:rPr>
            </w:pPr>
            <w:r w:rsidRPr="005808ED">
              <w:rPr>
                <w:lang w:val="fr-FR"/>
              </w:rPr>
              <w:t>4</w:t>
            </w:r>
          </w:p>
        </w:tc>
        <w:tc>
          <w:tcPr>
            <w:tcW w:w="4090" w:type="dxa"/>
          </w:tcPr>
          <w:p w14:paraId="0AB3E16B" w14:textId="77777777" w:rsidR="00E960C1" w:rsidRPr="005808ED" w:rsidRDefault="00E960C1" w:rsidP="00CA4F2A">
            <w:pPr>
              <w:rPr>
                <w:rFonts w:ascii="Arial" w:hAnsi="Arial" w:cs="Arial"/>
                <w:lang w:val="fr-FR"/>
              </w:rPr>
            </w:pPr>
            <w:r w:rsidRPr="005808ED">
              <w:rPr>
                <w:rFonts w:ascii="Arial" w:hAnsi="Arial" w:cs="Arial"/>
                <w:lang w:val="fr-FR"/>
              </w:rPr>
              <w:t>Urban sewage system</w:t>
            </w:r>
          </w:p>
        </w:tc>
        <w:tc>
          <w:tcPr>
            <w:tcW w:w="670" w:type="dxa"/>
          </w:tcPr>
          <w:p w14:paraId="31DB7334" w14:textId="77777777" w:rsidR="00E960C1" w:rsidRPr="005808ED" w:rsidRDefault="00E960C1" w:rsidP="00CA4F2A">
            <w:pPr>
              <w:rPr>
                <w:lang w:val="fr-FR"/>
              </w:rPr>
            </w:pPr>
            <w:r w:rsidRPr="005808ED">
              <w:rPr>
                <w:lang w:val="fr-FR"/>
              </w:rPr>
              <w:t>4</w:t>
            </w:r>
          </w:p>
        </w:tc>
        <w:tc>
          <w:tcPr>
            <w:tcW w:w="4058" w:type="dxa"/>
          </w:tcPr>
          <w:p w14:paraId="4ADF679C" w14:textId="5DBAD82F" w:rsidR="00E960C1" w:rsidRPr="005808ED" w:rsidRDefault="00E960C1" w:rsidP="00CA4F2A">
            <w:pPr>
              <w:rPr>
                <w:lang w:val="fr-FR"/>
              </w:rPr>
            </w:pPr>
            <w:r w:rsidRPr="005808ED">
              <w:rPr>
                <w:lang w:val="fr-FR"/>
              </w:rPr>
              <w:t>Réseaux d’assainissement urbains</w:t>
            </w:r>
          </w:p>
        </w:tc>
      </w:tr>
      <w:tr w:rsidR="00E960C1" w:rsidRPr="005808ED" w14:paraId="1476D56C" w14:textId="77777777" w:rsidTr="00FA6C22">
        <w:trPr>
          <w:cantSplit/>
        </w:trPr>
        <w:tc>
          <w:tcPr>
            <w:tcW w:w="668" w:type="dxa"/>
          </w:tcPr>
          <w:p w14:paraId="682D71B6" w14:textId="77777777" w:rsidR="00E960C1" w:rsidRPr="005808ED" w:rsidRDefault="00E960C1" w:rsidP="00CA4F2A">
            <w:pPr>
              <w:rPr>
                <w:lang w:val="fr-FR"/>
              </w:rPr>
            </w:pPr>
            <w:r w:rsidRPr="005808ED">
              <w:rPr>
                <w:lang w:val="fr-FR"/>
              </w:rPr>
              <w:t>5</w:t>
            </w:r>
          </w:p>
        </w:tc>
        <w:tc>
          <w:tcPr>
            <w:tcW w:w="4090" w:type="dxa"/>
          </w:tcPr>
          <w:p w14:paraId="32703340" w14:textId="77777777" w:rsidR="00E960C1" w:rsidRPr="005808ED" w:rsidRDefault="00E960C1" w:rsidP="00CA4F2A">
            <w:pPr>
              <w:rPr>
                <w:rFonts w:ascii="Arial" w:hAnsi="Arial" w:cs="Arial"/>
                <w:lang w:val="fr-FR"/>
              </w:rPr>
            </w:pPr>
            <w:r w:rsidRPr="005808ED">
              <w:rPr>
                <w:rFonts w:ascii="Arial" w:hAnsi="Arial" w:cs="Arial"/>
                <w:lang w:val="fr-FR"/>
              </w:rPr>
              <w:t>Products</w:t>
            </w:r>
          </w:p>
        </w:tc>
        <w:tc>
          <w:tcPr>
            <w:tcW w:w="670" w:type="dxa"/>
          </w:tcPr>
          <w:p w14:paraId="156AF9D1" w14:textId="77777777" w:rsidR="00E960C1" w:rsidRPr="005808ED" w:rsidRDefault="00E960C1" w:rsidP="00CA4F2A">
            <w:pPr>
              <w:rPr>
                <w:lang w:val="fr-FR"/>
              </w:rPr>
            </w:pPr>
            <w:r w:rsidRPr="005808ED">
              <w:rPr>
                <w:lang w:val="fr-FR"/>
              </w:rPr>
              <w:t>5</w:t>
            </w:r>
          </w:p>
        </w:tc>
        <w:tc>
          <w:tcPr>
            <w:tcW w:w="4058" w:type="dxa"/>
          </w:tcPr>
          <w:p w14:paraId="43FE790E" w14:textId="604D67D2" w:rsidR="00E960C1" w:rsidRPr="005808ED" w:rsidRDefault="00E960C1" w:rsidP="00CA4F2A">
            <w:pPr>
              <w:rPr>
                <w:lang w:val="fr-FR"/>
              </w:rPr>
            </w:pPr>
            <w:r w:rsidRPr="005808ED">
              <w:rPr>
                <w:lang w:val="fr-FR"/>
              </w:rPr>
              <w:t>Produits</w:t>
            </w:r>
          </w:p>
        </w:tc>
      </w:tr>
      <w:tr w:rsidR="00E960C1" w:rsidRPr="005808ED" w14:paraId="17310966" w14:textId="77777777" w:rsidTr="00FA6C22">
        <w:trPr>
          <w:cantSplit/>
        </w:trPr>
        <w:tc>
          <w:tcPr>
            <w:tcW w:w="668" w:type="dxa"/>
          </w:tcPr>
          <w:p w14:paraId="2DE640B7" w14:textId="77777777" w:rsidR="00E960C1" w:rsidRPr="005808ED" w:rsidRDefault="00E960C1" w:rsidP="00CA4F2A">
            <w:pPr>
              <w:rPr>
                <w:lang w:val="fr-FR"/>
              </w:rPr>
            </w:pPr>
            <w:r w:rsidRPr="005808ED">
              <w:rPr>
                <w:lang w:val="fr-FR"/>
              </w:rPr>
              <w:t>6</w:t>
            </w:r>
          </w:p>
        </w:tc>
        <w:tc>
          <w:tcPr>
            <w:tcW w:w="4090" w:type="dxa"/>
          </w:tcPr>
          <w:p w14:paraId="754D73F6" w14:textId="77777777" w:rsidR="00E960C1" w:rsidRPr="005808ED" w:rsidRDefault="00E960C1" w:rsidP="00CA4F2A">
            <w:pPr>
              <w:rPr>
                <w:rFonts w:ascii="Arial" w:hAnsi="Arial" w:cs="Arial"/>
                <w:lang w:val="fr-FR"/>
              </w:rPr>
            </w:pPr>
            <w:r w:rsidRPr="005808ED">
              <w:rPr>
                <w:rFonts w:ascii="Arial" w:hAnsi="Arial" w:cs="Arial"/>
                <w:lang w:val="fr-FR"/>
              </w:rPr>
              <w:t xml:space="preserve">Waste incineration and cremation  </w:t>
            </w:r>
          </w:p>
        </w:tc>
        <w:tc>
          <w:tcPr>
            <w:tcW w:w="670" w:type="dxa"/>
          </w:tcPr>
          <w:p w14:paraId="37668926" w14:textId="77777777" w:rsidR="00E960C1" w:rsidRPr="005808ED" w:rsidRDefault="00E960C1" w:rsidP="00CA4F2A">
            <w:pPr>
              <w:rPr>
                <w:lang w:val="fr-FR"/>
              </w:rPr>
            </w:pPr>
            <w:r w:rsidRPr="005808ED">
              <w:rPr>
                <w:lang w:val="fr-FR"/>
              </w:rPr>
              <w:t>6</w:t>
            </w:r>
          </w:p>
        </w:tc>
        <w:tc>
          <w:tcPr>
            <w:tcW w:w="4058" w:type="dxa"/>
          </w:tcPr>
          <w:p w14:paraId="73A8361E" w14:textId="380251EE" w:rsidR="00E960C1" w:rsidRPr="005808ED" w:rsidRDefault="001B5077" w:rsidP="00CA4F2A">
            <w:pPr>
              <w:rPr>
                <w:lang w:val="fr-FR"/>
              </w:rPr>
            </w:pPr>
            <w:r w:rsidRPr="005808ED">
              <w:rPr>
                <w:lang w:val="fr-FR"/>
              </w:rPr>
              <w:t xml:space="preserve">Incinération </w:t>
            </w:r>
            <w:r w:rsidR="0051212F" w:rsidRPr="005808ED">
              <w:rPr>
                <w:lang w:val="fr-FR"/>
              </w:rPr>
              <w:t xml:space="preserve">de déchets </w:t>
            </w:r>
            <w:r w:rsidRPr="005808ED">
              <w:rPr>
                <w:lang w:val="fr-FR"/>
              </w:rPr>
              <w:t>et cr</w:t>
            </w:r>
            <w:r w:rsidR="0051212F" w:rsidRPr="005808ED">
              <w:rPr>
                <w:lang w:val="fr-FR"/>
              </w:rPr>
              <w:t>é</w:t>
            </w:r>
            <w:r w:rsidRPr="005808ED">
              <w:rPr>
                <w:lang w:val="fr-FR"/>
              </w:rPr>
              <w:t>mation</w:t>
            </w:r>
          </w:p>
        </w:tc>
      </w:tr>
      <w:tr w:rsidR="00E960C1" w:rsidRPr="005808ED" w14:paraId="67D041AE" w14:textId="77777777" w:rsidTr="00FA6C22">
        <w:trPr>
          <w:cantSplit/>
        </w:trPr>
        <w:tc>
          <w:tcPr>
            <w:tcW w:w="668" w:type="dxa"/>
          </w:tcPr>
          <w:p w14:paraId="4F424221" w14:textId="77777777" w:rsidR="00E960C1" w:rsidRPr="005808ED" w:rsidRDefault="00E960C1" w:rsidP="00CA4F2A">
            <w:pPr>
              <w:rPr>
                <w:lang w:val="fr-FR"/>
              </w:rPr>
            </w:pPr>
            <w:r w:rsidRPr="005808ED">
              <w:rPr>
                <w:lang w:val="fr-FR"/>
              </w:rPr>
              <w:t>6a</w:t>
            </w:r>
          </w:p>
        </w:tc>
        <w:tc>
          <w:tcPr>
            <w:tcW w:w="4090" w:type="dxa"/>
          </w:tcPr>
          <w:p w14:paraId="3BEFCF0B" w14:textId="77777777" w:rsidR="00E960C1" w:rsidRPr="005808ED" w:rsidRDefault="00E960C1" w:rsidP="00CA4F2A">
            <w:pPr>
              <w:rPr>
                <w:rFonts w:ascii="Arial" w:hAnsi="Arial" w:cs="Arial"/>
                <w:lang w:val="fr-FR"/>
              </w:rPr>
            </w:pPr>
            <w:r w:rsidRPr="005808ED">
              <w:rPr>
                <w:rFonts w:ascii="Arial" w:hAnsi="Arial" w:cs="Arial"/>
                <w:lang w:val="fr-FR"/>
              </w:rPr>
              <w:t>Landﬁll</w:t>
            </w:r>
          </w:p>
        </w:tc>
        <w:tc>
          <w:tcPr>
            <w:tcW w:w="670" w:type="dxa"/>
          </w:tcPr>
          <w:p w14:paraId="79E6B7C7" w14:textId="77777777" w:rsidR="00E960C1" w:rsidRPr="005808ED" w:rsidRDefault="00E960C1" w:rsidP="00CA4F2A">
            <w:pPr>
              <w:rPr>
                <w:lang w:val="fr-FR"/>
              </w:rPr>
            </w:pPr>
            <w:r w:rsidRPr="005808ED">
              <w:rPr>
                <w:lang w:val="fr-FR"/>
              </w:rPr>
              <w:t>6a</w:t>
            </w:r>
          </w:p>
        </w:tc>
        <w:tc>
          <w:tcPr>
            <w:tcW w:w="4058" w:type="dxa"/>
          </w:tcPr>
          <w:p w14:paraId="232544E1" w14:textId="52CF8380" w:rsidR="00E960C1" w:rsidRPr="005808ED" w:rsidRDefault="001B5077" w:rsidP="00CA4F2A">
            <w:pPr>
              <w:rPr>
                <w:lang w:val="fr-FR"/>
              </w:rPr>
            </w:pPr>
            <w:r w:rsidRPr="005808ED">
              <w:rPr>
                <w:lang w:val="fr-FR"/>
              </w:rPr>
              <w:t>Décharges</w:t>
            </w:r>
          </w:p>
        </w:tc>
      </w:tr>
      <w:tr w:rsidR="00E960C1" w:rsidRPr="005808ED" w14:paraId="16178EE4" w14:textId="77777777" w:rsidTr="00FA6C22">
        <w:trPr>
          <w:cantSplit/>
        </w:trPr>
        <w:tc>
          <w:tcPr>
            <w:tcW w:w="668" w:type="dxa"/>
          </w:tcPr>
          <w:p w14:paraId="3B74972A" w14:textId="77777777" w:rsidR="00E960C1" w:rsidRPr="005808ED" w:rsidRDefault="00E960C1" w:rsidP="00CA4F2A">
            <w:pPr>
              <w:rPr>
                <w:lang w:val="fr-FR"/>
              </w:rPr>
            </w:pPr>
            <w:r w:rsidRPr="005808ED">
              <w:rPr>
                <w:lang w:val="fr-FR"/>
              </w:rPr>
              <w:t>7</w:t>
            </w:r>
          </w:p>
        </w:tc>
        <w:tc>
          <w:tcPr>
            <w:tcW w:w="4090" w:type="dxa"/>
          </w:tcPr>
          <w:p w14:paraId="02D7EFC4" w14:textId="77777777" w:rsidR="00E960C1" w:rsidRPr="005808ED" w:rsidRDefault="00E960C1" w:rsidP="00CA4F2A">
            <w:pPr>
              <w:rPr>
                <w:rFonts w:ascii="Arial" w:hAnsi="Arial" w:cs="Arial"/>
                <w:lang w:val="fr-FR"/>
              </w:rPr>
            </w:pPr>
            <w:r w:rsidRPr="005808ED">
              <w:rPr>
                <w:rFonts w:ascii="Arial" w:hAnsi="Arial" w:cs="Arial"/>
                <w:lang w:val="fr-FR"/>
              </w:rPr>
              <w:t>Coal power plants</w:t>
            </w:r>
          </w:p>
        </w:tc>
        <w:tc>
          <w:tcPr>
            <w:tcW w:w="670" w:type="dxa"/>
          </w:tcPr>
          <w:p w14:paraId="3115ECF3" w14:textId="77777777" w:rsidR="00E960C1" w:rsidRPr="005808ED" w:rsidRDefault="00E960C1" w:rsidP="00CA4F2A">
            <w:pPr>
              <w:rPr>
                <w:lang w:val="fr-FR"/>
              </w:rPr>
            </w:pPr>
            <w:r w:rsidRPr="005808ED">
              <w:rPr>
                <w:lang w:val="fr-FR"/>
              </w:rPr>
              <w:t>7</w:t>
            </w:r>
          </w:p>
        </w:tc>
        <w:tc>
          <w:tcPr>
            <w:tcW w:w="4058" w:type="dxa"/>
          </w:tcPr>
          <w:p w14:paraId="312FE957" w14:textId="15129753" w:rsidR="00E960C1" w:rsidRPr="005808ED" w:rsidRDefault="001B5077" w:rsidP="00CA4F2A">
            <w:pPr>
              <w:rPr>
                <w:lang w:val="fr-FR"/>
              </w:rPr>
            </w:pPr>
            <w:r w:rsidRPr="005808ED">
              <w:rPr>
                <w:lang w:val="fr-FR"/>
              </w:rPr>
              <w:t>Centrales à charbon</w:t>
            </w:r>
          </w:p>
        </w:tc>
      </w:tr>
      <w:tr w:rsidR="00E960C1" w:rsidRPr="005808ED" w14:paraId="1B2F7880" w14:textId="77777777" w:rsidTr="00FA6C22">
        <w:trPr>
          <w:cantSplit/>
        </w:trPr>
        <w:tc>
          <w:tcPr>
            <w:tcW w:w="668" w:type="dxa"/>
          </w:tcPr>
          <w:p w14:paraId="20D183F7" w14:textId="77777777" w:rsidR="00E960C1" w:rsidRPr="005808ED" w:rsidRDefault="00E960C1" w:rsidP="00CA4F2A">
            <w:pPr>
              <w:rPr>
                <w:lang w:val="fr-FR"/>
              </w:rPr>
            </w:pPr>
            <w:r w:rsidRPr="005808ED">
              <w:rPr>
                <w:lang w:val="fr-FR"/>
              </w:rPr>
              <w:t>8</w:t>
            </w:r>
          </w:p>
        </w:tc>
        <w:tc>
          <w:tcPr>
            <w:tcW w:w="4090" w:type="dxa"/>
          </w:tcPr>
          <w:p w14:paraId="20C06AFB" w14:textId="77777777" w:rsidR="00E960C1" w:rsidRPr="005808ED" w:rsidRDefault="00E960C1" w:rsidP="00CA4F2A">
            <w:pPr>
              <w:rPr>
                <w:rFonts w:ascii="Arial" w:hAnsi="Arial" w:cs="Arial"/>
                <w:lang w:val="fr-FR"/>
              </w:rPr>
            </w:pPr>
            <w:r w:rsidRPr="005808ED">
              <w:rPr>
                <w:rFonts w:ascii="Arial" w:hAnsi="Arial" w:cs="Arial"/>
                <w:lang w:val="fr-FR"/>
              </w:rPr>
              <w:t>Deposition to water</w:t>
            </w:r>
          </w:p>
        </w:tc>
        <w:tc>
          <w:tcPr>
            <w:tcW w:w="670" w:type="dxa"/>
          </w:tcPr>
          <w:p w14:paraId="10D4E745" w14:textId="77777777" w:rsidR="00E960C1" w:rsidRPr="005808ED" w:rsidRDefault="00E960C1" w:rsidP="00CA4F2A">
            <w:pPr>
              <w:rPr>
                <w:lang w:val="fr-FR"/>
              </w:rPr>
            </w:pPr>
            <w:r w:rsidRPr="005808ED">
              <w:rPr>
                <w:lang w:val="fr-FR"/>
              </w:rPr>
              <w:t>8</w:t>
            </w:r>
          </w:p>
        </w:tc>
        <w:tc>
          <w:tcPr>
            <w:tcW w:w="4058" w:type="dxa"/>
          </w:tcPr>
          <w:p w14:paraId="52B8EB80" w14:textId="354BABBD" w:rsidR="00E960C1" w:rsidRPr="005808ED" w:rsidRDefault="001B5077" w:rsidP="00CA4F2A">
            <w:pPr>
              <w:rPr>
                <w:lang w:val="fr-FR"/>
              </w:rPr>
            </w:pPr>
            <w:r w:rsidRPr="005808ED">
              <w:rPr>
                <w:lang w:val="fr-FR"/>
              </w:rPr>
              <w:t>Dép</w:t>
            </w:r>
            <w:r w:rsidR="00520496" w:rsidRPr="005808ED">
              <w:rPr>
                <w:lang w:val="fr-FR"/>
              </w:rPr>
              <w:t>ôts</w:t>
            </w:r>
            <w:r w:rsidRPr="005808ED">
              <w:rPr>
                <w:lang w:val="fr-FR"/>
              </w:rPr>
              <w:t xml:space="preserve"> dans l’eau</w:t>
            </w:r>
          </w:p>
        </w:tc>
      </w:tr>
      <w:tr w:rsidR="00E960C1" w:rsidRPr="005808ED" w14:paraId="6FBE5E1F" w14:textId="77777777" w:rsidTr="00FA6C22">
        <w:trPr>
          <w:cantSplit/>
        </w:trPr>
        <w:tc>
          <w:tcPr>
            <w:tcW w:w="668" w:type="dxa"/>
          </w:tcPr>
          <w:p w14:paraId="072E88AA" w14:textId="77777777" w:rsidR="00E960C1" w:rsidRPr="005808ED" w:rsidRDefault="00E960C1" w:rsidP="00CA4F2A">
            <w:pPr>
              <w:rPr>
                <w:lang w:val="fr-FR"/>
              </w:rPr>
            </w:pPr>
            <w:r w:rsidRPr="005808ED">
              <w:rPr>
                <w:lang w:val="fr-FR"/>
              </w:rPr>
              <w:t>9</w:t>
            </w:r>
          </w:p>
        </w:tc>
        <w:tc>
          <w:tcPr>
            <w:tcW w:w="4090" w:type="dxa"/>
          </w:tcPr>
          <w:p w14:paraId="1F3DA426" w14:textId="77777777" w:rsidR="00E960C1" w:rsidRPr="005808ED" w:rsidRDefault="00E960C1" w:rsidP="00CA4F2A">
            <w:pPr>
              <w:rPr>
                <w:rFonts w:ascii="Arial" w:hAnsi="Arial" w:cs="Arial"/>
                <w:lang w:val="fr-FR"/>
              </w:rPr>
            </w:pPr>
            <w:r w:rsidRPr="005808ED">
              <w:rPr>
                <w:rFonts w:ascii="Arial" w:hAnsi="Arial" w:cs="Arial"/>
                <w:lang w:val="fr-FR"/>
              </w:rPr>
              <w:t>Larger ﬁsh</w:t>
            </w:r>
          </w:p>
        </w:tc>
        <w:tc>
          <w:tcPr>
            <w:tcW w:w="670" w:type="dxa"/>
          </w:tcPr>
          <w:p w14:paraId="1ACEF6BC" w14:textId="77777777" w:rsidR="00E960C1" w:rsidRPr="005808ED" w:rsidRDefault="00E960C1" w:rsidP="00CA4F2A">
            <w:pPr>
              <w:rPr>
                <w:lang w:val="fr-FR"/>
              </w:rPr>
            </w:pPr>
            <w:r w:rsidRPr="005808ED">
              <w:rPr>
                <w:lang w:val="fr-FR"/>
              </w:rPr>
              <w:t>9</w:t>
            </w:r>
          </w:p>
        </w:tc>
        <w:tc>
          <w:tcPr>
            <w:tcW w:w="4058" w:type="dxa"/>
          </w:tcPr>
          <w:p w14:paraId="10DC553A" w14:textId="4C0DD61A" w:rsidR="00E960C1" w:rsidRPr="005808ED" w:rsidRDefault="001B5077" w:rsidP="00CA4F2A">
            <w:pPr>
              <w:rPr>
                <w:lang w:val="fr-FR"/>
              </w:rPr>
            </w:pPr>
            <w:r w:rsidRPr="005808ED">
              <w:rPr>
                <w:lang w:val="fr-FR"/>
              </w:rPr>
              <w:t xml:space="preserve">Grands </w:t>
            </w:r>
            <w:r w:rsidR="0051212F" w:rsidRPr="005808ED">
              <w:rPr>
                <w:lang w:val="fr-FR"/>
              </w:rPr>
              <w:t>poissons</w:t>
            </w:r>
          </w:p>
        </w:tc>
      </w:tr>
      <w:tr w:rsidR="00E960C1" w:rsidRPr="005808ED" w14:paraId="14A4CB19" w14:textId="77777777" w:rsidTr="00FA6C22">
        <w:trPr>
          <w:cantSplit/>
        </w:trPr>
        <w:tc>
          <w:tcPr>
            <w:tcW w:w="668" w:type="dxa"/>
          </w:tcPr>
          <w:p w14:paraId="752DB31C" w14:textId="77777777" w:rsidR="00E960C1" w:rsidRPr="005808ED" w:rsidRDefault="00E960C1" w:rsidP="00CA4F2A">
            <w:pPr>
              <w:rPr>
                <w:lang w:val="fr-FR"/>
              </w:rPr>
            </w:pPr>
            <w:r w:rsidRPr="005808ED">
              <w:rPr>
                <w:lang w:val="fr-FR"/>
              </w:rPr>
              <w:t>10</w:t>
            </w:r>
          </w:p>
        </w:tc>
        <w:tc>
          <w:tcPr>
            <w:tcW w:w="4090" w:type="dxa"/>
          </w:tcPr>
          <w:p w14:paraId="753D3015" w14:textId="77777777" w:rsidR="00E960C1" w:rsidRPr="005808ED" w:rsidRDefault="00E960C1" w:rsidP="00CA4F2A">
            <w:pPr>
              <w:rPr>
                <w:rFonts w:ascii="Arial" w:hAnsi="Arial" w:cs="Arial"/>
                <w:lang w:val="fr-FR"/>
              </w:rPr>
            </w:pPr>
            <w:r w:rsidRPr="005808ED">
              <w:rPr>
                <w:rFonts w:ascii="Arial" w:hAnsi="Arial" w:cs="Arial"/>
                <w:lang w:val="fr-FR"/>
              </w:rPr>
              <w:t>Humans</w:t>
            </w:r>
          </w:p>
        </w:tc>
        <w:tc>
          <w:tcPr>
            <w:tcW w:w="670" w:type="dxa"/>
          </w:tcPr>
          <w:p w14:paraId="476A79A8" w14:textId="77777777" w:rsidR="00E960C1" w:rsidRPr="005808ED" w:rsidRDefault="00E960C1" w:rsidP="00CA4F2A">
            <w:pPr>
              <w:rPr>
                <w:lang w:val="fr-FR"/>
              </w:rPr>
            </w:pPr>
            <w:r w:rsidRPr="005808ED">
              <w:rPr>
                <w:lang w:val="fr-FR"/>
              </w:rPr>
              <w:t>10</w:t>
            </w:r>
          </w:p>
        </w:tc>
        <w:tc>
          <w:tcPr>
            <w:tcW w:w="4058" w:type="dxa"/>
          </w:tcPr>
          <w:p w14:paraId="5ACA0EC0" w14:textId="1F3C0A09" w:rsidR="00E960C1" w:rsidRPr="005808ED" w:rsidRDefault="001B5077" w:rsidP="00CA4F2A">
            <w:pPr>
              <w:rPr>
                <w:lang w:val="fr-FR"/>
              </w:rPr>
            </w:pPr>
            <w:r w:rsidRPr="005808ED">
              <w:rPr>
                <w:lang w:val="fr-FR"/>
              </w:rPr>
              <w:t>Êtres humains</w:t>
            </w:r>
          </w:p>
        </w:tc>
      </w:tr>
      <w:tr w:rsidR="00E960C1" w:rsidRPr="005808ED" w14:paraId="5D79F7F2" w14:textId="77777777" w:rsidTr="00FA6C22">
        <w:trPr>
          <w:cantSplit/>
        </w:trPr>
        <w:tc>
          <w:tcPr>
            <w:tcW w:w="668" w:type="dxa"/>
          </w:tcPr>
          <w:p w14:paraId="11102E6A" w14:textId="77777777" w:rsidR="00E960C1" w:rsidRPr="005808ED" w:rsidRDefault="00E960C1" w:rsidP="00CA4F2A">
            <w:pPr>
              <w:rPr>
                <w:lang w:val="fr-FR"/>
              </w:rPr>
            </w:pPr>
            <w:r w:rsidRPr="005808ED">
              <w:rPr>
                <w:lang w:val="fr-FR"/>
              </w:rPr>
              <w:t>11</w:t>
            </w:r>
          </w:p>
        </w:tc>
        <w:tc>
          <w:tcPr>
            <w:tcW w:w="4090" w:type="dxa"/>
          </w:tcPr>
          <w:p w14:paraId="34D1520E" w14:textId="77777777" w:rsidR="00E960C1" w:rsidRPr="005808ED" w:rsidRDefault="00E960C1" w:rsidP="00CA4F2A">
            <w:pPr>
              <w:rPr>
                <w:rFonts w:ascii="Arial" w:hAnsi="Arial" w:cs="Arial"/>
                <w:lang w:val="fr-FR"/>
              </w:rPr>
            </w:pPr>
            <w:r w:rsidRPr="005808ED">
              <w:rPr>
                <w:rFonts w:ascii="Arial" w:hAnsi="Arial" w:cs="Arial"/>
                <w:lang w:val="fr-FR"/>
              </w:rPr>
              <w:t>Soil contamination</w:t>
            </w:r>
          </w:p>
        </w:tc>
        <w:tc>
          <w:tcPr>
            <w:tcW w:w="670" w:type="dxa"/>
          </w:tcPr>
          <w:p w14:paraId="5D45A9BE" w14:textId="77777777" w:rsidR="00E960C1" w:rsidRPr="005808ED" w:rsidRDefault="00E960C1" w:rsidP="00CA4F2A">
            <w:pPr>
              <w:rPr>
                <w:lang w:val="fr-FR"/>
              </w:rPr>
            </w:pPr>
            <w:r w:rsidRPr="005808ED">
              <w:rPr>
                <w:lang w:val="fr-FR"/>
              </w:rPr>
              <w:t>11</w:t>
            </w:r>
          </w:p>
        </w:tc>
        <w:tc>
          <w:tcPr>
            <w:tcW w:w="4058" w:type="dxa"/>
          </w:tcPr>
          <w:p w14:paraId="548DC2E0" w14:textId="3FEAC2E7" w:rsidR="00E960C1" w:rsidRPr="005808ED" w:rsidRDefault="001B5077" w:rsidP="00CA4F2A">
            <w:pPr>
              <w:rPr>
                <w:lang w:val="fr-FR"/>
              </w:rPr>
            </w:pPr>
            <w:r w:rsidRPr="005808ED">
              <w:rPr>
                <w:lang w:val="fr-FR"/>
              </w:rPr>
              <w:t>Contamination des sols</w:t>
            </w:r>
          </w:p>
        </w:tc>
      </w:tr>
      <w:tr w:rsidR="00E960C1" w:rsidRPr="005808ED" w14:paraId="61C8EF08" w14:textId="77777777" w:rsidTr="00FA6C22">
        <w:trPr>
          <w:cantSplit/>
        </w:trPr>
        <w:tc>
          <w:tcPr>
            <w:tcW w:w="668" w:type="dxa"/>
          </w:tcPr>
          <w:p w14:paraId="2B29E053" w14:textId="77777777" w:rsidR="00E960C1" w:rsidRPr="005808ED" w:rsidRDefault="00E960C1" w:rsidP="00CA4F2A">
            <w:pPr>
              <w:rPr>
                <w:lang w:val="fr-FR"/>
              </w:rPr>
            </w:pPr>
            <w:r w:rsidRPr="005808ED">
              <w:rPr>
                <w:lang w:val="fr-FR"/>
              </w:rPr>
              <w:t>12</w:t>
            </w:r>
          </w:p>
        </w:tc>
        <w:tc>
          <w:tcPr>
            <w:tcW w:w="4090" w:type="dxa"/>
          </w:tcPr>
          <w:p w14:paraId="008F88BA" w14:textId="77777777" w:rsidR="00E960C1" w:rsidRPr="005808ED" w:rsidRDefault="00E960C1" w:rsidP="00CA4F2A">
            <w:pPr>
              <w:rPr>
                <w:rFonts w:ascii="Arial" w:hAnsi="Arial" w:cs="Arial"/>
                <w:lang w:val="fr-FR"/>
              </w:rPr>
            </w:pPr>
            <w:r w:rsidRPr="005808ED">
              <w:rPr>
                <w:rFonts w:ascii="Arial" w:hAnsi="Arial" w:cs="Arial"/>
                <w:lang w:val="fr-FR"/>
              </w:rPr>
              <w:t>Landﬁll leachate</w:t>
            </w:r>
          </w:p>
        </w:tc>
        <w:tc>
          <w:tcPr>
            <w:tcW w:w="670" w:type="dxa"/>
          </w:tcPr>
          <w:p w14:paraId="1D7D005E" w14:textId="77777777" w:rsidR="00E960C1" w:rsidRPr="005808ED" w:rsidRDefault="00E960C1" w:rsidP="00CA4F2A">
            <w:pPr>
              <w:rPr>
                <w:lang w:val="fr-FR"/>
              </w:rPr>
            </w:pPr>
            <w:r w:rsidRPr="005808ED">
              <w:rPr>
                <w:lang w:val="fr-FR"/>
              </w:rPr>
              <w:t>12</w:t>
            </w:r>
          </w:p>
        </w:tc>
        <w:tc>
          <w:tcPr>
            <w:tcW w:w="4058" w:type="dxa"/>
          </w:tcPr>
          <w:p w14:paraId="5F83E3D9" w14:textId="75DAE69D" w:rsidR="00E960C1" w:rsidRPr="005808ED" w:rsidRDefault="001B5077" w:rsidP="00CA4F2A">
            <w:pPr>
              <w:rPr>
                <w:lang w:val="fr-FR"/>
              </w:rPr>
            </w:pPr>
            <w:r w:rsidRPr="005808ED">
              <w:rPr>
                <w:lang w:val="fr-FR"/>
              </w:rPr>
              <w:t>Lixiviation depuis l</w:t>
            </w:r>
            <w:r w:rsidR="0051212F" w:rsidRPr="005808ED">
              <w:rPr>
                <w:lang w:val="fr-FR"/>
              </w:rPr>
              <w:t>es</w:t>
            </w:r>
            <w:r w:rsidRPr="005808ED">
              <w:rPr>
                <w:lang w:val="fr-FR"/>
              </w:rPr>
              <w:t xml:space="preserve"> décharge</w:t>
            </w:r>
            <w:r w:rsidR="0051212F" w:rsidRPr="005808ED">
              <w:rPr>
                <w:lang w:val="fr-FR"/>
              </w:rPr>
              <w:t>s</w:t>
            </w:r>
          </w:p>
        </w:tc>
      </w:tr>
      <w:tr w:rsidR="00E960C1" w:rsidRPr="005808ED" w14:paraId="6E4C6B25" w14:textId="77777777" w:rsidTr="00FA6C22">
        <w:trPr>
          <w:cantSplit/>
        </w:trPr>
        <w:tc>
          <w:tcPr>
            <w:tcW w:w="668" w:type="dxa"/>
          </w:tcPr>
          <w:p w14:paraId="7486FD57" w14:textId="77777777" w:rsidR="00E960C1" w:rsidRPr="005808ED" w:rsidRDefault="00E960C1" w:rsidP="00CA4F2A">
            <w:pPr>
              <w:rPr>
                <w:lang w:val="fr-FR"/>
              </w:rPr>
            </w:pPr>
            <w:r w:rsidRPr="005808ED">
              <w:rPr>
                <w:lang w:val="fr-FR"/>
              </w:rPr>
              <w:t>13</w:t>
            </w:r>
          </w:p>
        </w:tc>
        <w:tc>
          <w:tcPr>
            <w:tcW w:w="4090" w:type="dxa"/>
          </w:tcPr>
          <w:p w14:paraId="79B1E0F9" w14:textId="77777777" w:rsidR="00E960C1" w:rsidRPr="005808ED" w:rsidRDefault="00E960C1" w:rsidP="00CA4F2A">
            <w:pPr>
              <w:rPr>
                <w:rFonts w:ascii="Arial" w:hAnsi="Arial" w:cs="Arial"/>
                <w:lang w:val="fr-FR"/>
              </w:rPr>
            </w:pPr>
            <w:r w:rsidRPr="005808ED">
              <w:rPr>
                <w:rFonts w:ascii="Arial" w:hAnsi="Arial" w:cs="Arial"/>
                <w:lang w:val="fr-FR"/>
              </w:rPr>
              <w:t>Cement plants</w:t>
            </w:r>
            <w:r w:rsidRPr="005808ED">
              <w:rPr>
                <w:rFonts w:ascii="Arial" w:hAnsi="Arial" w:cs="Arial"/>
                <w:lang w:val="fr-FR"/>
              </w:rPr>
              <w:br/>
              <w:t>Chlor-alkali plants</w:t>
            </w:r>
            <w:r w:rsidRPr="005808ED">
              <w:rPr>
                <w:rFonts w:ascii="Arial" w:hAnsi="Arial" w:cs="Arial"/>
                <w:lang w:val="fr-FR"/>
              </w:rPr>
              <w:br/>
              <w:t>Vinyl chloride monomer plants</w:t>
            </w:r>
          </w:p>
        </w:tc>
        <w:tc>
          <w:tcPr>
            <w:tcW w:w="670" w:type="dxa"/>
          </w:tcPr>
          <w:p w14:paraId="38109FBA" w14:textId="77777777" w:rsidR="00E960C1" w:rsidRPr="005808ED" w:rsidRDefault="00E960C1" w:rsidP="00CA4F2A">
            <w:pPr>
              <w:rPr>
                <w:lang w:val="fr-FR"/>
              </w:rPr>
            </w:pPr>
            <w:r w:rsidRPr="005808ED">
              <w:rPr>
                <w:lang w:val="fr-FR"/>
              </w:rPr>
              <w:t>13</w:t>
            </w:r>
          </w:p>
        </w:tc>
        <w:tc>
          <w:tcPr>
            <w:tcW w:w="4058" w:type="dxa"/>
          </w:tcPr>
          <w:p w14:paraId="70CC725E" w14:textId="69CE0640" w:rsidR="00E960C1" w:rsidRPr="005808ED" w:rsidRDefault="009E72AB" w:rsidP="00CA4F2A">
            <w:pPr>
              <w:rPr>
                <w:lang w:val="fr-FR"/>
              </w:rPr>
            </w:pPr>
            <w:r w:rsidRPr="005808ED">
              <w:rPr>
                <w:lang w:val="fr-FR"/>
              </w:rPr>
              <w:t>Usines de production de ciment, de chlore</w:t>
            </w:r>
            <w:r w:rsidR="0051212F" w:rsidRPr="005808ED">
              <w:rPr>
                <w:lang w:val="fr-FR"/>
              </w:rPr>
              <w:t>-</w:t>
            </w:r>
            <w:r w:rsidRPr="005808ED">
              <w:rPr>
                <w:lang w:val="fr-FR"/>
              </w:rPr>
              <w:t>alcali et de chlorure de vinyle monomère</w:t>
            </w:r>
          </w:p>
        </w:tc>
      </w:tr>
      <w:tr w:rsidR="00E960C1" w:rsidRPr="005808ED" w14:paraId="39DD3A01" w14:textId="77777777" w:rsidTr="00FA6C22">
        <w:trPr>
          <w:cantSplit/>
        </w:trPr>
        <w:tc>
          <w:tcPr>
            <w:tcW w:w="668" w:type="dxa"/>
          </w:tcPr>
          <w:p w14:paraId="04B752F8" w14:textId="77777777" w:rsidR="00E960C1" w:rsidRPr="005808ED" w:rsidRDefault="00E960C1" w:rsidP="00CA4F2A">
            <w:pPr>
              <w:rPr>
                <w:lang w:val="fr-FR"/>
              </w:rPr>
            </w:pPr>
            <w:r w:rsidRPr="005808ED">
              <w:rPr>
                <w:lang w:val="fr-FR"/>
              </w:rPr>
              <w:t>14</w:t>
            </w:r>
          </w:p>
        </w:tc>
        <w:tc>
          <w:tcPr>
            <w:tcW w:w="4090" w:type="dxa"/>
          </w:tcPr>
          <w:p w14:paraId="07F6B68F" w14:textId="77777777" w:rsidR="00E960C1" w:rsidRPr="005808ED" w:rsidRDefault="00E960C1" w:rsidP="00CA4F2A">
            <w:pPr>
              <w:rPr>
                <w:rFonts w:ascii="Arial" w:hAnsi="Arial" w:cs="Arial"/>
                <w:lang w:val="fr-FR"/>
              </w:rPr>
            </w:pPr>
            <w:r w:rsidRPr="005808ED">
              <w:rPr>
                <w:rFonts w:ascii="Arial" w:hAnsi="Arial" w:cs="Arial"/>
                <w:lang w:val="fr-FR"/>
              </w:rPr>
              <w:t>Bioaccumulation over time</w:t>
            </w:r>
          </w:p>
        </w:tc>
        <w:tc>
          <w:tcPr>
            <w:tcW w:w="670" w:type="dxa"/>
          </w:tcPr>
          <w:p w14:paraId="1EC643D9" w14:textId="77777777" w:rsidR="00E960C1" w:rsidRPr="005808ED" w:rsidRDefault="00E960C1" w:rsidP="00CA4F2A">
            <w:pPr>
              <w:rPr>
                <w:lang w:val="fr-FR"/>
              </w:rPr>
            </w:pPr>
            <w:r w:rsidRPr="005808ED">
              <w:rPr>
                <w:lang w:val="fr-FR"/>
              </w:rPr>
              <w:t>14</w:t>
            </w:r>
          </w:p>
        </w:tc>
        <w:tc>
          <w:tcPr>
            <w:tcW w:w="4058" w:type="dxa"/>
          </w:tcPr>
          <w:p w14:paraId="3725A2A4" w14:textId="5B32788E" w:rsidR="00E960C1" w:rsidRPr="005808ED" w:rsidRDefault="009E72AB" w:rsidP="00CA4F2A">
            <w:pPr>
              <w:rPr>
                <w:lang w:val="fr-FR"/>
              </w:rPr>
            </w:pPr>
            <w:r w:rsidRPr="005808ED">
              <w:rPr>
                <w:lang w:val="fr-FR"/>
              </w:rPr>
              <w:t>Bioaccumation au fil du temps</w:t>
            </w:r>
          </w:p>
        </w:tc>
      </w:tr>
      <w:tr w:rsidR="00E960C1" w:rsidRPr="005808ED" w14:paraId="626FB297" w14:textId="77777777" w:rsidTr="00FA6C22">
        <w:trPr>
          <w:cantSplit/>
        </w:trPr>
        <w:tc>
          <w:tcPr>
            <w:tcW w:w="668" w:type="dxa"/>
          </w:tcPr>
          <w:p w14:paraId="77071CB0" w14:textId="77777777" w:rsidR="00E960C1" w:rsidRPr="005808ED" w:rsidRDefault="00E960C1" w:rsidP="00CA4F2A">
            <w:pPr>
              <w:rPr>
                <w:lang w:val="fr-FR"/>
              </w:rPr>
            </w:pPr>
            <w:r w:rsidRPr="005808ED">
              <w:rPr>
                <w:lang w:val="fr-FR"/>
              </w:rPr>
              <w:t>15</w:t>
            </w:r>
          </w:p>
        </w:tc>
        <w:tc>
          <w:tcPr>
            <w:tcW w:w="4090" w:type="dxa"/>
          </w:tcPr>
          <w:p w14:paraId="66E49474" w14:textId="77777777" w:rsidR="00E960C1" w:rsidRPr="005808ED" w:rsidRDefault="00E960C1" w:rsidP="00CA4F2A">
            <w:pPr>
              <w:rPr>
                <w:rFonts w:ascii="Arial" w:hAnsi="Arial" w:cs="Arial"/>
                <w:lang w:val="fr-FR"/>
              </w:rPr>
            </w:pPr>
            <w:r w:rsidRPr="005808ED">
              <w:rPr>
                <w:rFonts w:ascii="Arial" w:hAnsi="Arial" w:cs="Arial"/>
                <w:lang w:val="fr-FR"/>
              </w:rPr>
              <w:t>Smaller ﬁsh</w:t>
            </w:r>
          </w:p>
        </w:tc>
        <w:tc>
          <w:tcPr>
            <w:tcW w:w="670" w:type="dxa"/>
          </w:tcPr>
          <w:p w14:paraId="6A20248B" w14:textId="77777777" w:rsidR="00E960C1" w:rsidRPr="005808ED" w:rsidRDefault="00E960C1" w:rsidP="00CA4F2A">
            <w:pPr>
              <w:rPr>
                <w:lang w:val="fr-FR"/>
              </w:rPr>
            </w:pPr>
            <w:r w:rsidRPr="005808ED">
              <w:rPr>
                <w:lang w:val="fr-FR"/>
              </w:rPr>
              <w:t>15</w:t>
            </w:r>
          </w:p>
        </w:tc>
        <w:tc>
          <w:tcPr>
            <w:tcW w:w="4058" w:type="dxa"/>
          </w:tcPr>
          <w:p w14:paraId="6E26D2BE" w14:textId="1FD2B0C6" w:rsidR="00E960C1" w:rsidRPr="005808ED" w:rsidRDefault="009E72AB" w:rsidP="00CA4F2A">
            <w:pPr>
              <w:rPr>
                <w:lang w:val="fr-FR"/>
              </w:rPr>
            </w:pPr>
            <w:r w:rsidRPr="005808ED">
              <w:rPr>
                <w:lang w:val="fr-FR"/>
              </w:rPr>
              <w:t xml:space="preserve">Petits </w:t>
            </w:r>
            <w:r w:rsidR="0051212F" w:rsidRPr="005808ED">
              <w:rPr>
                <w:lang w:val="fr-FR"/>
              </w:rPr>
              <w:t>poissons</w:t>
            </w:r>
          </w:p>
        </w:tc>
      </w:tr>
      <w:tr w:rsidR="00E960C1" w:rsidRPr="005808ED" w14:paraId="3B911BD7" w14:textId="77777777" w:rsidTr="00FA6C22">
        <w:trPr>
          <w:cantSplit/>
        </w:trPr>
        <w:tc>
          <w:tcPr>
            <w:tcW w:w="668" w:type="dxa"/>
          </w:tcPr>
          <w:p w14:paraId="72233686" w14:textId="77777777" w:rsidR="00E960C1" w:rsidRPr="005808ED" w:rsidRDefault="00E960C1" w:rsidP="00CA4F2A">
            <w:pPr>
              <w:rPr>
                <w:lang w:val="fr-FR"/>
              </w:rPr>
            </w:pPr>
            <w:r w:rsidRPr="005808ED">
              <w:rPr>
                <w:lang w:val="fr-FR"/>
              </w:rPr>
              <w:t>16</w:t>
            </w:r>
          </w:p>
        </w:tc>
        <w:tc>
          <w:tcPr>
            <w:tcW w:w="4090" w:type="dxa"/>
          </w:tcPr>
          <w:p w14:paraId="4BEFB38E" w14:textId="77777777" w:rsidR="00E960C1" w:rsidRPr="005808ED" w:rsidRDefault="00E960C1" w:rsidP="00CA4F2A">
            <w:pPr>
              <w:rPr>
                <w:rFonts w:ascii="Arial" w:hAnsi="Arial" w:cs="Arial"/>
                <w:lang w:val="fr-FR"/>
              </w:rPr>
            </w:pPr>
            <w:r w:rsidRPr="005808ED">
              <w:rPr>
                <w:rFonts w:ascii="Arial" w:hAnsi="Arial" w:cs="Arial"/>
                <w:lang w:val="fr-FR"/>
              </w:rPr>
              <w:t>Biomagnification</w:t>
            </w:r>
          </w:p>
        </w:tc>
        <w:tc>
          <w:tcPr>
            <w:tcW w:w="670" w:type="dxa"/>
          </w:tcPr>
          <w:p w14:paraId="45C8389C" w14:textId="77777777" w:rsidR="00E960C1" w:rsidRPr="005808ED" w:rsidRDefault="00E960C1" w:rsidP="00CA4F2A">
            <w:pPr>
              <w:rPr>
                <w:lang w:val="fr-FR"/>
              </w:rPr>
            </w:pPr>
            <w:r w:rsidRPr="005808ED">
              <w:rPr>
                <w:lang w:val="fr-FR"/>
              </w:rPr>
              <w:t>16</w:t>
            </w:r>
          </w:p>
        </w:tc>
        <w:tc>
          <w:tcPr>
            <w:tcW w:w="4058" w:type="dxa"/>
          </w:tcPr>
          <w:p w14:paraId="2D309356" w14:textId="0085477D" w:rsidR="00E960C1" w:rsidRPr="005808ED" w:rsidRDefault="009E72AB" w:rsidP="00CA4F2A">
            <w:pPr>
              <w:rPr>
                <w:lang w:val="fr-FR"/>
              </w:rPr>
            </w:pPr>
            <w:r w:rsidRPr="005808ED">
              <w:rPr>
                <w:lang w:val="fr-FR"/>
              </w:rPr>
              <w:t>Bioamplification</w:t>
            </w:r>
          </w:p>
        </w:tc>
      </w:tr>
      <w:tr w:rsidR="00E960C1" w:rsidRPr="005808ED" w14:paraId="588F08BD" w14:textId="77777777" w:rsidTr="00FA6C22">
        <w:trPr>
          <w:cantSplit/>
        </w:trPr>
        <w:tc>
          <w:tcPr>
            <w:tcW w:w="668" w:type="dxa"/>
          </w:tcPr>
          <w:p w14:paraId="48E5D987" w14:textId="77777777" w:rsidR="00E960C1" w:rsidRPr="005808ED" w:rsidRDefault="00E960C1" w:rsidP="00CA4F2A">
            <w:pPr>
              <w:rPr>
                <w:lang w:val="fr-FR"/>
              </w:rPr>
            </w:pPr>
            <w:r w:rsidRPr="005808ED">
              <w:rPr>
                <w:lang w:val="fr-FR"/>
              </w:rPr>
              <w:t>17</w:t>
            </w:r>
          </w:p>
        </w:tc>
        <w:tc>
          <w:tcPr>
            <w:tcW w:w="4090" w:type="dxa"/>
          </w:tcPr>
          <w:p w14:paraId="34D6E264" w14:textId="77777777" w:rsidR="00E960C1" w:rsidRPr="005808ED" w:rsidRDefault="00E960C1" w:rsidP="00CA4F2A">
            <w:pPr>
              <w:rPr>
                <w:rFonts w:ascii="Arial" w:hAnsi="Arial" w:cs="Arial"/>
                <w:lang w:val="fr-FR"/>
              </w:rPr>
            </w:pPr>
            <w:r w:rsidRPr="005808ED">
              <w:rPr>
                <w:rFonts w:ascii="Arial" w:hAnsi="Arial" w:cs="Arial"/>
                <w:lang w:val="fr-FR"/>
              </w:rPr>
              <w:t>Anaerobic bacteria convert mercury</w:t>
            </w:r>
          </w:p>
        </w:tc>
        <w:tc>
          <w:tcPr>
            <w:tcW w:w="670" w:type="dxa"/>
          </w:tcPr>
          <w:p w14:paraId="32B7E1B5" w14:textId="77777777" w:rsidR="00E960C1" w:rsidRPr="005808ED" w:rsidRDefault="00E960C1" w:rsidP="00CA4F2A">
            <w:pPr>
              <w:rPr>
                <w:lang w:val="fr-FR"/>
              </w:rPr>
            </w:pPr>
            <w:r w:rsidRPr="005808ED">
              <w:rPr>
                <w:lang w:val="fr-FR"/>
              </w:rPr>
              <w:t>17</w:t>
            </w:r>
          </w:p>
        </w:tc>
        <w:tc>
          <w:tcPr>
            <w:tcW w:w="4058" w:type="dxa"/>
          </w:tcPr>
          <w:p w14:paraId="535AAC41" w14:textId="5E07B625" w:rsidR="00E960C1" w:rsidRPr="005808ED" w:rsidRDefault="0051212F" w:rsidP="00CA4F2A">
            <w:pPr>
              <w:rPr>
                <w:lang w:val="fr-FR"/>
              </w:rPr>
            </w:pPr>
            <w:r w:rsidRPr="005808ED">
              <w:rPr>
                <w:lang w:val="fr-FR"/>
              </w:rPr>
              <w:t>D</w:t>
            </w:r>
            <w:r w:rsidR="009E72AB" w:rsidRPr="005808ED">
              <w:rPr>
                <w:lang w:val="fr-FR"/>
              </w:rPr>
              <w:t>es bactéries anaérobies convertissent le mercure</w:t>
            </w:r>
          </w:p>
        </w:tc>
      </w:tr>
      <w:tr w:rsidR="00E960C1" w:rsidRPr="005808ED" w14:paraId="2B454026" w14:textId="77777777" w:rsidTr="00FA6C22">
        <w:trPr>
          <w:cantSplit/>
        </w:trPr>
        <w:tc>
          <w:tcPr>
            <w:tcW w:w="668" w:type="dxa"/>
          </w:tcPr>
          <w:p w14:paraId="024F0D4F" w14:textId="77777777" w:rsidR="00E960C1" w:rsidRPr="005808ED" w:rsidRDefault="00E960C1" w:rsidP="00CA4F2A">
            <w:pPr>
              <w:rPr>
                <w:lang w:val="fr-FR"/>
              </w:rPr>
            </w:pPr>
            <w:r w:rsidRPr="005808ED">
              <w:rPr>
                <w:lang w:val="fr-FR"/>
              </w:rPr>
              <w:t>18</w:t>
            </w:r>
          </w:p>
        </w:tc>
        <w:tc>
          <w:tcPr>
            <w:tcW w:w="4090" w:type="dxa"/>
          </w:tcPr>
          <w:p w14:paraId="2DBE5097" w14:textId="77777777" w:rsidR="00E960C1" w:rsidRPr="005808ED" w:rsidRDefault="00E960C1" w:rsidP="00CA4F2A">
            <w:pPr>
              <w:rPr>
                <w:rFonts w:ascii="Arial" w:hAnsi="Arial" w:cs="Arial"/>
                <w:lang w:val="fr-FR"/>
              </w:rPr>
            </w:pPr>
            <w:r w:rsidRPr="005808ED">
              <w:rPr>
                <w:rFonts w:ascii="Arial" w:hAnsi="Arial" w:cs="Arial"/>
                <w:lang w:val="fr-FR"/>
              </w:rPr>
              <w:t>Tiny plants and animals</w:t>
            </w:r>
          </w:p>
        </w:tc>
        <w:tc>
          <w:tcPr>
            <w:tcW w:w="670" w:type="dxa"/>
          </w:tcPr>
          <w:p w14:paraId="79266FDF" w14:textId="77777777" w:rsidR="00E960C1" w:rsidRPr="005808ED" w:rsidRDefault="00E960C1" w:rsidP="00CA4F2A">
            <w:pPr>
              <w:rPr>
                <w:lang w:val="fr-FR"/>
              </w:rPr>
            </w:pPr>
            <w:r w:rsidRPr="005808ED">
              <w:rPr>
                <w:lang w:val="fr-FR"/>
              </w:rPr>
              <w:t>18</w:t>
            </w:r>
          </w:p>
        </w:tc>
        <w:tc>
          <w:tcPr>
            <w:tcW w:w="4058" w:type="dxa"/>
          </w:tcPr>
          <w:p w14:paraId="529EA5A3" w14:textId="79C4B51F" w:rsidR="00E960C1" w:rsidRPr="005808ED" w:rsidRDefault="009E72AB" w:rsidP="00CA4F2A">
            <w:pPr>
              <w:rPr>
                <w:lang w:val="fr-FR"/>
              </w:rPr>
            </w:pPr>
            <w:r w:rsidRPr="005808ED">
              <w:rPr>
                <w:lang w:val="fr-FR"/>
              </w:rPr>
              <w:t>Petites plantes et petits animaux</w:t>
            </w:r>
          </w:p>
        </w:tc>
      </w:tr>
      <w:tr w:rsidR="00E960C1" w:rsidRPr="005808ED" w14:paraId="74435BDC" w14:textId="77777777" w:rsidTr="00FA6C22">
        <w:trPr>
          <w:cantSplit/>
        </w:trPr>
        <w:tc>
          <w:tcPr>
            <w:tcW w:w="668" w:type="dxa"/>
          </w:tcPr>
          <w:p w14:paraId="1ABAB4CB" w14:textId="77777777" w:rsidR="00E960C1" w:rsidRPr="005808ED" w:rsidRDefault="00E960C1" w:rsidP="00CA4F2A">
            <w:pPr>
              <w:rPr>
                <w:lang w:val="fr-FR"/>
              </w:rPr>
            </w:pPr>
            <w:r w:rsidRPr="005808ED">
              <w:rPr>
                <w:lang w:val="fr-FR"/>
              </w:rPr>
              <w:t>19</w:t>
            </w:r>
          </w:p>
        </w:tc>
        <w:tc>
          <w:tcPr>
            <w:tcW w:w="4090" w:type="dxa"/>
          </w:tcPr>
          <w:p w14:paraId="07B69210" w14:textId="77777777" w:rsidR="00E960C1" w:rsidRPr="005808ED" w:rsidRDefault="00E960C1" w:rsidP="00CA4F2A">
            <w:pPr>
              <w:rPr>
                <w:rFonts w:ascii="Arial" w:hAnsi="Arial" w:cs="Arial"/>
                <w:lang w:val="fr-FR"/>
              </w:rPr>
            </w:pPr>
            <w:r w:rsidRPr="005808ED">
              <w:rPr>
                <w:rFonts w:ascii="Arial" w:hAnsi="Arial" w:cs="Arial"/>
                <w:lang w:val="fr-FR"/>
              </w:rPr>
              <w:t>which is taken up by</w:t>
            </w:r>
          </w:p>
        </w:tc>
        <w:tc>
          <w:tcPr>
            <w:tcW w:w="670" w:type="dxa"/>
          </w:tcPr>
          <w:p w14:paraId="020E19C7" w14:textId="77777777" w:rsidR="00E960C1" w:rsidRPr="005808ED" w:rsidRDefault="00E960C1" w:rsidP="00CA4F2A">
            <w:pPr>
              <w:rPr>
                <w:lang w:val="fr-FR"/>
              </w:rPr>
            </w:pPr>
            <w:r w:rsidRPr="005808ED">
              <w:rPr>
                <w:lang w:val="fr-FR"/>
              </w:rPr>
              <w:t>19</w:t>
            </w:r>
          </w:p>
        </w:tc>
        <w:tc>
          <w:tcPr>
            <w:tcW w:w="4058" w:type="dxa"/>
          </w:tcPr>
          <w:p w14:paraId="71FF8FFA" w14:textId="0BF3DC6F" w:rsidR="00E960C1" w:rsidRPr="005808ED" w:rsidRDefault="0051212F" w:rsidP="00CA4F2A">
            <w:pPr>
              <w:rPr>
                <w:lang w:val="fr-FR"/>
              </w:rPr>
            </w:pPr>
            <w:r w:rsidRPr="005808ED">
              <w:rPr>
                <w:lang w:val="fr-FR"/>
              </w:rPr>
              <w:t>q</w:t>
            </w:r>
            <w:r w:rsidR="009E72AB" w:rsidRPr="005808ED">
              <w:rPr>
                <w:lang w:val="fr-FR"/>
              </w:rPr>
              <w:t>ui est ensuite absorbé par</w:t>
            </w:r>
          </w:p>
        </w:tc>
      </w:tr>
      <w:tr w:rsidR="00E960C1" w:rsidRPr="005808ED" w14:paraId="21058D19" w14:textId="77777777" w:rsidTr="00FA6C22">
        <w:trPr>
          <w:cantSplit/>
        </w:trPr>
        <w:tc>
          <w:tcPr>
            <w:tcW w:w="668" w:type="dxa"/>
          </w:tcPr>
          <w:p w14:paraId="5728095F" w14:textId="77777777" w:rsidR="00E960C1" w:rsidRPr="005808ED" w:rsidRDefault="00E960C1" w:rsidP="00CA4F2A">
            <w:pPr>
              <w:rPr>
                <w:lang w:val="fr-FR"/>
              </w:rPr>
            </w:pPr>
            <w:r w:rsidRPr="005808ED">
              <w:rPr>
                <w:lang w:val="fr-FR"/>
              </w:rPr>
              <w:t>20</w:t>
            </w:r>
          </w:p>
        </w:tc>
        <w:tc>
          <w:tcPr>
            <w:tcW w:w="4090" w:type="dxa"/>
          </w:tcPr>
          <w:p w14:paraId="35FC647E" w14:textId="77777777" w:rsidR="00E960C1" w:rsidRPr="005808ED" w:rsidRDefault="00E960C1" w:rsidP="00CA4F2A">
            <w:pPr>
              <w:rPr>
                <w:rFonts w:ascii="Arial" w:hAnsi="Arial" w:cs="Arial"/>
                <w:lang w:val="fr-FR"/>
              </w:rPr>
            </w:pPr>
            <w:r w:rsidRPr="005808ED">
              <w:rPr>
                <w:rFonts w:ascii="Arial" w:hAnsi="Arial" w:cs="Arial"/>
                <w:lang w:val="fr-FR"/>
              </w:rPr>
              <w:t xml:space="preserve">To methylmercury  </w:t>
            </w:r>
          </w:p>
        </w:tc>
        <w:tc>
          <w:tcPr>
            <w:tcW w:w="670" w:type="dxa"/>
          </w:tcPr>
          <w:p w14:paraId="2EA80D97" w14:textId="77777777" w:rsidR="00E960C1" w:rsidRPr="005808ED" w:rsidRDefault="00E960C1" w:rsidP="00CA4F2A">
            <w:pPr>
              <w:rPr>
                <w:lang w:val="fr-FR"/>
              </w:rPr>
            </w:pPr>
            <w:r w:rsidRPr="005808ED">
              <w:rPr>
                <w:lang w:val="fr-FR"/>
              </w:rPr>
              <w:t>20</w:t>
            </w:r>
          </w:p>
        </w:tc>
        <w:tc>
          <w:tcPr>
            <w:tcW w:w="4058" w:type="dxa"/>
          </w:tcPr>
          <w:p w14:paraId="001E2F34" w14:textId="1FBA0F22" w:rsidR="00E960C1" w:rsidRPr="005808ED" w:rsidRDefault="0051212F" w:rsidP="00CA4F2A">
            <w:pPr>
              <w:rPr>
                <w:lang w:val="fr-FR"/>
              </w:rPr>
            </w:pPr>
            <w:r w:rsidRPr="005808ED">
              <w:rPr>
                <w:lang w:val="fr-FR"/>
              </w:rPr>
              <w:t>e</w:t>
            </w:r>
            <w:r w:rsidR="009E72AB" w:rsidRPr="005808ED">
              <w:rPr>
                <w:lang w:val="fr-FR"/>
              </w:rPr>
              <w:t>n méthylmercure</w:t>
            </w:r>
          </w:p>
        </w:tc>
      </w:tr>
      <w:tr w:rsidR="00E960C1" w:rsidRPr="005808ED" w14:paraId="1F8149B7" w14:textId="77777777" w:rsidTr="00FA6C22">
        <w:trPr>
          <w:cantSplit/>
        </w:trPr>
        <w:tc>
          <w:tcPr>
            <w:tcW w:w="668" w:type="dxa"/>
          </w:tcPr>
          <w:p w14:paraId="6D02BC31" w14:textId="77777777" w:rsidR="00E960C1" w:rsidRPr="005808ED" w:rsidRDefault="00E960C1" w:rsidP="00CA4F2A">
            <w:pPr>
              <w:rPr>
                <w:lang w:val="fr-FR"/>
              </w:rPr>
            </w:pPr>
            <w:r w:rsidRPr="005808ED">
              <w:rPr>
                <w:lang w:val="fr-FR"/>
              </w:rPr>
              <w:t>21</w:t>
            </w:r>
          </w:p>
        </w:tc>
        <w:tc>
          <w:tcPr>
            <w:tcW w:w="4090" w:type="dxa"/>
          </w:tcPr>
          <w:p w14:paraId="1CFA904D" w14:textId="77777777" w:rsidR="00E960C1" w:rsidRPr="005808ED" w:rsidRDefault="00E960C1" w:rsidP="00CA4F2A">
            <w:pPr>
              <w:rPr>
                <w:rFonts w:ascii="Arial" w:hAnsi="Arial" w:cs="Arial"/>
                <w:lang w:val="fr-FR"/>
              </w:rPr>
            </w:pPr>
            <w:r w:rsidRPr="005808ED">
              <w:rPr>
                <w:rFonts w:ascii="Arial" w:hAnsi="Arial" w:cs="Arial"/>
                <w:lang w:val="fr-FR"/>
              </w:rPr>
              <w:t>Methylmercury</w:t>
            </w:r>
          </w:p>
          <w:p w14:paraId="537E8E0C" w14:textId="77777777" w:rsidR="00E960C1" w:rsidRPr="005808ED" w:rsidRDefault="00E960C1" w:rsidP="00E960C1">
            <w:pPr>
              <w:pStyle w:val="ListParagraph"/>
              <w:numPr>
                <w:ilvl w:val="0"/>
                <w:numId w:val="126"/>
              </w:numPr>
              <w:tabs>
                <w:tab w:val="clear" w:pos="1247"/>
                <w:tab w:val="clear" w:pos="1814"/>
                <w:tab w:val="clear" w:pos="2381"/>
                <w:tab w:val="clear" w:pos="2948"/>
                <w:tab w:val="clear" w:pos="3515"/>
              </w:tabs>
              <w:contextualSpacing/>
              <w:rPr>
                <w:rFonts w:ascii="Arial" w:hAnsi="Arial" w:cs="Arial"/>
                <w:lang w:val="fr-FR"/>
              </w:rPr>
            </w:pPr>
            <w:r w:rsidRPr="005808ED">
              <w:rPr>
                <w:rFonts w:ascii="Arial" w:hAnsi="Arial" w:cs="Arial"/>
                <w:lang w:val="fr-FR"/>
              </w:rPr>
              <w:t>Causes majority of harmful mercury exposures.</w:t>
            </w:r>
          </w:p>
          <w:p w14:paraId="391C456A" w14:textId="77777777" w:rsidR="00E960C1" w:rsidRPr="005808ED" w:rsidRDefault="00E960C1" w:rsidP="00E960C1">
            <w:pPr>
              <w:pStyle w:val="ListParagraph"/>
              <w:numPr>
                <w:ilvl w:val="0"/>
                <w:numId w:val="126"/>
              </w:numPr>
              <w:tabs>
                <w:tab w:val="clear" w:pos="1247"/>
                <w:tab w:val="clear" w:pos="1814"/>
                <w:tab w:val="clear" w:pos="2381"/>
                <w:tab w:val="clear" w:pos="2948"/>
                <w:tab w:val="clear" w:pos="3515"/>
              </w:tabs>
              <w:contextualSpacing/>
              <w:rPr>
                <w:rFonts w:ascii="Arial" w:hAnsi="Arial" w:cs="Arial"/>
                <w:lang w:val="fr-FR"/>
              </w:rPr>
            </w:pPr>
            <w:r w:rsidRPr="005808ED">
              <w:rPr>
                <w:rFonts w:ascii="Arial" w:hAnsi="Arial" w:cs="Arial"/>
                <w:lang w:val="fr-FR"/>
              </w:rPr>
              <w:t>Easily absorbed by the gut.</w:t>
            </w:r>
          </w:p>
          <w:p w14:paraId="0C9FD24C" w14:textId="77777777" w:rsidR="00E960C1" w:rsidRPr="005808ED" w:rsidRDefault="00E960C1" w:rsidP="00E960C1">
            <w:pPr>
              <w:pStyle w:val="ListParagraph"/>
              <w:numPr>
                <w:ilvl w:val="0"/>
                <w:numId w:val="126"/>
              </w:numPr>
              <w:tabs>
                <w:tab w:val="clear" w:pos="1247"/>
                <w:tab w:val="clear" w:pos="1814"/>
                <w:tab w:val="clear" w:pos="2381"/>
                <w:tab w:val="clear" w:pos="2948"/>
                <w:tab w:val="clear" w:pos="3515"/>
              </w:tabs>
              <w:contextualSpacing/>
              <w:rPr>
                <w:rFonts w:ascii="Arial" w:hAnsi="Arial" w:cs="Arial"/>
                <w:lang w:val="fr-FR"/>
              </w:rPr>
            </w:pPr>
            <w:r w:rsidRPr="005808ED">
              <w:rPr>
                <w:rFonts w:ascii="Arial" w:hAnsi="Arial" w:cs="Arial"/>
                <w:lang w:val="fr-FR"/>
              </w:rPr>
              <w:t>Binds strongly to proteins in fat, nerves and brain.</w:t>
            </w:r>
          </w:p>
          <w:p w14:paraId="6A535877" w14:textId="77777777" w:rsidR="00E960C1" w:rsidRPr="005808ED" w:rsidRDefault="00E960C1" w:rsidP="00E960C1">
            <w:pPr>
              <w:pStyle w:val="ListParagraph"/>
              <w:numPr>
                <w:ilvl w:val="0"/>
                <w:numId w:val="126"/>
              </w:numPr>
              <w:tabs>
                <w:tab w:val="clear" w:pos="1247"/>
                <w:tab w:val="clear" w:pos="1814"/>
                <w:tab w:val="clear" w:pos="2381"/>
                <w:tab w:val="clear" w:pos="2948"/>
                <w:tab w:val="clear" w:pos="3515"/>
              </w:tabs>
              <w:contextualSpacing/>
              <w:rPr>
                <w:rFonts w:ascii="Arial" w:hAnsi="Arial" w:cs="Arial"/>
                <w:lang w:val="fr-FR"/>
              </w:rPr>
            </w:pPr>
            <w:r w:rsidRPr="005808ED">
              <w:rPr>
                <w:rFonts w:ascii="Arial" w:hAnsi="Arial" w:cs="Arial"/>
                <w:lang w:val="fr-FR"/>
              </w:rPr>
              <w:t>Too much can build up and cause neurological damage.</w:t>
            </w:r>
          </w:p>
        </w:tc>
        <w:tc>
          <w:tcPr>
            <w:tcW w:w="670" w:type="dxa"/>
          </w:tcPr>
          <w:p w14:paraId="1A75C98A" w14:textId="77777777" w:rsidR="00E960C1" w:rsidRPr="005808ED" w:rsidRDefault="00E960C1" w:rsidP="00CA4F2A">
            <w:pPr>
              <w:rPr>
                <w:lang w:val="fr-FR"/>
              </w:rPr>
            </w:pPr>
            <w:r w:rsidRPr="005808ED">
              <w:rPr>
                <w:lang w:val="fr-FR"/>
              </w:rPr>
              <w:t>21</w:t>
            </w:r>
          </w:p>
        </w:tc>
        <w:tc>
          <w:tcPr>
            <w:tcW w:w="4058" w:type="dxa"/>
          </w:tcPr>
          <w:p w14:paraId="359DFFF6" w14:textId="77777777" w:rsidR="00E960C1" w:rsidRPr="005808ED" w:rsidRDefault="00CA4F2A" w:rsidP="00CA4F2A">
            <w:pPr>
              <w:rPr>
                <w:lang w:val="fr-FR"/>
              </w:rPr>
            </w:pPr>
            <w:r w:rsidRPr="005808ED">
              <w:rPr>
                <w:lang w:val="fr-FR"/>
              </w:rPr>
              <w:t>Méthylmercure</w:t>
            </w:r>
          </w:p>
          <w:p w14:paraId="42F6C848" w14:textId="77777777" w:rsidR="00CA4F2A" w:rsidRPr="005808ED" w:rsidRDefault="00CA4F2A" w:rsidP="00CA4F2A">
            <w:pPr>
              <w:pStyle w:val="ListParagraph"/>
              <w:numPr>
                <w:ilvl w:val="0"/>
                <w:numId w:val="127"/>
              </w:numPr>
              <w:tabs>
                <w:tab w:val="left" w:pos="150"/>
              </w:tabs>
              <w:ind w:left="0" w:hanging="21"/>
              <w:rPr>
                <w:lang w:val="fr-FR"/>
              </w:rPr>
            </w:pPr>
            <w:r w:rsidRPr="005808ED">
              <w:rPr>
                <w:lang w:val="fr-FR"/>
              </w:rPr>
              <w:t>À l’origine de la plupart des expositions nocives au mercure.</w:t>
            </w:r>
          </w:p>
          <w:p w14:paraId="1CB83E80" w14:textId="4AA4AD8A" w:rsidR="00CA4F2A" w:rsidRPr="005808ED" w:rsidRDefault="00CA4F2A" w:rsidP="00CA4F2A">
            <w:pPr>
              <w:pStyle w:val="ListParagraph"/>
              <w:numPr>
                <w:ilvl w:val="0"/>
                <w:numId w:val="127"/>
              </w:numPr>
              <w:tabs>
                <w:tab w:val="left" w:pos="150"/>
              </w:tabs>
              <w:ind w:left="0" w:hanging="21"/>
              <w:rPr>
                <w:lang w:val="fr-FR"/>
              </w:rPr>
            </w:pPr>
            <w:r w:rsidRPr="005808ED">
              <w:rPr>
                <w:lang w:val="fr-FR"/>
              </w:rPr>
              <w:t>Facilement absorbé par le</w:t>
            </w:r>
            <w:r w:rsidR="00520496" w:rsidRPr="005808ED">
              <w:rPr>
                <w:lang w:val="fr-FR"/>
              </w:rPr>
              <w:t xml:space="preserve"> tube digestif</w:t>
            </w:r>
            <w:r w:rsidRPr="005808ED">
              <w:rPr>
                <w:lang w:val="fr-FR"/>
              </w:rPr>
              <w:t>.</w:t>
            </w:r>
          </w:p>
          <w:p w14:paraId="7D39AED3" w14:textId="55FCAD76" w:rsidR="00CA4F2A" w:rsidRPr="005808ED" w:rsidRDefault="00CA4F2A" w:rsidP="00CA4F2A">
            <w:pPr>
              <w:pStyle w:val="ListParagraph"/>
              <w:numPr>
                <w:ilvl w:val="0"/>
                <w:numId w:val="127"/>
              </w:numPr>
              <w:tabs>
                <w:tab w:val="left" w:pos="150"/>
              </w:tabs>
              <w:ind w:left="0" w:hanging="21"/>
              <w:rPr>
                <w:lang w:val="fr-FR"/>
              </w:rPr>
            </w:pPr>
            <w:r w:rsidRPr="005808ED">
              <w:rPr>
                <w:lang w:val="fr-FR"/>
              </w:rPr>
              <w:t>Se lie solidement aux protéines présentes dans le</w:t>
            </w:r>
            <w:r w:rsidR="00520496" w:rsidRPr="005808ED">
              <w:rPr>
                <w:lang w:val="fr-FR"/>
              </w:rPr>
              <w:t>s</w:t>
            </w:r>
            <w:r w:rsidRPr="005808ED">
              <w:rPr>
                <w:lang w:val="fr-FR"/>
              </w:rPr>
              <w:t xml:space="preserve"> </w:t>
            </w:r>
            <w:r w:rsidR="00520496" w:rsidRPr="005808ED">
              <w:rPr>
                <w:lang w:val="fr-FR"/>
              </w:rPr>
              <w:t>tissus adipeux</w:t>
            </w:r>
            <w:r w:rsidRPr="005808ED">
              <w:rPr>
                <w:lang w:val="fr-FR"/>
              </w:rPr>
              <w:t>, les nerfs et le cerveau.</w:t>
            </w:r>
          </w:p>
          <w:p w14:paraId="6D8690DB" w14:textId="77777777" w:rsidR="00CA4F2A" w:rsidRPr="005808ED" w:rsidRDefault="00CA4F2A" w:rsidP="00CA4F2A">
            <w:pPr>
              <w:pStyle w:val="ListParagraph"/>
              <w:numPr>
                <w:ilvl w:val="0"/>
                <w:numId w:val="127"/>
              </w:numPr>
              <w:tabs>
                <w:tab w:val="left" w:pos="150"/>
              </w:tabs>
              <w:ind w:left="0" w:hanging="21"/>
              <w:rPr>
                <w:lang w:val="fr-FR"/>
              </w:rPr>
            </w:pPr>
            <w:r w:rsidRPr="005808ED">
              <w:rPr>
                <w:lang w:val="fr-FR"/>
              </w:rPr>
              <w:t>Accumulé en quantités excessives, peut causer des dégâts neurologiques.</w:t>
            </w:r>
          </w:p>
          <w:p w14:paraId="33C173B9" w14:textId="3B274B75" w:rsidR="00CA4F2A" w:rsidRPr="005808ED" w:rsidRDefault="00CA4F2A" w:rsidP="00CA4F2A">
            <w:pPr>
              <w:pStyle w:val="ListParagraph"/>
              <w:tabs>
                <w:tab w:val="left" w:pos="150"/>
              </w:tabs>
              <w:ind w:left="0"/>
              <w:rPr>
                <w:lang w:val="fr-FR"/>
              </w:rPr>
            </w:pPr>
          </w:p>
        </w:tc>
      </w:tr>
      <w:tr w:rsidR="00E960C1" w:rsidRPr="005808ED" w14:paraId="1F502896" w14:textId="77777777" w:rsidTr="00FA6C22">
        <w:trPr>
          <w:cantSplit/>
        </w:trPr>
        <w:tc>
          <w:tcPr>
            <w:tcW w:w="668" w:type="dxa"/>
          </w:tcPr>
          <w:p w14:paraId="3DF5AC3A" w14:textId="77777777" w:rsidR="00E960C1" w:rsidRPr="005808ED" w:rsidRDefault="00E960C1" w:rsidP="00CA4F2A">
            <w:pPr>
              <w:rPr>
                <w:lang w:val="fr-FR"/>
              </w:rPr>
            </w:pPr>
            <w:r w:rsidRPr="005808ED">
              <w:rPr>
                <w:lang w:val="fr-FR"/>
              </w:rPr>
              <w:t>22</w:t>
            </w:r>
          </w:p>
        </w:tc>
        <w:tc>
          <w:tcPr>
            <w:tcW w:w="4090" w:type="dxa"/>
          </w:tcPr>
          <w:p w14:paraId="14DCF022" w14:textId="77777777" w:rsidR="00E960C1" w:rsidRPr="005808ED" w:rsidRDefault="00E960C1" w:rsidP="00CA4F2A">
            <w:pPr>
              <w:rPr>
                <w:rFonts w:ascii="Arial" w:hAnsi="Arial" w:cs="Arial"/>
                <w:lang w:val="fr-FR"/>
              </w:rPr>
            </w:pPr>
            <w:r w:rsidRPr="005808ED">
              <w:rPr>
                <w:rFonts w:ascii="Arial" w:hAnsi="Arial" w:cs="Arial"/>
                <w:lang w:val="fr-FR"/>
              </w:rPr>
              <w:t xml:space="preserve">Science for Environment Policy, 2017.  </w:t>
            </w:r>
          </w:p>
        </w:tc>
        <w:tc>
          <w:tcPr>
            <w:tcW w:w="670" w:type="dxa"/>
          </w:tcPr>
          <w:p w14:paraId="7AF511A1" w14:textId="77777777" w:rsidR="00E960C1" w:rsidRPr="005808ED" w:rsidRDefault="00E960C1" w:rsidP="00CA4F2A">
            <w:pPr>
              <w:rPr>
                <w:lang w:val="fr-FR"/>
              </w:rPr>
            </w:pPr>
            <w:r w:rsidRPr="005808ED">
              <w:rPr>
                <w:lang w:val="fr-FR"/>
              </w:rPr>
              <w:t>22</w:t>
            </w:r>
          </w:p>
        </w:tc>
        <w:tc>
          <w:tcPr>
            <w:tcW w:w="4058" w:type="dxa"/>
          </w:tcPr>
          <w:p w14:paraId="26B2400E" w14:textId="2713212D" w:rsidR="00E960C1" w:rsidRPr="005808ED" w:rsidRDefault="00CA4F2A" w:rsidP="00CA4F2A">
            <w:pPr>
              <w:rPr>
                <w:lang w:val="fr-FR"/>
              </w:rPr>
            </w:pPr>
            <w:r w:rsidRPr="005808ED">
              <w:rPr>
                <w:lang w:val="fr-FR"/>
              </w:rPr>
              <w:t>Pour plus d’informations sur le mercure, lire le rapport détaillé de Science</w:t>
            </w:r>
            <w:r w:rsidR="00EA005D" w:rsidRPr="005808ED">
              <w:rPr>
                <w:lang w:val="fr-FR"/>
              </w:rPr>
              <w:t xml:space="preserve"> for Environment Policy (en anglais uniquement) : Tackling mercury pollution in the EU and worldwide</w:t>
            </w:r>
          </w:p>
        </w:tc>
      </w:tr>
    </w:tbl>
    <w:p w14:paraId="4392262B" w14:textId="744A30E4" w:rsidR="00F252EE" w:rsidRPr="005808ED" w:rsidRDefault="00520198" w:rsidP="00FA6C22">
      <w:pPr>
        <w:pStyle w:val="CH2"/>
        <w:ind w:firstLine="13"/>
        <w:rPr>
          <w:lang w:val="fr-FR"/>
        </w:rPr>
      </w:pPr>
      <w:bookmarkStart w:id="28" w:name="_Toc527017899"/>
      <w:r w:rsidRPr="005808ED">
        <w:rPr>
          <w:bCs/>
          <w:lang w:val="fr-FR"/>
        </w:rPr>
        <w:t>Utilisation du mercure à l</w:t>
      </w:r>
      <w:r w:rsidR="00B3097B" w:rsidRPr="005808ED">
        <w:rPr>
          <w:bCs/>
          <w:lang w:val="fr-FR"/>
        </w:rPr>
        <w:t>’</w:t>
      </w:r>
      <w:r w:rsidRPr="005808ED">
        <w:rPr>
          <w:bCs/>
          <w:lang w:val="fr-FR"/>
        </w:rPr>
        <w:t>échelle mondiale</w:t>
      </w:r>
      <w:bookmarkEnd w:id="28"/>
    </w:p>
    <w:p w14:paraId="58CF21B3" w14:textId="5EE5873C" w:rsidR="00F252EE" w:rsidRPr="005808ED" w:rsidRDefault="00F252EE" w:rsidP="00F51980">
      <w:pPr>
        <w:pStyle w:val="Normalnumber"/>
        <w:numPr>
          <w:ilvl w:val="0"/>
          <w:numId w:val="12"/>
        </w:numPr>
        <w:ind w:left="1247" w:firstLine="0"/>
        <w:rPr>
          <w:lang w:val="fr-FR"/>
        </w:rPr>
      </w:pPr>
      <w:r w:rsidRPr="005808ED">
        <w:rPr>
          <w:lang w:val="fr-FR"/>
        </w:rPr>
        <w:t xml:space="preserve">Le mercure est un métal dont les propriétés uniques ont conduit à diverses utilisations. Étant liquide à température ambiante, il a été utilisé dans </w:t>
      </w:r>
      <w:r w:rsidR="00AA1051" w:rsidRPr="005808ED">
        <w:rPr>
          <w:lang w:val="fr-FR"/>
        </w:rPr>
        <w:t>d</w:t>
      </w:r>
      <w:r w:rsidRPr="005808ED">
        <w:rPr>
          <w:lang w:val="fr-FR"/>
        </w:rPr>
        <w:t xml:space="preserve">es commutateurs et </w:t>
      </w:r>
      <w:r w:rsidR="00AA1051" w:rsidRPr="005808ED">
        <w:rPr>
          <w:lang w:val="fr-FR"/>
        </w:rPr>
        <w:t>d</w:t>
      </w:r>
      <w:r w:rsidRPr="005808ED">
        <w:rPr>
          <w:lang w:val="fr-FR"/>
        </w:rPr>
        <w:t xml:space="preserve">es relais, ainsi que dans </w:t>
      </w:r>
      <w:r w:rsidR="00AA1051" w:rsidRPr="005808ED">
        <w:rPr>
          <w:lang w:val="fr-FR"/>
        </w:rPr>
        <w:t>d</w:t>
      </w:r>
      <w:r w:rsidRPr="005808ED">
        <w:rPr>
          <w:lang w:val="fr-FR"/>
        </w:rPr>
        <w:t xml:space="preserve">es appareils de mesure, </w:t>
      </w:r>
      <w:r w:rsidR="006D27CD" w:rsidRPr="005808ED">
        <w:rPr>
          <w:lang w:val="fr-FR"/>
        </w:rPr>
        <w:t>dans</w:t>
      </w:r>
      <w:r w:rsidRPr="005808ED">
        <w:rPr>
          <w:lang w:val="fr-FR"/>
        </w:rPr>
        <w:t xml:space="preserve"> lesquels il permet de déterminer avec précision les changements de température. Il a également servi de catalyseur dans un certain nombre de processus industriels. La capacité du mercure à s</w:t>
      </w:r>
      <w:r w:rsidR="00B3097B" w:rsidRPr="005808ED">
        <w:rPr>
          <w:lang w:val="fr-FR"/>
        </w:rPr>
        <w:t>’</w:t>
      </w:r>
      <w:r w:rsidRPr="005808ED">
        <w:rPr>
          <w:lang w:val="fr-FR"/>
        </w:rPr>
        <w:t>amalgamer avec d</w:t>
      </w:r>
      <w:r w:rsidR="00B3097B" w:rsidRPr="005808ED">
        <w:rPr>
          <w:lang w:val="fr-FR"/>
        </w:rPr>
        <w:t>’</w:t>
      </w:r>
      <w:r w:rsidRPr="005808ED">
        <w:rPr>
          <w:lang w:val="fr-FR"/>
        </w:rPr>
        <w:t>autres métaux a conduit à son utilisation dans des activités telles que l</w:t>
      </w:r>
      <w:r w:rsidR="00B3097B" w:rsidRPr="005808ED">
        <w:rPr>
          <w:lang w:val="fr-FR"/>
        </w:rPr>
        <w:t>’</w:t>
      </w:r>
      <w:r w:rsidR="00520496" w:rsidRPr="005808ED">
        <w:rPr>
          <w:lang w:val="fr-FR"/>
        </w:rPr>
        <w:t>extraction artisanale et à petite échelle d’or</w:t>
      </w:r>
      <w:r w:rsidRPr="005808ED">
        <w:rPr>
          <w:lang w:val="fr-FR"/>
        </w:rPr>
        <w:t xml:space="preserve"> et la dentisterie. </w:t>
      </w:r>
    </w:p>
    <w:p w14:paraId="1D4CC751" w14:textId="1F3C377C" w:rsidR="00F252EE" w:rsidRPr="005808ED" w:rsidRDefault="00F252EE" w:rsidP="00F51980">
      <w:pPr>
        <w:pStyle w:val="Normalnumber"/>
        <w:numPr>
          <w:ilvl w:val="0"/>
          <w:numId w:val="12"/>
        </w:numPr>
        <w:ind w:left="1247" w:firstLine="0"/>
        <w:rPr>
          <w:lang w:val="fr-FR"/>
        </w:rPr>
      </w:pPr>
      <w:r w:rsidRPr="005808ED">
        <w:rPr>
          <w:lang w:val="fr-FR"/>
        </w:rPr>
        <w:t>Les processus industriels et les procédés de fabrication qui utilisent du mercure peuvent rejeter du mercure qui pourrait contaminer l</w:t>
      </w:r>
      <w:r w:rsidR="00B3097B" w:rsidRPr="005808ED">
        <w:rPr>
          <w:lang w:val="fr-FR"/>
        </w:rPr>
        <w:t>’</w:t>
      </w:r>
      <w:r w:rsidRPr="005808ED">
        <w:rPr>
          <w:lang w:val="fr-FR"/>
        </w:rPr>
        <w:t>environnement. Les risques pour l</w:t>
      </w:r>
      <w:r w:rsidR="00B3097B" w:rsidRPr="005808ED">
        <w:rPr>
          <w:lang w:val="fr-FR"/>
        </w:rPr>
        <w:t>’</w:t>
      </w:r>
      <w:r w:rsidRPr="005808ED">
        <w:rPr>
          <w:lang w:val="fr-FR"/>
        </w:rPr>
        <w:t>environnement que présentent les sites contaminés sont doubles</w:t>
      </w:r>
      <w:r w:rsidR="0097152B" w:rsidRPr="005808ED">
        <w:rPr>
          <w:lang w:val="fr-FR"/>
        </w:rPr>
        <w:t> :</w:t>
      </w:r>
      <w:r w:rsidRPr="005808ED">
        <w:rPr>
          <w:lang w:val="fr-FR"/>
        </w:rPr>
        <w:t xml:space="preserve"> d</w:t>
      </w:r>
      <w:r w:rsidR="00B3097B" w:rsidRPr="005808ED">
        <w:rPr>
          <w:lang w:val="fr-FR"/>
        </w:rPr>
        <w:t>’</w:t>
      </w:r>
      <w:r w:rsidRPr="005808ED">
        <w:rPr>
          <w:lang w:val="fr-FR"/>
        </w:rPr>
        <w:t>une part, le site lui-même (usine ou site de déversement) peut conduire à l</w:t>
      </w:r>
      <w:r w:rsidR="00B3097B" w:rsidRPr="005808ED">
        <w:rPr>
          <w:lang w:val="fr-FR"/>
        </w:rPr>
        <w:t>’</w:t>
      </w:r>
      <w:r w:rsidRPr="005808ED">
        <w:rPr>
          <w:lang w:val="fr-FR"/>
        </w:rPr>
        <w:t>exposition de quiconque y pénètre</w:t>
      </w:r>
      <w:r w:rsidR="00520496" w:rsidRPr="005808ED">
        <w:rPr>
          <w:lang w:val="fr-FR"/>
        </w:rPr>
        <w:t xml:space="preserve"> et</w:t>
      </w:r>
      <w:r w:rsidRPr="005808ED">
        <w:rPr>
          <w:lang w:val="fr-FR"/>
        </w:rPr>
        <w:t>, d</w:t>
      </w:r>
      <w:r w:rsidR="00B3097B" w:rsidRPr="005808ED">
        <w:rPr>
          <w:lang w:val="fr-FR"/>
        </w:rPr>
        <w:t>’</w:t>
      </w:r>
      <w:r w:rsidRPr="005808ED">
        <w:rPr>
          <w:lang w:val="fr-FR"/>
        </w:rPr>
        <w:t xml:space="preserve">autre part, il peut </w:t>
      </w:r>
      <w:r w:rsidR="00216755" w:rsidRPr="005808ED">
        <w:rPr>
          <w:lang w:val="fr-FR"/>
        </w:rPr>
        <w:t>laisser échapper</w:t>
      </w:r>
      <w:r w:rsidRPr="005808ED">
        <w:rPr>
          <w:lang w:val="fr-FR"/>
        </w:rPr>
        <w:t xml:space="preserve"> du mercure dans </w:t>
      </w:r>
      <w:r w:rsidR="00520496" w:rsidRPr="005808ED">
        <w:rPr>
          <w:lang w:val="fr-FR"/>
        </w:rPr>
        <w:t xml:space="preserve">son </w:t>
      </w:r>
      <w:r w:rsidRPr="005808ED">
        <w:rPr>
          <w:lang w:val="fr-FR"/>
        </w:rPr>
        <w:t xml:space="preserve">environnement </w:t>
      </w:r>
      <w:r w:rsidR="00520496" w:rsidRPr="005808ED">
        <w:rPr>
          <w:lang w:val="fr-FR"/>
        </w:rPr>
        <w:t>immédiat</w:t>
      </w:r>
      <w:r w:rsidRPr="005808ED">
        <w:rPr>
          <w:lang w:val="fr-FR"/>
        </w:rPr>
        <w:t xml:space="preserve">. </w:t>
      </w:r>
      <w:r w:rsidR="00BB44E9" w:rsidRPr="005808ED">
        <w:rPr>
          <w:lang w:val="fr-FR"/>
        </w:rPr>
        <w:t>Dans un tel cas</w:t>
      </w:r>
      <w:r w:rsidRPr="005808ED">
        <w:rPr>
          <w:lang w:val="fr-FR"/>
        </w:rPr>
        <w:t xml:space="preserve">, </w:t>
      </w:r>
      <w:r w:rsidR="00BB44E9" w:rsidRPr="005808ED">
        <w:rPr>
          <w:lang w:val="fr-FR"/>
        </w:rPr>
        <w:t>la</w:t>
      </w:r>
      <w:r w:rsidRPr="005808ED">
        <w:rPr>
          <w:lang w:val="fr-FR"/>
        </w:rPr>
        <w:t xml:space="preserve"> remise en état </w:t>
      </w:r>
      <w:r w:rsidR="00BB44E9" w:rsidRPr="005808ED">
        <w:rPr>
          <w:lang w:val="fr-FR"/>
        </w:rPr>
        <w:t xml:space="preserve">inclut l’enlèvement </w:t>
      </w:r>
      <w:r w:rsidRPr="005808ED">
        <w:rPr>
          <w:lang w:val="fr-FR"/>
        </w:rPr>
        <w:t xml:space="preserve">du mercure </w:t>
      </w:r>
      <w:r w:rsidR="00BB44E9" w:rsidRPr="005808ED">
        <w:rPr>
          <w:lang w:val="fr-FR"/>
        </w:rPr>
        <w:t>présent non seulement sur le</w:t>
      </w:r>
      <w:r w:rsidRPr="005808ED">
        <w:rPr>
          <w:lang w:val="fr-FR"/>
        </w:rPr>
        <w:t xml:space="preserve"> site</w:t>
      </w:r>
      <w:r w:rsidR="00BB44E9" w:rsidRPr="005808ED">
        <w:rPr>
          <w:lang w:val="fr-FR"/>
        </w:rPr>
        <w:t>,</w:t>
      </w:r>
      <w:r w:rsidRPr="005808ED">
        <w:rPr>
          <w:lang w:val="fr-FR"/>
        </w:rPr>
        <w:t xml:space="preserve"> </w:t>
      </w:r>
      <w:r w:rsidR="00BB44E9" w:rsidRPr="005808ED">
        <w:rPr>
          <w:lang w:val="fr-FR"/>
        </w:rPr>
        <w:t>mais aussi</w:t>
      </w:r>
      <w:r w:rsidRPr="005808ED">
        <w:rPr>
          <w:lang w:val="fr-FR"/>
        </w:rPr>
        <w:t xml:space="preserve"> </w:t>
      </w:r>
      <w:r w:rsidR="00BB44E9" w:rsidRPr="005808ED">
        <w:rPr>
          <w:lang w:val="fr-FR"/>
        </w:rPr>
        <w:t xml:space="preserve">dans les </w:t>
      </w:r>
      <w:r w:rsidRPr="005808ED">
        <w:rPr>
          <w:lang w:val="fr-FR"/>
        </w:rPr>
        <w:t>milieu</w:t>
      </w:r>
      <w:r w:rsidR="00BB44E9" w:rsidRPr="005808ED">
        <w:rPr>
          <w:lang w:val="fr-FR"/>
        </w:rPr>
        <w:t>x</w:t>
      </w:r>
      <w:r w:rsidRPr="005808ED">
        <w:rPr>
          <w:lang w:val="fr-FR"/>
        </w:rPr>
        <w:t xml:space="preserve"> environnementa</w:t>
      </w:r>
      <w:r w:rsidR="00BB44E9" w:rsidRPr="005808ED">
        <w:rPr>
          <w:lang w:val="fr-FR"/>
        </w:rPr>
        <w:t>ux</w:t>
      </w:r>
      <w:r w:rsidRPr="005808ED">
        <w:rPr>
          <w:lang w:val="fr-FR"/>
        </w:rPr>
        <w:t xml:space="preserve"> vers le</w:t>
      </w:r>
      <w:r w:rsidR="00BB44E9" w:rsidRPr="005808ED">
        <w:rPr>
          <w:lang w:val="fr-FR"/>
        </w:rPr>
        <w:t>s</w:t>
      </w:r>
      <w:r w:rsidRPr="005808ED">
        <w:rPr>
          <w:lang w:val="fr-FR"/>
        </w:rPr>
        <w:t>quel</w:t>
      </w:r>
      <w:r w:rsidR="00BB44E9" w:rsidRPr="005808ED">
        <w:rPr>
          <w:lang w:val="fr-FR"/>
        </w:rPr>
        <w:t>s</w:t>
      </w:r>
      <w:r w:rsidRPr="005808ED">
        <w:rPr>
          <w:lang w:val="fr-FR"/>
        </w:rPr>
        <w:t xml:space="preserve"> il a pu migrer (eaux souterraines, eaux de surface, sédiments, etc.).</w:t>
      </w:r>
    </w:p>
    <w:p w14:paraId="2587287F" w14:textId="78A4F121" w:rsidR="00F252EE" w:rsidRPr="005808ED" w:rsidRDefault="00F252EE" w:rsidP="00F51980">
      <w:pPr>
        <w:pStyle w:val="Normalnumber"/>
        <w:numPr>
          <w:ilvl w:val="0"/>
          <w:numId w:val="12"/>
        </w:numPr>
        <w:ind w:left="1247" w:firstLine="0"/>
        <w:rPr>
          <w:lang w:val="fr-FR"/>
        </w:rPr>
      </w:pPr>
      <w:r w:rsidRPr="005808ED">
        <w:rPr>
          <w:lang w:val="fr-FR"/>
        </w:rPr>
        <w:t xml:space="preserve">De nombreux </w:t>
      </w:r>
      <w:r w:rsidR="00AA1051" w:rsidRPr="005808ED">
        <w:rPr>
          <w:lang w:val="fr-FR"/>
        </w:rPr>
        <w:t>articles</w:t>
      </w:r>
      <w:r w:rsidRPr="005808ED">
        <w:rPr>
          <w:lang w:val="fr-FR"/>
        </w:rPr>
        <w:t xml:space="preserve">, </w:t>
      </w:r>
      <w:r w:rsidR="00AA1051" w:rsidRPr="005808ED">
        <w:rPr>
          <w:lang w:val="fr-FR"/>
        </w:rPr>
        <w:t>dont</w:t>
      </w:r>
      <w:r w:rsidRPr="005808ED">
        <w:rPr>
          <w:lang w:val="fr-FR"/>
        </w:rPr>
        <w:t xml:space="preserve"> </w:t>
      </w:r>
      <w:r w:rsidR="00AA1051" w:rsidRPr="005808ED">
        <w:rPr>
          <w:lang w:val="fr-FR"/>
        </w:rPr>
        <w:t>d</w:t>
      </w:r>
      <w:r w:rsidRPr="005808ED">
        <w:rPr>
          <w:lang w:val="fr-FR"/>
        </w:rPr>
        <w:t>es batteries, lampes, appareils de mesure (tels que thermomètres), produits cosmétiques et pesticides</w:t>
      </w:r>
      <w:r w:rsidR="00AA1051" w:rsidRPr="005808ED">
        <w:rPr>
          <w:lang w:val="fr-FR"/>
        </w:rPr>
        <w:t xml:space="preserve"> contenant du mercure ajouté sont encore fabriqués dans le monde</w:t>
      </w:r>
      <w:r w:rsidRPr="005808ED">
        <w:rPr>
          <w:lang w:val="fr-FR"/>
        </w:rPr>
        <w:t>. L</w:t>
      </w:r>
      <w:r w:rsidR="00AA1051" w:rsidRPr="005808ED">
        <w:rPr>
          <w:lang w:val="fr-FR"/>
        </w:rPr>
        <w:t>eur teneur en</w:t>
      </w:r>
      <w:r w:rsidRPr="005808ED">
        <w:rPr>
          <w:lang w:val="fr-FR"/>
        </w:rPr>
        <w:t xml:space="preserve"> mercure est généralement très faible, </w:t>
      </w:r>
      <w:r w:rsidR="00BB44E9" w:rsidRPr="005808ED">
        <w:rPr>
          <w:lang w:val="fr-FR"/>
        </w:rPr>
        <w:t xml:space="preserve">mais </w:t>
      </w:r>
      <w:r w:rsidRPr="005808ED">
        <w:rPr>
          <w:lang w:val="fr-FR"/>
        </w:rPr>
        <w:t>la mauvaise manipulation d</w:t>
      </w:r>
      <w:r w:rsidR="00B3097B" w:rsidRPr="005808ED">
        <w:rPr>
          <w:lang w:val="fr-FR"/>
        </w:rPr>
        <w:t>’</w:t>
      </w:r>
      <w:r w:rsidRPr="005808ED">
        <w:rPr>
          <w:lang w:val="fr-FR"/>
        </w:rPr>
        <w:t xml:space="preserve">une grande quantité de tels </w:t>
      </w:r>
      <w:r w:rsidR="00BB44E9" w:rsidRPr="005808ED">
        <w:rPr>
          <w:lang w:val="fr-FR"/>
        </w:rPr>
        <w:t>articles</w:t>
      </w:r>
      <w:r w:rsidRPr="005808ED">
        <w:rPr>
          <w:lang w:val="fr-FR"/>
        </w:rPr>
        <w:t xml:space="preserve"> </w:t>
      </w:r>
      <w:r w:rsidR="00BB44E9" w:rsidRPr="005808ED">
        <w:rPr>
          <w:lang w:val="fr-FR"/>
        </w:rPr>
        <w:t xml:space="preserve">durant leur vie utile ou </w:t>
      </w:r>
      <w:r w:rsidRPr="005808ED">
        <w:rPr>
          <w:lang w:val="fr-FR"/>
        </w:rPr>
        <w:t>sous forme de déchets peut donner lieu à des rejets dans l</w:t>
      </w:r>
      <w:r w:rsidR="00B3097B" w:rsidRPr="005808ED">
        <w:rPr>
          <w:lang w:val="fr-FR"/>
        </w:rPr>
        <w:t>’</w:t>
      </w:r>
      <w:r w:rsidRPr="005808ED">
        <w:rPr>
          <w:lang w:val="fr-FR"/>
        </w:rPr>
        <w:t>environnement. Les amalgames au mercure sont encore largement utilisés dans la dentisterie, ce qui peut causer des rejets de mercure dans les eaux usées des cabinets dentaires et dans l</w:t>
      </w:r>
      <w:r w:rsidR="00AA1051" w:rsidRPr="005808ED">
        <w:rPr>
          <w:lang w:val="fr-FR"/>
        </w:rPr>
        <w:t xml:space="preserve">es effluents gazeux </w:t>
      </w:r>
      <w:r w:rsidRPr="005808ED">
        <w:rPr>
          <w:lang w:val="fr-FR"/>
        </w:rPr>
        <w:t xml:space="preserve">des fours crématoires. </w:t>
      </w:r>
    </w:p>
    <w:p w14:paraId="4D296135" w14:textId="7E51DE0A" w:rsidR="00F252EE" w:rsidRPr="005808ED" w:rsidRDefault="00BB44E9" w:rsidP="00F51980">
      <w:pPr>
        <w:pStyle w:val="Normalnumber"/>
        <w:numPr>
          <w:ilvl w:val="0"/>
          <w:numId w:val="12"/>
        </w:numPr>
        <w:ind w:left="1247" w:firstLine="0"/>
        <w:rPr>
          <w:lang w:val="fr-FR"/>
        </w:rPr>
      </w:pPr>
      <w:r w:rsidRPr="005808ED">
        <w:rPr>
          <w:lang w:val="fr-FR"/>
        </w:rPr>
        <w:t xml:space="preserve">De même, </w:t>
      </w:r>
      <w:r w:rsidR="00851499" w:rsidRPr="005808ED">
        <w:rPr>
          <w:lang w:val="fr-FR"/>
        </w:rPr>
        <w:t>des</w:t>
      </w:r>
      <w:r w:rsidR="00F252EE" w:rsidRPr="005808ED">
        <w:rPr>
          <w:lang w:val="fr-FR"/>
        </w:rPr>
        <w:t xml:space="preserve"> processus industriels </w:t>
      </w:r>
      <w:r w:rsidR="00851499" w:rsidRPr="005808ED">
        <w:rPr>
          <w:lang w:val="fr-FR"/>
        </w:rPr>
        <w:t>faisa</w:t>
      </w:r>
      <w:r w:rsidR="00F252EE" w:rsidRPr="005808ED">
        <w:rPr>
          <w:lang w:val="fr-FR"/>
        </w:rPr>
        <w:t xml:space="preserve">nt </w:t>
      </w:r>
      <w:r w:rsidR="00851499" w:rsidRPr="005808ED">
        <w:rPr>
          <w:lang w:val="fr-FR"/>
        </w:rPr>
        <w:t>appel au</w:t>
      </w:r>
      <w:r w:rsidR="00F252EE" w:rsidRPr="005808ED">
        <w:rPr>
          <w:lang w:val="fr-FR"/>
        </w:rPr>
        <w:t xml:space="preserve"> mercure comme catalyseur ou </w:t>
      </w:r>
      <w:r w:rsidR="00851499" w:rsidRPr="005808ED">
        <w:rPr>
          <w:lang w:val="fr-FR"/>
        </w:rPr>
        <w:t xml:space="preserve">élément de </w:t>
      </w:r>
      <w:r w:rsidR="00F252EE" w:rsidRPr="005808ED">
        <w:rPr>
          <w:lang w:val="fr-FR"/>
        </w:rPr>
        <w:t>circuit</w:t>
      </w:r>
      <w:r w:rsidR="00851499" w:rsidRPr="005808ED">
        <w:rPr>
          <w:lang w:val="fr-FR"/>
        </w:rPr>
        <w:t>s</w:t>
      </w:r>
      <w:r w:rsidR="00F252EE" w:rsidRPr="005808ED">
        <w:rPr>
          <w:lang w:val="fr-FR"/>
        </w:rPr>
        <w:t xml:space="preserve"> électrique</w:t>
      </w:r>
      <w:r w:rsidR="00851499" w:rsidRPr="005808ED">
        <w:rPr>
          <w:lang w:val="fr-FR"/>
        </w:rPr>
        <w:t>s</w:t>
      </w:r>
      <w:r w:rsidR="00F252EE" w:rsidRPr="005808ED">
        <w:rPr>
          <w:lang w:val="fr-FR"/>
        </w:rPr>
        <w:t xml:space="preserve"> </w:t>
      </w:r>
      <w:r w:rsidR="00851499" w:rsidRPr="005808ED">
        <w:rPr>
          <w:lang w:val="fr-FR"/>
        </w:rPr>
        <w:t>se rencontre</w:t>
      </w:r>
      <w:r w:rsidR="00F252EE" w:rsidRPr="005808ED">
        <w:rPr>
          <w:lang w:val="fr-FR"/>
        </w:rPr>
        <w:t xml:space="preserve">nt encore </w:t>
      </w:r>
      <w:r w:rsidR="00851499" w:rsidRPr="005808ED">
        <w:rPr>
          <w:lang w:val="fr-FR"/>
        </w:rPr>
        <w:t>dans le monde</w:t>
      </w:r>
      <w:r w:rsidR="00F252EE" w:rsidRPr="005808ED">
        <w:rPr>
          <w:lang w:val="fr-FR"/>
        </w:rPr>
        <w:t>. Par exemple, dans le processus de production de chlore-alcali, de très grandes quantités de mercure sont parfois utilisées sur les sites de production, conduisant à l</w:t>
      </w:r>
      <w:r w:rsidR="00B3097B" w:rsidRPr="005808ED">
        <w:rPr>
          <w:lang w:val="fr-FR"/>
        </w:rPr>
        <w:t>’</w:t>
      </w:r>
      <w:r w:rsidR="00F252EE" w:rsidRPr="005808ED">
        <w:rPr>
          <w:lang w:val="fr-FR"/>
        </w:rPr>
        <w:t>existence d</w:t>
      </w:r>
      <w:r w:rsidR="00B3097B" w:rsidRPr="005808ED">
        <w:rPr>
          <w:lang w:val="fr-FR"/>
        </w:rPr>
        <w:t>’</w:t>
      </w:r>
      <w:r w:rsidR="00F252EE" w:rsidRPr="005808ED">
        <w:rPr>
          <w:lang w:val="fr-FR"/>
        </w:rPr>
        <w:t>usines qui peuvent être lourdement contaminées. Le mercure a également servi à la production d</w:t>
      </w:r>
      <w:r w:rsidR="00B3097B" w:rsidRPr="005808ED">
        <w:rPr>
          <w:lang w:val="fr-FR"/>
        </w:rPr>
        <w:t>’</w:t>
      </w:r>
      <w:r w:rsidR="00F252EE" w:rsidRPr="005808ED">
        <w:rPr>
          <w:lang w:val="fr-FR"/>
        </w:rPr>
        <w:t xml:space="preserve">acétaldéhyde. Parmi les autres processus industriels qui peuvent utiliser du mercure, on trouve la production de chlorure de vinyle monomère (pour </w:t>
      </w:r>
      <w:r w:rsidR="00851499" w:rsidRPr="005808ED">
        <w:rPr>
          <w:lang w:val="fr-FR"/>
        </w:rPr>
        <w:t xml:space="preserve">la fabrication de </w:t>
      </w:r>
      <w:r w:rsidR="00F252EE" w:rsidRPr="005808ED">
        <w:rPr>
          <w:lang w:val="fr-FR"/>
        </w:rPr>
        <w:t xml:space="preserve">polychlorure de vinyle), </w:t>
      </w:r>
      <w:r w:rsidR="00851499" w:rsidRPr="005808ED">
        <w:rPr>
          <w:lang w:val="fr-FR"/>
        </w:rPr>
        <w:t xml:space="preserve">celle </w:t>
      </w:r>
      <w:r w:rsidR="00F252EE" w:rsidRPr="005808ED">
        <w:rPr>
          <w:lang w:val="fr-FR"/>
        </w:rPr>
        <w:t>de méthylate ou d</w:t>
      </w:r>
      <w:r w:rsidR="00B3097B" w:rsidRPr="005808ED">
        <w:rPr>
          <w:lang w:val="fr-FR"/>
        </w:rPr>
        <w:t>’</w:t>
      </w:r>
      <w:r w:rsidR="00F252EE" w:rsidRPr="005808ED">
        <w:rPr>
          <w:lang w:val="fr-FR"/>
        </w:rPr>
        <w:t xml:space="preserve">éthylate de sodium ou de potassium et </w:t>
      </w:r>
      <w:r w:rsidR="00851499" w:rsidRPr="005808ED">
        <w:rPr>
          <w:lang w:val="fr-FR"/>
        </w:rPr>
        <w:t xml:space="preserve">celle </w:t>
      </w:r>
      <w:r w:rsidR="00F252EE" w:rsidRPr="005808ED">
        <w:rPr>
          <w:lang w:val="fr-FR"/>
        </w:rPr>
        <w:t xml:space="preserve">de polyuréthane. Chacun de ces procédés de production peut contaminer le site de production en raison du procédé </w:t>
      </w:r>
      <w:r w:rsidR="00C97309" w:rsidRPr="005808ED">
        <w:rPr>
          <w:lang w:val="fr-FR"/>
        </w:rPr>
        <w:br/>
      </w:r>
      <w:r w:rsidR="00F252EE" w:rsidRPr="005808ED">
        <w:rPr>
          <w:lang w:val="fr-FR"/>
        </w:rPr>
        <w:t>lui-même, de déversements résultant d</w:t>
      </w:r>
      <w:r w:rsidR="00B3097B" w:rsidRPr="005808ED">
        <w:rPr>
          <w:lang w:val="fr-FR"/>
        </w:rPr>
        <w:t>’</w:t>
      </w:r>
      <w:r w:rsidR="00F252EE" w:rsidRPr="005808ED">
        <w:rPr>
          <w:lang w:val="fr-FR"/>
        </w:rPr>
        <w:t>une mauvaise manipulation ou d</w:t>
      </w:r>
      <w:r w:rsidR="00B3097B" w:rsidRPr="005808ED">
        <w:rPr>
          <w:lang w:val="fr-FR"/>
        </w:rPr>
        <w:t>’</w:t>
      </w:r>
      <w:r w:rsidR="00F252EE" w:rsidRPr="005808ED">
        <w:rPr>
          <w:lang w:val="fr-FR"/>
        </w:rPr>
        <w:t>accidents ou d</w:t>
      </w:r>
      <w:r w:rsidR="00B3097B" w:rsidRPr="005808ED">
        <w:rPr>
          <w:lang w:val="fr-FR"/>
        </w:rPr>
        <w:t>’</w:t>
      </w:r>
      <w:r w:rsidR="00F252EE" w:rsidRPr="005808ED">
        <w:rPr>
          <w:lang w:val="fr-FR"/>
        </w:rPr>
        <w:t>une mauvaise gestion des déchets de mercure qu</w:t>
      </w:r>
      <w:r w:rsidR="00B3097B" w:rsidRPr="005808ED">
        <w:rPr>
          <w:lang w:val="fr-FR"/>
        </w:rPr>
        <w:t>’</w:t>
      </w:r>
      <w:r w:rsidR="00F252EE" w:rsidRPr="005808ED">
        <w:rPr>
          <w:lang w:val="fr-FR"/>
        </w:rPr>
        <w:t>il génère.</w:t>
      </w:r>
    </w:p>
    <w:p w14:paraId="47831CA0" w14:textId="0E9C6F7F" w:rsidR="00F252EE" w:rsidRPr="005808ED" w:rsidRDefault="00F252EE" w:rsidP="00F51980">
      <w:pPr>
        <w:pStyle w:val="Normalnumber"/>
        <w:numPr>
          <w:ilvl w:val="0"/>
          <w:numId w:val="12"/>
        </w:numPr>
        <w:ind w:left="1247" w:firstLine="0"/>
        <w:rPr>
          <w:lang w:val="fr-FR"/>
        </w:rPr>
      </w:pPr>
      <w:r w:rsidRPr="005808ED">
        <w:rPr>
          <w:lang w:val="fr-FR"/>
        </w:rPr>
        <w:t>Le mercure est abondamment utilisé dans le domaine de l</w:t>
      </w:r>
      <w:r w:rsidR="00B3097B" w:rsidRPr="005808ED">
        <w:rPr>
          <w:lang w:val="fr-FR"/>
        </w:rPr>
        <w:t>’</w:t>
      </w:r>
      <w:r w:rsidR="00520496" w:rsidRPr="005808ED">
        <w:rPr>
          <w:lang w:val="fr-FR"/>
        </w:rPr>
        <w:t>extraction artisanale et à petite échelle d’or</w:t>
      </w:r>
      <w:r w:rsidRPr="005808ED">
        <w:rPr>
          <w:lang w:val="fr-FR"/>
        </w:rPr>
        <w:t>, où il est mélangé au minerai aurifère. Le mercure se lie à l</w:t>
      </w:r>
      <w:r w:rsidR="00B3097B" w:rsidRPr="005808ED">
        <w:rPr>
          <w:lang w:val="fr-FR"/>
        </w:rPr>
        <w:t>’</w:t>
      </w:r>
      <w:r w:rsidRPr="005808ED">
        <w:rPr>
          <w:lang w:val="fr-FR"/>
        </w:rPr>
        <w:t>or, formant un amalgame qui est ensuite chauffé afin de rejeter le mercure sous forme de vapeur et de ne laisser que l</w:t>
      </w:r>
      <w:r w:rsidR="00B3097B" w:rsidRPr="005808ED">
        <w:rPr>
          <w:lang w:val="fr-FR"/>
        </w:rPr>
        <w:t>’</w:t>
      </w:r>
      <w:r w:rsidRPr="005808ED">
        <w:rPr>
          <w:lang w:val="fr-FR"/>
        </w:rPr>
        <w:t>or. Les contrôles de l</w:t>
      </w:r>
      <w:r w:rsidR="00B3097B" w:rsidRPr="005808ED">
        <w:rPr>
          <w:lang w:val="fr-FR"/>
        </w:rPr>
        <w:t>’</w:t>
      </w:r>
      <w:r w:rsidRPr="005808ED">
        <w:rPr>
          <w:lang w:val="fr-FR"/>
        </w:rPr>
        <w:t>utilisation et des rejets de mercure sont peu nombreux, voire inexistants, en raison de la nature informelle de nombreuses opérations d</w:t>
      </w:r>
      <w:r w:rsidR="00B3097B" w:rsidRPr="005808ED">
        <w:rPr>
          <w:lang w:val="fr-FR"/>
        </w:rPr>
        <w:t>’</w:t>
      </w:r>
      <w:r w:rsidR="00520496" w:rsidRPr="005808ED">
        <w:rPr>
          <w:lang w:val="fr-FR"/>
        </w:rPr>
        <w:t>extraction artisanale et à petite échelle d’or</w:t>
      </w:r>
      <w:r w:rsidRPr="005808ED">
        <w:rPr>
          <w:lang w:val="fr-FR"/>
        </w:rPr>
        <w:t>, ce qui conduit souvent à d</w:t>
      </w:r>
      <w:r w:rsidR="00B3097B" w:rsidRPr="005808ED">
        <w:rPr>
          <w:lang w:val="fr-FR"/>
        </w:rPr>
        <w:t>’</w:t>
      </w:r>
      <w:r w:rsidRPr="005808ED">
        <w:rPr>
          <w:lang w:val="fr-FR"/>
        </w:rPr>
        <w:t>importants niveaux d</w:t>
      </w:r>
      <w:r w:rsidR="00B3097B" w:rsidRPr="005808ED">
        <w:rPr>
          <w:lang w:val="fr-FR"/>
        </w:rPr>
        <w:t>’</w:t>
      </w:r>
      <w:r w:rsidRPr="005808ED">
        <w:rPr>
          <w:lang w:val="fr-FR"/>
        </w:rPr>
        <w:t xml:space="preserve">exposition pour les travailleurs et à une contamination élevée du site. De plus, des familles et des groupes de personnes entiers peuvent être exposés </w:t>
      </w:r>
      <w:r w:rsidR="006E3149" w:rsidRPr="005808ED">
        <w:rPr>
          <w:lang w:val="fr-FR"/>
        </w:rPr>
        <w:t>aux</w:t>
      </w:r>
      <w:r w:rsidRPr="005808ED">
        <w:rPr>
          <w:lang w:val="fr-FR"/>
        </w:rPr>
        <w:t xml:space="preserve"> vapeur</w:t>
      </w:r>
      <w:r w:rsidR="006E3149" w:rsidRPr="005808ED">
        <w:rPr>
          <w:lang w:val="fr-FR"/>
        </w:rPr>
        <w:t>s</w:t>
      </w:r>
      <w:r w:rsidRPr="005808ED">
        <w:rPr>
          <w:lang w:val="fr-FR"/>
        </w:rPr>
        <w:t xml:space="preserve"> de mercure dans l</w:t>
      </w:r>
      <w:r w:rsidR="00B3097B" w:rsidRPr="005808ED">
        <w:rPr>
          <w:lang w:val="fr-FR"/>
        </w:rPr>
        <w:t>’</w:t>
      </w:r>
      <w:r w:rsidRPr="005808ED">
        <w:rPr>
          <w:lang w:val="fr-FR"/>
        </w:rPr>
        <w:t>habitation ou l</w:t>
      </w:r>
      <w:r w:rsidR="00B3097B" w:rsidRPr="005808ED">
        <w:rPr>
          <w:lang w:val="fr-FR"/>
        </w:rPr>
        <w:t>’</w:t>
      </w:r>
      <w:r w:rsidRPr="005808ED">
        <w:rPr>
          <w:lang w:val="fr-FR"/>
        </w:rPr>
        <w:t xml:space="preserve">entrepôt où le procédé de fabrication a lieu. </w:t>
      </w:r>
    </w:p>
    <w:p w14:paraId="0BEDEEF5" w14:textId="34CE6119" w:rsidR="00F252EE" w:rsidRPr="005808ED" w:rsidRDefault="00F252EE" w:rsidP="00F51980">
      <w:pPr>
        <w:pStyle w:val="Normalnumber"/>
        <w:numPr>
          <w:ilvl w:val="0"/>
          <w:numId w:val="12"/>
        </w:numPr>
        <w:ind w:left="1247" w:firstLine="0"/>
        <w:rPr>
          <w:lang w:val="fr-FR"/>
        </w:rPr>
      </w:pPr>
      <w:r w:rsidRPr="005808ED">
        <w:rPr>
          <w:lang w:val="fr-FR"/>
        </w:rPr>
        <w:t>Le mercure peut également être émis dans le cadre d</w:t>
      </w:r>
      <w:r w:rsidR="00B3097B" w:rsidRPr="005808ED">
        <w:rPr>
          <w:lang w:val="fr-FR"/>
        </w:rPr>
        <w:t>’</w:t>
      </w:r>
      <w:r w:rsidRPr="005808ED">
        <w:rPr>
          <w:lang w:val="fr-FR"/>
        </w:rPr>
        <w:t>un certain nombre d</w:t>
      </w:r>
      <w:r w:rsidR="00B3097B" w:rsidRPr="005808ED">
        <w:rPr>
          <w:lang w:val="fr-FR"/>
        </w:rPr>
        <w:t>’</w:t>
      </w:r>
      <w:r w:rsidRPr="005808ED">
        <w:rPr>
          <w:lang w:val="fr-FR"/>
        </w:rPr>
        <w:t xml:space="preserve">autres activités menées à une échelle industrielle, où il est un contaminant de matières premières ou un sous-produit de la production. On peut citer par exemple la combustion du charbon (dans </w:t>
      </w:r>
      <w:r w:rsidR="00186383" w:rsidRPr="005808ED">
        <w:rPr>
          <w:lang w:val="fr-FR"/>
        </w:rPr>
        <w:t>l</w:t>
      </w:r>
      <w:r w:rsidRPr="005808ED">
        <w:rPr>
          <w:lang w:val="fr-FR"/>
        </w:rPr>
        <w:t xml:space="preserve">es centrales électriques </w:t>
      </w:r>
      <w:r w:rsidR="00186383" w:rsidRPr="005808ED">
        <w:rPr>
          <w:lang w:val="fr-FR"/>
        </w:rPr>
        <w:t>ou l</w:t>
      </w:r>
      <w:r w:rsidRPr="005808ED">
        <w:rPr>
          <w:lang w:val="fr-FR"/>
        </w:rPr>
        <w:t>es chaudières industrielles), la fusion et le grillage des métaux non ferreux, la production de clinker de ciment et l</w:t>
      </w:r>
      <w:r w:rsidR="00B3097B" w:rsidRPr="005808ED">
        <w:rPr>
          <w:lang w:val="fr-FR"/>
        </w:rPr>
        <w:t>’</w:t>
      </w:r>
      <w:r w:rsidRPr="005808ED">
        <w:rPr>
          <w:lang w:val="fr-FR"/>
        </w:rPr>
        <w:t xml:space="preserve">incinération des déchets. La plupart du mercure émis dans ces contextes peut être capturé par le biais de mesures de lutte contre la pollution. Cependant, le procédé de capture produit à son tour des déchets solides et liquides contaminés par du mercure qui devront être gérés de manière sûre. La mauvaise gestion des déchets, notamment </w:t>
      </w:r>
      <w:r w:rsidR="009B64E0" w:rsidRPr="005808ED">
        <w:rPr>
          <w:lang w:val="fr-FR"/>
        </w:rPr>
        <w:t>d</w:t>
      </w:r>
      <w:r w:rsidRPr="005808ED">
        <w:rPr>
          <w:lang w:val="fr-FR"/>
        </w:rPr>
        <w:t xml:space="preserve">es eaux usées, peut conduire </w:t>
      </w:r>
      <w:r w:rsidR="003F4D71" w:rsidRPr="005808ED">
        <w:rPr>
          <w:lang w:val="fr-FR"/>
        </w:rPr>
        <w:t xml:space="preserve">à des </w:t>
      </w:r>
      <w:r w:rsidRPr="005808ED">
        <w:rPr>
          <w:lang w:val="fr-FR"/>
        </w:rPr>
        <w:t>rejet</w:t>
      </w:r>
      <w:r w:rsidR="003F4D71" w:rsidRPr="005808ED">
        <w:rPr>
          <w:lang w:val="fr-FR"/>
        </w:rPr>
        <w:t>s</w:t>
      </w:r>
      <w:r w:rsidRPr="005808ED">
        <w:rPr>
          <w:lang w:val="fr-FR"/>
        </w:rPr>
        <w:t xml:space="preserve"> de mercure dans l</w:t>
      </w:r>
      <w:r w:rsidR="00B3097B" w:rsidRPr="005808ED">
        <w:rPr>
          <w:lang w:val="fr-FR"/>
        </w:rPr>
        <w:t>’</w:t>
      </w:r>
      <w:r w:rsidRPr="005808ED">
        <w:rPr>
          <w:lang w:val="fr-FR"/>
        </w:rPr>
        <w:t>eau</w:t>
      </w:r>
      <w:r w:rsidR="003F4D71" w:rsidRPr="005808ED">
        <w:rPr>
          <w:lang w:val="fr-FR"/>
        </w:rPr>
        <w:t>,</w:t>
      </w:r>
      <w:r w:rsidR="009B64E0" w:rsidRPr="005808ED">
        <w:rPr>
          <w:lang w:val="fr-FR"/>
        </w:rPr>
        <w:t xml:space="preserve"> </w:t>
      </w:r>
      <w:r w:rsidRPr="005808ED">
        <w:rPr>
          <w:lang w:val="fr-FR"/>
        </w:rPr>
        <w:t xml:space="preserve">les terres et </w:t>
      </w:r>
      <w:r w:rsidR="003F4D71" w:rsidRPr="005808ED">
        <w:rPr>
          <w:lang w:val="fr-FR"/>
        </w:rPr>
        <w:t xml:space="preserve">les </w:t>
      </w:r>
      <w:r w:rsidRPr="005808ED">
        <w:rPr>
          <w:lang w:val="fr-FR"/>
        </w:rPr>
        <w:t>sols. Les activités minières à l</w:t>
      </w:r>
      <w:r w:rsidR="00B3097B" w:rsidRPr="005808ED">
        <w:rPr>
          <w:lang w:val="fr-FR"/>
        </w:rPr>
        <w:t>’</w:t>
      </w:r>
      <w:r w:rsidRPr="005808ED">
        <w:rPr>
          <w:lang w:val="fr-FR"/>
        </w:rPr>
        <w:t xml:space="preserve">échelle industrielle, en particulier dans les cas où le minerai contient un taux élevé de mercure, peuvent également conduire </w:t>
      </w:r>
      <w:r w:rsidR="003F4D71" w:rsidRPr="005808ED">
        <w:rPr>
          <w:lang w:val="fr-FR"/>
        </w:rPr>
        <w:t>à des</w:t>
      </w:r>
      <w:r w:rsidRPr="005808ED">
        <w:rPr>
          <w:lang w:val="fr-FR"/>
        </w:rPr>
        <w:t xml:space="preserve"> rejet</w:t>
      </w:r>
      <w:r w:rsidR="003F4D71" w:rsidRPr="005808ED">
        <w:rPr>
          <w:lang w:val="fr-FR"/>
        </w:rPr>
        <w:t>s</w:t>
      </w:r>
      <w:r w:rsidRPr="005808ED">
        <w:rPr>
          <w:lang w:val="fr-FR"/>
        </w:rPr>
        <w:t xml:space="preserve"> de mercure dans l</w:t>
      </w:r>
      <w:r w:rsidR="00B3097B" w:rsidRPr="005808ED">
        <w:rPr>
          <w:lang w:val="fr-FR"/>
        </w:rPr>
        <w:t>’</w:t>
      </w:r>
      <w:r w:rsidRPr="005808ED">
        <w:rPr>
          <w:lang w:val="fr-FR"/>
        </w:rPr>
        <w:t>air, la terre et les systèmes de distribution d</w:t>
      </w:r>
      <w:r w:rsidR="00B3097B" w:rsidRPr="005808ED">
        <w:rPr>
          <w:lang w:val="fr-FR"/>
        </w:rPr>
        <w:t>’</w:t>
      </w:r>
      <w:r w:rsidRPr="005808ED">
        <w:rPr>
          <w:lang w:val="fr-FR"/>
        </w:rPr>
        <w:t>eau, tandis que les résidus d</w:t>
      </w:r>
      <w:r w:rsidR="00B3097B" w:rsidRPr="005808ED">
        <w:rPr>
          <w:lang w:val="fr-FR"/>
        </w:rPr>
        <w:t>’</w:t>
      </w:r>
      <w:r w:rsidRPr="005808ED">
        <w:rPr>
          <w:lang w:val="fr-FR"/>
        </w:rPr>
        <w:t xml:space="preserve">extraction minière peuvent être lourdement contaminés par du mercure. </w:t>
      </w:r>
    </w:p>
    <w:p w14:paraId="41F4F5C2" w14:textId="4EB677A6" w:rsidR="00F252EE" w:rsidRPr="005808ED" w:rsidRDefault="00520198" w:rsidP="00FA6C22">
      <w:pPr>
        <w:pStyle w:val="CH2"/>
        <w:ind w:firstLine="13"/>
        <w:rPr>
          <w:lang w:val="fr-FR"/>
        </w:rPr>
      </w:pPr>
      <w:bookmarkStart w:id="29" w:name="_Toc527017900"/>
      <w:r w:rsidRPr="005808ED">
        <w:rPr>
          <w:bCs/>
          <w:lang w:val="fr-FR"/>
        </w:rPr>
        <w:t>Émissions et rejets de mercure</w:t>
      </w:r>
      <w:bookmarkEnd w:id="29"/>
    </w:p>
    <w:p w14:paraId="6D84FBA0" w14:textId="3F25AB99" w:rsidR="00F252EE" w:rsidRPr="005808ED" w:rsidRDefault="005E1491" w:rsidP="00F51980">
      <w:pPr>
        <w:pStyle w:val="Normalnumber"/>
        <w:numPr>
          <w:ilvl w:val="0"/>
          <w:numId w:val="12"/>
        </w:numPr>
        <w:ind w:left="1247" w:firstLine="0"/>
        <w:rPr>
          <w:lang w:val="fr-FR"/>
        </w:rPr>
      </w:pPr>
      <w:r w:rsidRPr="005808ED">
        <w:rPr>
          <w:lang w:val="fr-FR"/>
        </w:rPr>
        <w:t>L</w:t>
      </w:r>
      <w:r w:rsidR="00B3097B" w:rsidRPr="005808ED">
        <w:rPr>
          <w:lang w:val="fr-FR"/>
        </w:rPr>
        <w:t>’</w:t>
      </w:r>
      <w:r w:rsidRPr="005808ED">
        <w:rPr>
          <w:lang w:val="fr-FR"/>
        </w:rPr>
        <w:t xml:space="preserve">évaluation mondiale du mercure publiée en 2013 a indiqué que les plus importantes </w:t>
      </w:r>
      <w:r w:rsidR="003F4D71" w:rsidRPr="005808ED">
        <w:rPr>
          <w:lang w:val="fr-FR"/>
        </w:rPr>
        <w:t xml:space="preserve">sources </w:t>
      </w:r>
      <w:r w:rsidRPr="005808ED">
        <w:rPr>
          <w:lang w:val="fr-FR"/>
        </w:rPr>
        <w:t>d</w:t>
      </w:r>
      <w:r w:rsidR="00B3097B" w:rsidRPr="005808ED">
        <w:rPr>
          <w:lang w:val="fr-FR"/>
        </w:rPr>
        <w:t>’</w:t>
      </w:r>
      <w:r w:rsidRPr="005808ED">
        <w:rPr>
          <w:lang w:val="fr-FR"/>
        </w:rPr>
        <w:t>émissions anthropiques de mercure dans l</w:t>
      </w:r>
      <w:r w:rsidR="00B3097B" w:rsidRPr="005808ED">
        <w:rPr>
          <w:lang w:val="fr-FR"/>
        </w:rPr>
        <w:t>’</w:t>
      </w:r>
      <w:r w:rsidRPr="005808ED">
        <w:rPr>
          <w:lang w:val="fr-FR"/>
        </w:rPr>
        <w:t>air sont l</w:t>
      </w:r>
      <w:r w:rsidR="00B3097B" w:rsidRPr="005808ED">
        <w:rPr>
          <w:lang w:val="fr-FR"/>
        </w:rPr>
        <w:t>’</w:t>
      </w:r>
      <w:r w:rsidR="00520496" w:rsidRPr="005808ED">
        <w:rPr>
          <w:lang w:val="fr-FR"/>
        </w:rPr>
        <w:t>extraction artisanale et à petite échelle d’or</w:t>
      </w:r>
      <w:r w:rsidRPr="005808ED">
        <w:rPr>
          <w:lang w:val="fr-FR"/>
        </w:rPr>
        <w:t xml:space="preserve"> et la combustion du charbon (UNEP, 2013), suivies de la production de métaux ferreux et non ferreux et de ciment. </w:t>
      </w:r>
      <w:r w:rsidR="003F4D71" w:rsidRPr="005808ED">
        <w:rPr>
          <w:lang w:val="fr-FR"/>
        </w:rPr>
        <w:t>Elle</w:t>
      </w:r>
      <w:r w:rsidRPr="005808ED">
        <w:rPr>
          <w:lang w:val="fr-FR"/>
        </w:rPr>
        <w:t xml:space="preserve"> </w:t>
      </w:r>
      <w:r w:rsidR="003F4D71" w:rsidRPr="005808ED">
        <w:rPr>
          <w:lang w:val="fr-FR"/>
        </w:rPr>
        <w:t>s’est</w:t>
      </w:r>
      <w:r w:rsidRPr="005808ED">
        <w:rPr>
          <w:lang w:val="fr-FR"/>
        </w:rPr>
        <w:t xml:space="preserve"> également </w:t>
      </w:r>
      <w:r w:rsidR="003F4D71" w:rsidRPr="005808ED">
        <w:rPr>
          <w:lang w:val="fr-FR"/>
        </w:rPr>
        <w:t xml:space="preserve">penchée sur </w:t>
      </w:r>
      <w:r w:rsidRPr="005808ED">
        <w:rPr>
          <w:lang w:val="fr-FR"/>
        </w:rPr>
        <w:t xml:space="preserve">les rejets </w:t>
      </w:r>
      <w:r w:rsidR="003F4D71" w:rsidRPr="005808ED">
        <w:rPr>
          <w:lang w:val="fr-FR"/>
        </w:rPr>
        <w:t xml:space="preserve">aquatiques </w:t>
      </w:r>
      <w:r w:rsidRPr="005808ED">
        <w:rPr>
          <w:lang w:val="fr-FR"/>
        </w:rPr>
        <w:t xml:space="preserve">de mercure </w:t>
      </w:r>
      <w:r w:rsidR="003F4D71" w:rsidRPr="005808ED">
        <w:rPr>
          <w:lang w:val="fr-FR"/>
        </w:rPr>
        <w:t>provenant d</w:t>
      </w:r>
      <w:r w:rsidRPr="005808ED">
        <w:rPr>
          <w:lang w:val="fr-FR"/>
        </w:rPr>
        <w:t>es sources ponctuelles d</w:t>
      </w:r>
      <w:r w:rsidR="00B3097B" w:rsidRPr="005808ED">
        <w:rPr>
          <w:lang w:val="fr-FR"/>
        </w:rPr>
        <w:t>’</w:t>
      </w:r>
      <w:r w:rsidRPr="005808ED">
        <w:rPr>
          <w:lang w:val="fr-FR"/>
        </w:rPr>
        <w:t xml:space="preserve">émissions, </w:t>
      </w:r>
      <w:r w:rsidR="003F4D71" w:rsidRPr="005808ED">
        <w:rPr>
          <w:lang w:val="fr-FR"/>
        </w:rPr>
        <w:t>d</w:t>
      </w:r>
      <w:r w:rsidRPr="005808ED">
        <w:rPr>
          <w:lang w:val="fr-FR"/>
        </w:rPr>
        <w:t xml:space="preserve">es sites contaminés et </w:t>
      </w:r>
      <w:r w:rsidR="003F4D71" w:rsidRPr="005808ED">
        <w:rPr>
          <w:lang w:val="fr-FR"/>
        </w:rPr>
        <w:t>d</w:t>
      </w:r>
      <w:r w:rsidRPr="005808ED">
        <w:rPr>
          <w:lang w:val="fr-FR"/>
        </w:rPr>
        <w:t>es sites d</w:t>
      </w:r>
      <w:r w:rsidR="00B3097B" w:rsidRPr="005808ED">
        <w:rPr>
          <w:lang w:val="fr-FR"/>
        </w:rPr>
        <w:t>’</w:t>
      </w:r>
      <w:r w:rsidR="00520496" w:rsidRPr="005808ED">
        <w:rPr>
          <w:lang w:val="fr-FR"/>
        </w:rPr>
        <w:t>extraction artisanale et à petite échelle d’or</w:t>
      </w:r>
      <w:r w:rsidRPr="005808ED">
        <w:rPr>
          <w:lang w:val="fr-FR"/>
        </w:rPr>
        <w:t xml:space="preserve">. </w:t>
      </w:r>
      <w:r w:rsidR="003F4D71" w:rsidRPr="005808ED">
        <w:rPr>
          <w:lang w:val="fr-FR"/>
        </w:rPr>
        <w:t>Elle</w:t>
      </w:r>
      <w:r w:rsidRPr="005808ED">
        <w:rPr>
          <w:lang w:val="fr-FR"/>
        </w:rPr>
        <w:t xml:space="preserve"> a estimé à 1 960 tonnes métriques les émissions anthropiques mondiales de mercure dans l</w:t>
      </w:r>
      <w:r w:rsidR="00B3097B" w:rsidRPr="005808ED">
        <w:rPr>
          <w:lang w:val="fr-FR"/>
        </w:rPr>
        <w:t>’</w:t>
      </w:r>
      <w:r w:rsidR="00FA6C22" w:rsidRPr="005808ED">
        <w:rPr>
          <w:lang w:val="fr-FR"/>
        </w:rPr>
        <w:t>air en </w:t>
      </w:r>
      <w:r w:rsidRPr="005808ED">
        <w:rPr>
          <w:lang w:val="fr-FR"/>
        </w:rPr>
        <w:t>2010, tandis que les rejets anthropiques dans l</w:t>
      </w:r>
      <w:r w:rsidR="00B3097B" w:rsidRPr="005808ED">
        <w:rPr>
          <w:lang w:val="fr-FR"/>
        </w:rPr>
        <w:t>’</w:t>
      </w:r>
      <w:r w:rsidRPr="005808ED">
        <w:rPr>
          <w:lang w:val="fr-FR"/>
        </w:rPr>
        <w:t>eau s</w:t>
      </w:r>
      <w:r w:rsidR="00B3097B" w:rsidRPr="005808ED">
        <w:rPr>
          <w:lang w:val="fr-FR"/>
        </w:rPr>
        <w:t>’</w:t>
      </w:r>
      <w:r w:rsidR="00825F66" w:rsidRPr="005808ED">
        <w:rPr>
          <w:lang w:val="fr-FR"/>
        </w:rPr>
        <w:t>élevaient à au moins 1 000 </w:t>
      </w:r>
      <w:r w:rsidRPr="005808ED">
        <w:rPr>
          <w:lang w:val="fr-FR"/>
        </w:rPr>
        <w:t>tonnes métriques. Les sites contami</w:t>
      </w:r>
      <w:r w:rsidR="00825F66" w:rsidRPr="005808ED">
        <w:rPr>
          <w:lang w:val="fr-FR"/>
        </w:rPr>
        <w:t>nés rejetteraient entre 8 et 33 </w:t>
      </w:r>
      <w:r w:rsidRPr="005808ED">
        <w:rPr>
          <w:lang w:val="fr-FR"/>
        </w:rPr>
        <w:t>tonnes métriques de mercure par an dans l</w:t>
      </w:r>
      <w:r w:rsidR="00B3097B" w:rsidRPr="005808ED">
        <w:rPr>
          <w:lang w:val="fr-FR"/>
        </w:rPr>
        <w:t>’</w:t>
      </w:r>
      <w:r w:rsidR="00FA6C22" w:rsidRPr="005808ED">
        <w:rPr>
          <w:lang w:val="fr-FR"/>
        </w:rPr>
        <w:t>eau et entre </w:t>
      </w:r>
      <w:r w:rsidR="00825F66" w:rsidRPr="005808ED">
        <w:rPr>
          <w:lang w:val="fr-FR"/>
        </w:rPr>
        <w:t>70 et 95 </w:t>
      </w:r>
      <w:r w:rsidRPr="005808ED">
        <w:rPr>
          <w:lang w:val="fr-FR"/>
        </w:rPr>
        <w:t>tonnes métriques dans l</w:t>
      </w:r>
      <w:r w:rsidR="00B3097B" w:rsidRPr="005808ED">
        <w:rPr>
          <w:lang w:val="fr-FR"/>
        </w:rPr>
        <w:t>’</w:t>
      </w:r>
      <w:r w:rsidRPr="005808ED">
        <w:rPr>
          <w:lang w:val="fr-FR"/>
        </w:rPr>
        <w:t>air, contribuant ainsi de façon relativement faible au total mondial. D</w:t>
      </w:r>
      <w:r w:rsidR="00B3097B" w:rsidRPr="005808ED">
        <w:rPr>
          <w:lang w:val="fr-FR"/>
        </w:rPr>
        <w:t>’</w:t>
      </w:r>
      <w:r w:rsidRPr="005808ED">
        <w:rPr>
          <w:lang w:val="fr-FR"/>
        </w:rPr>
        <w:t>autres études (Kocman et al., 2013) ont estimé que les quantités de mercure rejeté</w:t>
      </w:r>
      <w:r w:rsidR="003F4D71" w:rsidRPr="005808ED">
        <w:rPr>
          <w:lang w:val="fr-FR"/>
        </w:rPr>
        <w:t>es</w:t>
      </w:r>
      <w:r w:rsidRPr="005808ED">
        <w:rPr>
          <w:lang w:val="fr-FR"/>
        </w:rPr>
        <w:t xml:space="preserve"> </w:t>
      </w:r>
      <w:r w:rsidR="003F4D71" w:rsidRPr="005808ED">
        <w:rPr>
          <w:lang w:val="fr-FR"/>
        </w:rPr>
        <w:t xml:space="preserve">par ces sites </w:t>
      </w:r>
      <w:r w:rsidRPr="005808ED">
        <w:rPr>
          <w:lang w:val="fr-FR"/>
        </w:rPr>
        <w:t>dans l</w:t>
      </w:r>
      <w:r w:rsidR="00B3097B" w:rsidRPr="005808ED">
        <w:rPr>
          <w:lang w:val="fr-FR"/>
        </w:rPr>
        <w:t>’</w:t>
      </w:r>
      <w:r w:rsidRPr="005808ED">
        <w:rPr>
          <w:lang w:val="fr-FR"/>
        </w:rPr>
        <w:t xml:space="preserve">eau étaient plus élevées </w:t>
      </w:r>
      <w:r w:rsidR="00825F66" w:rsidRPr="005808ED">
        <w:rPr>
          <w:lang w:val="fr-FR"/>
        </w:rPr>
        <w:t>et se situaient entre 67 et 165 </w:t>
      </w:r>
      <w:r w:rsidRPr="005808ED">
        <w:rPr>
          <w:lang w:val="fr-FR"/>
        </w:rPr>
        <w:t>tonnes métriques par an. Ces</w:t>
      </w:r>
      <w:r w:rsidR="00FF6DCC" w:rsidRPr="005808ED">
        <w:rPr>
          <w:lang w:val="fr-FR"/>
        </w:rPr>
        <w:t> </w:t>
      </w:r>
      <w:r w:rsidRPr="005808ED">
        <w:rPr>
          <w:lang w:val="fr-FR"/>
        </w:rPr>
        <w:t xml:space="preserve">chiffres montrent que les communautés locales sont potentiellement très exposées au mercure provenant des sites contaminés. </w:t>
      </w:r>
    </w:p>
    <w:p w14:paraId="21B61566" w14:textId="77777777" w:rsidR="00F252EE" w:rsidRPr="005808ED" w:rsidRDefault="00520198" w:rsidP="00F51980">
      <w:pPr>
        <w:pStyle w:val="CH2"/>
        <w:rPr>
          <w:lang w:val="fr-FR"/>
        </w:rPr>
      </w:pPr>
      <w:r w:rsidRPr="005808ED">
        <w:rPr>
          <w:lang w:val="fr-FR"/>
        </w:rPr>
        <w:tab/>
      </w:r>
      <w:r w:rsidRPr="005808ED">
        <w:rPr>
          <w:lang w:val="fr-FR"/>
        </w:rPr>
        <w:tab/>
      </w:r>
      <w:bookmarkStart w:id="30" w:name="_Toc527017901"/>
      <w:r w:rsidRPr="005808ED">
        <w:rPr>
          <w:bCs/>
          <w:lang w:val="fr-FR"/>
        </w:rPr>
        <w:t>Obligations au titre de la Convention de Minamata sur le mercure</w:t>
      </w:r>
      <w:bookmarkEnd w:id="30"/>
    </w:p>
    <w:p w14:paraId="615FAFA9" w14:textId="0AD8B576" w:rsidR="00F252EE" w:rsidRPr="005808ED" w:rsidRDefault="00F252EE" w:rsidP="00F51980">
      <w:pPr>
        <w:pStyle w:val="Normalnumber"/>
        <w:numPr>
          <w:ilvl w:val="0"/>
          <w:numId w:val="12"/>
        </w:numPr>
        <w:ind w:left="1247" w:firstLine="0"/>
        <w:rPr>
          <w:lang w:val="fr-FR"/>
        </w:rPr>
      </w:pPr>
      <w:r w:rsidRPr="005808ED">
        <w:rPr>
          <w:lang w:val="fr-FR"/>
        </w:rPr>
        <w:t>L</w:t>
      </w:r>
      <w:r w:rsidR="00B3097B" w:rsidRPr="005808ED">
        <w:rPr>
          <w:lang w:val="fr-FR"/>
        </w:rPr>
        <w:t>’</w:t>
      </w:r>
      <w:r w:rsidR="00825F66" w:rsidRPr="005808ED">
        <w:rPr>
          <w:lang w:val="fr-FR"/>
        </w:rPr>
        <w:t>article </w:t>
      </w:r>
      <w:r w:rsidRPr="005808ED">
        <w:rPr>
          <w:lang w:val="fr-FR"/>
        </w:rPr>
        <w:t>12 de la Convention de Minamata définit les obligations suivantes en ce qui concerne les sites contaminés</w:t>
      </w:r>
      <w:r w:rsidR="0097152B" w:rsidRPr="005808ED">
        <w:rPr>
          <w:lang w:val="fr-FR"/>
        </w:rPr>
        <w:t> :</w:t>
      </w:r>
      <w:r w:rsidRPr="005808ED">
        <w:rPr>
          <w:lang w:val="fr-FR"/>
        </w:rPr>
        <w:t xml:space="preserve"> </w:t>
      </w:r>
    </w:p>
    <w:p w14:paraId="2EE2DCC8" w14:textId="41C61185" w:rsidR="00F252EE" w:rsidRPr="005808ED" w:rsidRDefault="00F252EE" w:rsidP="00F51980">
      <w:pPr>
        <w:pStyle w:val="Normalnumber"/>
        <w:numPr>
          <w:ilvl w:val="0"/>
          <w:numId w:val="11"/>
        </w:numPr>
        <w:ind w:left="2495" w:hanging="624"/>
        <w:rPr>
          <w:lang w:val="fr-FR"/>
        </w:rPr>
      </w:pPr>
      <w:r w:rsidRPr="005808ED">
        <w:rPr>
          <w:lang w:val="fr-FR"/>
        </w:rPr>
        <w:t>Chaque Partie s</w:t>
      </w:r>
      <w:r w:rsidR="00B3097B" w:rsidRPr="005808ED">
        <w:rPr>
          <w:lang w:val="fr-FR"/>
        </w:rPr>
        <w:t>’</w:t>
      </w:r>
      <w:r w:rsidRPr="005808ED">
        <w:rPr>
          <w:lang w:val="fr-FR"/>
        </w:rPr>
        <w:t>efforce d</w:t>
      </w:r>
      <w:r w:rsidR="00B3097B" w:rsidRPr="005808ED">
        <w:rPr>
          <w:lang w:val="fr-FR"/>
        </w:rPr>
        <w:t>’</w:t>
      </w:r>
      <w:r w:rsidRPr="005808ED">
        <w:rPr>
          <w:lang w:val="fr-FR"/>
        </w:rPr>
        <w:t>élaborer des stratégies appropriées pour identifier et évaluer les sites contaminés par du mercure ou des composés du mercure.</w:t>
      </w:r>
    </w:p>
    <w:p w14:paraId="503CBE32" w14:textId="70F28B8F" w:rsidR="00F252EE" w:rsidRPr="005808ED" w:rsidRDefault="00F252EE" w:rsidP="00F51980">
      <w:pPr>
        <w:pStyle w:val="Normalnumber"/>
        <w:numPr>
          <w:ilvl w:val="0"/>
          <w:numId w:val="11"/>
        </w:numPr>
        <w:ind w:left="2495" w:hanging="624"/>
        <w:rPr>
          <w:lang w:val="fr-FR"/>
        </w:rPr>
      </w:pPr>
      <w:r w:rsidRPr="005808ED">
        <w:rPr>
          <w:lang w:val="fr-FR"/>
        </w:rPr>
        <w:t>Les actions visant à réduire les risques présentés par ces sites sont menées d</w:t>
      </w:r>
      <w:r w:rsidR="00B3097B" w:rsidRPr="005808ED">
        <w:rPr>
          <w:lang w:val="fr-FR"/>
        </w:rPr>
        <w:t>’</w:t>
      </w:r>
      <w:r w:rsidRPr="005808ED">
        <w:rPr>
          <w:lang w:val="fr-FR"/>
        </w:rPr>
        <w:t>une manière écologiquement rationnelle comprenant, au besoin, une évaluation des risques pour la santé humaine et l</w:t>
      </w:r>
      <w:r w:rsidR="00B3097B" w:rsidRPr="005808ED">
        <w:rPr>
          <w:lang w:val="fr-FR"/>
        </w:rPr>
        <w:t>’</w:t>
      </w:r>
      <w:r w:rsidRPr="005808ED">
        <w:rPr>
          <w:lang w:val="fr-FR"/>
        </w:rPr>
        <w:t>environnement posés par du mercure ou les composés du mercure qu</w:t>
      </w:r>
      <w:r w:rsidR="00B3097B" w:rsidRPr="005808ED">
        <w:rPr>
          <w:lang w:val="fr-FR"/>
        </w:rPr>
        <w:t>’</w:t>
      </w:r>
      <w:r w:rsidRPr="005808ED">
        <w:rPr>
          <w:lang w:val="fr-FR"/>
        </w:rPr>
        <w:t xml:space="preserve">ils recèlent. </w:t>
      </w:r>
    </w:p>
    <w:p w14:paraId="45596053" w14:textId="626ADF99" w:rsidR="00F252EE" w:rsidRPr="005808ED" w:rsidRDefault="00F252EE" w:rsidP="00F51980">
      <w:pPr>
        <w:pStyle w:val="Normalnumber"/>
        <w:numPr>
          <w:ilvl w:val="0"/>
          <w:numId w:val="11"/>
        </w:numPr>
        <w:ind w:left="2495" w:hanging="624"/>
        <w:rPr>
          <w:lang w:val="fr-FR"/>
        </w:rPr>
      </w:pPr>
      <w:r w:rsidRPr="005808ED">
        <w:rPr>
          <w:lang w:val="fr-FR"/>
        </w:rPr>
        <w:t>La Conférence des Parties adopte des orientations sur la gestion des sites contaminés qui peuvent inclure des méthodes et des approches pour</w:t>
      </w:r>
      <w:r w:rsidR="0097152B" w:rsidRPr="005808ED">
        <w:rPr>
          <w:lang w:val="fr-FR"/>
        </w:rPr>
        <w:t> :</w:t>
      </w:r>
      <w:r w:rsidRPr="005808ED">
        <w:rPr>
          <w:lang w:val="fr-FR"/>
        </w:rPr>
        <w:t xml:space="preserve"> </w:t>
      </w:r>
    </w:p>
    <w:p w14:paraId="10D13A07" w14:textId="253F6268" w:rsidR="00F252EE" w:rsidRPr="005808ED" w:rsidRDefault="00F252EE" w:rsidP="00F51980">
      <w:pPr>
        <w:pStyle w:val="Normalnumber"/>
        <w:numPr>
          <w:ilvl w:val="1"/>
          <w:numId w:val="22"/>
        </w:numPr>
        <w:ind w:left="3119" w:hanging="624"/>
        <w:rPr>
          <w:lang w:val="fr-FR"/>
        </w:rPr>
      </w:pPr>
      <w:r w:rsidRPr="005808ED">
        <w:rPr>
          <w:lang w:val="fr-FR"/>
        </w:rPr>
        <w:t>L</w:t>
      </w:r>
      <w:r w:rsidR="00B3097B" w:rsidRPr="005808ED">
        <w:rPr>
          <w:lang w:val="fr-FR"/>
        </w:rPr>
        <w:t>’</w:t>
      </w:r>
      <w:r w:rsidRPr="005808ED">
        <w:rPr>
          <w:lang w:val="fr-FR"/>
        </w:rPr>
        <w:t>identification et la caractérisation des sites contaminés</w:t>
      </w:r>
      <w:r w:rsidR="0097152B" w:rsidRPr="005808ED">
        <w:rPr>
          <w:lang w:val="fr-FR"/>
        </w:rPr>
        <w:t> ;</w:t>
      </w:r>
    </w:p>
    <w:p w14:paraId="45ABEB45" w14:textId="54FFAB35" w:rsidR="00F252EE" w:rsidRPr="005808ED" w:rsidRDefault="00F252EE" w:rsidP="00F51980">
      <w:pPr>
        <w:pStyle w:val="Normalnumber"/>
        <w:numPr>
          <w:ilvl w:val="1"/>
          <w:numId w:val="22"/>
        </w:numPr>
        <w:ind w:left="3119" w:hanging="624"/>
        <w:rPr>
          <w:lang w:val="fr-FR"/>
        </w:rPr>
      </w:pPr>
      <w:r w:rsidRPr="005808ED">
        <w:rPr>
          <w:lang w:val="fr-FR"/>
        </w:rPr>
        <w:t>La mobilisation du public</w:t>
      </w:r>
      <w:r w:rsidR="0097152B" w:rsidRPr="005808ED">
        <w:rPr>
          <w:lang w:val="fr-FR"/>
        </w:rPr>
        <w:t> ;</w:t>
      </w:r>
    </w:p>
    <w:p w14:paraId="6F6D8FE7" w14:textId="1E5FC27E" w:rsidR="00F252EE" w:rsidRPr="005808ED" w:rsidRDefault="00F252EE" w:rsidP="00F51980">
      <w:pPr>
        <w:pStyle w:val="Normalnumber"/>
        <w:numPr>
          <w:ilvl w:val="1"/>
          <w:numId w:val="22"/>
        </w:numPr>
        <w:ind w:left="3119" w:hanging="624"/>
        <w:rPr>
          <w:lang w:val="fr-FR"/>
        </w:rPr>
      </w:pPr>
      <w:r w:rsidRPr="005808ED">
        <w:rPr>
          <w:lang w:val="fr-FR"/>
        </w:rPr>
        <w:t>Les évaluations des risques pour la santé humaine et l</w:t>
      </w:r>
      <w:r w:rsidR="00B3097B" w:rsidRPr="005808ED">
        <w:rPr>
          <w:lang w:val="fr-FR"/>
        </w:rPr>
        <w:t>’</w:t>
      </w:r>
      <w:r w:rsidRPr="005808ED">
        <w:rPr>
          <w:lang w:val="fr-FR"/>
        </w:rPr>
        <w:t>environnement</w:t>
      </w:r>
      <w:r w:rsidR="0097152B" w:rsidRPr="005808ED">
        <w:rPr>
          <w:lang w:val="fr-FR"/>
        </w:rPr>
        <w:t> ;</w:t>
      </w:r>
    </w:p>
    <w:p w14:paraId="593688F4" w14:textId="702ACF81" w:rsidR="00F252EE" w:rsidRPr="005808ED" w:rsidRDefault="00F252EE" w:rsidP="00F51980">
      <w:pPr>
        <w:pStyle w:val="Normalnumber"/>
        <w:numPr>
          <w:ilvl w:val="1"/>
          <w:numId w:val="22"/>
        </w:numPr>
        <w:ind w:left="3119" w:hanging="624"/>
        <w:rPr>
          <w:lang w:val="fr-FR"/>
        </w:rPr>
      </w:pPr>
      <w:r w:rsidRPr="005808ED">
        <w:rPr>
          <w:lang w:val="fr-FR"/>
        </w:rPr>
        <w:t>Les options de gestion des risques présentés par les sites contaminés</w:t>
      </w:r>
      <w:r w:rsidR="0097152B" w:rsidRPr="005808ED">
        <w:rPr>
          <w:lang w:val="fr-FR"/>
        </w:rPr>
        <w:t> ;</w:t>
      </w:r>
    </w:p>
    <w:p w14:paraId="1C30D22F" w14:textId="5DFE9B64" w:rsidR="00F252EE" w:rsidRPr="005808ED" w:rsidRDefault="00F252EE" w:rsidP="00F51980">
      <w:pPr>
        <w:pStyle w:val="Normalnumber"/>
        <w:numPr>
          <w:ilvl w:val="1"/>
          <w:numId w:val="22"/>
        </w:numPr>
        <w:ind w:left="3119" w:hanging="624"/>
        <w:rPr>
          <w:lang w:val="fr-FR"/>
        </w:rPr>
      </w:pPr>
      <w:r w:rsidRPr="005808ED">
        <w:rPr>
          <w:lang w:val="fr-FR"/>
        </w:rPr>
        <w:t>L</w:t>
      </w:r>
      <w:r w:rsidR="00B3097B" w:rsidRPr="005808ED">
        <w:rPr>
          <w:lang w:val="fr-FR"/>
        </w:rPr>
        <w:t>’</w:t>
      </w:r>
      <w:r w:rsidRPr="005808ED">
        <w:rPr>
          <w:lang w:val="fr-FR"/>
        </w:rPr>
        <w:t>évaluation des avantages et des coûts</w:t>
      </w:r>
      <w:r w:rsidR="0097152B" w:rsidRPr="005808ED">
        <w:rPr>
          <w:lang w:val="fr-FR"/>
        </w:rPr>
        <w:t> ;</w:t>
      </w:r>
      <w:r w:rsidRPr="005808ED">
        <w:rPr>
          <w:lang w:val="fr-FR"/>
        </w:rPr>
        <w:t xml:space="preserve"> et</w:t>
      </w:r>
    </w:p>
    <w:p w14:paraId="17FC0AE0" w14:textId="77777777" w:rsidR="00F252EE" w:rsidRPr="005808ED" w:rsidRDefault="00F252EE" w:rsidP="00F51980">
      <w:pPr>
        <w:pStyle w:val="Normalnumber"/>
        <w:numPr>
          <w:ilvl w:val="1"/>
          <w:numId w:val="22"/>
        </w:numPr>
        <w:ind w:left="3119" w:hanging="624"/>
        <w:rPr>
          <w:lang w:val="fr-FR"/>
        </w:rPr>
      </w:pPr>
      <w:r w:rsidRPr="005808ED">
        <w:rPr>
          <w:lang w:val="fr-FR"/>
        </w:rPr>
        <w:t>La validation des résultats.</w:t>
      </w:r>
    </w:p>
    <w:p w14:paraId="3B39F6E3" w14:textId="7AC8DCCC" w:rsidR="00F252EE" w:rsidRPr="005808ED" w:rsidRDefault="00F252EE" w:rsidP="00F51980">
      <w:pPr>
        <w:pStyle w:val="Normalnumber"/>
        <w:numPr>
          <w:ilvl w:val="0"/>
          <w:numId w:val="11"/>
        </w:numPr>
        <w:ind w:left="2495" w:hanging="624"/>
        <w:rPr>
          <w:lang w:val="fr-FR"/>
        </w:rPr>
      </w:pPr>
      <w:r w:rsidRPr="005808ED">
        <w:rPr>
          <w:lang w:val="fr-FR"/>
        </w:rPr>
        <w:t>Les Parties sont encouragées à coopérer à l</w:t>
      </w:r>
      <w:r w:rsidR="00B3097B" w:rsidRPr="005808ED">
        <w:rPr>
          <w:lang w:val="fr-FR"/>
        </w:rPr>
        <w:t>’</w:t>
      </w:r>
      <w:r w:rsidRPr="005808ED">
        <w:rPr>
          <w:lang w:val="fr-FR"/>
        </w:rPr>
        <w:t>élaboration de stratégies et à l</w:t>
      </w:r>
      <w:r w:rsidR="00B3097B" w:rsidRPr="005808ED">
        <w:rPr>
          <w:lang w:val="fr-FR"/>
        </w:rPr>
        <w:t>’</w:t>
      </w:r>
      <w:r w:rsidRPr="005808ED">
        <w:rPr>
          <w:lang w:val="fr-FR"/>
        </w:rPr>
        <w:t>exécution d</w:t>
      </w:r>
      <w:r w:rsidR="00B3097B" w:rsidRPr="005808ED">
        <w:rPr>
          <w:lang w:val="fr-FR"/>
        </w:rPr>
        <w:t>’</w:t>
      </w:r>
      <w:r w:rsidRPr="005808ED">
        <w:rPr>
          <w:lang w:val="fr-FR"/>
        </w:rPr>
        <w:t>activités visant à identifier, évaluer, classer par ordre de priorité, gérer et, s</w:t>
      </w:r>
      <w:r w:rsidR="00B3097B" w:rsidRPr="005808ED">
        <w:rPr>
          <w:lang w:val="fr-FR"/>
        </w:rPr>
        <w:t>’</w:t>
      </w:r>
      <w:r w:rsidRPr="005808ED">
        <w:rPr>
          <w:lang w:val="fr-FR"/>
        </w:rPr>
        <w:t xml:space="preserve">il y a lieu, remettre en état les sites contaminés. </w:t>
      </w:r>
    </w:p>
    <w:p w14:paraId="39C12F31" w14:textId="4692CD72" w:rsidR="00F252EE" w:rsidRPr="005808ED" w:rsidRDefault="00F252EE" w:rsidP="00F51980">
      <w:pPr>
        <w:pStyle w:val="Normalnumber"/>
        <w:numPr>
          <w:ilvl w:val="0"/>
          <w:numId w:val="12"/>
        </w:numPr>
        <w:ind w:left="1247" w:firstLine="0"/>
        <w:rPr>
          <w:lang w:val="fr-FR"/>
        </w:rPr>
      </w:pPr>
      <w:r w:rsidRPr="005808ED">
        <w:rPr>
          <w:lang w:val="fr-FR"/>
        </w:rPr>
        <w:t xml:space="preserve">Les </w:t>
      </w:r>
      <w:r w:rsidR="00CF1439" w:rsidRPr="005808ED">
        <w:rPr>
          <w:lang w:val="fr-FR"/>
        </w:rPr>
        <w:t xml:space="preserve">présentes </w:t>
      </w:r>
      <w:r w:rsidRPr="005808ED">
        <w:rPr>
          <w:lang w:val="fr-FR"/>
        </w:rPr>
        <w:t>orientations ont été élabo</w:t>
      </w:r>
      <w:r w:rsidR="00825F66" w:rsidRPr="005808ED">
        <w:rPr>
          <w:lang w:val="fr-FR"/>
        </w:rPr>
        <w:t>rées conformément au paragraphe </w:t>
      </w:r>
      <w:r w:rsidRPr="005808ED">
        <w:rPr>
          <w:lang w:val="fr-FR"/>
        </w:rPr>
        <w:t>3 de l</w:t>
      </w:r>
      <w:r w:rsidR="00B3097B" w:rsidRPr="005808ED">
        <w:rPr>
          <w:lang w:val="fr-FR"/>
        </w:rPr>
        <w:t>’</w:t>
      </w:r>
      <w:r w:rsidRPr="005808ED">
        <w:rPr>
          <w:lang w:val="fr-FR"/>
        </w:rPr>
        <w:t>article</w:t>
      </w:r>
      <w:r w:rsidR="00825F66" w:rsidRPr="005808ED">
        <w:rPr>
          <w:lang w:val="fr-FR"/>
        </w:rPr>
        <w:t> </w:t>
      </w:r>
      <w:r w:rsidRPr="005808ED">
        <w:rPr>
          <w:lang w:val="fr-FR"/>
        </w:rPr>
        <w:t xml:space="preserve">12 de la Convention et sont organisées suivant les principales méthodes et démarches qui y sont énumérées. Elles </w:t>
      </w:r>
      <w:r w:rsidR="00D150D2" w:rsidRPr="005808ED">
        <w:rPr>
          <w:lang w:val="fr-FR"/>
        </w:rPr>
        <w:t>mentionnent</w:t>
      </w:r>
      <w:r w:rsidRPr="005808ED">
        <w:rPr>
          <w:lang w:val="fr-FR"/>
        </w:rPr>
        <w:t xml:space="preserve"> également </w:t>
      </w:r>
      <w:r w:rsidR="00D150D2" w:rsidRPr="005808ED">
        <w:rPr>
          <w:lang w:val="fr-FR"/>
        </w:rPr>
        <w:t xml:space="preserve">les </w:t>
      </w:r>
      <w:r w:rsidRPr="005808ED">
        <w:rPr>
          <w:lang w:val="fr-FR"/>
        </w:rPr>
        <w:t xml:space="preserve">politiques nationales en place dans un certain nombre de pays. </w:t>
      </w:r>
    </w:p>
    <w:p w14:paraId="433C44A4" w14:textId="2D09A785" w:rsidR="00F252EE" w:rsidRPr="005808ED" w:rsidRDefault="00825F66" w:rsidP="00F51980">
      <w:pPr>
        <w:pStyle w:val="CH1"/>
        <w:rPr>
          <w:lang w:val="fr-FR"/>
        </w:rPr>
      </w:pPr>
      <w:r w:rsidRPr="005808ED">
        <w:rPr>
          <w:lang w:val="fr-FR"/>
        </w:rPr>
        <w:tab/>
      </w:r>
      <w:bookmarkStart w:id="31" w:name="_Toc527017902"/>
      <w:r w:rsidR="00F252EE" w:rsidRPr="005808ED">
        <w:rPr>
          <w:lang w:val="fr-FR"/>
        </w:rPr>
        <w:t>B.</w:t>
      </w:r>
      <w:r w:rsidR="00F252EE" w:rsidRPr="005808ED">
        <w:rPr>
          <w:lang w:val="fr-FR"/>
        </w:rPr>
        <w:tab/>
      </w:r>
      <w:r w:rsidR="00F252EE" w:rsidRPr="005808ED">
        <w:rPr>
          <w:bCs/>
          <w:lang w:val="fr-FR"/>
        </w:rPr>
        <w:t>Identification et caractérisation des sites contaminés</w:t>
      </w:r>
      <w:bookmarkEnd w:id="31"/>
    </w:p>
    <w:p w14:paraId="7A22193F" w14:textId="77777777" w:rsidR="0047033B" w:rsidRPr="005808ED" w:rsidRDefault="00520198" w:rsidP="00F51980">
      <w:pPr>
        <w:pStyle w:val="CH2"/>
        <w:rPr>
          <w:lang w:val="fr-FR"/>
        </w:rPr>
      </w:pPr>
      <w:r w:rsidRPr="005808ED">
        <w:rPr>
          <w:lang w:val="fr-FR"/>
        </w:rPr>
        <w:tab/>
      </w:r>
      <w:r w:rsidRPr="005808ED">
        <w:rPr>
          <w:lang w:val="fr-FR"/>
        </w:rPr>
        <w:tab/>
      </w:r>
      <w:bookmarkStart w:id="32" w:name="_Toc527017903"/>
      <w:r w:rsidRPr="005808ED">
        <w:rPr>
          <w:bCs/>
          <w:lang w:val="fr-FR"/>
        </w:rPr>
        <w:t>Identification des sites</w:t>
      </w:r>
      <w:bookmarkEnd w:id="32"/>
    </w:p>
    <w:p w14:paraId="092F85A5" w14:textId="3543A9B6" w:rsidR="00F252EE" w:rsidRPr="005808ED" w:rsidRDefault="00F252EE" w:rsidP="00F51980">
      <w:pPr>
        <w:pStyle w:val="Normalnumber"/>
        <w:numPr>
          <w:ilvl w:val="0"/>
          <w:numId w:val="12"/>
        </w:numPr>
        <w:ind w:left="1247" w:firstLine="0"/>
        <w:rPr>
          <w:lang w:val="fr-FR"/>
        </w:rPr>
      </w:pPr>
      <w:r w:rsidRPr="005808ED">
        <w:rPr>
          <w:lang w:val="fr-FR"/>
        </w:rPr>
        <w:t>Selon le paragraphe</w:t>
      </w:r>
      <w:r w:rsidR="00FA6C22" w:rsidRPr="005808ED">
        <w:rPr>
          <w:lang w:val="fr-FR"/>
        </w:rPr>
        <w:t> </w:t>
      </w:r>
      <w:r w:rsidRPr="005808ED">
        <w:rPr>
          <w:lang w:val="fr-FR"/>
        </w:rPr>
        <w:t>1 de l</w:t>
      </w:r>
      <w:r w:rsidR="00B3097B" w:rsidRPr="005808ED">
        <w:rPr>
          <w:lang w:val="fr-FR"/>
        </w:rPr>
        <w:t>’</w:t>
      </w:r>
      <w:r w:rsidR="00825F66" w:rsidRPr="005808ED">
        <w:rPr>
          <w:lang w:val="fr-FR"/>
        </w:rPr>
        <w:t>article </w:t>
      </w:r>
      <w:r w:rsidRPr="005808ED">
        <w:rPr>
          <w:lang w:val="fr-FR"/>
        </w:rPr>
        <w:t>12</w:t>
      </w:r>
      <w:r w:rsidR="00315CBA" w:rsidRPr="005808ED">
        <w:rPr>
          <w:lang w:val="fr-FR"/>
        </w:rPr>
        <w:t>,</w:t>
      </w:r>
      <w:r w:rsidRPr="005808ED">
        <w:rPr>
          <w:lang w:val="fr-FR"/>
        </w:rPr>
        <w:t xml:space="preserve"> les Parties </w:t>
      </w:r>
      <w:r w:rsidR="00CF1439" w:rsidRPr="005808ED">
        <w:rPr>
          <w:lang w:val="fr-FR"/>
        </w:rPr>
        <w:t>doivent</w:t>
      </w:r>
      <w:r w:rsidRPr="005808ED">
        <w:rPr>
          <w:lang w:val="fr-FR"/>
        </w:rPr>
        <w:t xml:space="preserve"> s</w:t>
      </w:r>
      <w:r w:rsidR="00B3097B" w:rsidRPr="005808ED">
        <w:rPr>
          <w:lang w:val="fr-FR"/>
        </w:rPr>
        <w:t>’</w:t>
      </w:r>
      <w:r w:rsidRPr="005808ED">
        <w:rPr>
          <w:lang w:val="fr-FR"/>
        </w:rPr>
        <w:t>efforcer d</w:t>
      </w:r>
      <w:r w:rsidR="00B3097B" w:rsidRPr="005808ED">
        <w:rPr>
          <w:lang w:val="fr-FR"/>
        </w:rPr>
        <w:t>’</w:t>
      </w:r>
      <w:r w:rsidRPr="005808ED">
        <w:rPr>
          <w:lang w:val="fr-FR"/>
        </w:rPr>
        <w:t>élaborer des stratégies appropriées pour identifier et évaluer les sites contaminés par du mercure ou des composés du mercure. La tournure de la phrase suppose l</w:t>
      </w:r>
      <w:r w:rsidR="00B3097B" w:rsidRPr="005808ED">
        <w:rPr>
          <w:lang w:val="fr-FR"/>
        </w:rPr>
        <w:t>’</w:t>
      </w:r>
      <w:r w:rsidRPr="005808ED">
        <w:rPr>
          <w:lang w:val="fr-FR"/>
        </w:rPr>
        <w:t>élaboration d</w:t>
      </w:r>
      <w:r w:rsidR="00B3097B" w:rsidRPr="005808ED">
        <w:rPr>
          <w:lang w:val="fr-FR"/>
        </w:rPr>
        <w:t>’</w:t>
      </w:r>
      <w:r w:rsidRPr="005808ED">
        <w:rPr>
          <w:lang w:val="fr-FR"/>
        </w:rPr>
        <w:t>une approche comprenant l</w:t>
      </w:r>
      <w:r w:rsidR="00B3097B" w:rsidRPr="005808ED">
        <w:rPr>
          <w:lang w:val="fr-FR"/>
        </w:rPr>
        <w:t>’</w:t>
      </w:r>
      <w:r w:rsidRPr="005808ED">
        <w:rPr>
          <w:lang w:val="fr-FR"/>
        </w:rPr>
        <w:t>évaluation par chaque Partie</w:t>
      </w:r>
      <w:r w:rsidR="00CF1439" w:rsidRPr="005808ED">
        <w:rPr>
          <w:lang w:val="fr-FR"/>
        </w:rPr>
        <w:t>,</w:t>
      </w:r>
      <w:r w:rsidRPr="005808ED">
        <w:rPr>
          <w:lang w:val="fr-FR"/>
        </w:rPr>
        <w:t xml:space="preserve"> sur l</w:t>
      </w:r>
      <w:r w:rsidR="00B3097B" w:rsidRPr="005808ED">
        <w:rPr>
          <w:lang w:val="fr-FR"/>
        </w:rPr>
        <w:t>’</w:t>
      </w:r>
      <w:r w:rsidRPr="005808ED">
        <w:rPr>
          <w:lang w:val="fr-FR"/>
        </w:rPr>
        <w:t>ensemble de son territoire</w:t>
      </w:r>
      <w:r w:rsidR="00CF1439" w:rsidRPr="005808ED">
        <w:rPr>
          <w:lang w:val="fr-FR"/>
        </w:rPr>
        <w:t>,</w:t>
      </w:r>
      <w:r w:rsidRPr="005808ED">
        <w:rPr>
          <w:lang w:val="fr-FR"/>
        </w:rPr>
        <w:t xml:space="preserve"> de l</w:t>
      </w:r>
      <w:r w:rsidR="00B3097B" w:rsidRPr="005808ED">
        <w:rPr>
          <w:lang w:val="fr-FR"/>
        </w:rPr>
        <w:t>’</w:t>
      </w:r>
      <w:r w:rsidR="000D675F" w:rsidRPr="005808ED">
        <w:rPr>
          <w:lang w:val="fr-FR"/>
        </w:rPr>
        <w:t>étendue</w:t>
      </w:r>
      <w:r w:rsidR="00CF1439" w:rsidRPr="005808ED">
        <w:rPr>
          <w:lang w:val="fr-FR"/>
        </w:rPr>
        <w:t xml:space="preserve"> du problème</w:t>
      </w:r>
      <w:r w:rsidRPr="005808ED">
        <w:rPr>
          <w:lang w:val="fr-FR"/>
        </w:rPr>
        <w:t xml:space="preserve"> des sites contaminés. Dans la plupart des cas, il faudra commencer par recueillir des informations permettant d</w:t>
      </w:r>
      <w:r w:rsidR="00B3097B" w:rsidRPr="005808ED">
        <w:rPr>
          <w:lang w:val="fr-FR"/>
        </w:rPr>
        <w:t>’</w:t>
      </w:r>
      <w:r w:rsidRPr="005808ED">
        <w:rPr>
          <w:lang w:val="fr-FR"/>
        </w:rPr>
        <w:t xml:space="preserve">identifier les </w:t>
      </w:r>
      <w:r w:rsidR="00792778" w:rsidRPr="005808ED">
        <w:rPr>
          <w:lang w:val="fr-FR"/>
        </w:rPr>
        <w:t>installations</w:t>
      </w:r>
      <w:r w:rsidRPr="005808ED">
        <w:rPr>
          <w:lang w:val="fr-FR"/>
        </w:rPr>
        <w:t xml:space="preserve"> qui ont pu adopter des procédés de fabrication susceptibles d</w:t>
      </w:r>
      <w:r w:rsidR="00B3097B" w:rsidRPr="005808ED">
        <w:rPr>
          <w:lang w:val="fr-FR"/>
        </w:rPr>
        <w:t>’</w:t>
      </w:r>
      <w:r w:rsidRPr="005808ED">
        <w:rPr>
          <w:lang w:val="fr-FR"/>
        </w:rPr>
        <w:t xml:space="preserve">engendrer des rejets de mercure. Comme indiqué plus haut, cela recouvre les sites de fabrication </w:t>
      </w:r>
      <w:r w:rsidR="008074B0" w:rsidRPr="005808ED">
        <w:rPr>
          <w:lang w:val="fr-FR"/>
        </w:rPr>
        <w:t xml:space="preserve">aussi bien </w:t>
      </w:r>
      <w:r w:rsidRPr="005808ED">
        <w:rPr>
          <w:lang w:val="fr-FR"/>
        </w:rPr>
        <w:t xml:space="preserve">actifs </w:t>
      </w:r>
      <w:r w:rsidR="008074B0" w:rsidRPr="005808ED">
        <w:rPr>
          <w:lang w:val="fr-FR"/>
        </w:rPr>
        <w:t>qu’</w:t>
      </w:r>
      <w:r w:rsidRPr="005808ED">
        <w:rPr>
          <w:lang w:val="fr-FR"/>
        </w:rPr>
        <w:t xml:space="preserve">abandonnés qui utilisent </w:t>
      </w:r>
      <w:r w:rsidR="00CF1439" w:rsidRPr="005808ED">
        <w:rPr>
          <w:lang w:val="fr-FR"/>
        </w:rPr>
        <w:t xml:space="preserve">ou utilisaient </w:t>
      </w:r>
      <w:r w:rsidRPr="005808ED">
        <w:rPr>
          <w:lang w:val="fr-FR"/>
        </w:rPr>
        <w:t xml:space="preserve">du mercure ou des composés du mercure dans leurs procédés ou produits, les </w:t>
      </w:r>
      <w:r w:rsidR="00CF1439" w:rsidRPr="005808ED">
        <w:rPr>
          <w:lang w:val="fr-FR"/>
        </w:rPr>
        <w:t>sites</w:t>
      </w:r>
      <w:r w:rsidRPr="005808ED">
        <w:rPr>
          <w:lang w:val="fr-FR"/>
        </w:rPr>
        <w:t xml:space="preserve"> d</w:t>
      </w:r>
      <w:r w:rsidR="00B3097B" w:rsidRPr="005808ED">
        <w:rPr>
          <w:lang w:val="fr-FR"/>
        </w:rPr>
        <w:t>’</w:t>
      </w:r>
      <w:r w:rsidR="00520496" w:rsidRPr="005808ED">
        <w:rPr>
          <w:lang w:val="fr-FR"/>
        </w:rPr>
        <w:t>extraction artisanale et à petite échelle d’or</w:t>
      </w:r>
      <w:r w:rsidRPr="005808ED">
        <w:rPr>
          <w:lang w:val="fr-FR"/>
        </w:rPr>
        <w:t xml:space="preserve">, les </w:t>
      </w:r>
      <w:r w:rsidR="00CF1439" w:rsidRPr="005808ED">
        <w:rPr>
          <w:lang w:val="fr-FR"/>
        </w:rPr>
        <w:t>mines</w:t>
      </w:r>
      <w:r w:rsidRPr="005808ED">
        <w:rPr>
          <w:lang w:val="fr-FR"/>
        </w:rPr>
        <w:t xml:space="preserve"> </w:t>
      </w:r>
      <w:r w:rsidR="000D675F" w:rsidRPr="005808ED">
        <w:rPr>
          <w:lang w:val="fr-FR"/>
        </w:rPr>
        <w:t xml:space="preserve">industrielles </w:t>
      </w:r>
      <w:r w:rsidR="00CF1439" w:rsidRPr="005808ED">
        <w:rPr>
          <w:lang w:val="fr-FR"/>
        </w:rPr>
        <w:t>d</w:t>
      </w:r>
      <w:r w:rsidR="00B3097B" w:rsidRPr="005808ED">
        <w:rPr>
          <w:lang w:val="fr-FR"/>
        </w:rPr>
        <w:t>’</w:t>
      </w:r>
      <w:r w:rsidRPr="005808ED">
        <w:rPr>
          <w:lang w:val="fr-FR"/>
        </w:rPr>
        <w:t>or et d</w:t>
      </w:r>
      <w:r w:rsidR="00B3097B" w:rsidRPr="005808ED">
        <w:rPr>
          <w:lang w:val="fr-FR"/>
        </w:rPr>
        <w:t>’</w:t>
      </w:r>
      <w:r w:rsidRPr="005808ED">
        <w:rPr>
          <w:lang w:val="fr-FR"/>
        </w:rPr>
        <w:t>autres métaux non ferreux</w:t>
      </w:r>
      <w:r w:rsidR="00CF1439" w:rsidRPr="005808ED">
        <w:rPr>
          <w:lang w:val="fr-FR"/>
        </w:rPr>
        <w:t>,</w:t>
      </w:r>
      <w:r w:rsidRPr="005808ED">
        <w:rPr>
          <w:lang w:val="fr-FR"/>
        </w:rPr>
        <w:t xml:space="preserve"> et d</w:t>
      </w:r>
      <w:r w:rsidR="00B3097B" w:rsidRPr="005808ED">
        <w:rPr>
          <w:lang w:val="fr-FR"/>
        </w:rPr>
        <w:t>’</w:t>
      </w:r>
      <w:r w:rsidRPr="005808ED">
        <w:rPr>
          <w:lang w:val="fr-FR"/>
        </w:rPr>
        <w:t xml:space="preserve">autres </w:t>
      </w:r>
      <w:r w:rsidR="00CF1439" w:rsidRPr="005808ED">
        <w:rPr>
          <w:lang w:val="fr-FR"/>
        </w:rPr>
        <w:t xml:space="preserve">installations </w:t>
      </w:r>
      <w:r w:rsidRPr="005808ED">
        <w:rPr>
          <w:lang w:val="fr-FR"/>
        </w:rPr>
        <w:t>industrielles. Cette première identification des sites et l</w:t>
      </w:r>
      <w:r w:rsidR="00B3097B" w:rsidRPr="005808ED">
        <w:rPr>
          <w:lang w:val="fr-FR"/>
        </w:rPr>
        <w:t>’</w:t>
      </w:r>
      <w:r w:rsidRPr="005808ED">
        <w:rPr>
          <w:lang w:val="fr-FR"/>
        </w:rPr>
        <w:t>estimation initiale de l</w:t>
      </w:r>
      <w:r w:rsidR="00B3097B" w:rsidRPr="005808ED">
        <w:rPr>
          <w:lang w:val="fr-FR"/>
        </w:rPr>
        <w:t>’</w:t>
      </w:r>
      <w:r w:rsidRPr="005808ED">
        <w:rPr>
          <w:lang w:val="fr-FR"/>
        </w:rPr>
        <w:t>ampleur de la contamination et de la possibilité d</w:t>
      </w:r>
      <w:r w:rsidR="00B3097B" w:rsidRPr="005808ED">
        <w:rPr>
          <w:lang w:val="fr-FR"/>
        </w:rPr>
        <w:t>’</w:t>
      </w:r>
      <w:r w:rsidRPr="005808ED">
        <w:rPr>
          <w:lang w:val="fr-FR"/>
        </w:rPr>
        <w:t>un rejet de mercure et d</w:t>
      </w:r>
      <w:r w:rsidR="00B3097B" w:rsidRPr="005808ED">
        <w:rPr>
          <w:lang w:val="fr-FR"/>
        </w:rPr>
        <w:t>’</w:t>
      </w:r>
      <w:r w:rsidRPr="005808ED">
        <w:rPr>
          <w:lang w:val="fr-FR"/>
        </w:rPr>
        <w:t xml:space="preserve">une exposition des populations à cette substance permettra aux États de commencer à </w:t>
      </w:r>
      <w:r w:rsidR="00ED2C9F" w:rsidRPr="005808ED">
        <w:rPr>
          <w:lang w:val="fr-FR"/>
        </w:rPr>
        <w:t>classer par ordre de</w:t>
      </w:r>
      <w:r w:rsidRPr="005808ED">
        <w:rPr>
          <w:lang w:val="fr-FR"/>
        </w:rPr>
        <w:t xml:space="preserve"> priorité </w:t>
      </w:r>
      <w:r w:rsidR="00ED2C9F" w:rsidRPr="005808ED">
        <w:rPr>
          <w:lang w:val="fr-FR"/>
        </w:rPr>
        <w:t>les mesures à prendre concernant leurs</w:t>
      </w:r>
      <w:r w:rsidRPr="005808ED">
        <w:rPr>
          <w:lang w:val="fr-FR"/>
        </w:rPr>
        <w:t xml:space="preserve"> sites contaminés.</w:t>
      </w:r>
    </w:p>
    <w:p w14:paraId="7F26B2E0" w14:textId="6ED05C68" w:rsidR="00F252EE" w:rsidRPr="005808ED" w:rsidRDefault="00F252EE" w:rsidP="00F51980">
      <w:pPr>
        <w:pStyle w:val="Normalnumber"/>
        <w:numPr>
          <w:ilvl w:val="0"/>
          <w:numId w:val="12"/>
        </w:numPr>
        <w:ind w:left="1247" w:firstLine="0"/>
        <w:rPr>
          <w:lang w:val="fr-FR"/>
        </w:rPr>
      </w:pPr>
      <w:r w:rsidRPr="005808ED">
        <w:rPr>
          <w:lang w:val="fr-FR"/>
        </w:rPr>
        <w:t>Afin d</w:t>
      </w:r>
      <w:r w:rsidR="00B3097B" w:rsidRPr="005808ED">
        <w:rPr>
          <w:lang w:val="fr-FR"/>
        </w:rPr>
        <w:t>’</w:t>
      </w:r>
      <w:r w:rsidRPr="005808ED">
        <w:rPr>
          <w:lang w:val="fr-FR"/>
        </w:rPr>
        <w:t>élaborer une évaluation des sites contaminés et un programme relatif à leur gestion, il</w:t>
      </w:r>
      <w:r w:rsidR="00FA6C22" w:rsidRPr="005808ED">
        <w:rPr>
          <w:lang w:val="fr-FR"/>
        </w:rPr>
        <w:t> </w:t>
      </w:r>
      <w:r w:rsidRPr="005808ED">
        <w:rPr>
          <w:lang w:val="fr-FR"/>
        </w:rPr>
        <w:t>faut en premier lieu définir précisément ce que l</w:t>
      </w:r>
      <w:r w:rsidR="00B3097B" w:rsidRPr="005808ED">
        <w:rPr>
          <w:lang w:val="fr-FR"/>
        </w:rPr>
        <w:t>’</w:t>
      </w:r>
      <w:r w:rsidRPr="005808ED">
        <w:rPr>
          <w:lang w:val="fr-FR"/>
        </w:rPr>
        <w:t>on entend par « site contaminé ». Le texte de la Convention ne définit pas explicitement ce terme. Le Guide des meilleures pratiques environnementales de gestion écologiquement rationnelle des sites contaminés au mercure en Méditerranée (Plan d</w:t>
      </w:r>
      <w:r w:rsidR="00B3097B" w:rsidRPr="005808ED">
        <w:rPr>
          <w:lang w:val="fr-FR"/>
        </w:rPr>
        <w:t>’</w:t>
      </w:r>
      <w:r w:rsidRPr="005808ED">
        <w:rPr>
          <w:lang w:val="fr-FR"/>
        </w:rPr>
        <w:t>action pour la Méditerranée/Programme des Nations Unies pour l</w:t>
      </w:r>
      <w:r w:rsidR="00B3097B" w:rsidRPr="005808ED">
        <w:rPr>
          <w:lang w:val="fr-FR"/>
        </w:rPr>
        <w:t>’</w:t>
      </w:r>
      <w:r w:rsidRPr="005808ED">
        <w:rPr>
          <w:lang w:val="fr-FR"/>
        </w:rPr>
        <w:t>environnement</w:t>
      </w:r>
      <w:r w:rsidR="00FF6DCC" w:rsidRPr="005808ED">
        <w:rPr>
          <w:lang w:val="fr-FR"/>
        </w:rPr>
        <w:t>, 2015</w:t>
      </w:r>
      <w:r w:rsidRPr="005808ED">
        <w:rPr>
          <w:lang w:val="fr-FR"/>
        </w:rPr>
        <w:t>) définit un site contaminé comme « un endroit où il y a une accumulation de substances ou de résidus toxiques qui peuvent affecter le sol, les eaux souterraines, les sédiments et même l</w:t>
      </w:r>
      <w:r w:rsidR="00B3097B" w:rsidRPr="005808ED">
        <w:rPr>
          <w:lang w:val="fr-FR"/>
        </w:rPr>
        <w:t>’</w:t>
      </w:r>
      <w:r w:rsidRPr="005808ED">
        <w:rPr>
          <w:lang w:val="fr-FR"/>
        </w:rPr>
        <w:t>air dans le cas du mercure, à des niveaux qui posent un risque pour l</w:t>
      </w:r>
      <w:r w:rsidR="00B3097B" w:rsidRPr="005808ED">
        <w:rPr>
          <w:lang w:val="fr-FR"/>
        </w:rPr>
        <w:t>’</w:t>
      </w:r>
      <w:r w:rsidRPr="005808ED">
        <w:rPr>
          <w:lang w:val="fr-FR"/>
        </w:rPr>
        <w:t>environnement ou la santé humaine et qui peut se trouver au-dessus des limites de sécurité recommandées pour un usage spécifique. » Le Bureau régional de l</w:t>
      </w:r>
      <w:r w:rsidR="00B3097B" w:rsidRPr="005808ED">
        <w:rPr>
          <w:lang w:val="fr-FR"/>
        </w:rPr>
        <w:t>’</w:t>
      </w:r>
      <w:r w:rsidRPr="005808ED">
        <w:rPr>
          <w:lang w:val="fr-FR"/>
        </w:rPr>
        <w:t>Organisation mondiale de la Santé pour l</w:t>
      </w:r>
      <w:r w:rsidR="00B3097B" w:rsidRPr="005808ED">
        <w:rPr>
          <w:lang w:val="fr-FR"/>
        </w:rPr>
        <w:t>’</w:t>
      </w:r>
      <w:r w:rsidRPr="005808ED">
        <w:rPr>
          <w:lang w:val="fr-FR"/>
        </w:rPr>
        <w:t>Europe définit les sites contaminés comme « des zones abritant ou ayant abrité des activités humaines qui ont contaminé ou risquent de contaminer le sol, les eaux de surface, les eaux souterraines, l</w:t>
      </w:r>
      <w:r w:rsidR="00B3097B" w:rsidRPr="005808ED">
        <w:rPr>
          <w:lang w:val="fr-FR"/>
        </w:rPr>
        <w:t>’</w:t>
      </w:r>
      <w:r w:rsidRPr="005808ED">
        <w:rPr>
          <w:lang w:val="fr-FR"/>
        </w:rPr>
        <w:t>air et la chaîne alimentaire, et par suite ont ou sont susceptibles d</w:t>
      </w:r>
      <w:r w:rsidR="00B3097B" w:rsidRPr="005808ED">
        <w:rPr>
          <w:lang w:val="fr-FR"/>
        </w:rPr>
        <w:t>’</w:t>
      </w:r>
      <w:r w:rsidRPr="005808ED">
        <w:rPr>
          <w:lang w:val="fr-FR"/>
        </w:rPr>
        <w:t>avoir un impact sur la santé humaine » (</w:t>
      </w:r>
      <w:r w:rsidR="00AA03E4" w:rsidRPr="005808ED">
        <w:rPr>
          <w:lang w:val="fr-FR"/>
        </w:rPr>
        <w:t>OMS/Europe</w:t>
      </w:r>
      <w:r w:rsidRPr="005808ED">
        <w:rPr>
          <w:lang w:val="fr-FR"/>
        </w:rPr>
        <w:t xml:space="preserve">, 2013). </w:t>
      </w:r>
      <w:r w:rsidR="0033744B" w:rsidRPr="005808ED">
        <w:rPr>
          <w:lang w:val="fr-FR"/>
        </w:rPr>
        <w:t xml:space="preserve">Parmi les </w:t>
      </w:r>
      <w:r w:rsidRPr="005808ED">
        <w:rPr>
          <w:lang w:val="fr-FR"/>
        </w:rPr>
        <w:t xml:space="preserve">autres définitions </w:t>
      </w:r>
      <w:r w:rsidR="0033744B" w:rsidRPr="005808ED">
        <w:rPr>
          <w:lang w:val="fr-FR"/>
        </w:rPr>
        <w:t xml:space="preserve">existantes se trouve </w:t>
      </w:r>
      <w:r w:rsidRPr="005808ED">
        <w:rPr>
          <w:lang w:val="fr-FR"/>
        </w:rPr>
        <w:t xml:space="preserve">le concept de site où des substances sont relevées à des concentrations supérieures aux niveaux </w:t>
      </w:r>
      <w:r w:rsidR="0080242F" w:rsidRPr="005808ED">
        <w:rPr>
          <w:lang w:val="fr-FR"/>
        </w:rPr>
        <w:t>de fond</w:t>
      </w:r>
      <w:r w:rsidRPr="005808ED">
        <w:rPr>
          <w:lang w:val="fr-FR"/>
        </w:rPr>
        <w:t xml:space="preserve"> et représentent ou sont susceptibles de représenter un danger immédiat ou à long terme pour la santé humaine ou l</w:t>
      </w:r>
      <w:r w:rsidR="00B3097B" w:rsidRPr="005808ED">
        <w:rPr>
          <w:lang w:val="fr-FR"/>
        </w:rPr>
        <w:t>’</w:t>
      </w:r>
      <w:r w:rsidRPr="005808ED">
        <w:rPr>
          <w:lang w:val="fr-FR"/>
        </w:rPr>
        <w:t xml:space="preserve">environnement, ou encore où des substances sont relevées à des concentrations supérieures aux niveaux autorisés par les politiques et les réglementations. Étant donné que les </w:t>
      </w:r>
      <w:r w:rsidR="008275D7" w:rsidRPr="005808ED">
        <w:rPr>
          <w:lang w:val="fr-FR"/>
        </w:rPr>
        <w:t xml:space="preserve">plans d’occupation </w:t>
      </w:r>
      <w:r w:rsidRPr="005808ED">
        <w:rPr>
          <w:lang w:val="fr-FR"/>
        </w:rPr>
        <w:t>des sols peuvent changer</w:t>
      </w:r>
      <w:r w:rsidR="002770E1" w:rsidRPr="005808ED">
        <w:rPr>
          <w:lang w:val="fr-FR"/>
        </w:rPr>
        <w:t xml:space="preserve"> rapidement</w:t>
      </w:r>
      <w:r w:rsidRPr="005808ED">
        <w:rPr>
          <w:lang w:val="fr-FR"/>
        </w:rPr>
        <w:t>, il pourrait s</w:t>
      </w:r>
      <w:r w:rsidR="00B3097B" w:rsidRPr="005808ED">
        <w:rPr>
          <w:lang w:val="fr-FR"/>
        </w:rPr>
        <w:t>’</w:t>
      </w:r>
      <w:r w:rsidRPr="005808ED">
        <w:rPr>
          <w:lang w:val="fr-FR"/>
        </w:rPr>
        <w:t>avérer nécessaire d</w:t>
      </w:r>
      <w:r w:rsidR="00B3097B" w:rsidRPr="005808ED">
        <w:rPr>
          <w:lang w:val="fr-FR"/>
        </w:rPr>
        <w:t>’</w:t>
      </w:r>
      <w:r w:rsidRPr="005808ED">
        <w:rPr>
          <w:lang w:val="fr-FR"/>
        </w:rPr>
        <w:t xml:space="preserve">envisager une définition plus générale. Certains </w:t>
      </w:r>
      <w:r w:rsidR="00624A0D" w:rsidRPr="005808ED">
        <w:rPr>
          <w:lang w:val="fr-FR"/>
        </w:rPr>
        <w:t>pensent</w:t>
      </w:r>
      <w:r w:rsidRPr="005808ED">
        <w:rPr>
          <w:lang w:val="fr-FR"/>
        </w:rPr>
        <w:t xml:space="preserve"> qu</w:t>
      </w:r>
      <w:r w:rsidR="00B3097B" w:rsidRPr="005808ED">
        <w:rPr>
          <w:lang w:val="fr-FR"/>
        </w:rPr>
        <w:t>’</w:t>
      </w:r>
      <w:r w:rsidRPr="005808ED">
        <w:rPr>
          <w:lang w:val="fr-FR"/>
        </w:rPr>
        <w:t xml:space="preserve">il faudrait définir ce qui constitue un « site », </w:t>
      </w:r>
      <w:r w:rsidR="00624A0D" w:rsidRPr="005808ED">
        <w:rPr>
          <w:lang w:val="fr-FR"/>
        </w:rPr>
        <w:t>not</w:t>
      </w:r>
      <w:r w:rsidRPr="005808ED">
        <w:rPr>
          <w:lang w:val="fr-FR"/>
        </w:rPr>
        <w:t>ant qu</w:t>
      </w:r>
      <w:r w:rsidR="00B3097B" w:rsidRPr="005808ED">
        <w:rPr>
          <w:lang w:val="fr-FR"/>
        </w:rPr>
        <w:t>’</w:t>
      </w:r>
      <w:r w:rsidRPr="005808ED">
        <w:rPr>
          <w:lang w:val="fr-FR"/>
        </w:rPr>
        <w:t xml:space="preserve">un site ne se limite pas </w:t>
      </w:r>
      <w:r w:rsidR="00560A8F" w:rsidRPr="005808ED">
        <w:rPr>
          <w:lang w:val="fr-FR"/>
        </w:rPr>
        <w:t>toujours obligatoi</w:t>
      </w:r>
      <w:r w:rsidRPr="005808ED">
        <w:rPr>
          <w:lang w:val="fr-FR"/>
        </w:rPr>
        <w:t>rement à une surface terrestre, telle qu</w:t>
      </w:r>
      <w:r w:rsidR="00B3097B" w:rsidRPr="005808ED">
        <w:rPr>
          <w:lang w:val="fr-FR"/>
        </w:rPr>
        <w:t>’</w:t>
      </w:r>
      <w:r w:rsidRPr="005808ED">
        <w:rPr>
          <w:lang w:val="fr-FR"/>
        </w:rPr>
        <w:t xml:space="preserve">un champ, une forêt ou une colline, mais peut également </w:t>
      </w:r>
      <w:r w:rsidR="00624A0D" w:rsidRPr="005808ED">
        <w:rPr>
          <w:lang w:val="fr-FR"/>
        </w:rPr>
        <w:t>inclure</w:t>
      </w:r>
      <w:r w:rsidRPr="005808ED">
        <w:rPr>
          <w:lang w:val="fr-FR"/>
        </w:rPr>
        <w:t xml:space="preserve"> des milieux aquatiques, tels que cours d</w:t>
      </w:r>
      <w:r w:rsidR="00B3097B" w:rsidRPr="005808ED">
        <w:rPr>
          <w:lang w:val="fr-FR"/>
        </w:rPr>
        <w:t>’</w:t>
      </w:r>
      <w:r w:rsidRPr="005808ED">
        <w:rPr>
          <w:lang w:val="fr-FR"/>
        </w:rPr>
        <w:t xml:space="preserve">eau, rivières, lacs, marais, terres humides, estuaires et baies </w:t>
      </w:r>
      <w:r w:rsidR="008275D7" w:rsidRPr="005808ED">
        <w:rPr>
          <w:lang w:val="fr-FR"/>
        </w:rPr>
        <w:t>qui peuvent recevoir des flux</w:t>
      </w:r>
      <w:r w:rsidRPr="005808ED">
        <w:rPr>
          <w:lang w:val="fr-FR"/>
        </w:rPr>
        <w:t xml:space="preserve"> contamin</w:t>
      </w:r>
      <w:r w:rsidR="008275D7" w:rsidRPr="005808ED">
        <w:rPr>
          <w:lang w:val="fr-FR"/>
        </w:rPr>
        <w:t>és provenant</w:t>
      </w:r>
      <w:r w:rsidRPr="005808ED">
        <w:rPr>
          <w:lang w:val="fr-FR"/>
        </w:rPr>
        <w:t>, par exemple, de sites d</w:t>
      </w:r>
      <w:r w:rsidR="00B3097B" w:rsidRPr="005808ED">
        <w:rPr>
          <w:lang w:val="fr-FR"/>
        </w:rPr>
        <w:t>’</w:t>
      </w:r>
      <w:r w:rsidR="00520496" w:rsidRPr="005808ED">
        <w:rPr>
          <w:lang w:val="fr-FR"/>
        </w:rPr>
        <w:t>extraction artisanale et à petite échelle d’or</w:t>
      </w:r>
      <w:r w:rsidRPr="005808ED">
        <w:rPr>
          <w:lang w:val="fr-FR"/>
        </w:rPr>
        <w:t xml:space="preserve"> (Réseau international pour l</w:t>
      </w:r>
      <w:r w:rsidR="00B3097B" w:rsidRPr="005808ED">
        <w:rPr>
          <w:lang w:val="fr-FR"/>
        </w:rPr>
        <w:t>’</w:t>
      </w:r>
      <w:r w:rsidRPr="005808ED">
        <w:rPr>
          <w:lang w:val="fr-FR"/>
        </w:rPr>
        <w:t xml:space="preserve">élimination des POP, 2016). </w:t>
      </w:r>
      <w:r w:rsidR="000158B4" w:rsidRPr="005808ED">
        <w:rPr>
          <w:lang w:val="fr-FR"/>
        </w:rPr>
        <w:t>Comme</w:t>
      </w:r>
      <w:r w:rsidRPr="005808ED">
        <w:rPr>
          <w:lang w:val="fr-FR"/>
        </w:rPr>
        <w:t xml:space="preserve"> </w:t>
      </w:r>
      <w:r w:rsidR="000158B4" w:rsidRPr="005808ED">
        <w:rPr>
          <w:lang w:val="fr-FR"/>
        </w:rPr>
        <w:t xml:space="preserve">le </w:t>
      </w:r>
      <w:r w:rsidRPr="005808ED">
        <w:rPr>
          <w:lang w:val="fr-FR"/>
        </w:rPr>
        <w:t xml:space="preserve">mercure </w:t>
      </w:r>
      <w:r w:rsidR="000158B4" w:rsidRPr="005808ED">
        <w:rPr>
          <w:lang w:val="fr-FR"/>
        </w:rPr>
        <w:t>est</w:t>
      </w:r>
      <w:r w:rsidRPr="005808ED">
        <w:rPr>
          <w:lang w:val="fr-FR"/>
        </w:rPr>
        <w:t xml:space="preserve"> un élément d</w:t>
      </w:r>
      <w:r w:rsidR="00B3097B" w:rsidRPr="005808ED">
        <w:rPr>
          <w:lang w:val="fr-FR"/>
        </w:rPr>
        <w:t>’</w:t>
      </w:r>
      <w:r w:rsidRPr="005808ED">
        <w:rPr>
          <w:lang w:val="fr-FR"/>
        </w:rPr>
        <w:t xml:space="preserve">origine naturelle, il peut </w:t>
      </w:r>
      <w:r w:rsidR="002770E1" w:rsidRPr="005808ED">
        <w:rPr>
          <w:lang w:val="fr-FR"/>
        </w:rPr>
        <w:t xml:space="preserve">être </w:t>
      </w:r>
      <w:r w:rsidRPr="005808ED">
        <w:rPr>
          <w:lang w:val="fr-FR"/>
        </w:rPr>
        <w:t>présent</w:t>
      </w:r>
      <w:r w:rsidR="002770E1" w:rsidRPr="005808ED">
        <w:rPr>
          <w:lang w:val="fr-FR"/>
        </w:rPr>
        <w:t xml:space="preserve"> dans l’environnement à des concentrations</w:t>
      </w:r>
      <w:r w:rsidRPr="005808ED">
        <w:rPr>
          <w:lang w:val="fr-FR"/>
        </w:rPr>
        <w:t xml:space="preserve"> </w:t>
      </w:r>
      <w:r w:rsidR="0080242F" w:rsidRPr="005808ED">
        <w:rPr>
          <w:lang w:val="fr-FR"/>
        </w:rPr>
        <w:t>de fond</w:t>
      </w:r>
      <w:r w:rsidRPr="005808ED">
        <w:rPr>
          <w:lang w:val="fr-FR"/>
        </w:rPr>
        <w:t xml:space="preserve"> dont il faudra tenir compte </w:t>
      </w:r>
      <w:r w:rsidR="002770E1" w:rsidRPr="005808ED">
        <w:rPr>
          <w:lang w:val="fr-FR"/>
        </w:rPr>
        <w:t>dans la</w:t>
      </w:r>
      <w:r w:rsidRPr="005808ED">
        <w:rPr>
          <w:lang w:val="fr-FR"/>
        </w:rPr>
        <w:t xml:space="preserve"> caractérisation des sites.</w:t>
      </w:r>
    </w:p>
    <w:p w14:paraId="0AA93476" w14:textId="67CC103F" w:rsidR="00F252EE" w:rsidRPr="005808ED" w:rsidRDefault="00FF1246" w:rsidP="00F51980">
      <w:pPr>
        <w:pStyle w:val="Normalnumber"/>
        <w:numPr>
          <w:ilvl w:val="0"/>
          <w:numId w:val="12"/>
        </w:numPr>
        <w:ind w:left="1247" w:firstLine="0"/>
        <w:rPr>
          <w:lang w:val="fr-FR"/>
        </w:rPr>
      </w:pPr>
      <w:r w:rsidRPr="005808ED">
        <w:rPr>
          <w:lang w:val="fr-FR"/>
        </w:rPr>
        <w:t>Il semble y avoir deux approches pour identifier les sites potentiellement contaminés</w:t>
      </w:r>
      <w:r w:rsidR="0097152B" w:rsidRPr="005808ED">
        <w:rPr>
          <w:lang w:val="fr-FR"/>
        </w:rPr>
        <w:t> :</w:t>
      </w:r>
      <w:r w:rsidRPr="005808ED">
        <w:rPr>
          <w:lang w:val="fr-FR"/>
        </w:rPr>
        <w:t xml:space="preserve"> une approche exhaustive et une approche individuelle. L</w:t>
      </w:r>
      <w:r w:rsidR="00B3097B" w:rsidRPr="005808ED">
        <w:rPr>
          <w:lang w:val="fr-FR"/>
        </w:rPr>
        <w:t>’</w:t>
      </w:r>
      <w:r w:rsidRPr="005808ED">
        <w:rPr>
          <w:lang w:val="fr-FR"/>
        </w:rPr>
        <w:t xml:space="preserve">approche exhaustive commence </w:t>
      </w:r>
      <w:r w:rsidR="00560A8F" w:rsidRPr="005808ED">
        <w:rPr>
          <w:lang w:val="fr-FR"/>
        </w:rPr>
        <w:t xml:space="preserve">par </w:t>
      </w:r>
      <w:r w:rsidRPr="005808ED">
        <w:rPr>
          <w:lang w:val="fr-FR"/>
        </w:rPr>
        <w:t>une étude rétrospective de l</w:t>
      </w:r>
      <w:r w:rsidR="00B3097B" w:rsidRPr="005808ED">
        <w:rPr>
          <w:lang w:val="fr-FR"/>
        </w:rPr>
        <w:t>’</w:t>
      </w:r>
      <w:r w:rsidRPr="005808ED">
        <w:rPr>
          <w:lang w:val="fr-FR"/>
        </w:rPr>
        <w:t>occupation des sols dans l</w:t>
      </w:r>
      <w:r w:rsidR="00B3097B" w:rsidRPr="005808ED">
        <w:rPr>
          <w:lang w:val="fr-FR"/>
        </w:rPr>
        <w:t>’</w:t>
      </w:r>
      <w:r w:rsidRPr="005808ED">
        <w:rPr>
          <w:lang w:val="fr-FR"/>
        </w:rPr>
        <w:t>ensemble du pays et l</w:t>
      </w:r>
      <w:r w:rsidR="00B3097B" w:rsidRPr="005808ED">
        <w:rPr>
          <w:lang w:val="fr-FR"/>
        </w:rPr>
        <w:t>’</w:t>
      </w:r>
      <w:r w:rsidRPr="005808ED">
        <w:rPr>
          <w:lang w:val="fr-FR"/>
        </w:rPr>
        <w:t>établissement d</w:t>
      </w:r>
      <w:r w:rsidR="00B3097B" w:rsidRPr="005808ED">
        <w:rPr>
          <w:lang w:val="fr-FR"/>
        </w:rPr>
        <w:t>’</w:t>
      </w:r>
      <w:r w:rsidRPr="005808ED">
        <w:rPr>
          <w:lang w:val="fr-FR"/>
        </w:rPr>
        <w:t xml:space="preserve">une première liste des sites </w:t>
      </w:r>
      <w:r w:rsidR="005D4020" w:rsidRPr="005808ED">
        <w:rPr>
          <w:lang w:val="fr-FR"/>
        </w:rPr>
        <w:t>potentiellement</w:t>
      </w:r>
      <w:r w:rsidRPr="005808ED">
        <w:rPr>
          <w:lang w:val="fr-FR"/>
        </w:rPr>
        <w:t xml:space="preserve"> contaminés. Les éléments de la liste sont ensuite </w:t>
      </w:r>
      <w:r w:rsidR="001B0F6B" w:rsidRPr="005808ED">
        <w:rPr>
          <w:lang w:val="fr-FR"/>
        </w:rPr>
        <w:t>classés par ordre de priorité</w:t>
      </w:r>
      <w:r w:rsidRPr="005808ED">
        <w:rPr>
          <w:lang w:val="fr-FR"/>
        </w:rPr>
        <w:t xml:space="preserve"> et les sites pour lesquels un examen approfondi est nécessaire sont identifiés. Cette approche peut être efficace dans le cadre de l</w:t>
      </w:r>
      <w:r w:rsidR="00B3097B" w:rsidRPr="005808ED">
        <w:rPr>
          <w:lang w:val="fr-FR"/>
        </w:rPr>
        <w:t>’</w:t>
      </w:r>
      <w:r w:rsidRPr="005808ED">
        <w:rPr>
          <w:lang w:val="fr-FR"/>
        </w:rPr>
        <w:t>élaboration d</w:t>
      </w:r>
      <w:r w:rsidR="00B3097B" w:rsidRPr="005808ED">
        <w:rPr>
          <w:lang w:val="fr-FR"/>
        </w:rPr>
        <w:t>’</w:t>
      </w:r>
      <w:r w:rsidRPr="005808ED">
        <w:rPr>
          <w:lang w:val="fr-FR"/>
        </w:rPr>
        <w:t>un plan national global de mesures de lutte contre les sites contaminés par du mercure. L</w:t>
      </w:r>
      <w:r w:rsidR="00B3097B" w:rsidRPr="005808ED">
        <w:rPr>
          <w:lang w:val="fr-FR"/>
        </w:rPr>
        <w:t>’</w:t>
      </w:r>
      <w:r w:rsidRPr="005808ED">
        <w:rPr>
          <w:lang w:val="fr-FR"/>
        </w:rPr>
        <w:t>approche individuelle se fonde sur la gestion des risques et identifie les sites pour lesquels un examen approfondi est nécessaire au moyen d</w:t>
      </w:r>
      <w:r w:rsidR="00B3097B" w:rsidRPr="005808ED">
        <w:rPr>
          <w:lang w:val="fr-FR"/>
        </w:rPr>
        <w:t>’</w:t>
      </w:r>
      <w:r w:rsidRPr="005808ED">
        <w:rPr>
          <w:lang w:val="fr-FR"/>
        </w:rPr>
        <w:t>une étude rétrospective de l</w:t>
      </w:r>
      <w:r w:rsidR="00B3097B" w:rsidRPr="005808ED">
        <w:rPr>
          <w:lang w:val="fr-FR"/>
        </w:rPr>
        <w:t>’</w:t>
      </w:r>
      <w:r w:rsidRPr="005808ED">
        <w:rPr>
          <w:lang w:val="fr-FR"/>
        </w:rPr>
        <w:t xml:space="preserve">occupation des sols dans les cas où la contamination par du mercure risque de se </w:t>
      </w:r>
      <w:r w:rsidR="009116DA" w:rsidRPr="005808ED">
        <w:rPr>
          <w:lang w:val="fr-FR"/>
        </w:rPr>
        <w:t>propager</w:t>
      </w:r>
      <w:r w:rsidRPr="005808ED">
        <w:rPr>
          <w:lang w:val="fr-FR"/>
        </w:rPr>
        <w:t>, par exemple lorsque les caractéristiques du terrain sont modifiées. Cette approche est particulièrement efficace lorsqu</w:t>
      </w:r>
      <w:r w:rsidR="00B3097B" w:rsidRPr="005808ED">
        <w:rPr>
          <w:lang w:val="fr-FR"/>
        </w:rPr>
        <w:t>’</w:t>
      </w:r>
      <w:r w:rsidRPr="005808ED">
        <w:rPr>
          <w:lang w:val="fr-FR"/>
        </w:rPr>
        <w:t xml:space="preserve">un État a déjà identifié en partie les sites contaminés sur son territoire et leur </w:t>
      </w:r>
      <w:r w:rsidR="005D4020" w:rsidRPr="005808ED">
        <w:rPr>
          <w:lang w:val="fr-FR"/>
        </w:rPr>
        <w:t xml:space="preserve">a </w:t>
      </w:r>
      <w:r w:rsidRPr="005808ED">
        <w:rPr>
          <w:lang w:val="fr-FR"/>
        </w:rPr>
        <w:t xml:space="preserve">appliqué des mesures de gestion écologiquement rationnelles. Par exemple, </w:t>
      </w:r>
      <w:r w:rsidR="00415631" w:rsidRPr="005808ED">
        <w:rPr>
          <w:lang w:val="fr-FR"/>
        </w:rPr>
        <w:t xml:space="preserve">s’ils sont correctement gérés, </w:t>
      </w:r>
      <w:r w:rsidR="00560A8F" w:rsidRPr="005808ED">
        <w:rPr>
          <w:lang w:val="fr-FR"/>
        </w:rPr>
        <w:t xml:space="preserve">les </w:t>
      </w:r>
      <w:r w:rsidRPr="005808ED">
        <w:rPr>
          <w:lang w:val="fr-FR"/>
        </w:rPr>
        <w:t xml:space="preserve">sites tels que </w:t>
      </w:r>
      <w:r w:rsidR="00560A8F" w:rsidRPr="005808ED">
        <w:rPr>
          <w:lang w:val="fr-FR"/>
        </w:rPr>
        <w:t>ceux</w:t>
      </w:r>
      <w:r w:rsidRPr="005808ED">
        <w:rPr>
          <w:lang w:val="fr-FR"/>
        </w:rPr>
        <w:t xml:space="preserve"> d</w:t>
      </w:r>
      <w:r w:rsidR="00B3097B" w:rsidRPr="005808ED">
        <w:rPr>
          <w:lang w:val="fr-FR"/>
        </w:rPr>
        <w:t>’</w:t>
      </w:r>
      <w:r w:rsidRPr="005808ED">
        <w:rPr>
          <w:lang w:val="fr-FR"/>
        </w:rPr>
        <w:t xml:space="preserve">élimination des déchets </w:t>
      </w:r>
      <w:r w:rsidR="00560A8F" w:rsidRPr="005808ED">
        <w:rPr>
          <w:lang w:val="fr-FR"/>
        </w:rPr>
        <w:t>ne présentent pas de risque de</w:t>
      </w:r>
      <w:r w:rsidR="00747A1E" w:rsidRPr="005808ED">
        <w:rPr>
          <w:lang w:val="fr-FR"/>
        </w:rPr>
        <w:t xml:space="preserve"> propagation de la contamination</w:t>
      </w:r>
      <w:r w:rsidR="00415631" w:rsidRPr="005808ED">
        <w:rPr>
          <w:lang w:val="fr-FR"/>
        </w:rPr>
        <w:t xml:space="preserve">, </w:t>
      </w:r>
      <w:r w:rsidRPr="005808ED">
        <w:rPr>
          <w:lang w:val="fr-FR"/>
        </w:rPr>
        <w:t xml:space="preserve">à moins que les caractéristiques du terrain ne doivent être modifiées, </w:t>
      </w:r>
      <w:r w:rsidR="00747A1E" w:rsidRPr="005808ED">
        <w:rPr>
          <w:lang w:val="fr-FR"/>
        </w:rPr>
        <w:t xml:space="preserve">et </w:t>
      </w:r>
      <w:r w:rsidRPr="005808ED">
        <w:rPr>
          <w:lang w:val="fr-FR"/>
        </w:rPr>
        <w:t>n</w:t>
      </w:r>
      <w:r w:rsidR="00B3097B" w:rsidRPr="005808ED">
        <w:rPr>
          <w:lang w:val="fr-FR"/>
        </w:rPr>
        <w:t>’</w:t>
      </w:r>
      <w:r w:rsidR="00747A1E" w:rsidRPr="005808ED">
        <w:rPr>
          <w:lang w:val="fr-FR"/>
        </w:rPr>
        <w:t>on</w:t>
      </w:r>
      <w:r w:rsidRPr="005808ED">
        <w:rPr>
          <w:lang w:val="fr-FR"/>
        </w:rPr>
        <w:t xml:space="preserve">t </w:t>
      </w:r>
      <w:r w:rsidR="00747A1E" w:rsidRPr="005808ED">
        <w:rPr>
          <w:lang w:val="fr-FR"/>
        </w:rPr>
        <w:t xml:space="preserve">donc </w:t>
      </w:r>
      <w:r w:rsidRPr="005808ED">
        <w:rPr>
          <w:lang w:val="fr-FR"/>
        </w:rPr>
        <w:t xml:space="preserve">pas </w:t>
      </w:r>
      <w:r w:rsidR="00747A1E" w:rsidRPr="005808ED">
        <w:rPr>
          <w:lang w:val="fr-FR"/>
        </w:rPr>
        <w:t xml:space="preserve">besoin d’être </w:t>
      </w:r>
      <w:r w:rsidR="00415631" w:rsidRPr="005808ED">
        <w:rPr>
          <w:lang w:val="fr-FR"/>
        </w:rPr>
        <w:t>pris en compte</w:t>
      </w:r>
      <w:r w:rsidRPr="005808ED">
        <w:rPr>
          <w:lang w:val="fr-FR"/>
        </w:rPr>
        <w:t>.</w:t>
      </w:r>
    </w:p>
    <w:p w14:paraId="184E5ABA" w14:textId="1F2C3745" w:rsidR="00F252EE" w:rsidRPr="005808ED" w:rsidRDefault="00AE6714" w:rsidP="00F51980">
      <w:pPr>
        <w:pStyle w:val="Normalnumber"/>
        <w:numPr>
          <w:ilvl w:val="0"/>
          <w:numId w:val="12"/>
        </w:numPr>
        <w:ind w:left="1247" w:firstLine="0"/>
        <w:rPr>
          <w:lang w:val="fr-FR"/>
        </w:rPr>
      </w:pPr>
      <w:r w:rsidRPr="005808ED">
        <w:rPr>
          <w:lang w:val="fr-FR"/>
        </w:rPr>
        <w:t>L</w:t>
      </w:r>
      <w:r w:rsidR="00B3097B" w:rsidRPr="005808ED">
        <w:rPr>
          <w:lang w:val="fr-FR"/>
        </w:rPr>
        <w:t>’</w:t>
      </w:r>
      <w:r w:rsidRPr="005808ED">
        <w:rPr>
          <w:lang w:val="fr-FR"/>
        </w:rPr>
        <w:t>étude rétrospective de l</w:t>
      </w:r>
      <w:r w:rsidR="00B3097B" w:rsidRPr="005808ED">
        <w:rPr>
          <w:lang w:val="fr-FR"/>
        </w:rPr>
        <w:t>’</w:t>
      </w:r>
      <w:r w:rsidRPr="005808ED">
        <w:rPr>
          <w:lang w:val="fr-FR"/>
        </w:rPr>
        <w:t xml:space="preserve">occupation des sols est un outil important pour identifier les sites </w:t>
      </w:r>
      <w:r w:rsidR="005D4020" w:rsidRPr="005808ED">
        <w:rPr>
          <w:lang w:val="fr-FR"/>
        </w:rPr>
        <w:t>potentiellement</w:t>
      </w:r>
      <w:r w:rsidRPr="005808ED">
        <w:rPr>
          <w:lang w:val="fr-FR"/>
        </w:rPr>
        <w:t xml:space="preserve"> contaminés (CCME, 2016). Elle peut constituer la première étape pour identifier les sites pour lesquels un examen approfondi est nécessaire. Jusqu</w:t>
      </w:r>
      <w:r w:rsidR="00B3097B" w:rsidRPr="005808ED">
        <w:rPr>
          <w:lang w:val="fr-FR"/>
        </w:rPr>
        <w:t>’</w:t>
      </w:r>
      <w:r w:rsidRPr="005808ED">
        <w:rPr>
          <w:lang w:val="fr-FR"/>
        </w:rPr>
        <w:t>à ce que la preuve de leur contamination ait été établie au moyen d</w:t>
      </w:r>
      <w:r w:rsidR="00B3097B" w:rsidRPr="005808ED">
        <w:rPr>
          <w:lang w:val="fr-FR"/>
        </w:rPr>
        <w:t>’</w:t>
      </w:r>
      <w:r w:rsidRPr="005808ED">
        <w:rPr>
          <w:lang w:val="fr-FR"/>
        </w:rPr>
        <w:t>une étude, ces sites peuvent être qualifiés de sites « présumés » contaminés. Dans certaines juridictions, tous les sites contaminés</w:t>
      </w:r>
      <w:r w:rsidR="009F1419" w:rsidRPr="005808ED">
        <w:rPr>
          <w:lang w:val="fr-FR"/>
        </w:rPr>
        <w:t xml:space="preserve"> présumés</w:t>
      </w:r>
      <w:r w:rsidRPr="005808ED">
        <w:rPr>
          <w:lang w:val="fr-FR"/>
        </w:rPr>
        <w:t xml:space="preserve"> ou avérés sont intégrés à </w:t>
      </w:r>
      <w:r w:rsidR="005D4020" w:rsidRPr="005808ED">
        <w:rPr>
          <w:lang w:val="fr-FR"/>
        </w:rPr>
        <w:t>une</w:t>
      </w:r>
      <w:r w:rsidRPr="005808ED">
        <w:rPr>
          <w:lang w:val="fr-FR"/>
        </w:rPr>
        <w:t xml:space="preserve"> base de données en ligne. Tout changement de statut (par exemple, s</w:t>
      </w:r>
      <w:r w:rsidR="00B3097B" w:rsidRPr="005808ED">
        <w:rPr>
          <w:lang w:val="fr-FR"/>
        </w:rPr>
        <w:t>’</w:t>
      </w:r>
      <w:r w:rsidRPr="005808ED">
        <w:rPr>
          <w:lang w:val="fr-FR"/>
        </w:rPr>
        <w:t>il est prouvé qu</w:t>
      </w:r>
      <w:r w:rsidR="00B3097B" w:rsidRPr="005808ED">
        <w:rPr>
          <w:lang w:val="fr-FR"/>
        </w:rPr>
        <w:t>’</w:t>
      </w:r>
      <w:r w:rsidRPr="005808ED">
        <w:rPr>
          <w:lang w:val="fr-FR"/>
        </w:rPr>
        <w:t>un site n</w:t>
      </w:r>
      <w:r w:rsidR="00B3097B" w:rsidRPr="005808ED">
        <w:rPr>
          <w:lang w:val="fr-FR"/>
        </w:rPr>
        <w:t>’</w:t>
      </w:r>
      <w:r w:rsidRPr="005808ED">
        <w:rPr>
          <w:lang w:val="fr-FR"/>
        </w:rPr>
        <w:t>est pas contaminé) est indiqué dans la base de données. Les sources possibles de contamination des sites sont diverses, y compris le stockage du mercure, la fabrication de produits contenant du mercure ajouté, l</w:t>
      </w:r>
      <w:r w:rsidR="00B3097B" w:rsidRPr="005808ED">
        <w:rPr>
          <w:lang w:val="fr-FR"/>
        </w:rPr>
        <w:t>’</w:t>
      </w:r>
      <w:r w:rsidRPr="005808ED">
        <w:rPr>
          <w:lang w:val="fr-FR"/>
        </w:rPr>
        <w:t>utilisation de mercure dans les procédés de fabrication, les activités minières (notamment l</w:t>
      </w:r>
      <w:r w:rsidR="00B3097B" w:rsidRPr="005808ED">
        <w:rPr>
          <w:lang w:val="fr-FR"/>
        </w:rPr>
        <w:t>’</w:t>
      </w:r>
      <w:r w:rsidR="00520496" w:rsidRPr="005808ED">
        <w:rPr>
          <w:lang w:val="fr-FR"/>
        </w:rPr>
        <w:t>extraction artisanale et à petite échelle d’or</w:t>
      </w:r>
      <w:r w:rsidRPr="005808ED">
        <w:rPr>
          <w:lang w:val="fr-FR"/>
        </w:rPr>
        <w:t xml:space="preserve"> et les activités minières à l</w:t>
      </w:r>
      <w:r w:rsidR="00B3097B" w:rsidRPr="005808ED">
        <w:rPr>
          <w:lang w:val="fr-FR"/>
        </w:rPr>
        <w:t>’</w:t>
      </w:r>
      <w:r w:rsidR="005D4020" w:rsidRPr="005808ED">
        <w:rPr>
          <w:lang w:val="fr-FR"/>
        </w:rPr>
        <w:t>échelle</w:t>
      </w:r>
      <w:r w:rsidRPr="005808ED">
        <w:rPr>
          <w:lang w:val="fr-FR"/>
        </w:rPr>
        <w:t xml:space="preserve"> industrielle), les sources ponctuelles d</w:t>
      </w:r>
      <w:r w:rsidR="00B3097B" w:rsidRPr="005808ED">
        <w:rPr>
          <w:lang w:val="fr-FR"/>
        </w:rPr>
        <w:t>’</w:t>
      </w:r>
      <w:r w:rsidRPr="005808ED">
        <w:rPr>
          <w:lang w:val="fr-FR"/>
        </w:rPr>
        <w:t>émissions de mercure et la gestion des déchets. Les sources telles que la fabrication de produits contenant du mercure ajouté, l</w:t>
      </w:r>
      <w:r w:rsidR="00B3097B" w:rsidRPr="005808ED">
        <w:rPr>
          <w:lang w:val="fr-FR"/>
        </w:rPr>
        <w:t>’</w:t>
      </w:r>
      <w:r w:rsidRPr="005808ED">
        <w:rPr>
          <w:lang w:val="fr-FR"/>
        </w:rPr>
        <w:t>utilisation de mercure dans les procédés de fabrication et les sources ponctuelles d</w:t>
      </w:r>
      <w:r w:rsidR="00B3097B" w:rsidRPr="005808ED">
        <w:rPr>
          <w:lang w:val="fr-FR"/>
        </w:rPr>
        <w:t>’</w:t>
      </w:r>
      <w:r w:rsidRPr="005808ED">
        <w:rPr>
          <w:lang w:val="fr-FR"/>
        </w:rPr>
        <w:t xml:space="preserve">émissions de mercure peuvent comprendre non seulement </w:t>
      </w:r>
      <w:r w:rsidR="00415631" w:rsidRPr="005808ED">
        <w:rPr>
          <w:lang w:val="fr-FR"/>
        </w:rPr>
        <w:t>d</w:t>
      </w:r>
      <w:r w:rsidRPr="005808ED">
        <w:rPr>
          <w:lang w:val="fr-FR"/>
        </w:rPr>
        <w:t>es activités visées dans les annexes de la Convention de Minamata mais également d</w:t>
      </w:r>
      <w:r w:rsidR="00B3097B" w:rsidRPr="005808ED">
        <w:rPr>
          <w:lang w:val="fr-FR"/>
        </w:rPr>
        <w:t>’</w:t>
      </w:r>
      <w:r w:rsidRPr="005808ED">
        <w:rPr>
          <w:lang w:val="fr-FR"/>
        </w:rPr>
        <w:t>autres activités non réglementées par la Convention. Il est à noter que les sites contaminés primaires peuvent s</w:t>
      </w:r>
      <w:r w:rsidR="00B3097B" w:rsidRPr="005808ED">
        <w:rPr>
          <w:lang w:val="fr-FR"/>
        </w:rPr>
        <w:t>’</w:t>
      </w:r>
      <w:r w:rsidRPr="005808ED">
        <w:rPr>
          <w:lang w:val="fr-FR"/>
        </w:rPr>
        <w:t>accompagner de sites secondaires dont la contamination résulte d</w:t>
      </w:r>
      <w:r w:rsidR="00B3097B" w:rsidRPr="005808ED">
        <w:rPr>
          <w:lang w:val="fr-FR"/>
        </w:rPr>
        <w:t>’</w:t>
      </w:r>
      <w:r w:rsidRPr="005808ED">
        <w:rPr>
          <w:lang w:val="fr-FR"/>
        </w:rPr>
        <w:t>un ruissellement, d</w:t>
      </w:r>
      <w:r w:rsidR="00B3097B" w:rsidRPr="005808ED">
        <w:rPr>
          <w:lang w:val="fr-FR"/>
        </w:rPr>
        <w:t>’</w:t>
      </w:r>
      <w:r w:rsidRPr="005808ED">
        <w:rPr>
          <w:lang w:val="fr-FR"/>
        </w:rPr>
        <w:t>un lessivage ou d</w:t>
      </w:r>
      <w:r w:rsidR="00B3097B" w:rsidRPr="005808ED">
        <w:rPr>
          <w:lang w:val="fr-FR"/>
        </w:rPr>
        <w:t>’</w:t>
      </w:r>
      <w:r w:rsidRPr="005808ED">
        <w:rPr>
          <w:lang w:val="fr-FR"/>
        </w:rPr>
        <w:t xml:space="preserve">une migration </w:t>
      </w:r>
      <w:r w:rsidR="006A7F19" w:rsidRPr="005808ED">
        <w:rPr>
          <w:lang w:val="fr-FR"/>
        </w:rPr>
        <w:t>à partir</w:t>
      </w:r>
      <w:r w:rsidRPr="005808ED">
        <w:rPr>
          <w:lang w:val="fr-FR"/>
        </w:rPr>
        <w:t xml:space="preserve"> du site primaire. </w:t>
      </w:r>
      <w:r w:rsidR="006A7F19" w:rsidRPr="005808ED">
        <w:rPr>
          <w:lang w:val="fr-FR"/>
        </w:rPr>
        <w:t>Parfois</w:t>
      </w:r>
      <w:r w:rsidRPr="005808ED">
        <w:rPr>
          <w:lang w:val="fr-FR"/>
        </w:rPr>
        <w:t xml:space="preserve">, notamment </w:t>
      </w:r>
      <w:r w:rsidR="002E484C" w:rsidRPr="005808ED">
        <w:rPr>
          <w:lang w:val="fr-FR"/>
        </w:rPr>
        <w:t>lorsque le mercure est</w:t>
      </w:r>
      <w:r w:rsidRPr="005808ED">
        <w:rPr>
          <w:lang w:val="fr-FR"/>
        </w:rPr>
        <w:t xml:space="preserve"> </w:t>
      </w:r>
      <w:r w:rsidR="006A7F19" w:rsidRPr="005808ED">
        <w:rPr>
          <w:lang w:val="fr-FR"/>
        </w:rPr>
        <w:t>transport</w:t>
      </w:r>
      <w:r w:rsidR="002E484C" w:rsidRPr="005808ED">
        <w:rPr>
          <w:lang w:val="fr-FR"/>
        </w:rPr>
        <w:t>é</w:t>
      </w:r>
      <w:r w:rsidR="006A7F19" w:rsidRPr="005808ED">
        <w:rPr>
          <w:lang w:val="fr-FR"/>
        </w:rPr>
        <w:t xml:space="preserve"> par </w:t>
      </w:r>
      <w:r w:rsidRPr="005808ED">
        <w:rPr>
          <w:lang w:val="fr-FR"/>
        </w:rPr>
        <w:t xml:space="preserve">ruissellement vers des zones humides ou </w:t>
      </w:r>
      <w:r w:rsidR="009F1419" w:rsidRPr="005808ED">
        <w:rPr>
          <w:lang w:val="fr-FR"/>
        </w:rPr>
        <w:t>d’</w:t>
      </w:r>
      <w:r w:rsidRPr="005808ED">
        <w:rPr>
          <w:lang w:val="fr-FR"/>
        </w:rPr>
        <w:t>autres écosystèmes fragiles, l</w:t>
      </w:r>
      <w:r w:rsidR="006A7F19" w:rsidRPr="005808ED">
        <w:rPr>
          <w:lang w:val="fr-FR"/>
        </w:rPr>
        <w:t>es</w:t>
      </w:r>
      <w:r w:rsidRPr="005808ED">
        <w:rPr>
          <w:lang w:val="fr-FR"/>
        </w:rPr>
        <w:t xml:space="preserve"> </w:t>
      </w:r>
      <w:r w:rsidR="006A7F19" w:rsidRPr="005808ED">
        <w:rPr>
          <w:lang w:val="fr-FR"/>
        </w:rPr>
        <w:t xml:space="preserve">principaux </w:t>
      </w:r>
      <w:r w:rsidRPr="005808ED">
        <w:rPr>
          <w:lang w:val="fr-FR"/>
        </w:rPr>
        <w:t>contamina</w:t>
      </w:r>
      <w:r w:rsidR="006A7F19" w:rsidRPr="005808ED">
        <w:rPr>
          <w:lang w:val="fr-FR"/>
        </w:rPr>
        <w:t xml:space="preserve">nts </w:t>
      </w:r>
      <w:r w:rsidR="00343750" w:rsidRPr="005808ED">
        <w:rPr>
          <w:lang w:val="fr-FR"/>
        </w:rPr>
        <w:t>du</w:t>
      </w:r>
      <w:r w:rsidRPr="005808ED">
        <w:rPr>
          <w:lang w:val="fr-FR"/>
        </w:rPr>
        <w:t xml:space="preserve"> site secondaire peu</w:t>
      </w:r>
      <w:r w:rsidR="006A7F19" w:rsidRPr="005808ED">
        <w:rPr>
          <w:lang w:val="fr-FR"/>
        </w:rPr>
        <w:t>vent être du</w:t>
      </w:r>
      <w:r w:rsidRPr="005808ED">
        <w:rPr>
          <w:lang w:val="fr-FR"/>
        </w:rPr>
        <w:t xml:space="preserve"> méthylmercure </w:t>
      </w:r>
      <w:r w:rsidR="00343750" w:rsidRPr="005808ED">
        <w:rPr>
          <w:lang w:val="fr-FR"/>
        </w:rPr>
        <w:t xml:space="preserve">produit </w:t>
      </w:r>
      <w:r w:rsidRPr="005808ED">
        <w:rPr>
          <w:lang w:val="fr-FR"/>
        </w:rPr>
        <w:t>par transformation bactérienne ou d</w:t>
      </w:r>
      <w:r w:rsidR="00B3097B" w:rsidRPr="005808ED">
        <w:rPr>
          <w:lang w:val="fr-FR"/>
        </w:rPr>
        <w:t>’</w:t>
      </w:r>
      <w:r w:rsidRPr="005808ED">
        <w:rPr>
          <w:lang w:val="fr-FR"/>
        </w:rPr>
        <w:t xml:space="preserve">autres </w:t>
      </w:r>
      <w:r w:rsidR="002E484C" w:rsidRPr="005808ED">
        <w:rPr>
          <w:lang w:val="fr-FR"/>
        </w:rPr>
        <w:t>composés</w:t>
      </w:r>
      <w:r w:rsidRPr="005808ED">
        <w:rPr>
          <w:lang w:val="fr-FR"/>
        </w:rPr>
        <w:t>, tels que le sulfure de mercure qu</w:t>
      </w:r>
      <w:r w:rsidR="002E484C" w:rsidRPr="005808ED">
        <w:rPr>
          <w:lang w:val="fr-FR"/>
        </w:rPr>
        <w:t>’il</w:t>
      </w:r>
      <w:r w:rsidRPr="005808ED">
        <w:rPr>
          <w:lang w:val="fr-FR"/>
        </w:rPr>
        <w:t xml:space="preserve"> peut </w:t>
      </w:r>
      <w:r w:rsidR="002E484C" w:rsidRPr="005808ED">
        <w:rPr>
          <w:lang w:val="fr-FR"/>
        </w:rPr>
        <w:t>former</w:t>
      </w:r>
      <w:r w:rsidRPr="005808ED">
        <w:rPr>
          <w:lang w:val="fr-FR"/>
        </w:rPr>
        <w:t xml:space="preserve"> par </w:t>
      </w:r>
      <w:r w:rsidR="002E484C" w:rsidRPr="005808ED">
        <w:rPr>
          <w:lang w:val="fr-FR"/>
        </w:rPr>
        <w:t xml:space="preserve">réaction avec </w:t>
      </w:r>
      <w:r w:rsidRPr="005808ED">
        <w:rPr>
          <w:lang w:val="fr-FR"/>
        </w:rPr>
        <w:t>l</w:t>
      </w:r>
      <w:r w:rsidR="00415631" w:rsidRPr="005808ED">
        <w:rPr>
          <w:lang w:val="fr-FR"/>
        </w:rPr>
        <w:t>e</w:t>
      </w:r>
      <w:r w:rsidRPr="005808ED">
        <w:rPr>
          <w:lang w:val="fr-FR"/>
        </w:rPr>
        <w:t xml:space="preserve"> soufre </w:t>
      </w:r>
      <w:r w:rsidR="00415631" w:rsidRPr="005808ED">
        <w:rPr>
          <w:lang w:val="fr-FR"/>
        </w:rPr>
        <w:t>contenu dans le</w:t>
      </w:r>
      <w:r w:rsidRPr="005808ED">
        <w:rPr>
          <w:lang w:val="fr-FR"/>
        </w:rPr>
        <w:t xml:space="preserve"> sol en question. Dans de nombreux pays, les connaissances peuvent manquer pour réaliser une étude rétrospective de l</w:t>
      </w:r>
      <w:r w:rsidR="00B3097B" w:rsidRPr="005808ED">
        <w:rPr>
          <w:lang w:val="fr-FR"/>
        </w:rPr>
        <w:t>’</w:t>
      </w:r>
      <w:r w:rsidRPr="005808ED">
        <w:rPr>
          <w:lang w:val="fr-FR"/>
        </w:rPr>
        <w:t>occupation des sols, en particulier pour les sites ayant servi à des activités artisanales. Lorsque c</w:t>
      </w:r>
      <w:r w:rsidR="00B3097B" w:rsidRPr="005808ED">
        <w:rPr>
          <w:lang w:val="fr-FR"/>
        </w:rPr>
        <w:t>’</w:t>
      </w:r>
      <w:r w:rsidRPr="005808ED">
        <w:rPr>
          <w:lang w:val="fr-FR"/>
        </w:rPr>
        <w:t xml:space="preserve">est possible, les informations relatives aux sites potentiellement contaminés devraient être conservées dans une base de données. </w:t>
      </w:r>
    </w:p>
    <w:p w14:paraId="10FB4C78" w14:textId="56CEF95C" w:rsidR="00F252EE" w:rsidRPr="005808ED" w:rsidRDefault="00F252EE" w:rsidP="00F51980">
      <w:pPr>
        <w:pStyle w:val="Normalnumber"/>
        <w:numPr>
          <w:ilvl w:val="0"/>
          <w:numId w:val="12"/>
        </w:numPr>
        <w:ind w:left="1247" w:firstLine="0"/>
        <w:rPr>
          <w:lang w:val="fr-FR"/>
        </w:rPr>
      </w:pPr>
      <w:r w:rsidRPr="005808ED">
        <w:rPr>
          <w:lang w:val="fr-FR"/>
        </w:rPr>
        <w:t>Dans le cas de l</w:t>
      </w:r>
      <w:r w:rsidR="00B3097B" w:rsidRPr="005808ED">
        <w:rPr>
          <w:lang w:val="fr-FR"/>
        </w:rPr>
        <w:t>’</w:t>
      </w:r>
      <w:r w:rsidR="00520496" w:rsidRPr="005808ED">
        <w:rPr>
          <w:lang w:val="fr-FR"/>
        </w:rPr>
        <w:t>extraction artisanale et à petite échelle d’or</w:t>
      </w:r>
      <w:r w:rsidRPr="005808ED">
        <w:rPr>
          <w:lang w:val="fr-FR"/>
        </w:rPr>
        <w:t>, l</w:t>
      </w:r>
      <w:r w:rsidR="00B3097B" w:rsidRPr="005808ED">
        <w:rPr>
          <w:lang w:val="fr-FR"/>
        </w:rPr>
        <w:t>’</w:t>
      </w:r>
      <w:r w:rsidRPr="005808ED">
        <w:rPr>
          <w:lang w:val="fr-FR"/>
        </w:rPr>
        <w:t>identification des sites peut s</w:t>
      </w:r>
      <w:r w:rsidR="00B3097B" w:rsidRPr="005808ED">
        <w:rPr>
          <w:lang w:val="fr-FR"/>
        </w:rPr>
        <w:t>’</w:t>
      </w:r>
      <w:r w:rsidRPr="005808ED">
        <w:rPr>
          <w:lang w:val="fr-FR"/>
        </w:rPr>
        <w:t>avérer particulièrement problématique, en raison du nombre de sites potentiellement contaminés, de la nature informelle (parfois illégale) des activités menées et du manque de registres officiels. Il peut être indispensable de définir un groupe de sites ou une région pouvant être affectés par des activités minières artisanales pour ensuite s</w:t>
      </w:r>
      <w:r w:rsidR="00B3097B" w:rsidRPr="005808ED">
        <w:rPr>
          <w:lang w:val="fr-FR"/>
        </w:rPr>
        <w:t>’</w:t>
      </w:r>
      <w:r w:rsidRPr="005808ED">
        <w:rPr>
          <w:lang w:val="fr-FR"/>
        </w:rPr>
        <w:t>attacher à identifier individuellement les sites d</w:t>
      </w:r>
      <w:r w:rsidR="00B3097B" w:rsidRPr="005808ED">
        <w:rPr>
          <w:lang w:val="fr-FR"/>
        </w:rPr>
        <w:t>’</w:t>
      </w:r>
      <w:r w:rsidRPr="005808ED">
        <w:rPr>
          <w:lang w:val="fr-FR"/>
        </w:rPr>
        <w:t xml:space="preserve">intérêt au sein de la zone définie. </w:t>
      </w:r>
    </w:p>
    <w:p w14:paraId="13B1423B" w14:textId="54F321F7" w:rsidR="00F252EE" w:rsidRPr="005808ED" w:rsidRDefault="00607EAD" w:rsidP="00F51980">
      <w:pPr>
        <w:pStyle w:val="Normalnumber"/>
        <w:numPr>
          <w:ilvl w:val="0"/>
          <w:numId w:val="12"/>
        </w:numPr>
        <w:ind w:left="1247" w:firstLine="0"/>
        <w:rPr>
          <w:lang w:val="fr-FR"/>
        </w:rPr>
      </w:pPr>
      <w:r w:rsidRPr="005808ED">
        <w:rPr>
          <w:lang w:val="fr-FR"/>
        </w:rPr>
        <w:t>Afin d</w:t>
      </w:r>
      <w:r w:rsidR="00B3097B" w:rsidRPr="005808ED">
        <w:rPr>
          <w:lang w:val="fr-FR"/>
        </w:rPr>
        <w:t>’</w:t>
      </w:r>
      <w:r w:rsidRPr="005808ED">
        <w:rPr>
          <w:lang w:val="fr-FR"/>
        </w:rPr>
        <w:t>élaborer un inventaire national préliminaire des sites potentiellement ou présumés contaminés, les organismes public</w:t>
      </w:r>
      <w:r w:rsidR="002E484C" w:rsidRPr="005808ED">
        <w:rPr>
          <w:lang w:val="fr-FR"/>
        </w:rPr>
        <w:t>s</w:t>
      </w:r>
      <w:r w:rsidRPr="005808ED">
        <w:rPr>
          <w:lang w:val="fr-FR"/>
        </w:rPr>
        <w:t xml:space="preserve"> peuvent mettre en commun le</w:t>
      </w:r>
      <w:r w:rsidR="002E484C" w:rsidRPr="005808ED">
        <w:rPr>
          <w:lang w:val="fr-FR"/>
        </w:rPr>
        <w:t>ur</w:t>
      </w:r>
      <w:r w:rsidRPr="005808ED">
        <w:rPr>
          <w:lang w:val="fr-FR"/>
        </w:rPr>
        <w:t xml:space="preserve">s registres des </w:t>
      </w:r>
      <w:r w:rsidR="002E484C" w:rsidRPr="005808ED">
        <w:rPr>
          <w:lang w:val="fr-FR"/>
        </w:rPr>
        <w:t xml:space="preserve">utilisations des sols </w:t>
      </w:r>
      <w:r w:rsidRPr="005808ED">
        <w:rPr>
          <w:lang w:val="fr-FR"/>
        </w:rPr>
        <w:t xml:space="preserve">et </w:t>
      </w:r>
      <w:r w:rsidR="002E484C" w:rsidRPr="005808ED">
        <w:rPr>
          <w:lang w:val="fr-FR"/>
        </w:rPr>
        <w:t xml:space="preserve">des activités </w:t>
      </w:r>
      <w:r w:rsidR="00642E86" w:rsidRPr="005808ED">
        <w:rPr>
          <w:lang w:val="fr-FR"/>
        </w:rPr>
        <w:t xml:space="preserve">en cours </w:t>
      </w:r>
      <w:r w:rsidRPr="005808ED">
        <w:rPr>
          <w:lang w:val="fr-FR"/>
        </w:rPr>
        <w:t>et passées, telles que celles mentionnées plus haut, afin de servir de fondement aux études approfondies. Dans certaines juridictions, les organismes publics, les entreprises et les propriétaires fonciers privés sont légalement</w:t>
      </w:r>
      <w:r w:rsidR="002E484C" w:rsidRPr="005808ED">
        <w:rPr>
          <w:lang w:val="fr-FR"/>
        </w:rPr>
        <w:t xml:space="preserve"> tenus</w:t>
      </w:r>
      <w:r w:rsidR="00F252EE" w:rsidRPr="005808ED">
        <w:rPr>
          <w:rStyle w:val="FootnoteReference"/>
          <w:lang w:val="fr-FR"/>
        </w:rPr>
        <w:footnoteReference w:id="2"/>
      </w:r>
      <w:r w:rsidRPr="005808ED">
        <w:rPr>
          <w:lang w:val="fr-FR"/>
        </w:rPr>
        <w:t xml:space="preserve"> de signaler à l</w:t>
      </w:r>
      <w:r w:rsidR="00B3097B" w:rsidRPr="005808ED">
        <w:rPr>
          <w:lang w:val="fr-FR"/>
        </w:rPr>
        <w:t>’</w:t>
      </w:r>
      <w:r w:rsidRPr="005808ED">
        <w:rPr>
          <w:lang w:val="fr-FR"/>
        </w:rPr>
        <w:t>organisme environnemental compétent s</w:t>
      </w:r>
      <w:r w:rsidR="00B3097B" w:rsidRPr="005808ED">
        <w:rPr>
          <w:lang w:val="fr-FR"/>
        </w:rPr>
        <w:t>’</w:t>
      </w:r>
      <w:r w:rsidRPr="005808ED">
        <w:rPr>
          <w:lang w:val="fr-FR"/>
        </w:rPr>
        <w:t>ils possèdent des terres présumées contaminées ou reconnu</w:t>
      </w:r>
      <w:r w:rsidR="009F1419" w:rsidRPr="005808ED">
        <w:rPr>
          <w:lang w:val="fr-FR"/>
        </w:rPr>
        <w:t>e</w:t>
      </w:r>
      <w:r w:rsidRPr="005808ED">
        <w:rPr>
          <w:lang w:val="fr-FR"/>
        </w:rPr>
        <w:t>s comme telles, faute de quoi ils s</w:t>
      </w:r>
      <w:r w:rsidR="00B3097B" w:rsidRPr="005808ED">
        <w:rPr>
          <w:lang w:val="fr-FR"/>
        </w:rPr>
        <w:t>’</w:t>
      </w:r>
      <w:r w:rsidRPr="005808ED">
        <w:rPr>
          <w:lang w:val="fr-FR"/>
        </w:rPr>
        <w:t>exposent à des amendes.</w:t>
      </w:r>
    </w:p>
    <w:p w14:paraId="12469279" w14:textId="40A1E46D" w:rsidR="00F252EE" w:rsidRPr="005808ED" w:rsidRDefault="00607EAD" w:rsidP="00F51980">
      <w:pPr>
        <w:pStyle w:val="Normalnumber"/>
        <w:numPr>
          <w:ilvl w:val="0"/>
          <w:numId w:val="12"/>
        </w:numPr>
        <w:ind w:left="1247" w:firstLine="0"/>
        <w:rPr>
          <w:lang w:val="fr-FR"/>
        </w:rPr>
      </w:pPr>
      <w:r w:rsidRPr="005808ED">
        <w:rPr>
          <w:lang w:val="fr-FR"/>
        </w:rPr>
        <w:t>Dans de nombreux cas, il est possible d</w:t>
      </w:r>
      <w:r w:rsidR="00B3097B" w:rsidRPr="005808ED">
        <w:rPr>
          <w:lang w:val="fr-FR"/>
        </w:rPr>
        <w:t>’</w:t>
      </w:r>
      <w:r w:rsidRPr="005808ED">
        <w:rPr>
          <w:lang w:val="fr-FR"/>
        </w:rPr>
        <w:t>opérer une première identification des sites présumés contaminés par les moyens suivants (</w:t>
      </w:r>
      <w:r w:rsidR="000125C2" w:rsidRPr="005808ED">
        <w:rPr>
          <w:lang w:val="fr-FR"/>
        </w:rPr>
        <w:t>PNUE</w:t>
      </w:r>
      <w:r w:rsidRPr="005808ED">
        <w:rPr>
          <w:lang w:val="fr-FR"/>
        </w:rPr>
        <w:t>, 2015)</w:t>
      </w:r>
      <w:r w:rsidR="0097152B" w:rsidRPr="005808ED">
        <w:rPr>
          <w:lang w:val="fr-FR"/>
        </w:rPr>
        <w:t> :</w:t>
      </w:r>
      <w:r w:rsidRPr="005808ED">
        <w:rPr>
          <w:lang w:val="fr-FR"/>
        </w:rPr>
        <w:t xml:space="preserve"> </w:t>
      </w:r>
    </w:p>
    <w:p w14:paraId="45F3A8A8" w14:textId="21ED2BE5" w:rsidR="00642E86" w:rsidRPr="005808ED" w:rsidRDefault="00642E86" w:rsidP="00642E86">
      <w:pPr>
        <w:pStyle w:val="Normalnumber"/>
        <w:numPr>
          <w:ilvl w:val="1"/>
          <w:numId w:val="12"/>
        </w:numPr>
        <w:ind w:left="2495" w:hanging="624"/>
        <w:rPr>
          <w:lang w:val="fr-FR"/>
        </w:rPr>
      </w:pPr>
      <w:r w:rsidRPr="005808ED">
        <w:rPr>
          <w:lang w:val="fr-FR"/>
        </w:rPr>
        <w:t>Documents faisant état des activités industrielles ou autres menées sur le site dans le passé ;</w:t>
      </w:r>
    </w:p>
    <w:p w14:paraId="2F9A15EA" w14:textId="7AA03A66" w:rsidR="00642E86" w:rsidRPr="005808ED" w:rsidRDefault="00642E86" w:rsidP="00642E86">
      <w:pPr>
        <w:pStyle w:val="Normalnumber"/>
        <w:numPr>
          <w:ilvl w:val="1"/>
          <w:numId w:val="12"/>
        </w:numPr>
        <w:ind w:left="2495" w:hanging="624"/>
        <w:rPr>
          <w:lang w:val="fr-FR"/>
        </w:rPr>
      </w:pPr>
      <w:r w:rsidRPr="005808ED">
        <w:rPr>
          <w:lang w:val="fr-FR"/>
        </w:rPr>
        <w:t>Inspection visuelle de l’état du site ou de sources associées de contaminants ;</w:t>
      </w:r>
    </w:p>
    <w:p w14:paraId="45478687" w14:textId="39FD52FA" w:rsidR="00642E86" w:rsidRPr="005808ED" w:rsidRDefault="00642E86" w:rsidP="00642E86">
      <w:pPr>
        <w:pStyle w:val="Normalnumber"/>
        <w:numPr>
          <w:ilvl w:val="1"/>
          <w:numId w:val="12"/>
        </w:numPr>
        <w:ind w:left="2495" w:hanging="624"/>
        <w:rPr>
          <w:lang w:val="fr-FR"/>
        </w:rPr>
      </w:pPr>
      <w:r w:rsidRPr="005808ED">
        <w:rPr>
          <w:lang w:val="fr-FR"/>
        </w:rPr>
        <w:t>Inspection visuelle des opérations de fabrication ou d’autres activités connues pour avoir utilisé ou émis un contaminant particulièrement dangereux ;</w:t>
      </w:r>
    </w:p>
    <w:p w14:paraId="6400BEAF" w14:textId="20ADDAFC" w:rsidR="00642E86" w:rsidRPr="005808ED" w:rsidRDefault="00642E86" w:rsidP="00642E86">
      <w:pPr>
        <w:pStyle w:val="Normalnumber"/>
        <w:numPr>
          <w:ilvl w:val="1"/>
          <w:numId w:val="12"/>
        </w:numPr>
        <w:ind w:left="2495" w:hanging="624"/>
        <w:rPr>
          <w:lang w:val="fr-FR"/>
        </w:rPr>
      </w:pPr>
      <w:r w:rsidRPr="005808ED">
        <w:rPr>
          <w:lang w:val="fr-FR"/>
        </w:rPr>
        <w:t>Effets néfastes observés chez la population humaine, la flore et la faune, dont la cause est probablement la proximité du site ;</w:t>
      </w:r>
    </w:p>
    <w:p w14:paraId="0BA03105" w14:textId="62ED56E3" w:rsidR="00642E86" w:rsidRPr="005808ED" w:rsidRDefault="00642E86" w:rsidP="00642E86">
      <w:pPr>
        <w:pStyle w:val="Normalnumber"/>
        <w:numPr>
          <w:ilvl w:val="1"/>
          <w:numId w:val="12"/>
        </w:numPr>
        <w:ind w:left="2495" w:hanging="624"/>
        <w:rPr>
          <w:lang w:val="fr-FR"/>
        </w:rPr>
      </w:pPr>
      <w:r w:rsidRPr="005808ED">
        <w:rPr>
          <w:lang w:val="fr-FR"/>
        </w:rPr>
        <w:t>Résultats physiques ou analytiques montrant la présence de contaminants ;</w:t>
      </w:r>
    </w:p>
    <w:p w14:paraId="1B854072" w14:textId="462B3122" w:rsidR="00642E86" w:rsidRPr="005808ED" w:rsidRDefault="00642E86" w:rsidP="00642E86">
      <w:pPr>
        <w:pStyle w:val="Normalnumber"/>
        <w:numPr>
          <w:ilvl w:val="1"/>
          <w:numId w:val="12"/>
        </w:numPr>
        <w:ind w:left="2495" w:hanging="624"/>
        <w:rPr>
          <w:lang w:val="fr-FR"/>
        </w:rPr>
      </w:pPr>
      <w:r w:rsidRPr="005808ED">
        <w:rPr>
          <w:lang w:val="fr-FR"/>
        </w:rPr>
        <w:t>Présomptions de rejets signalées aux pouvoirs publics par la communauté.</w:t>
      </w:r>
    </w:p>
    <w:p w14:paraId="779E8ECD" w14:textId="77777777" w:rsidR="0047033B" w:rsidRPr="005808ED" w:rsidRDefault="00520198" w:rsidP="00F51980">
      <w:pPr>
        <w:pStyle w:val="CH2"/>
        <w:rPr>
          <w:lang w:val="fr-FR"/>
        </w:rPr>
      </w:pPr>
      <w:r w:rsidRPr="005808ED">
        <w:rPr>
          <w:lang w:val="fr-FR"/>
        </w:rPr>
        <w:tab/>
      </w:r>
      <w:r w:rsidRPr="005808ED">
        <w:rPr>
          <w:lang w:val="fr-FR"/>
        </w:rPr>
        <w:tab/>
      </w:r>
      <w:bookmarkStart w:id="33" w:name="_Toc527017904"/>
      <w:r w:rsidRPr="005808ED">
        <w:rPr>
          <w:bCs/>
          <w:lang w:val="fr-FR"/>
        </w:rPr>
        <w:t>Caractérisation des sites</w:t>
      </w:r>
      <w:bookmarkEnd w:id="33"/>
    </w:p>
    <w:p w14:paraId="18D943E3" w14:textId="4DA0E467" w:rsidR="00A460F4" w:rsidRPr="005808ED" w:rsidRDefault="00A460F4" w:rsidP="00F51980">
      <w:pPr>
        <w:pStyle w:val="Normalnumber"/>
        <w:numPr>
          <w:ilvl w:val="0"/>
          <w:numId w:val="12"/>
        </w:numPr>
        <w:ind w:left="1247" w:firstLine="0"/>
        <w:rPr>
          <w:lang w:val="fr-FR"/>
        </w:rPr>
      </w:pPr>
      <w:r w:rsidRPr="005808ED">
        <w:rPr>
          <w:lang w:val="fr-FR"/>
        </w:rPr>
        <w:t xml:space="preserve">Une fois que les sites potentiellement contaminés ont été identifiés, il </w:t>
      </w:r>
      <w:r w:rsidR="00642E86" w:rsidRPr="005808ED">
        <w:rPr>
          <w:lang w:val="fr-FR"/>
        </w:rPr>
        <w:t xml:space="preserve">convient de prendre des dispositions pour </w:t>
      </w:r>
      <w:r w:rsidRPr="005808ED">
        <w:rPr>
          <w:lang w:val="fr-FR"/>
        </w:rPr>
        <w:t xml:space="preserve">étudier plus avant ceux qui présentent le plus grand danger (en raison de facteurs liés à leur situation géographique, à des questions environnementales, etc.), afin de définir le niveau de contamination de chacun et les principaux risques </w:t>
      </w:r>
      <w:r w:rsidR="00D863E0" w:rsidRPr="005808ED">
        <w:rPr>
          <w:lang w:val="fr-FR"/>
        </w:rPr>
        <w:t>qu’ils présentent</w:t>
      </w:r>
      <w:r w:rsidRPr="005808ED">
        <w:rPr>
          <w:lang w:val="fr-FR"/>
        </w:rPr>
        <w:t xml:space="preserve">. </w:t>
      </w:r>
    </w:p>
    <w:p w14:paraId="620E2737" w14:textId="1A4D34FA" w:rsidR="00F252EE" w:rsidRPr="005808ED" w:rsidRDefault="00F252EE" w:rsidP="00F51980">
      <w:pPr>
        <w:pStyle w:val="Normalnumber"/>
        <w:numPr>
          <w:ilvl w:val="0"/>
          <w:numId w:val="12"/>
        </w:numPr>
        <w:ind w:left="1247" w:firstLine="0"/>
        <w:rPr>
          <w:lang w:val="fr-FR"/>
        </w:rPr>
      </w:pPr>
      <w:r w:rsidRPr="005808ED">
        <w:rPr>
          <w:lang w:val="fr-FR"/>
        </w:rPr>
        <w:t>Il peut être utile d</w:t>
      </w:r>
      <w:r w:rsidR="00B3097B" w:rsidRPr="005808ED">
        <w:rPr>
          <w:lang w:val="fr-FR"/>
        </w:rPr>
        <w:t>’</w:t>
      </w:r>
      <w:r w:rsidRPr="005808ED">
        <w:rPr>
          <w:lang w:val="fr-FR"/>
        </w:rPr>
        <w:t xml:space="preserve">élaborer un modèle conceptuel du site. </w:t>
      </w:r>
      <w:r w:rsidR="00CC3FD1" w:rsidRPr="005808ED">
        <w:rPr>
          <w:lang w:val="fr-FR"/>
        </w:rPr>
        <w:t>Il s’agit d’</w:t>
      </w:r>
      <w:r w:rsidRPr="005808ED">
        <w:rPr>
          <w:lang w:val="fr-FR"/>
        </w:rPr>
        <w:t xml:space="preserve">une représentation visuelle et </w:t>
      </w:r>
      <w:r w:rsidR="00CC3FD1" w:rsidRPr="005808ED">
        <w:rPr>
          <w:lang w:val="fr-FR"/>
        </w:rPr>
        <w:t>d’</w:t>
      </w:r>
      <w:r w:rsidRPr="005808ED">
        <w:rPr>
          <w:lang w:val="fr-FR"/>
        </w:rPr>
        <w:t>une description narrative des processus physiques, chimiques et biologiques qui ont ou ont eu lieu sur un site. Le modèle doit décrire comment le site est devenu contaminé, l</w:t>
      </w:r>
      <w:r w:rsidR="00B3097B" w:rsidRPr="005808ED">
        <w:rPr>
          <w:lang w:val="fr-FR"/>
        </w:rPr>
        <w:t>’</w:t>
      </w:r>
      <w:r w:rsidRPr="005808ED">
        <w:rPr>
          <w:lang w:val="fr-FR"/>
        </w:rPr>
        <w:t>ampleur de sa contamination, quels milieux sont contaminés, comment la contamination s</w:t>
      </w:r>
      <w:r w:rsidR="00B3097B" w:rsidRPr="005808ED">
        <w:rPr>
          <w:lang w:val="fr-FR"/>
        </w:rPr>
        <w:t>’</w:t>
      </w:r>
      <w:r w:rsidRPr="005808ED">
        <w:rPr>
          <w:lang w:val="fr-FR"/>
        </w:rPr>
        <w:t>est propagée et se propage encore, jusqu</w:t>
      </w:r>
      <w:r w:rsidR="00B3097B" w:rsidRPr="005808ED">
        <w:rPr>
          <w:lang w:val="fr-FR"/>
        </w:rPr>
        <w:t>’</w:t>
      </w:r>
      <w:r w:rsidRPr="005808ED">
        <w:rPr>
          <w:lang w:val="fr-FR"/>
        </w:rPr>
        <w:t xml:space="preserve">où la contamination </w:t>
      </w:r>
      <w:r w:rsidR="004B0075" w:rsidRPr="005808ED">
        <w:rPr>
          <w:lang w:val="fr-FR"/>
        </w:rPr>
        <w:t>se propagera</w:t>
      </w:r>
      <w:r w:rsidRPr="005808ED">
        <w:rPr>
          <w:lang w:val="fr-FR"/>
        </w:rPr>
        <w:t xml:space="preserve"> et les populations et écosystèmes qu</w:t>
      </w:r>
      <w:r w:rsidR="00B3097B" w:rsidRPr="005808ED">
        <w:rPr>
          <w:lang w:val="fr-FR"/>
        </w:rPr>
        <w:t>’</w:t>
      </w:r>
      <w:r w:rsidRPr="005808ED">
        <w:rPr>
          <w:lang w:val="fr-FR"/>
        </w:rPr>
        <w:t>elle est susceptible de toucher (CCME, 2016)</w:t>
      </w:r>
      <w:r w:rsidRPr="005808ED">
        <w:rPr>
          <w:rStyle w:val="FootnoteReference"/>
          <w:lang w:val="fr-FR"/>
        </w:rPr>
        <w:footnoteReference w:id="3"/>
      </w:r>
      <w:r w:rsidRPr="005808ED">
        <w:rPr>
          <w:lang w:val="fr-FR"/>
        </w:rPr>
        <w:t xml:space="preserve">. </w:t>
      </w:r>
      <w:r w:rsidR="00CC3FD1" w:rsidRPr="005808ED">
        <w:rPr>
          <w:lang w:val="fr-FR"/>
        </w:rPr>
        <w:t>Il</w:t>
      </w:r>
      <w:r w:rsidRPr="005808ED">
        <w:rPr>
          <w:lang w:val="fr-FR"/>
        </w:rPr>
        <w:t xml:space="preserve"> devrait tenir compte des particularités chimiques du mercure et des autres polluants qui pourraient être présents. Parmi les autres facteurs qui pourraient être inclus</w:t>
      </w:r>
      <w:r w:rsidR="00CC3FD1" w:rsidRPr="005808ED">
        <w:rPr>
          <w:lang w:val="fr-FR"/>
        </w:rPr>
        <w:t xml:space="preserve"> se</w:t>
      </w:r>
      <w:r w:rsidRPr="005808ED">
        <w:rPr>
          <w:lang w:val="fr-FR"/>
        </w:rPr>
        <w:t xml:space="preserve"> trouve</w:t>
      </w:r>
      <w:r w:rsidR="00CC3FD1" w:rsidRPr="005808ED">
        <w:rPr>
          <w:lang w:val="fr-FR"/>
        </w:rPr>
        <w:t>nt</w:t>
      </w:r>
      <w:r w:rsidRPr="005808ED">
        <w:rPr>
          <w:lang w:val="fr-FR"/>
        </w:rPr>
        <w:t xml:space="preserve"> les divers mod</w:t>
      </w:r>
      <w:r w:rsidR="007C4412" w:rsidRPr="005808ED">
        <w:rPr>
          <w:lang w:val="fr-FR"/>
        </w:rPr>
        <w:t>e</w:t>
      </w:r>
      <w:r w:rsidRPr="005808ED">
        <w:rPr>
          <w:lang w:val="fr-FR"/>
        </w:rPr>
        <w:t>s d</w:t>
      </w:r>
      <w:r w:rsidR="00B3097B" w:rsidRPr="005808ED">
        <w:rPr>
          <w:lang w:val="fr-FR"/>
        </w:rPr>
        <w:t>’</w:t>
      </w:r>
      <w:r w:rsidRPr="005808ED">
        <w:rPr>
          <w:lang w:val="fr-FR"/>
        </w:rPr>
        <w:t>interaction de</w:t>
      </w:r>
      <w:r w:rsidR="007C4412" w:rsidRPr="005808ED">
        <w:rPr>
          <w:lang w:val="fr-FR"/>
        </w:rPr>
        <w:t xml:space="preserve"> la population </w:t>
      </w:r>
      <w:r w:rsidRPr="005808ED">
        <w:rPr>
          <w:lang w:val="fr-FR"/>
        </w:rPr>
        <w:t>humain</w:t>
      </w:r>
      <w:r w:rsidR="007C4412" w:rsidRPr="005808ED">
        <w:rPr>
          <w:lang w:val="fr-FR"/>
        </w:rPr>
        <w:t>e</w:t>
      </w:r>
      <w:r w:rsidRPr="005808ED">
        <w:rPr>
          <w:lang w:val="fr-FR"/>
        </w:rPr>
        <w:t xml:space="preserve"> avec </w:t>
      </w:r>
      <w:r w:rsidR="007C4412" w:rsidRPr="005808ED">
        <w:rPr>
          <w:lang w:val="fr-FR"/>
        </w:rPr>
        <w:t>le</w:t>
      </w:r>
      <w:r w:rsidRPr="005808ED">
        <w:rPr>
          <w:lang w:val="fr-FR"/>
        </w:rPr>
        <w:t xml:space="preserve"> site contaminé, </w:t>
      </w:r>
      <w:r w:rsidR="007C4412" w:rsidRPr="005808ED">
        <w:rPr>
          <w:lang w:val="fr-FR"/>
        </w:rPr>
        <w:t>allant de l’utilisation très</w:t>
      </w:r>
      <w:r w:rsidRPr="005808ED">
        <w:rPr>
          <w:lang w:val="fr-FR"/>
        </w:rPr>
        <w:t xml:space="preserve"> fréquente, </w:t>
      </w:r>
      <w:r w:rsidR="007C4412" w:rsidRPr="005808ED">
        <w:rPr>
          <w:lang w:val="fr-FR"/>
        </w:rPr>
        <w:t xml:space="preserve">comme c’est, </w:t>
      </w:r>
      <w:r w:rsidRPr="005808ED">
        <w:rPr>
          <w:lang w:val="fr-FR"/>
        </w:rPr>
        <w:t>par exemple</w:t>
      </w:r>
      <w:r w:rsidR="007C4412" w:rsidRPr="005808ED">
        <w:rPr>
          <w:lang w:val="fr-FR"/>
        </w:rPr>
        <w:t>, le cas pour les zones résidentielles, à l’utilisation occasionnelle</w:t>
      </w:r>
      <w:r w:rsidRPr="005808ED">
        <w:rPr>
          <w:lang w:val="fr-FR"/>
        </w:rPr>
        <w:t xml:space="preserve"> </w:t>
      </w:r>
      <w:r w:rsidR="007C4412" w:rsidRPr="005808ED">
        <w:rPr>
          <w:lang w:val="fr-FR"/>
        </w:rPr>
        <w:t>pour</w:t>
      </w:r>
      <w:r w:rsidRPr="005808ED">
        <w:rPr>
          <w:lang w:val="fr-FR"/>
        </w:rPr>
        <w:t xml:space="preserve"> les zones à usage récréatif. L</w:t>
      </w:r>
      <w:r w:rsidR="00B3097B" w:rsidRPr="005808ED">
        <w:rPr>
          <w:lang w:val="fr-FR"/>
        </w:rPr>
        <w:t>’</w:t>
      </w:r>
      <w:r w:rsidRPr="005808ED">
        <w:rPr>
          <w:lang w:val="fr-FR"/>
        </w:rPr>
        <w:t xml:space="preserve">usage qui est fait des eaux souterraines </w:t>
      </w:r>
      <w:r w:rsidR="00A9159B" w:rsidRPr="005808ED">
        <w:rPr>
          <w:lang w:val="fr-FR"/>
        </w:rPr>
        <w:t xml:space="preserve">des </w:t>
      </w:r>
      <w:r w:rsidRPr="005808ED">
        <w:rPr>
          <w:lang w:val="fr-FR"/>
        </w:rPr>
        <w:t>environ</w:t>
      </w:r>
      <w:r w:rsidR="00A9159B" w:rsidRPr="005808ED">
        <w:rPr>
          <w:lang w:val="fr-FR"/>
        </w:rPr>
        <w:t xml:space="preserve">s </w:t>
      </w:r>
      <w:r w:rsidRPr="005808ED">
        <w:rPr>
          <w:lang w:val="fr-FR"/>
        </w:rPr>
        <w:t xml:space="preserve">peut également être important, </w:t>
      </w:r>
      <w:r w:rsidR="00A9159B" w:rsidRPr="005808ED">
        <w:rPr>
          <w:lang w:val="fr-FR"/>
        </w:rPr>
        <w:t>y compris</w:t>
      </w:r>
      <w:r w:rsidRPr="005808ED">
        <w:rPr>
          <w:lang w:val="fr-FR"/>
        </w:rPr>
        <w:t xml:space="preserve"> leur usage ou non à des fins de consommation. Le modèle conceptuel du site devrait être actualisé à mesure que de nouvelles informations deviennent disponibles. Les étapes d</w:t>
      </w:r>
      <w:r w:rsidR="00B3097B" w:rsidRPr="005808ED">
        <w:rPr>
          <w:lang w:val="fr-FR"/>
        </w:rPr>
        <w:t>’</w:t>
      </w:r>
      <w:r w:rsidRPr="005808ED">
        <w:rPr>
          <w:lang w:val="fr-FR"/>
        </w:rPr>
        <w:t>élaboration d</w:t>
      </w:r>
      <w:r w:rsidR="00B3097B" w:rsidRPr="005808ED">
        <w:rPr>
          <w:lang w:val="fr-FR"/>
        </w:rPr>
        <w:t>’</w:t>
      </w:r>
      <w:r w:rsidRPr="005808ED">
        <w:rPr>
          <w:lang w:val="fr-FR"/>
        </w:rPr>
        <w:t xml:space="preserve">un </w:t>
      </w:r>
      <w:r w:rsidR="004B0927" w:rsidRPr="005808ED">
        <w:rPr>
          <w:lang w:val="fr-FR"/>
        </w:rPr>
        <w:t xml:space="preserve">tel </w:t>
      </w:r>
      <w:r w:rsidRPr="005808ED">
        <w:rPr>
          <w:lang w:val="fr-FR"/>
        </w:rPr>
        <w:t xml:space="preserve">modèle pour chaque site pourraient servir à </w:t>
      </w:r>
      <w:r w:rsidR="004E40FC" w:rsidRPr="005808ED">
        <w:rPr>
          <w:lang w:val="fr-FR"/>
        </w:rPr>
        <w:t>classer par ordre de priorité</w:t>
      </w:r>
      <w:r w:rsidRPr="005808ED">
        <w:rPr>
          <w:lang w:val="fr-FR"/>
        </w:rPr>
        <w:t xml:space="preserve"> les sites devant faire l</w:t>
      </w:r>
      <w:r w:rsidR="00B3097B" w:rsidRPr="005808ED">
        <w:rPr>
          <w:lang w:val="fr-FR"/>
        </w:rPr>
        <w:t>’</w:t>
      </w:r>
      <w:r w:rsidRPr="005808ED">
        <w:rPr>
          <w:lang w:val="fr-FR"/>
        </w:rPr>
        <w:t>objet d</w:t>
      </w:r>
      <w:r w:rsidR="00B3097B" w:rsidRPr="005808ED">
        <w:rPr>
          <w:lang w:val="fr-FR"/>
        </w:rPr>
        <w:t>’</w:t>
      </w:r>
      <w:r w:rsidRPr="005808ED">
        <w:rPr>
          <w:lang w:val="fr-FR"/>
        </w:rPr>
        <w:t>une étude approfondie. L</w:t>
      </w:r>
      <w:r w:rsidR="008A4876" w:rsidRPr="005808ED">
        <w:rPr>
          <w:lang w:val="fr-FR"/>
        </w:rPr>
        <w:t>e classement</w:t>
      </w:r>
      <w:r w:rsidRPr="005808ED">
        <w:rPr>
          <w:lang w:val="fr-FR"/>
        </w:rPr>
        <w:t xml:space="preserve"> pourrait être </w:t>
      </w:r>
      <w:r w:rsidR="008A4876" w:rsidRPr="005808ED">
        <w:rPr>
          <w:lang w:val="fr-FR"/>
        </w:rPr>
        <w:t>établi</w:t>
      </w:r>
      <w:r w:rsidRPr="005808ED">
        <w:rPr>
          <w:lang w:val="fr-FR"/>
        </w:rPr>
        <w:t xml:space="preserve"> </w:t>
      </w:r>
      <w:r w:rsidR="008A4876" w:rsidRPr="005808ED">
        <w:rPr>
          <w:lang w:val="fr-FR"/>
        </w:rPr>
        <w:t xml:space="preserve">sur la base </w:t>
      </w:r>
      <w:r w:rsidRPr="005808ED">
        <w:rPr>
          <w:lang w:val="fr-FR"/>
        </w:rPr>
        <w:t xml:space="preserve">non seulement </w:t>
      </w:r>
      <w:r w:rsidR="008A4876" w:rsidRPr="005808ED">
        <w:rPr>
          <w:lang w:val="fr-FR"/>
        </w:rPr>
        <w:t>des</w:t>
      </w:r>
      <w:r w:rsidRPr="005808ED">
        <w:rPr>
          <w:lang w:val="fr-FR"/>
        </w:rPr>
        <w:t xml:space="preserve"> plus </w:t>
      </w:r>
      <w:r w:rsidR="008A4876" w:rsidRPr="005808ED">
        <w:rPr>
          <w:lang w:val="fr-FR"/>
        </w:rPr>
        <w:t>fortes valeurs attendues des taux</w:t>
      </w:r>
      <w:r w:rsidRPr="005808ED">
        <w:rPr>
          <w:lang w:val="fr-FR"/>
        </w:rPr>
        <w:t xml:space="preserve"> de mercure, mais </w:t>
      </w:r>
      <w:r w:rsidR="008A4876" w:rsidRPr="005808ED">
        <w:rPr>
          <w:lang w:val="fr-FR"/>
        </w:rPr>
        <w:t>aussi du plus grand</w:t>
      </w:r>
      <w:r w:rsidRPr="005808ED">
        <w:rPr>
          <w:lang w:val="fr-FR"/>
        </w:rPr>
        <w:t xml:space="preserve"> </w:t>
      </w:r>
      <w:r w:rsidR="004B0927" w:rsidRPr="005808ED">
        <w:rPr>
          <w:lang w:val="fr-FR"/>
        </w:rPr>
        <w:t>impact</w:t>
      </w:r>
      <w:r w:rsidRPr="005808ED">
        <w:rPr>
          <w:lang w:val="fr-FR"/>
        </w:rPr>
        <w:t xml:space="preserve"> </w:t>
      </w:r>
      <w:r w:rsidR="008A4876" w:rsidRPr="005808ED">
        <w:rPr>
          <w:lang w:val="fr-FR"/>
        </w:rPr>
        <w:t xml:space="preserve">probable </w:t>
      </w:r>
      <w:r w:rsidRPr="005808ED">
        <w:rPr>
          <w:lang w:val="fr-FR"/>
        </w:rPr>
        <w:t>sur les écosystèmes ou les populations.</w:t>
      </w:r>
    </w:p>
    <w:p w14:paraId="54035B52" w14:textId="15317B9E" w:rsidR="00F252EE" w:rsidRPr="005808ED" w:rsidRDefault="00482C5F" w:rsidP="00F51980">
      <w:pPr>
        <w:pStyle w:val="Normalnumber"/>
        <w:numPr>
          <w:ilvl w:val="0"/>
          <w:numId w:val="12"/>
        </w:numPr>
        <w:ind w:left="1247" w:firstLine="0"/>
        <w:rPr>
          <w:lang w:val="fr-FR"/>
        </w:rPr>
      </w:pPr>
      <w:r w:rsidRPr="005808ED">
        <w:rPr>
          <w:lang w:val="fr-FR"/>
        </w:rPr>
        <w:t>Les sites potentiellement contaminés peuvent en outre être caractérisés au moyen de protocoles d</w:t>
      </w:r>
      <w:r w:rsidR="00B3097B" w:rsidRPr="005808ED">
        <w:rPr>
          <w:lang w:val="fr-FR"/>
        </w:rPr>
        <w:t>’</w:t>
      </w:r>
      <w:r w:rsidRPr="005808ED">
        <w:rPr>
          <w:lang w:val="fr-FR"/>
        </w:rPr>
        <w:t>évaluation préalable</w:t>
      </w:r>
      <w:r w:rsidR="00F252EE" w:rsidRPr="005808ED">
        <w:rPr>
          <w:rStyle w:val="FootnoteReference"/>
          <w:lang w:val="fr-FR"/>
        </w:rPr>
        <w:footnoteReference w:id="4"/>
      </w:r>
      <w:r w:rsidRPr="005808ED">
        <w:rPr>
          <w:lang w:val="fr-FR"/>
        </w:rPr>
        <w:t xml:space="preserve"> </w:t>
      </w:r>
      <w:r w:rsidR="008A4876" w:rsidRPr="005808ED">
        <w:rPr>
          <w:lang w:val="fr-FR"/>
        </w:rPr>
        <w:t xml:space="preserve">et d’évaluation </w:t>
      </w:r>
      <w:r w:rsidRPr="005808ED">
        <w:rPr>
          <w:lang w:val="fr-FR"/>
        </w:rPr>
        <w:t>détaillée. Les évaluations préalables sont utiles pour distinguer les sites selon le niveau d</w:t>
      </w:r>
      <w:r w:rsidR="00B3097B" w:rsidRPr="005808ED">
        <w:rPr>
          <w:lang w:val="fr-FR"/>
        </w:rPr>
        <w:t>’</w:t>
      </w:r>
      <w:r w:rsidRPr="005808ED">
        <w:rPr>
          <w:lang w:val="fr-FR"/>
        </w:rPr>
        <w:t>inquiétude qu</w:t>
      </w:r>
      <w:r w:rsidR="00B3097B" w:rsidRPr="005808ED">
        <w:rPr>
          <w:lang w:val="fr-FR"/>
        </w:rPr>
        <w:t>’</w:t>
      </w:r>
      <w:r w:rsidRPr="005808ED">
        <w:rPr>
          <w:lang w:val="fr-FR"/>
        </w:rPr>
        <w:t xml:space="preserve">ils suscitent, de manière à pouvoir concentrer les ressources sur les problèmes les plus graves. </w:t>
      </w:r>
    </w:p>
    <w:p w14:paraId="1FD339AC" w14:textId="73500C26" w:rsidR="00F252EE" w:rsidRPr="005808ED" w:rsidRDefault="009B41AE" w:rsidP="00F51980">
      <w:pPr>
        <w:pStyle w:val="Normalnumber"/>
        <w:numPr>
          <w:ilvl w:val="0"/>
          <w:numId w:val="12"/>
        </w:numPr>
        <w:ind w:left="1247" w:firstLine="0"/>
        <w:rPr>
          <w:lang w:val="fr-FR"/>
        </w:rPr>
      </w:pPr>
      <w:r w:rsidRPr="005808ED">
        <w:rPr>
          <w:lang w:val="fr-FR"/>
        </w:rPr>
        <w:t>L</w:t>
      </w:r>
      <w:r w:rsidR="00B3097B" w:rsidRPr="005808ED">
        <w:rPr>
          <w:lang w:val="fr-FR"/>
        </w:rPr>
        <w:t>’</w:t>
      </w:r>
      <w:r w:rsidRPr="005808ED">
        <w:rPr>
          <w:lang w:val="fr-FR"/>
        </w:rPr>
        <w:t>évaluation d</w:t>
      </w:r>
      <w:r w:rsidR="00B3097B" w:rsidRPr="005808ED">
        <w:rPr>
          <w:lang w:val="fr-FR"/>
        </w:rPr>
        <w:t>’</w:t>
      </w:r>
      <w:r w:rsidRPr="005808ED">
        <w:rPr>
          <w:lang w:val="fr-FR"/>
        </w:rPr>
        <w:t>un site devrait s</w:t>
      </w:r>
      <w:r w:rsidR="00B04297" w:rsidRPr="005808ED">
        <w:rPr>
          <w:lang w:val="fr-FR"/>
        </w:rPr>
        <w:t>’inscr</w:t>
      </w:r>
      <w:r w:rsidRPr="005808ED">
        <w:rPr>
          <w:lang w:val="fr-FR"/>
        </w:rPr>
        <w:t>ire dans le cadre d</w:t>
      </w:r>
      <w:r w:rsidR="00B3097B" w:rsidRPr="005808ED">
        <w:rPr>
          <w:lang w:val="fr-FR"/>
        </w:rPr>
        <w:t>’</w:t>
      </w:r>
      <w:r w:rsidRPr="005808ED">
        <w:rPr>
          <w:lang w:val="fr-FR"/>
        </w:rPr>
        <w:t>objectifs tels que les suivants</w:t>
      </w:r>
      <w:r w:rsidR="0097152B" w:rsidRPr="005808ED">
        <w:rPr>
          <w:lang w:val="fr-FR"/>
        </w:rPr>
        <w:t> :</w:t>
      </w:r>
      <w:r w:rsidRPr="005808ED">
        <w:rPr>
          <w:lang w:val="fr-FR"/>
        </w:rPr>
        <w:t xml:space="preserve"> </w:t>
      </w:r>
    </w:p>
    <w:p w14:paraId="05585002" w14:textId="4A80A369" w:rsidR="00F252EE" w:rsidRPr="005808ED" w:rsidRDefault="00F252EE" w:rsidP="00F51980">
      <w:pPr>
        <w:pStyle w:val="Normalnumber"/>
        <w:numPr>
          <w:ilvl w:val="1"/>
          <w:numId w:val="12"/>
        </w:numPr>
        <w:ind w:left="2495" w:hanging="624"/>
        <w:rPr>
          <w:lang w:val="fr-FR"/>
        </w:rPr>
      </w:pPr>
      <w:r w:rsidRPr="005808ED">
        <w:rPr>
          <w:lang w:val="fr-FR"/>
        </w:rPr>
        <w:t>Déterminer l</w:t>
      </w:r>
      <w:r w:rsidR="00B04297" w:rsidRPr="005808ED">
        <w:rPr>
          <w:lang w:val="fr-FR"/>
        </w:rPr>
        <w:t>es antécédents d’utilisation</w:t>
      </w:r>
      <w:r w:rsidRPr="005808ED">
        <w:rPr>
          <w:lang w:val="fr-FR"/>
        </w:rPr>
        <w:t xml:space="preserve"> du site</w:t>
      </w:r>
    </w:p>
    <w:p w14:paraId="28020C02" w14:textId="77777777" w:rsidR="00F252EE" w:rsidRPr="005808ED" w:rsidRDefault="00F252EE" w:rsidP="00F51980">
      <w:pPr>
        <w:pStyle w:val="Normalnumber"/>
        <w:numPr>
          <w:ilvl w:val="1"/>
          <w:numId w:val="12"/>
        </w:numPr>
        <w:ind w:left="2495" w:hanging="624"/>
        <w:rPr>
          <w:lang w:val="fr-FR"/>
        </w:rPr>
      </w:pPr>
      <w:r w:rsidRPr="005808ED">
        <w:rPr>
          <w:lang w:val="fr-FR"/>
        </w:rPr>
        <w:t>Caractériser les types de contaminants présents sur le site</w:t>
      </w:r>
    </w:p>
    <w:p w14:paraId="719373CD" w14:textId="69A1EEDA" w:rsidR="00F252EE" w:rsidRPr="005808ED" w:rsidRDefault="00F252EE" w:rsidP="00F51980">
      <w:pPr>
        <w:pStyle w:val="Normalnumber"/>
        <w:numPr>
          <w:ilvl w:val="1"/>
          <w:numId w:val="12"/>
        </w:numPr>
        <w:ind w:left="2495" w:hanging="624"/>
        <w:rPr>
          <w:lang w:val="fr-FR"/>
        </w:rPr>
      </w:pPr>
      <w:r w:rsidRPr="005808ED">
        <w:rPr>
          <w:lang w:val="fr-FR"/>
        </w:rPr>
        <w:t>Déterminer l</w:t>
      </w:r>
      <w:r w:rsidR="00B3097B" w:rsidRPr="005808ED">
        <w:rPr>
          <w:lang w:val="fr-FR"/>
        </w:rPr>
        <w:t>’</w:t>
      </w:r>
      <w:r w:rsidRPr="005808ED">
        <w:rPr>
          <w:lang w:val="fr-FR"/>
        </w:rPr>
        <w:t>ampleur et la répartition géographique de la contamination</w:t>
      </w:r>
    </w:p>
    <w:p w14:paraId="40CE7FD3" w14:textId="50623E10" w:rsidR="00F252EE" w:rsidRPr="005808ED" w:rsidRDefault="00F252EE" w:rsidP="00F51980">
      <w:pPr>
        <w:pStyle w:val="Normalnumber"/>
        <w:numPr>
          <w:ilvl w:val="1"/>
          <w:numId w:val="12"/>
        </w:numPr>
        <w:ind w:left="2495" w:hanging="624"/>
        <w:rPr>
          <w:lang w:val="fr-FR"/>
        </w:rPr>
      </w:pPr>
      <w:r w:rsidRPr="005808ED">
        <w:rPr>
          <w:lang w:val="fr-FR"/>
        </w:rPr>
        <w:t>Aboutir à une meilleure compréhension de la géologie et de l</w:t>
      </w:r>
      <w:r w:rsidR="00B3097B" w:rsidRPr="005808ED">
        <w:rPr>
          <w:lang w:val="fr-FR"/>
        </w:rPr>
        <w:t>’</w:t>
      </w:r>
      <w:r w:rsidRPr="005808ED">
        <w:rPr>
          <w:lang w:val="fr-FR"/>
        </w:rPr>
        <w:t>hydrogéologie du site</w:t>
      </w:r>
    </w:p>
    <w:p w14:paraId="4D0AA156" w14:textId="6930DE48" w:rsidR="00F252EE" w:rsidRPr="005808ED" w:rsidRDefault="00F252EE" w:rsidP="00F51980">
      <w:pPr>
        <w:pStyle w:val="Normalnumber"/>
        <w:numPr>
          <w:ilvl w:val="1"/>
          <w:numId w:val="12"/>
        </w:numPr>
        <w:ind w:left="2495" w:hanging="624"/>
        <w:rPr>
          <w:lang w:val="fr-FR"/>
        </w:rPr>
      </w:pPr>
      <w:r w:rsidRPr="005808ED">
        <w:rPr>
          <w:lang w:val="fr-FR"/>
        </w:rPr>
        <w:t>Caractériser la migration réelle des contaminants (devenir et propagation, récepteurs, voies de pénétration dans l</w:t>
      </w:r>
      <w:r w:rsidR="00B3097B" w:rsidRPr="005808ED">
        <w:rPr>
          <w:lang w:val="fr-FR"/>
        </w:rPr>
        <w:t>’</w:t>
      </w:r>
      <w:r w:rsidRPr="005808ED">
        <w:rPr>
          <w:lang w:val="fr-FR"/>
        </w:rPr>
        <w:t>environnement et voies d</w:t>
      </w:r>
      <w:r w:rsidR="00B3097B" w:rsidRPr="005808ED">
        <w:rPr>
          <w:lang w:val="fr-FR"/>
        </w:rPr>
        <w:t>’</w:t>
      </w:r>
      <w:r w:rsidRPr="005808ED">
        <w:rPr>
          <w:lang w:val="fr-FR"/>
        </w:rPr>
        <w:t xml:space="preserve">exposition) et définir </w:t>
      </w:r>
      <w:r w:rsidR="004F02E7" w:rsidRPr="005808ED">
        <w:rPr>
          <w:lang w:val="fr-FR"/>
        </w:rPr>
        <w:t xml:space="preserve">leur </w:t>
      </w:r>
      <w:r w:rsidRPr="005808ED">
        <w:rPr>
          <w:lang w:val="fr-FR"/>
        </w:rPr>
        <w:t>migration potentielle</w:t>
      </w:r>
    </w:p>
    <w:p w14:paraId="2BDC385C" w14:textId="253A4B8B" w:rsidR="00F252EE" w:rsidRPr="005808ED" w:rsidRDefault="00F252EE" w:rsidP="00F51980">
      <w:pPr>
        <w:pStyle w:val="Normalnumber"/>
        <w:numPr>
          <w:ilvl w:val="1"/>
          <w:numId w:val="12"/>
        </w:numPr>
        <w:ind w:left="2495" w:hanging="624"/>
        <w:rPr>
          <w:lang w:val="fr-FR"/>
        </w:rPr>
      </w:pPr>
      <w:r w:rsidRPr="005808ED">
        <w:rPr>
          <w:lang w:val="fr-FR"/>
        </w:rPr>
        <w:t>Évaluer les expositions réelle et potentielle des populations locales et de l</w:t>
      </w:r>
      <w:r w:rsidR="00B3097B" w:rsidRPr="005808ED">
        <w:rPr>
          <w:lang w:val="fr-FR"/>
        </w:rPr>
        <w:t>’</w:t>
      </w:r>
      <w:r w:rsidRPr="005808ED">
        <w:rPr>
          <w:lang w:val="fr-FR"/>
        </w:rPr>
        <w:t xml:space="preserve">environnement. </w:t>
      </w:r>
    </w:p>
    <w:p w14:paraId="3A6AEC47" w14:textId="2C541030" w:rsidR="00F252EE" w:rsidRPr="005808ED" w:rsidRDefault="00371146" w:rsidP="00F51980">
      <w:pPr>
        <w:pStyle w:val="Normalnumber"/>
        <w:numPr>
          <w:ilvl w:val="0"/>
          <w:numId w:val="12"/>
        </w:numPr>
        <w:ind w:left="1247" w:firstLine="0"/>
        <w:rPr>
          <w:lang w:val="fr-FR"/>
        </w:rPr>
      </w:pPr>
      <w:r w:rsidRPr="005808ED">
        <w:rPr>
          <w:lang w:val="fr-FR"/>
        </w:rPr>
        <w:t>Au besoin, d</w:t>
      </w:r>
      <w:r w:rsidR="00B3097B" w:rsidRPr="005808ED">
        <w:rPr>
          <w:lang w:val="fr-FR"/>
        </w:rPr>
        <w:t>’</w:t>
      </w:r>
      <w:r w:rsidRPr="005808ED">
        <w:rPr>
          <w:lang w:val="fr-FR"/>
        </w:rPr>
        <w:t xml:space="preserve">autres objectifs peuvent être fixés dans le cas où un site donné soulèverait des questions particulières. </w:t>
      </w:r>
    </w:p>
    <w:p w14:paraId="32F724E1" w14:textId="211703B0" w:rsidR="00F252EE" w:rsidRPr="005808ED" w:rsidRDefault="00F252EE" w:rsidP="00F51980">
      <w:pPr>
        <w:pStyle w:val="Normalnumber"/>
        <w:numPr>
          <w:ilvl w:val="0"/>
          <w:numId w:val="12"/>
        </w:numPr>
        <w:ind w:left="1247" w:firstLine="0"/>
        <w:rPr>
          <w:lang w:val="fr-FR"/>
        </w:rPr>
      </w:pPr>
      <w:r w:rsidRPr="005808ED">
        <w:rPr>
          <w:lang w:val="fr-FR"/>
        </w:rPr>
        <w:t>Une fois les objectifs de l</w:t>
      </w:r>
      <w:r w:rsidR="00B3097B" w:rsidRPr="005808ED">
        <w:rPr>
          <w:lang w:val="fr-FR"/>
        </w:rPr>
        <w:t>’</w:t>
      </w:r>
      <w:r w:rsidRPr="005808ED">
        <w:rPr>
          <w:lang w:val="fr-FR"/>
        </w:rPr>
        <w:t>étude fixés, un plan d</w:t>
      </w:r>
      <w:r w:rsidR="00B3097B" w:rsidRPr="005808ED">
        <w:rPr>
          <w:lang w:val="fr-FR"/>
        </w:rPr>
        <w:t>’</w:t>
      </w:r>
      <w:r w:rsidRPr="005808ED">
        <w:rPr>
          <w:lang w:val="fr-FR"/>
        </w:rPr>
        <w:t>échantillonnage et d</w:t>
      </w:r>
      <w:r w:rsidR="00B3097B" w:rsidRPr="005808ED">
        <w:rPr>
          <w:lang w:val="fr-FR"/>
        </w:rPr>
        <w:t>’</w:t>
      </w:r>
      <w:r w:rsidRPr="005808ED">
        <w:rPr>
          <w:lang w:val="fr-FR"/>
        </w:rPr>
        <w:t>analyse d</w:t>
      </w:r>
      <w:r w:rsidR="002F049C" w:rsidRPr="005808ED">
        <w:rPr>
          <w:lang w:val="fr-FR"/>
        </w:rPr>
        <w:t>evrai</w:t>
      </w:r>
      <w:r w:rsidRPr="005808ED">
        <w:rPr>
          <w:lang w:val="fr-FR"/>
        </w:rPr>
        <w:t>t être élaboré. Le plan devrait s</w:t>
      </w:r>
      <w:r w:rsidR="00B3097B" w:rsidRPr="005808ED">
        <w:rPr>
          <w:lang w:val="fr-FR"/>
        </w:rPr>
        <w:t>’</w:t>
      </w:r>
      <w:r w:rsidRPr="005808ED">
        <w:rPr>
          <w:lang w:val="fr-FR"/>
        </w:rPr>
        <w:t xml:space="preserve">appuyer sur les informations disponibles </w:t>
      </w:r>
      <w:r w:rsidR="00B04297" w:rsidRPr="005808ED">
        <w:rPr>
          <w:lang w:val="fr-FR"/>
        </w:rPr>
        <w:t>au sujet du</w:t>
      </w:r>
      <w:r w:rsidRPr="005808ED">
        <w:rPr>
          <w:lang w:val="fr-FR"/>
        </w:rPr>
        <w:t xml:space="preserve"> site et les objectifs de l</w:t>
      </w:r>
      <w:r w:rsidR="00B3097B" w:rsidRPr="005808ED">
        <w:rPr>
          <w:lang w:val="fr-FR"/>
        </w:rPr>
        <w:t>’</w:t>
      </w:r>
      <w:r w:rsidRPr="005808ED">
        <w:rPr>
          <w:lang w:val="fr-FR"/>
        </w:rPr>
        <w:t>étude. Il devrait comprendre les éléments suivants</w:t>
      </w:r>
      <w:r w:rsidR="0097152B" w:rsidRPr="005808ED">
        <w:rPr>
          <w:lang w:val="fr-FR"/>
        </w:rPr>
        <w:t> :</w:t>
      </w:r>
      <w:r w:rsidRPr="005808ED">
        <w:rPr>
          <w:lang w:val="fr-FR"/>
        </w:rPr>
        <w:t xml:space="preserve"> </w:t>
      </w:r>
    </w:p>
    <w:p w14:paraId="4E4E9159" w14:textId="177100DC" w:rsidR="00F252EE" w:rsidRPr="005808ED" w:rsidRDefault="00F252EE" w:rsidP="00F51980">
      <w:pPr>
        <w:pStyle w:val="Normalnumber"/>
        <w:numPr>
          <w:ilvl w:val="1"/>
          <w:numId w:val="12"/>
        </w:numPr>
        <w:ind w:left="2495" w:hanging="624"/>
        <w:rPr>
          <w:lang w:val="fr-FR"/>
        </w:rPr>
      </w:pPr>
      <w:r w:rsidRPr="005808ED">
        <w:rPr>
          <w:lang w:val="fr-FR"/>
        </w:rPr>
        <w:t>Examen des données existantes, y compris l</w:t>
      </w:r>
      <w:r w:rsidR="00B3097B" w:rsidRPr="005808ED">
        <w:rPr>
          <w:lang w:val="fr-FR"/>
        </w:rPr>
        <w:t>’</w:t>
      </w:r>
      <w:r w:rsidRPr="005808ED">
        <w:rPr>
          <w:lang w:val="fr-FR"/>
        </w:rPr>
        <w:t xml:space="preserve">identification des sources réelles et potentielles, </w:t>
      </w:r>
      <w:r w:rsidR="00B04297" w:rsidRPr="005808ED">
        <w:rPr>
          <w:lang w:val="fr-FR"/>
        </w:rPr>
        <w:t>tant</w:t>
      </w:r>
      <w:r w:rsidRPr="005808ED">
        <w:rPr>
          <w:lang w:val="fr-FR"/>
        </w:rPr>
        <w:t xml:space="preserve"> primaires </w:t>
      </w:r>
      <w:r w:rsidR="00B04297" w:rsidRPr="005808ED">
        <w:rPr>
          <w:lang w:val="fr-FR"/>
        </w:rPr>
        <w:t>que</w:t>
      </w:r>
      <w:r w:rsidRPr="005808ED">
        <w:rPr>
          <w:lang w:val="fr-FR"/>
        </w:rPr>
        <w:t xml:space="preserve"> secondaires </w:t>
      </w:r>
    </w:p>
    <w:p w14:paraId="372AD35B" w14:textId="47EB7B72" w:rsidR="00F252EE" w:rsidRPr="005808ED" w:rsidRDefault="00F252EE" w:rsidP="00F51980">
      <w:pPr>
        <w:pStyle w:val="Normalnumber"/>
        <w:numPr>
          <w:ilvl w:val="1"/>
          <w:numId w:val="12"/>
        </w:numPr>
        <w:ind w:left="2495" w:hanging="624"/>
        <w:rPr>
          <w:lang w:val="fr-FR"/>
        </w:rPr>
      </w:pPr>
      <w:r w:rsidRPr="005808ED">
        <w:rPr>
          <w:lang w:val="fr-FR"/>
        </w:rPr>
        <w:t>Tâches préalables, y compris l</w:t>
      </w:r>
      <w:r w:rsidR="00B3097B" w:rsidRPr="005808ED">
        <w:rPr>
          <w:lang w:val="fr-FR"/>
        </w:rPr>
        <w:t>’</w:t>
      </w:r>
      <w:r w:rsidRPr="005808ED">
        <w:rPr>
          <w:lang w:val="fr-FR"/>
        </w:rPr>
        <w:t>élaboration d</w:t>
      </w:r>
      <w:r w:rsidR="00B3097B" w:rsidRPr="005808ED">
        <w:rPr>
          <w:lang w:val="fr-FR"/>
        </w:rPr>
        <w:t>’</w:t>
      </w:r>
      <w:r w:rsidRPr="005808ED">
        <w:rPr>
          <w:lang w:val="fr-FR"/>
        </w:rPr>
        <w:t xml:space="preserve">un plan de </w:t>
      </w:r>
      <w:r w:rsidR="00CD6FE7" w:rsidRPr="005808ED">
        <w:rPr>
          <w:lang w:val="fr-FR"/>
        </w:rPr>
        <w:t xml:space="preserve">protection </w:t>
      </w:r>
      <w:r w:rsidRPr="005808ED">
        <w:rPr>
          <w:lang w:val="fr-FR"/>
        </w:rPr>
        <w:t>san</w:t>
      </w:r>
      <w:r w:rsidR="00CD6FE7" w:rsidRPr="005808ED">
        <w:rPr>
          <w:lang w:val="fr-FR"/>
        </w:rPr>
        <w:t>itaire</w:t>
      </w:r>
      <w:r w:rsidRPr="005808ED">
        <w:rPr>
          <w:lang w:val="fr-FR"/>
        </w:rPr>
        <w:t xml:space="preserve"> et de sécurité et le repérage des équipements </w:t>
      </w:r>
      <w:r w:rsidR="00CD6FE7" w:rsidRPr="005808ED">
        <w:rPr>
          <w:lang w:val="fr-FR"/>
        </w:rPr>
        <w:t xml:space="preserve">collectifs </w:t>
      </w:r>
      <w:r w:rsidRPr="005808ED">
        <w:rPr>
          <w:lang w:val="fr-FR"/>
        </w:rPr>
        <w:t xml:space="preserve">et structures qui pourraient </w:t>
      </w:r>
      <w:r w:rsidR="00CD6FE7" w:rsidRPr="005808ED">
        <w:rPr>
          <w:lang w:val="fr-FR"/>
        </w:rPr>
        <w:t>perturb</w:t>
      </w:r>
      <w:r w:rsidR="000E17E9" w:rsidRPr="005808ED">
        <w:rPr>
          <w:lang w:val="fr-FR"/>
        </w:rPr>
        <w:t>er</w:t>
      </w:r>
      <w:r w:rsidRPr="005808ED">
        <w:rPr>
          <w:lang w:val="fr-FR"/>
        </w:rPr>
        <w:t xml:space="preserve"> les études détaillées ou être </w:t>
      </w:r>
      <w:r w:rsidR="00734FC6" w:rsidRPr="005808ED">
        <w:rPr>
          <w:lang w:val="fr-FR"/>
        </w:rPr>
        <w:t>affect</w:t>
      </w:r>
      <w:r w:rsidRPr="005808ED">
        <w:rPr>
          <w:lang w:val="fr-FR"/>
        </w:rPr>
        <w:t xml:space="preserve">és par ces dernières (cette étape </w:t>
      </w:r>
      <w:r w:rsidR="00CE1E2F" w:rsidRPr="005808ED">
        <w:rPr>
          <w:lang w:val="fr-FR"/>
        </w:rPr>
        <w:t>est destinée</w:t>
      </w:r>
      <w:r w:rsidRPr="005808ED">
        <w:rPr>
          <w:lang w:val="fr-FR"/>
        </w:rPr>
        <w:t xml:space="preserve"> à </w:t>
      </w:r>
      <w:r w:rsidR="00CE1E2F" w:rsidRPr="005808ED">
        <w:rPr>
          <w:lang w:val="fr-FR"/>
        </w:rPr>
        <w:t xml:space="preserve">faire en sorte </w:t>
      </w:r>
      <w:r w:rsidRPr="005808ED">
        <w:rPr>
          <w:lang w:val="fr-FR"/>
        </w:rPr>
        <w:t>que les activités d</w:t>
      </w:r>
      <w:r w:rsidR="00B3097B" w:rsidRPr="005808ED">
        <w:rPr>
          <w:lang w:val="fr-FR"/>
        </w:rPr>
        <w:t>’</w:t>
      </w:r>
      <w:r w:rsidRPr="005808ED">
        <w:rPr>
          <w:lang w:val="fr-FR"/>
        </w:rPr>
        <w:t>échantillonnage ou d</w:t>
      </w:r>
      <w:r w:rsidR="00B3097B" w:rsidRPr="005808ED">
        <w:rPr>
          <w:lang w:val="fr-FR"/>
        </w:rPr>
        <w:t>’</w:t>
      </w:r>
      <w:r w:rsidRPr="005808ED">
        <w:rPr>
          <w:lang w:val="fr-FR"/>
        </w:rPr>
        <w:t>étude n</w:t>
      </w:r>
      <w:r w:rsidR="00B3097B" w:rsidRPr="005808ED">
        <w:rPr>
          <w:lang w:val="fr-FR"/>
        </w:rPr>
        <w:t>’</w:t>
      </w:r>
      <w:r w:rsidRPr="005808ED">
        <w:rPr>
          <w:lang w:val="fr-FR"/>
        </w:rPr>
        <w:t>aient pas d</w:t>
      </w:r>
      <w:r w:rsidR="00B3097B" w:rsidRPr="005808ED">
        <w:rPr>
          <w:lang w:val="fr-FR"/>
        </w:rPr>
        <w:t>’</w:t>
      </w:r>
      <w:r w:rsidRPr="005808ED">
        <w:rPr>
          <w:lang w:val="fr-FR"/>
        </w:rPr>
        <w:t xml:space="preserve">incidence sur la santé et la sécurité des travailleurs, des </w:t>
      </w:r>
      <w:r w:rsidR="00CE1E2F" w:rsidRPr="005808ED">
        <w:rPr>
          <w:lang w:val="fr-FR"/>
        </w:rPr>
        <w:t>voisin</w:t>
      </w:r>
      <w:r w:rsidRPr="005808ED">
        <w:rPr>
          <w:lang w:val="fr-FR"/>
        </w:rPr>
        <w:t xml:space="preserve">s </w:t>
      </w:r>
      <w:r w:rsidR="00CD6FE7" w:rsidRPr="005808ED">
        <w:rPr>
          <w:lang w:val="fr-FR"/>
        </w:rPr>
        <w:t>et</w:t>
      </w:r>
      <w:r w:rsidRPr="005808ED">
        <w:rPr>
          <w:lang w:val="fr-FR"/>
        </w:rPr>
        <w:t xml:space="preserve"> de toute autre personne)</w:t>
      </w:r>
    </w:p>
    <w:p w14:paraId="00FB239A" w14:textId="40B2D9A1" w:rsidR="00F252EE" w:rsidRPr="005808ED" w:rsidRDefault="00F252EE" w:rsidP="00F51980">
      <w:pPr>
        <w:pStyle w:val="Normalnumber"/>
        <w:numPr>
          <w:ilvl w:val="1"/>
          <w:numId w:val="12"/>
        </w:numPr>
        <w:ind w:left="2495" w:hanging="624"/>
        <w:rPr>
          <w:lang w:val="fr-FR"/>
        </w:rPr>
      </w:pPr>
      <w:r w:rsidRPr="005808ED">
        <w:rPr>
          <w:lang w:val="fr-FR"/>
        </w:rPr>
        <w:t>Milieux d</w:t>
      </w:r>
      <w:r w:rsidR="00B3097B" w:rsidRPr="005808ED">
        <w:rPr>
          <w:lang w:val="fr-FR"/>
        </w:rPr>
        <w:t>’</w:t>
      </w:r>
      <w:r w:rsidRPr="005808ED">
        <w:rPr>
          <w:lang w:val="fr-FR"/>
        </w:rPr>
        <w:t>échantillonnage, types de données et outils de recherche, y compris les décisions concernant les milieux qui seront échantillonnés (sol</w:t>
      </w:r>
      <w:r w:rsidR="00C42A7A" w:rsidRPr="005808ED">
        <w:rPr>
          <w:lang w:val="fr-FR"/>
        </w:rPr>
        <w:t>s</w:t>
      </w:r>
      <w:r w:rsidRPr="005808ED">
        <w:rPr>
          <w:lang w:val="fr-FR"/>
        </w:rPr>
        <w:t>, sédiments, eaux souterraines, vapeurs émanant du sol, air, biote, eaux de surface, etc.). (L</w:t>
      </w:r>
      <w:r w:rsidR="00B3097B" w:rsidRPr="005808ED">
        <w:rPr>
          <w:lang w:val="fr-FR"/>
        </w:rPr>
        <w:t>’</w:t>
      </w:r>
      <w:r w:rsidRPr="005808ED">
        <w:rPr>
          <w:lang w:val="fr-FR"/>
        </w:rPr>
        <w:t xml:space="preserve">échantillonnage peut servir à déterminer, entre autres, la concentration chimique, les propriétés physiques et la lixiviabilité des contaminants.) </w:t>
      </w:r>
    </w:p>
    <w:p w14:paraId="3D9180BF" w14:textId="49253514" w:rsidR="00F252EE" w:rsidRPr="005808ED" w:rsidRDefault="00F252EE" w:rsidP="00F51980">
      <w:pPr>
        <w:pStyle w:val="Normalnumber"/>
        <w:numPr>
          <w:ilvl w:val="1"/>
          <w:numId w:val="12"/>
        </w:numPr>
        <w:ind w:left="2495" w:hanging="624"/>
        <w:rPr>
          <w:lang w:val="fr-FR"/>
        </w:rPr>
      </w:pPr>
      <w:r w:rsidRPr="005808ED">
        <w:rPr>
          <w:lang w:val="fr-FR"/>
        </w:rPr>
        <w:t>Plan d</w:t>
      </w:r>
      <w:r w:rsidR="00B3097B" w:rsidRPr="005808ED">
        <w:rPr>
          <w:lang w:val="fr-FR"/>
        </w:rPr>
        <w:t>’</w:t>
      </w:r>
      <w:r w:rsidRPr="005808ED">
        <w:rPr>
          <w:lang w:val="fr-FR"/>
        </w:rPr>
        <w:t xml:space="preserve">échantillonnage </w:t>
      </w:r>
    </w:p>
    <w:p w14:paraId="1204E2E7" w14:textId="4406D0A8" w:rsidR="00F252EE" w:rsidRPr="005808ED" w:rsidRDefault="00F252EE" w:rsidP="00F51980">
      <w:pPr>
        <w:pStyle w:val="Normalnumber"/>
        <w:numPr>
          <w:ilvl w:val="1"/>
          <w:numId w:val="12"/>
        </w:numPr>
        <w:ind w:left="2495" w:hanging="624"/>
        <w:rPr>
          <w:lang w:val="fr-FR"/>
        </w:rPr>
      </w:pPr>
      <w:r w:rsidRPr="005808ED">
        <w:rPr>
          <w:lang w:val="fr-FR"/>
        </w:rPr>
        <w:t>Méthodes d</w:t>
      </w:r>
      <w:r w:rsidR="00B3097B" w:rsidRPr="005808ED">
        <w:rPr>
          <w:lang w:val="fr-FR"/>
        </w:rPr>
        <w:t>’</w:t>
      </w:r>
      <w:r w:rsidRPr="005808ED">
        <w:rPr>
          <w:lang w:val="fr-FR"/>
        </w:rPr>
        <w:t>échantillonnage et d</w:t>
      </w:r>
      <w:r w:rsidR="00B3097B" w:rsidRPr="005808ED">
        <w:rPr>
          <w:lang w:val="fr-FR"/>
        </w:rPr>
        <w:t>’</w:t>
      </w:r>
      <w:r w:rsidRPr="005808ED">
        <w:rPr>
          <w:lang w:val="fr-FR"/>
        </w:rPr>
        <w:t>analyse et projet de plan pour l</w:t>
      </w:r>
      <w:r w:rsidR="00B3097B" w:rsidRPr="005808ED">
        <w:rPr>
          <w:lang w:val="fr-FR"/>
        </w:rPr>
        <w:t>’</w:t>
      </w:r>
      <w:r w:rsidRPr="005808ED">
        <w:rPr>
          <w:lang w:val="fr-FR"/>
        </w:rPr>
        <w:t>assurance de la qualité</w:t>
      </w:r>
    </w:p>
    <w:p w14:paraId="608169BE" w14:textId="62F8F56B" w:rsidR="00F252EE" w:rsidRPr="005808ED" w:rsidRDefault="00076243" w:rsidP="00F51980">
      <w:pPr>
        <w:pStyle w:val="Normalnumber"/>
        <w:numPr>
          <w:ilvl w:val="0"/>
          <w:numId w:val="12"/>
        </w:numPr>
        <w:ind w:left="1247" w:firstLine="0"/>
        <w:rPr>
          <w:lang w:val="fr-FR"/>
        </w:rPr>
      </w:pPr>
      <w:r w:rsidRPr="005808ED">
        <w:rPr>
          <w:lang w:val="fr-FR"/>
        </w:rPr>
        <w:t>Tout protocole national d</w:t>
      </w:r>
      <w:r w:rsidR="00B3097B" w:rsidRPr="005808ED">
        <w:rPr>
          <w:lang w:val="fr-FR"/>
        </w:rPr>
        <w:t>’</w:t>
      </w:r>
      <w:r w:rsidRPr="005808ED">
        <w:rPr>
          <w:lang w:val="fr-FR"/>
        </w:rPr>
        <w:t>échantillonnage et d</w:t>
      </w:r>
      <w:r w:rsidR="00B3097B" w:rsidRPr="005808ED">
        <w:rPr>
          <w:lang w:val="fr-FR"/>
        </w:rPr>
        <w:t>’</w:t>
      </w:r>
      <w:r w:rsidRPr="005808ED">
        <w:rPr>
          <w:lang w:val="fr-FR"/>
        </w:rPr>
        <w:t>analyse existant devrait faire l</w:t>
      </w:r>
      <w:r w:rsidR="00B3097B" w:rsidRPr="005808ED">
        <w:rPr>
          <w:lang w:val="fr-FR"/>
        </w:rPr>
        <w:t>’</w:t>
      </w:r>
      <w:r w:rsidRPr="005808ED">
        <w:rPr>
          <w:lang w:val="fr-FR"/>
        </w:rPr>
        <w:t>objet d</w:t>
      </w:r>
      <w:r w:rsidR="00B3097B" w:rsidRPr="005808ED">
        <w:rPr>
          <w:lang w:val="fr-FR"/>
        </w:rPr>
        <w:t>’</w:t>
      </w:r>
      <w:r w:rsidRPr="005808ED">
        <w:rPr>
          <w:lang w:val="fr-FR"/>
        </w:rPr>
        <w:t>une évaluation afin de déterminer s</w:t>
      </w:r>
      <w:r w:rsidR="00B3097B" w:rsidRPr="005808ED">
        <w:rPr>
          <w:lang w:val="fr-FR"/>
        </w:rPr>
        <w:t>’</w:t>
      </w:r>
      <w:r w:rsidRPr="005808ED">
        <w:rPr>
          <w:lang w:val="fr-FR"/>
        </w:rPr>
        <w:t>il permet</w:t>
      </w:r>
      <w:r w:rsidR="006A552D" w:rsidRPr="005808ED">
        <w:rPr>
          <w:lang w:val="fr-FR"/>
        </w:rPr>
        <w:t>trait</w:t>
      </w:r>
      <w:r w:rsidRPr="005808ED">
        <w:rPr>
          <w:lang w:val="fr-FR"/>
        </w:rPr>
        <w:t xml:space="preserve"> d</w:t>
      </w:r>
      <w:r w:rsidR="00B3097B" w:rsidRPr="005808ED">
        <w:rPr>
          <w:lang w:val="fr-FR"/>
        </w:rPr>
        <w:t>’</w:t>
      </w:r>
      <w:r w:rsidRPr="005808ED">
        <w:rPr>
          <w:lang w:val="fr-FR"/>
        </w:rPr>
        <w:t xml:space="preserve">atteindre les objectifs de la Convention. </w:t>
      </w:r>
    </w:p>
    <w:p w14:paraId="5FC29635" w14:textId="7D41E6BD" w:rsidR="00F252EE" w:rsidRPr="005808ED" w:rsidRDefault="00F17B76" w:rsidP="00F51980">
      <w:pPr>
        <w:pStyle w:val="Normalnumber"/>
        <w:numPr>
          <w:ilvl w:val="0"/>
          <w:numId w:val="12"/>
        </w:numPr>
        <w:ind w:left="1247" w:firstLine="0"/>
        <w:rPr>
          <w:i/>
          <w:lang w:val="fr-FR"/>
        </w:rPr>
      </w:pPr>
      <w:r w:rsidRPr="005808ED">
        <w:rPr>
          <w:lang w:val="fr-FR"/>
        </w:rPr>
        <w:t>L</w:t>
      </w:r>
      <w:r w:rsidR="00B3097B" w:rsidRPr="005808ED">
        <w:rPr>
          <w:lang w:val="fr-FR"/>
        </w:rPr>
        <w:t>’</w:t>
      </w:r>
      <w:r w:rsidRPr="005808ED">
        <w:rPr>
          <w:lang w:val="fr-FR"/>
        </w:rPr>
        <w:t>échantillonnage devrait être conçu de manière à progresser vers les objectifs de l</w:t>
      </w:r>
      <w:r w:rsidR="00B3097B" w:rsidRPr="005808ED">
        <w:rPr>
          <w:lang w:val="fr-FR"/>
        </w:rPr>
        <w:t>’</w:t>
      </w:r>
      <w:r w:rsidRPr="005808ED">
        <w:rPr>
          <w:lang w:val="fr-FR"/>
        </w:rPr>
        <w:t>évaluation, qui visent à déterminer les contaminants présents sur le site et leur répartition et à repérer les foyers susceptibles de faire courir un risque inacceptable à la santé humaine ou à l</w:t>
      </w:r>
      <w:r w:rsidR="00B3097B" w:rsidRPr="005808ED">
        <w:rPr>
          <w:lang w:val="fr-FR"/>
        </w:rPr>
        <w:t>’</w:t>
      </w:r>
      <w:r w:rsidRPr="005808ED">
        <w:rPr>
          <w:lang w:val="fr-FR"/>
        </w:rPr>
        <w:t>environnement. Une</w:t>
      </w:r>
      <w:r w:rsidR="00C33DB7" w:rsidRPr="005808ED">
        <w:rPr>
          <w:lang w:val="fr-FR"/>
        </w:rPr>
        <w:t> </w:t>
      </w:r>
      <w:r w:rsidRPr="005808ED">
        <w:rPr>
          <w:lang w:val="fr-FR"/>
        </w:rPr>
        <w:t>stratégie d</w:t>
      </w:r>
      <w:r w:rsidR="00B3097B" w:rsidRPr="005808ED">
        <w:rPr>
          <w:lang w:val="fr-FR"/>
        </w:rPr>
        <w:t>’</w:t>
      </w:r>
      <w:r w:rsidRPr="005808ED">
        <w:rPr>
          <w:lang w:val="fr-FR"/>
        </w:rPr>
        <w:t>échantillonnage est élaborée en s</w:t>
      </w:r>
      <w:r w:rsidR="00B3097B" w:rsidRPr="005808ED">
        <w:rPr>
          <w:lang w:val="fr-FR"/>
        </w:rPr>
        <w:t>’</w:t>
      </w:r>
      <w:r w:rsidRPr="005808ED">
        <w:rPr>
          <w:lang w:val="fr-FR"/>
        </w:rPr>
        <w:t>appuyant sur les informations réunies et en tenant compte du modèle conceptuel du site, afin de définir la grille d</w:t>
      </w:r>
      <w:r w:rsidR="00B3097B" w:rsidRPr="005808ED">
        <w:rPr>
          <w:lang w:val="fr-FR"/>
        </w:rPr>
        <w:t>’</w:t>
      </w:r>
      <w:r w:rsidRPr="005808ED">
        <w:rPr>
          <w:lang w:val="fr-FR"/>
        </w:rPr>
        <w:t>échantillonnage</w:t>
      </w:r>
      <w:r w:rsidR="0097152B" w:rsidRPr="005808ED">
        <w:rPr>
          <w:lang w:val="fr-FR"/>
        </w:rPr>
        <w:t> ;</w:t>
      </w:r>
      <w:r w:rsidRPr="005808ED">
        <w:rPr>
          <w:lang w:val="fr-FR"/>
        </w:rPr>
        <w:t xml:space="preserve"> la densité, le nombre et la répartition des points d</w:t>
      </w:r>
      <w:r w:rsidR="00B3097B" w:rsidRPr="005808ED">
        <w:rPr>
          <w:lang w:val="fr-FR"/>
        </w:rPr>
        <w:t>’</w:t>
      </w:r>
      <w:r w:rsidRPr="005808ED">
        <w:rPr>
          <w:lang w:val="fr-FR"/>
        </w:rPr>
        <w:t>échantillonnage, le type d</w:t>
      </w:r>
      <w:r w:rsidR="00B3097B" w:rsidRPr="005808ED">
        <w:rPr>
          <w:lang w:val="fr-FR"/>
        </w:rPr>
        <w:t>’</w:t>
      </w:r>
      <w:r w:rsidRPr="005808ED">
        <w:rPr>
          <w:lang w:val="fr-FR"/>
        </w:rPr>
        <w:t>échantillonnage (un ou plusieurs degrés) et le type d</w:t>
      </w:r>
      <w:r w:rsidR="00B3097B" w:rsidRPr="005808ED">
        <w:rPr>
          <w:lang w:val="fr-FR"/>
        </w:rPr>
        <w:t>’</w:t>
      </w:r>
      <w:r w:rsidRPr="005808ED">
        <w:rPr>
          <w:lang w:val="fr-FR"/>
        </w:rPr>
        <w:t>échantillon (simple ou composite)</w:t>
      </w:r>
      <w:r w:rsidR="0097152B" w:rsidRPr="005808ED">
        <w:rPr>
          <w:lang w:val="fr-FR"/>
        </w:rPr>
        <w:t> ;</w:t>
      </w:r>
      <w:r w:rsidRPr="005808ED">
        <w:rPr>
          <w:lang w:val="fr-FR"/>
        </w:rPr>
        <w:t xml:space="preserve"> la profondeur de l</w:t>
      </w:r>
      <w:r w:rsidR="00B3097B" w:rsidRPr="005808ED">
        <w:rPr>
          <w:lang w:val="fr-FR"/>
        </w:rPr>
        <w:t>’</w:t>
      </w:r>
      <w:r w:rsidRPr="005808ED">
        <w:rPr>
          <w:lang w:val="fr-FR"/>
        </w:rPr>
        <w:t>échantillonnage (un échantillon devrait être prélevé très près de la surface en raison de la possibilité de contact direct, d</w:t>
      </w:r>
      <w:r w:rsidR="00B3097B" w:rsidRPr="005808ED">
        <w:rPr>
          <w:lang w:val="fr-FR"/>
        </w:rPr>
        <w:t>’</w:t>
      </w:r>
      <w:r w:rsidRPr="005808ED">
        <w:rPr>
          <w:lang w:val="fr-FR"/>
        </w:rPr>
        <w:t>ingestion ou d</w:t>
      </w:r>
      <w:r w:rsidR="00B3097B" w:rsidRPr="005808ED">
        <w:rPr>
          <w:lang w:val="fr-FR"/>
        </w:rPr>
        <w:t>’</w:t>
      </w:r>
      <w:r w:rsidRPr="005808ED">
        <w:rPr>
          <w:lang w:val="fr-FR"/>
        </w:rPr>
        <w:t>inhalation) et les intervalles de profondeur des échantillons</w:t>
      </w:r>
      <w:r w:rsidR="0097152B" w:rsidRPr="005808ED">
        <w:rPr>
          <w:lang w:val="fr-FR"/>
        </w:rPr>
        <w:t> ;</w:t>
      </w:r>
      <w:r w:rsidRPr="005808ED">
        <w:rPr>
          <w:lang w:val="fr-FR"/>
        </w:rPr>
        <w:t xml:space="preserve"> et les contaminants visés (mercure, méthylmercure et autres composés du mercure). Il faudrait également prélever des échantillons dans les eaux souterraines chaque fois qu</w:t>
      </w:r>
      <w:r w:rsidR="00B3097B" w:rsidRPr="005808ED">
        <w:rPr>
          <w:lang w:val="fr-FR"/>
        </w:rPr>
        <w:t>’</w:t>
      </w:r>
      <w:r w:rsidRPr="005808ED">
        <w:rPr>
          <w:lang w:val="fr-FR"/>
        </w:rPr>
        <w:t>il est permis de penser que la contamination a pu atteindre le niveau phréatique ou que le forage des puits a pu traverser ce derni</w:t>
      </w:r>
      <w:r w:rsidR="000E65DC" w:rsidRPr="005808ED">
        <w:rPr>
          <w:lang w:val="fr-FR"/>
        </w:rPr>
        <w:t>er</w:t>
      </w:r>
      <w:r w:rsidRPr="005808ED">
        <w:rPr>
          <w:lang w:val="fr-FR"/>
        </w:rPr>
        <w:t>.</w:t>
      </w:r>
    </w:p>
    <w:p w14:paraId="47095694" w14:textId="7271AA78" w:rsidR="00A9643E" w:rsidRPr="005808ED" w:rsidRDefault="00F252EE" w:rsidP="00191418">
      <w:pPr>
        <w:pStyle w:val="Normalnumber"/>
        <w:numPr>
          <w:ilvl w:val="0"/>
          <w:numId w:val="12"/>
        </w:numPr>
        <w:ind w:left="1247" w:firstLine="0"/>
        <w:rPr>
          <w:lang w:val="fr-FR"/>
        </w:rPr>
      </w:pPr>
      <w:r w:rsidRPr="005808ED">
        <w:rPr>
          <w:lang w:val="fr-FR"/>
        </w:rPr>
        <w:t>Les méthodes d</w:t>
      </w:r>
      <w:r w:rsidR="00B3097B" w:rsidRPr="005808ED">
        <w:rPr>
          <w:lang w:val="fr-FR"/>
        </w:rPr>
        <w:t>’</w:t>
      </w:r>
      <w:r w:rsidRPr="005808ED">
        <w:rPr>
          <w:lang w:val="fr-FR"/>
        </w:rPr>
        <w:t>échantillonnage ont été examinées dans le cadre d</w:t>
      </w:r>
      <w:r w:rsidR="00B3097B" w:rsidRPr="005808ED">
        <w:rPr>
          <w:lang w:val="fr-FR"/>
        </w:rPr>
        <w:t>’</w:t>
      </w:r>
      <w:r w:rsidRPr="005808ED">
        <w:rPr>
          <w:lang w:val="fr-FR"/>
        </w:rPr>
        <w:t>un projet financé par le Fonds pour l</w:t>
      </w:r>
      <w:r w:rsidR="00B3097B" w:rsidRPr="005808ED">
        <w:rPr>
          <w:lang w:val="fr-FR"/>
        </w:rPr>
        <w:t>’</w:t>
      </w:r>
      <w:r w:rsidRPr="005808ED">
        <w:rPr>
          <w:lang w:val="fr-FR"/>
        </w:rPr>
        <w:t>environnement mondial visant à élaborer un plan mondial de surveillance de l</w:t>
      </w:r>
      <w:r w:rsidR="00B3097B" w:rsidRPr="005808ED">
        <w:rPr>
          <w:lang w:val="fr-FR"/>
        </w:rPr>
        <w:t>’</w:t>
      </w:r>
      <w:r w:rsidRPr="005808ED">
        <w:rPr>
          <w:lang w:val="fr-FR"/>
        </w:rPr>
        <w:t>exposition des êtres humains au mercure et des concentrations de cette substance dans l</w:t>
      </w:r>
      <w:r w:rsidR="00B3097B" w:rsidRPr="005808ED">
        <w:rPr>
          <w:lang w:val="fr-FR"/>
        </w:rPr>
        <w:t>’</w:t>
      </w:r>
      <w:r w:rsidRPr="005808ED">
        <w:rPr>
          <w:lang w:val="fr-FR"/>
        </w:rPr>
        <w:t>environnement. Il existe des méthodes d</w:t>
      </w:r>
      <w:r w:rsidR="00B3097B" w:rsidRPr="005808ED">
        <w:rPr>
          <w:lang w:val="fr-FR"/>
        </w:rPr>
        <w:t>’</w:t>
      </w:r>
      <w:r w:rsidRPr="005808ED">
        <w:rPr>
          <w:lang w:val="fr-FR"/>
        </w:rPr>
        <w:t>échantillonnage normalisées, y compris pour l</w:t>
      </w:r>
      <w:r w:rsidR="00B3097B" w:rsidRPr="005808ED">
        <w:rPr>
          <w:lang w:val="fr-FR"/>
        </w:rPr>
        <w:t>’</w:t>
      </w:r>
      <w:r w:rsidRPr="005808ED">
        <w:rPr>
          <w:lang w:val="fr-FR"/>
        </w:rPr>
        <w:t>air (échantillonnage actif</w:t>
      </w:r>
      <w:r w:rsidR="00A70C35" w:rsidRPr="005808ED">
        <w:rPr>
          <w:lang w:val="fr-FR"/>
        </w:rPr>
        <w:t>,</w:t>
      </w:r>
      <w:r w:rsidRPr="005808ED">
        <w:rPr>
          <w:lang w:val="fr-FR"/>
        </w:rPr>
        <w:t xml:space="preserve"> passif</w:t>
      </w:r>
      <w:r w:rsidR="00A70C35" w:rsidRPr="005808ED">
        <w:rPr>
          <w:lang w:val="fr-FR"/>
        </w:rPr>
        <w:t xml:space="preserve"> et de</w:t>
      </w:r>
      <w:r w:rsidR="000E65DC" w:rsidRPr="005808ED">
        <w:rPr>
          <w:lang w:val="fr-FR"/>
        </w:rPr>
        <w:t xml:space="preserve"> </w:t>
      </w:r>
      <w:r w:rsidRPr="005808ED">
        <w:rPr>
          <w:lang w:val="fr-FR"/>
        </w:rPr>
        <w:t>dépôt humide), le biote (prélèvement d</w:t>
      </w:r>
      <w:r w:rsidR="00B3097B" w:rsidRPr="005808ED">
        <w:rPr>
          <w:lang w:val="fr-FR"/>
        </w:rPr>
        <w:t>’</w:t>
      </w:r>
      <w:r w:rsidRPr="005808ED">
        <w:rPr>
          <w:lang w:val="fr-FR"/>
        </w:rPr>
        <w:t>échantillons dans les tissus musculaires pour la teneur to</w:t>
      </w:r>
      <w:r w:rsidR="005D4020" w:rsidRPr="005808ED">
        <w:rPr>
          <w:lang w:val="fr-FR"/>
        </w:rPr>
        <w:t>t</w:t>
      </w:r>
      <w:r w:rsidRPr="005808ED">
        <w:rPr>
          <w:lang w:val="fr-FR"/>
        </w:rPr>
        <w:t>al</w:t>
      </w:r>
      <w:r w:rsidR="005D4020" w:rsidRPr="005808ED">
        <w:rPr>
          <w:lang w:val="fr-FR"/>
        </w:rPr>
        <w:t>e</w:t>
      </w:r>
      <w:r w:rsidRPr="005808ED">
        <w:rPr>
          <w:lang w:val="fr-FR"/>
        </w:rPr>
        <w:t xml:space="preserve"> en mercure) et la biosurveillance humaine (le choix de la matrice dépendant du type d</w:t>
      </w:r>
      <w:r w:rsidR="00B3097B" w:rsidRPr="005808ED">
        <w:rPr>
          <w:lang w:val="fr-FR"/>
        </w:rPr>
        <w:t>’</w:t>
      </w:r>
      <w:r w:rsidRPr="005808ED">
        <w:rPr>
          <w:lang w:val="fr-FR"/>
        </w:rPr>
        <w:t>exposition au mercure auquel la population étudiée a été soumise). Par ailleurs, certains pays possèdent des méthodes d</w:t>
      </w:r>
      <w:r w:rsidR="00B3097B" w:rsidRPr="005808ED">
        <w:rPr>
          <w:lang w:val="fr-FR"/>
        </w:rPr>
        <w:t>’</w:t>
      </w:r>
      <w:r w:rsidRPr="005808ED">
        <w:rPr>
          <w:lang w:val="fr-FR"/>
        </w:rPr>
        <w:t>échantillonnage et d</w:t>
      </w:r>
      <w:r w:rsidR="00B3097B" w:rsidRPr="005808ED">
        <w:rPr>
          <w:lang w:val="fr-FR"/>
        </w:rPr>
        <w:t>’</w:t>
      </w:r>
      <w:r w:rsidRPr="005808ED">
        <w:rPr>
          <w:lang w:val="fr-FR"/>
        </w:rPr>
        <w:t>analyse normalisées pour d</w:t>
      </w:r>
      <w:r w:rsidR="00B3097B" w:rsidRPr="005808ED">
        <w:rPr>
          <w:lang w:val="fr-FR"/>
        </w:rPr>
        <w:t>’</w:t>
      </w:r>
      <w:r w:rsidRPr="005808ED">
        <w:rPr>
          <w:lang w:val="fr-FR"/>
        </w:rPr>
        <w:t>autres milieux environnementaux, tels que le sol. [</w:t>
      </w:r>
      <w:r w:rsidRPr="005808ED">
        <w:rPr>
          <w:i/>
          <w:iCs/>
          <w:lang w:val="fr-FR"/>
        </w:rPr>
        <w:t xml:space="preserve">Une référence à un rapport </w:t>
      </w:r>
      <w:r w:rsidR="00A70C35" w:rsidRPr="005808ED">
        <w:rPr>
          <w:i/>
          <w:iCs/>
          <w:lang w:val="fr-FR"/>
        </w:rPr>
        <w:t>en voie de</w:t>
      </w:r>
      <w:r w:rsidRPr="005808ED">
        <w:rPr>
          <w:i/>
          <w:iCs/>
          <w:lang w:val="fr-FR"/>
        </w:rPr>
        <w:t xml:space="preserve"> publi</w:t>
      </w:r>
      <w:r w:rsidR="00A70C35" w:rsidRPr="005808ED">
        <w:rPr>
          <w:i/>
          <w:iCs/>
          <w:lang w:val="fr-FR"/>
        </w:rPr>
        <w:t>cation</w:t>
      </w:r>
      <w:r w:rsidRPr="005808ED">
        <w:rPr>
          <w:i/>
          <w:iCs/>
          <w:lang w:val="fr-FR"/>
        </w:rPr>
        <w:t xml:space="preserve"> présentant des protocoles de l</w:t>
      </w:r>
      <w:r w:rsidR="00B3097B" w:rsidRPr="005808ED">
        <w:rPr>
          <w:i/>
          <w:iCs/>
          <w:lang w:val="fr-FR"/>
        </w:rPr>
        <w:t>’</w:t>
      </w:r>
      <w:r w:rsidRPr="005808ED">
        <w:rPr>
          <w:i/>
          <w:iCs/>
          <w:lang w:val="fr-FR"/>
        </w:rPr>
        <w:t>Organisation mondiale de la Santé et d</w:t>
      </w:r>
      <w:r w:rsidR="00B3097B" w:rsidRPr="005808ED">
        <w:rPr>
          <w:i/>
          <w:iCs/>
          <w:lang w:val="fr-FR"/>
        </w:rPr>
        <w:t>’</w:t>
      </w:r>
      <w:r w:rsidRPr="005808ED">
        <w:rPr>
          <w:i/>
          <w:iCs/>
          <w:lang w:val="fr-FR"/>
        </w:rPr>
        <w:t>autres méthodes d</w:t>
      </w:r>
      <w:r w:rsidR="00B3097B" w:rsidRPr="005808ED">
        <w:rPr>
          <w:i/>
          <w:iCs/>
          <w:lang w:val="fr-FR"/>
        </w:rPr>
        <w:t>’</w:t>
      </w:r>
      <w:r w:rsidRPr="005808ED">
        <w:rPr>
          <w:i/>
          <w:iCs/>
          <w:lang w:val="fr-FR"/>
        </w:rPr>
        <w:t>échantillonnage normalisées sera insérée ici dès que possible.</w:t>
      </w:r>
      <w:r w:rsidRPr="005808ED">
        <w:rPr>
          <w:lang w:val="fr-FR"/>
        </w:rPr>
        <w:t>]</w:t>
      </w:r>
    </w:p>
    <w:p w14:paraId="4C4B581D" w14:textId="1C12EF4A" w:rsidR="00F252EE" w:rsidRPr="005808ED" w:rsidRDefault="005D61FE" w:rsidP="00F51980">
      <w:pPr>
        <w:pStyle w:val="Normalnumber"/>
        <w:numPr>
          <w:ilvl w:val="0"/>
          <w:numId w:val="12"/>
        </w:numPr>
        <w:ind w:left="1247" w:firstLine="0"/>
        <w:rPr>
          <w:lang w:val="fr-FR"/>
        </w:rPr>
      </w:pPr>
      <w:r w:rsidRPr="005808ED">
        <w:rPr>
          <w:lang w:val="fr-FR"/>
        </w:rPr>
        <w:t>Une des méthodes d</w:t>
      </w:r>
      <w:r w:rsidR="00B3097B" w:rsidRPr="005808ED">
        <w:rPr>
          <w:lang w:val="fr-FR"/>
        </w:rPr>
        <w:t>’</w:t>
      </w:r>
      <w:r w:rsidRPr="005808ED">
        <w:rPr>
          <w:lang w:val="fr-FR"/>
        </w:rPr>
        <w:t>échantillonnage consiste à diviser le terrain en petites sections, un</w:t>
      </w:r>
      <w:r w:rsidR="00A309BF" w:rsidRPr="005808ED">
        <w:rPr>
          <w:lang w:val="fr-FR"/>
        </w:rPr>
        <w:t> </w:t>
      </w:r>
      <w:r w:rsidRPr="005808ED">
        <w:rPr>
          <w:lang w:val="fr-FR"/>
        </w:rPr>
        <w:t>échantillon étant prélevé au centre de chacune d</w:t>
      </w:r>
      <w:r w:rsidR="00B3097B" w:rsidRPr="005808ED">
        <w:rPr>
          <w:lang w:val="fr-FR"/>
        </w:rPr>
        <w:t>’</w:t>
      </w:r>
      <w:r w:rsidRPr="005808ED">
        <w:rPr>
          <w:lang w:val="fr-FR"/>
        </w:rPr>
        <w:t>entre elles. Une autre détermine les points d</w:t>
      </w:r>
      <w:r w:rsidR="00B3097B" w:rsidRPr="005808ED">
        <w:rPr>
          <w:lang w:val="fr-FR"/>
        </w:rPr>
        <w:t>’</w:t>
      </w:r>
      <w:r w:rsidRPr="005808ED">
        <w:rPr>
          <w:lang w:val="fr-FR"/>
        </w:rPr>
        <w:t>échantillonnage au moyen d</w:t>
      </w:r>
      <w:r w:rsidR="00B3097B" w:rsidRPr="005808ED">
        <w:rPr>
          <w:lang w:val="fr-FR"/>
        </w:rPr>
        <w:t>’</w:t>
      </w:r>
      <w:r w:rsidRPr="005808ED">
        <w:rPr>
          <w:lang w:val="fr-FR"/>
        </w:rPr>
        <w:t>un modèle conceptuel du site. En fonction de la température et du conteneur transportant les échantillons prélevés dans le sol au point d</w:t>
      </w:r>
      <w:r w:rsidR="00B3097B" w:rsidRPr="005808ED">
        <w:rPr>
          <w:lang w:val="fr-FR"/>
        </w:rPr>
        <w:t>’</w:t>
      </w:r>
      <w:r w:rsidRPr="005808ED">
        <w:rPr>
          <w:lang w:val="fr-FR"/>
        </w:rPr>
        <w:t>échantillonnage vers l</w:t>
      </w:r>
      <w:r w:rsidR="00B3097B" w:rsidRPr="005808ED">
        <w:rPr>
          <w:lang w:val="fr-FR"/>
        </w:rPr>
        <w:t>’</w:t>
      </w:r>
      <w:r w:rsidRPr="005808ED">
        <w:rPr>
          <w:lang w:val="fr-FR"/>
        </w:rPr>
        <w:t>endroit de leur analyse, le mercure est susceptible de se volatiliser, aboutissant à une évaluation incorrecte. Une</w:t>
      </w:r>
      <w:r w:rsidR="00A309BF" w:rsidRPr="005808ED">
        <w:rPr>
          <w:lang w:val="fr-FR"/>
        </w:rPr>
        <w:t> </w:t>
      </w:r>
      <w:r w:rsidRPr="005808ED">
        <w:rPr>
          <w:lang w:val="fr-FR"/>
        </w:rPr>
        <w:t>norme ISO gouverne l</w:t>
      </w:r>
      <w:r w:rsidR="00B3097B" w:rsidRPr="005808ED">
        <w:rPr>
          <w:lang w:val="fr-FR"/>
        </w:rPr>
        <w:t>’</w:t>
      </w:r>
      <w:r w:rsidRPr="005808ED">
        <w:rPr>
          <w:lang w:val="fr-FR"/>
        </w:rPr>
        <w:t>échantillonnage des sols (ISO 18400).</w:t>
      </w:r>
    </w:p>
    <w:p w14:paraId="01801D0B" w14:textId="4A5A79A5" w:rsidR="00F252EE" w:rsidRPr="005808ED" w:rsidRDefault="000C210F" w:rsidP="00F51980">
      <w:pPr>
        <w:pStyle w:val="Normalnumber"/>
        <w:numPr>
          <w:ilvl w:val="0"/>
          <w:numId w:val="12"/>
        </w:numPr>
        <w:ind w:left="1247" w:firstLine="0"/>
        <w:rPr>
          <w:lang w:val="fr-FR"/>
        </w:rPr>
      </w:pPr>
      <w:r w:rsidRPr="005808ED">
        <w:rPr>
          <w:lang w:val="fr-FR"/>
        </w:rPr>
        <w:t>Une fois que l</w:t>
      </w:r>
      <w:r w:rsidR="00B3097B" w:rsidRPr="005808ED">
        <w:rPr>
          <w:lang w:val="fr-FR"/>
        </w:rPr>
        <w:t>’</w:t>
      </w:r>
      <w:r w:rsidRPr="005808ED">
        <w:rPr>
          <w:lang w:val="fr-FR"/>
        </w:rPr>
        <w:t>évaluation a déterminé les risques, tels que la présence ou non d</w:t>
      </w:r>
      <w:r w:rsidR="00B3097B" w:rsidRPr="005808ED">
        <w:rPr>
          <w:lang w:val="fr-FR"/>
        </w:rPr>
        <w:t>’</w:t>
      </w:r>
      <w:r w:rsidRPr="005808ED">
        <w:rPr>
          <w:lang w:val="fr-FR"/>
        </w:rPr>
        <w:t>une voie d</w:t>
      </w:r>
      <w:r w:rsidR="00B3097B" w:rsidRPr="005808ED">
        <w:rPr>
          <w:lang w:val="fr-FR"/>
        </w:rPr>
        <w:t>’</w:t>
      </w:r>
      <w:r w:rsidRPr="005808ED">
        <w:rPr>
          <w:lang w:val="fr-FR"/>
        </w:rPr>
        <w:t xml:space="preserve">exposition, il importe de </w:t>
      </w:r>
      <w:r w:rsidR="00E3463A" w:rsidRPr="005808ED">
        <w:rPr>
          <w:lang w:val="fr-FR"/>
        </w:rPr>
        <w:t>classer par ordre de priorité les activités</w:t>
      </w:r>
      <w:r w:rsidRPr="005808ED">
        <w:rPr>
          <w:lang w:val="fr-FR"/>
        </w:rPr>
        <w:t xml:space="preserve"> qui permettront d</w:t>
      </w:r>
      <w:r w:rsidR="00B3097B" w:rsidRPr="005808ED">
        <w:rPr>
          <w:lang w:val="fr-FR"/>
        </w:rPr>
        <w:t>’</w:t>
      </w:r>
      <w:r w:rsidRPr="005808ED">
        <w:rPr>
          <w:lang w:val="fr-FR"/>
        </w:rPr>
        <w:t>en assurer la gestion. En d</w:t>
      </w:r>
      <w:r w:rsidR="00B3097B" w:rsidRPr="005808ED">
        <w:rPr>
          <w:lang w:val="fr-FR"/>
        </w:rPr>
        <w:t>’</w:t>
      </w:r>
      <w:r w:rsidRPr="005808ED">
        <w:rPr>
          <w:lang w:val="fr-FR"/>
        </w:rPr>
        <w:t>autres termes, il faut déterminer si l</w:t>
      </w:r>
      <w:r w:rsidR="00B3097B" w:rsidRPr="005808ED">
        <w:rPr>
          <w:lang w:val="fr-FR"/>
        </w:rPr>
        <w:t>’</w:t>
      </w:r>
      <w:r w:rsidRPr="005808ED">
        <w:rPr>
          <w:lang w:val="fr-FR"/>
        </w:rPr>
        <w:t xml:space="preserve">état du site appelle une </w:t>
      </w:r>
      <w:r w:rsidR="00094ED7" w:rsidRPr="005808ED">
        <w:rPr>
          <w:lang w:val="fr-FR"/>
        </w:rPr>
        <w:t>dépollution</w:t>
      </w:r>
      <w:r w:rsidRPr="005808ED">
        <w:rPr>
          <w:lang w:val="fr-FR"/>
        </w:rPr>
        <w:t xml:space="preserve"> immédiate ou s</w:t>
      </w:r>
      <w:r w:rsidR="00B3097B" w:rsidRPr="005808ED">
        <w:rPr>
          <w:lang w:val="fr-FR"/>
        </w:rPr>
        <w:t>’</w:t>
      </w:r>
      <w:r w:rsidRPr="005808ED">
        <w:rPr>
          <w:lang w:val="fr-FR"/>
        </w:rPr>
        <w:t>il suffirait d</w:t>
      </w:r>
      <w:r w:rsidR="00B3097B" w:rsidRPr="005808ED">
        <w:rPr>
          <w:lang w:val="fr-FR"/>
        </w:rPr>
        <w:t>’</w:t>
      </w:r>
      <w:r w:rsidRPr="005808ED">
        <w:rPr>
          <w:lang w:val="fr-FR"/>
        </w:rPr>
        <w:t xml:space="preserve">accorder une attention particulière au risque de diffusion de la contamination </w:t>
      </w:r>
      <w:r w:rsidR="00094ED7" w:rsidRPr="005808ED">
        <w:rPr>
          <w:lang w:val="fr-FR"/>
        </w:rPr>
        <w:t>en cas de</w:t>
      </w:r>
      <w:r w:rsidRPr="005808ED">
        <w:rPr>
          <w:lang w:val="fr-FR"/>
        </w:rPr>
        <w:t xml:space="preserve"> perturb</w:t>
      </w:r>
      <w:r w:rsidR="00094ED7" w:rsidRPr="005808ED">
        <w:rPr>
          <w:lang w:val="fr-FR"/>
        </w:rPr>
        <w:t>ation du sol</w:t>
      </w:r>
      <w:r w:rsidRPr="005808ED">
        <w:rPr>
          <w:lang w:val="fr-FR"/>
        </w:rPr>
        <w:t>, par exemple dans le ca</w:t>
      </w:r>
      <w:r w:rsidR="00094ED7" w:rsidRPr="005808ED">
        <w:rPr>
          <w:lang w:val="fr-FR"/>
        </w:rPr>
        <w:t>dre</w:t>
      </w:r>
      <w:r w:rsidRPr="005808ED">
        <w:rPr>
          <w:lang w:val="fr-FR"/>
        </w:rPr>
        <w:t xml:space="preserve"> de travaux de construction.</w:t>
      </w:r>
    </w:p>
    <w:p w14:paraId="2AE6CD92" w14:textId="4D7DE78A" w:rsidR="00F252EE" w:rsidRPr="005808ED" w:rsidRDefault="00825F66" w:rsidP="00FA6C22">
      <w:pPr>
        <w:pStyle w:val="CH1"/>
        <w:ind w:hanging="589"/>
        <w:rPr>
          <w:lang w:val="fr-FR"/>
        </w:rPr>
      </w:pPr>
      <w:r w:rsidRPr="005808ED">
        <w:rPr>
          <w:lang w:val="fr-FR"/>
        </w:rPr>
        <w:tab/>
      </w:r>
      <w:bookmarkStart w:id="34" w:name="_Toc527017905"/>
      <w:r w:rsidR="00F252EE" w:rsidRPr="005808ED">
        <w:rPr>
          <w:lang w:val="fr-FR"/>
        </w:rPr>
        <w:t>C.</w:t>
      </w:r>
      <w:r w:rsidR="00F252EE" w:rsidRPr="005808ED">
        <w:rPr>
          <w:lang w:val="fr-FR"/>
        </w:rPr>
        <w:tab/>
      </w:r>
      <w:r w:rsidR="00F252EE" w:rsidRPr="005808ED">
        <w:rPr>
          <w:bCs/>
          <w:lang w:val="fr-FR"/>
        </w:rPr>
        <w:t>Mobilisation du public</w:t>
      </w:r>
      <w:bookmarkEnd w:id="34"/>
    </w:p>
    <w:p w14:paraId="736911B6" w14:textId="34A6B498" w:rsidR="00F252EE" w:rsidRPr="005808ED" w:rsidRDefault="00F252EE" w:rsidP="00582B27">
      <w:pPr>
        <w:pStyle w:val="Normalnumber"/>
        <w:keepNext/>
        <w:keepLines/>
        <w:numPr>
          <w:ilvl w:val="0"/>
          <w:numId w:val="12"/>
        </w:numPr>
        <w:ind w:left="1247" w:firstLine="0"/>
        <w:rPr>
          <w:lang w:val="fr-FR"/>
        </w:rPr>
      </w:pPr>
      <w:r w:rsidRPr="005808ED">
        <w:rPr>
          <w:lang w:val="fr-FR"/>
        </w:rPr>
        <w:t>La mobilisation du public, notamment sur les questions délicates telles que la présence de sites contaminés</w:t>
      </w:r>
      <w:r w:rsidR="002A3DE1" w:rsidRPr="005808ED">
        <w:rPr>
          <w:lang w:val="fr-FR"/>
        </w:rPr>
        <w:t xml:space="preserve"> </w:t>
      </w:r>
      <w:r w:rsidR="00E66AF1" w:rsidRPr="005808ED">
        <w:rPr>
          <w:lang w:val="fr-FR"/>
        </w:rPr>
        <w:t>dans le voisinage</w:t>
      </w:r>
      <w:r w:rsidRPr="005808ED">
        <w:rPr>
          <w:lang w:val="fr-FR"/>
        </w:rPr>
        <w:t xml:space="preserve">, est essentielle pour une gestion réussie des questions et des sites. </w:t>
      </w:r>
      <w:r w:rsidR="00E66AF1" w:rsidRPr="005808ED">
        <w:rPr>
          <w:lang w:val="fr-FR"/>
        </w:rPr>
        <w:t>Elle</w:t>
      </w:r>
      <w:r w:rsidR="00A309BF" w:rsidRPr="005808ED">
        <w:rPr>
          <w:lang w:val="fr-FR"/>
        </w:rPr>
        <w:t> </w:t>
      </w:r>
      <w:r w:rsidRPr="005808ED">
        <w:rPr>
          <w:lang w:val="fr-FR"/>
        </w:rPr>
        <w:t xml:space="preserve">est souvent coordonnée par les organismes </w:t>
      </w:r>
      <w:r w:rsidR="00741960" w:rsidRPr="005808ED">
        <w:rPr>
          <w:lang w:val="fr-FR"/>
        </w:rPr>
        <w:t>gouvernementaux</w:t>
      </w:r>
      <w:r w:rsidRPr="005808ED">
        <w:rPr>
          <w:lang w:val="fr-FR"/>
        </w:rPr>
        <w:t xml:space="preserve"> chargés de la gestion des sites contaminés</w:t>
      </w:r>
      <w:r w:rsidR="00741960" w:rsidRPr="005808ED">
        <w:rPr>
          <w:lang w:val="fr-FR"/>
        </w:rPr>
        <w:t xml:space="preserve"> aux niveaux local, régional ou national</w:t>
      </w:r>
      <w:r w:rsidRPr="005808ED">
        <w:rPr>
          <w:lang w:val="fr-FR"/>
        </w:rPr>
        <w:t>. De nombreux termes traduisent le concept de « mobilisation du public », y compris « participation du public », « participation de la communauté », « mobilisation de la communauté », « participation des parties prenantes » et « mobilisation des parties prenantes » (National Environmental Justice Advisory Council, 2013). La consultation du public est un élément important de la remise en état durable des sites et est même obligatoire dans certaines juridictions. L</w:t>
      </w:r>
      <w:r w:rsidR="00B3097B" w:rsidRPr="005808ED">
        <w:rPr>
          <w:lang w:val="fr-FR"/>
        </w:rPr>
        <w:t>’</w:t>
      </w:r>
      <w:r w:rsidRPr="005808ED">
        <w:rPr>
          <w:lang w:val="fr-FR"/>
        </w:rPr>
        <w:t xml:space="preserve">objectif </w:t>
      </w:r>
      <w:r w:rsidR="002A3DE1" w:rsidRPr="005808ED">
        <w:rPr>
          <w:lang w:val="fr-FR"/>
        </w:rPr>
        <w:t>d’une mobilisation du</w:t>
      </w:r>
      <w:r w:rsidRPr="005808ED">
        <w:rPr>
          <w:lang w:val="fr-FR"/>
        </w:rPr>
        <w:t xml:space="preserve"> public est avant tout de s</w:t>
      </w:r>
      <w:r w:rsidR="00B3097B" w:rsidRPr="005808ED">
        <w:rPr>
          <w:lang w:val="fr-FR"/>
        </w:rPr>
        <w:t>’</w:t>
      </w:r>
      <w:r w:rsidRPr="005808ED">
        <w:rPr>
          <w:lang w:val="fr-FR"/>
        </w:rPr>
        <w:t>assurer que les personnes ou les groupes qui pourraient être touchés par le processus de prise de décisions, qui souhaiteraient y participer ou qui s</w:t>
      </w:r>
      <w:r w:rsidR="00B3097B" w:rsidRPr="005808ED">
        <w:rPr>
          <w:lang w:val="fr-FR"/>
        </w:rPr>
        <w:t>’</w:t>
      </w:r>
      <w:r w:rsidRPr="005808ED">
        <w:rPr>
          <w:lang w:val="fr-FR"/>
        </w:rPr>
        <w:t>y intéressent soient informés et puissent y participer en fonction de leurs rôles et de leurs responsabilités. Par conséquent, il importe de mobiliser le public dès le début du processus d</w:t>
      </w:r>
      <w:r w:rsidR="00B3097B" w:rsidRPr="005808ED">
        <w:rPr>
          <w:lang w:val="fr-FR"/>
        </w:rPr>
        <w:t>’</w:t>
      </w:r>
      <w:r w:rsidRPr="005808ED">
        <w:rPr>
          <w:lang w:val="fr-FR"/>
        </w:rPr>
        <w:t>identification ou d</w:t>
      </w:r>
      <w:r w:rsidR="00B3097B" w:rsidRPr="005808ED">
        <w:rPr>
          <w:lang w:val="fr-FR"/>
        </w:rPr>
        <w:t>’</w:t>
      </w:r>
      <w:r w:rsidRPr="005808ED">
        <w:rPr>
          <w:lang w:val="fr-FR"/>
        </w:rPr>
        <w:t>évaluation détaillée d</w:t>
      </w:r>
      <w:r w:rsidR="00B3097B" w:rsidRPr="005808ED">
        <w:rPr>
          <w:lang w:val="fr-FR"/>
        </w:rPr>
        <w:t>’</w:t>
      </w:r>
      <w:r w:rsidRPr="005808ED">
        <w:rPr>
          <w:lang w:val="fr-FR"/>
        </w:rPr>
        <w:t>un site contaminé. Les connaissances locales peuvent s</w:t>
      </w:r>
      <w:r w:rsidR="00B3097B" w:rsidRPr="005808ED">
        <w:rPr>
          <w:lang w:val="fr-FR"/>
        </w:rPr>
        <w:t>’</w:t>
      </w:r>
      <w:r w:rsidRPr="005808ED">
        <w:rPr>
          <w:lang w:val="fr-FR"/>
        </w:rPr>
        <w:t>avérer cruciales pour l</w:t>
      </w:r>
      <w:r w:rsidR="00B3097B" w:rsidRPr="005808ED">
        <w:rPr>
          <w:lang w:val="fr-FR"/>
        </w:rPr>
        <w:t>’</w:t>
      </w:r>
      <w:r w:rsidRPr="005808ED">
        <w:rPr>
          <w:lang w:val="fr-FR"/>
        </w:rPr>
        <w:t>identification des sites potentiellement contaminés et le choix de la stratégie d</w:t>
      </w:r>
      <w:r w:rsidR="00B3097B" w:rsidRPr="005808ED">
        <w:rPr>
          <w:lang w:val="fr-FR"/>
        </w:rPr>
        <w:t>’</w:t>
      </w:r>
      <w:r w:rsidRPr="005808ED">
        <w:rPr>
          <w:lang w:val="fr-FR"/>
        </w:rPr>
        <w:t>échantillonnage des sols.</w:t>
      </w:r>
    </w:p>
    <w:p w14:paraId="20D956E3" w14:textId="3E616A0F" w:rsidR="00F252EE" w:rsidRPr="005808ED" w:rsidRDefault="002A3DE1" w:rsidP="00F51980">
      <w:pPr>
        <w:pStyle w:val="Normalnumber"/>
        <w:numPr>
          <w:ilvl w:val="0"/>
          <w:numId w:val="12"/>
        </w:numPr>
        <w:ind w:left="1247" w:firstLine="0"/>
        <w:rPr>
          <w:lang w:val="fr-FR"/>
        </w:rPr>
      </w:pPr>
      <w:r w:rsidRPr="005808ED">
        <w:rPr>
          <w:lang w:val="fr-FR"/>
        </w:rPr>
        <w:t xml:space="preserve">Il </w:t>
      </w:r>
      <w:r w:rsidR="00741960" w:rsidRPr="005808ED">
        <w:rPr>
          <w:lang w:val="fr-FR"/>
        </w:rPr>
        <w:t>convient de</w:t>
      </w:r>
      <w:r w:rsidRPr="005808ED">
        <w:rPr>
          <w:lang w:val="fr-FR"/>
        </w:rPr>
        <w:t xml:space="preserve"> tenir compte d’u</w:t>
      </w:r>
      <w:r w:rsidR="003141E2" w:rsidRPr="005808ED">
        <w:rPr>
          <w:lang w:val="fr-FR"/>
        </w:rPr>
        <w:t>n certain nombre d</w:t>
      </w:r>
      <w:r w:rsidR="00B3097B" w:rsidRPr="005808ED">
        <w:rPr>
          <w:lang w:val="fr-FR"/>
        </w:rPr>
        <w:t>’</w:t>
      </w:r>
      <w:r w:rsidR="003141E2" w:rsidRPr="005808ED">
        <w:rPr>
          <w:lang w:val="fr-FR"/>
        </w:rPr>
        <w:t xml:space="preserve">éléments </w:t>
      </w:r>
      <w:r w:rsidR="00741960" w:rsidRPr="005808ED">
        <w:rPr>
          <w:lang w:val="fr-FR"/>
        </w:rPr>
        <w:t xml:space="preserve">lors </w:t>
      </w:r>
      <w:r w:rsidR="003141E2" w:rsidRPr="005808ED">
        <w:rPr>
          <w:lang w:val="fr-FR"/>
        </w:rPr>
        <w:t>de la mise en place d</w:t>
      </w:r>
      <w:r w:rsidR="00B3097B" w:rsidRPr="005808ED">
        <w:rPr>
          <w:lang w:val="fr-FR"/>
        </w:rPr>
        <w:t>’</w:t>
      </w:r>
      <w:r w:rsidR="003141E2" w:rsidRPr="005808ED">
        <w:rPr>
          <w:lang w:val="fr-FR"/>
        </w:rPr>
        <w:t>un processus de consultation publique. Tout d</w:t>
      </w:r>
      <w:r w:rsidR="00B3097B" w:rsidRPr="005808ED">
        <w:rPr>
          <w:lang w:val="fr-FR"/>
        </w:rPr>
        <w:t>’</w:t>
      </w:r>
      <w:r w:rsidR="003141E2" w:rsidRPr="005808ED">
        <w:rPr>
          <w:lang w:val="fr-FR"/>
        </w:rPr>
        <w:t>abord, une communication efficace et un processus de dialogue pour transmettre et recevoir les informations sont indispensables pour améliorer la compréhension des parties prenantes. Les informations scientifiques devraient être diffusées le plus efficacement possible, afin que la communauté visée réduise l</w:t>
      </w:r>
      <w:r w:rsidR="00B3097B" w:rsidRPr="005808ED">
        <w:rPr>
          <w:lang w:val="fr-FR"/>
        </w:rPr>
        <w:t>’</w:t>
      </w:r>
      <w:r w:rsidR="003141E2" w:rsidRPr="005808ED">
        <w:rPr>
          <w:lang w:val="fr-FR"/>
        </w:rPr>
        <w:t>écart entre le risque perçu et le risque réel. La mobilisation du public est tout aussi importante lorsque les risques sont perçus car elle permet de répondre aux préoccupations. Bien qu</w:t>
      </w:r>
      <w:r w:rsidR="00B3097B" w:rsidRPr="005808ED">
        <w:rPr>
          <w:lang w:val="fr-FR"/>
        </w:rPr>
        <w:t>’</w:t>
      </w:r>
      <w:r w:rsidR="003141E2" w:rsidRPr="005808ED">
        <w:rPr>
          <w:lang w:val="fr-FR"/>
        </w:rPr>
        <w:t>il existe des éléments communs à toute mobilisation du public, l</w:t>
      </w:r>
      <w:r w:rsidR="00B3097B" w:rsidRPr="005808ED">
        <w:rPr>
          <w:lang w:val="fr-FR"/>
        </w:rPr>
        <w:t>’</w:t>
      </w:r>
      <w:r w:rsidR="003141E2" w:rsidRPr="005808ED">
        <w:rPr>
          <w:lang w:val="fr-FR"/>
        </w:rPr>
        <w:t>approche adoptée doit s</w:t>
      </w:r>
      <w:r w:rsidR="00B3097B" w:rsidRPr="005808ED">
        <w:rPr>
          <w:lang w:val="fr-FR"/>
        </w:rPr>
        <w:t>’</w:t>
      </w:r>
      <w:r w:rsidR="003141E2" w:rsidRPr="005808ED">
        <w:rPr>
          <w:lang w:val="fr-FR"/>
        </w:rPr>
        <w:t>adapter aux besoins particuliers et uniques de chaque communauté visée. Il existe un certain nombre d</w:t>
      </w:r>
      <w:r w:rsidR="00B3097B" w:rsidRPr="005808ED">
        <w:rPr>
          <w:lang w:val="fr-FR"/>
        </w:rPr>
        <w:t>’</w:t>
      </w:r>
      <w:r w:rsidR="003141E2" w:rsidRPr="005808ED">
        <w:rPr>
          <w:lang w:val="fr-FR"/>
        </w:rPr>
        <w:t>outils et de méthodes pour mettre en place un processus de consultation publique</w:t>
      </w:r>
      <w:r w:rsidR="00F252EE" w:rsidRPr="005808ED">
        <w:rPr>
          <w:rStyle w:val="FootnoteReference"/>
          <w:lang w:val="fr-FR"/>
        </w:rPr>
        <w:footnoteReference w:id="5"/>
      </w:r>
      <w:r w:rsidR="003141E2" w:rsidRPr="005808ED">
        <w:rPr>
          <w:lang w:val="fr-FR"/>
        </w:rPr>
        <w:t>.</w:t>
      </w:r>
    </w:p>
    <w:p w14:paraId="4CE70394" w14:textId="046FC526" w:rsidR="00F252EE" w:rsidRPr="005808ED" w:rsidRDefault="00F252EE" w:rsidP="00F51980">
      <w:pPr>
        <w:pStyle w:val="Normalnumber"/>
        <w:numPr>
          <w:ilvl w:val="0"/>
          <w:numId w:val="12"/>
        </w:numPr>
        <w:ind w:left="1247" w:firstLine="0"/>
        <w:rPr>
          <w:sz w:val="23"/>
          <w:szCs w:val="23"/>
          <w:lang w:val="fr-FR"/>
        </w:rPr>
      </w:pPr>
      <w:r w:rsidRPr="005808ED">
        <w:rPr>
          <w:lang w:val="fr-FR"/>
        </w:rPr>
        <w:t xml:space="preserve">Il importe que les membres de la communauté se </w:t>
      </w:r>
      <w:r w:rsidR="00E37EFB" w:rsidRPr="005808ED">
        <w:rPr>
          <w:lang w:val="fr-FR"/>
        </w:rPr>
        <w:t>considèr</w:t>
      </w:r>
      <w:r w:rsidRPr="005808ED">
        <w:rPr>
          <w:lang w:val="fr-FR"/>
        </w:rPr>
        <w:t>ent comme des parties prenantes dans la situation en question. La sensibilisation de la communauté devrait cibler différents niveaux. Les propriétaires fonciers ou les résidents habitant à proximité du site ou sur celui-ci, les communautés touchées par la pollution en provenance du site et les autres industries présentes dans la zone qui pourraient être touchées par la pollution peuvent tous être qualifiés de parties prenantes. Les gestionnaires du site et les travailleurs employés sur des sites encore actifs sont également des parties prenantes</w:t>
      </w:r>
      <w:r w:rsidR="0097152B" w:rsidRPr="005808ED">
        <w:rPr>
          <w:lang w:val="fr-FR"/>
        </w:rPr>
        <w:t> ;</w:t>
      </w:r>
      <w:r w:rsidRPr="005808ED">
        <w:rPr>
          <w:lang w:val="fr-FR"/>
        </w:rPr>
        <w:t xml:space="preserve"> cependant, il est à noter que si la contamination du site résulte, par exemple, de la mauvaise manipulation de déchets de mercure ou de produits en contenant, la question de la source</w:t>
      </w:r>
      <w:r w:rsidR="00847FFB" w:rsidRPr="005808ED">
        <w:rPr>
          <w:lang w:val="fr-FR"/>
        </w:rPr>
        <w:t xml:space="preserve"> de contamination</w:t>
      </w:r>
      <w:r w:rsidRPr="005808ED">
        <w:rPr>
          <w:lang w:val="fr-FR"/>
        </w:rPr>
        <w:t xml:space="preserve"> devrait être réglée avant tout</w:t>
      </w:r>
      <w:r w:rsidR="00E37EFB" w:rsidRPr="005808ED">
        <w:rPr>
          <w:lang w:val="fr-FR"/>
        </w:rPr>
        <w:t>e</w:t>
      </w:r>
      <w:r w:rsidRPr="005808ED">
        <w:rPr>
          <w:lang w:val="fr-FR"/>
        </w:rPr>
        <w:t xml:space="preserve"> autre chose. Il </w:t>
      </w:r>
      <w:r w:rsidR="007D4819" w:rsidRPr="005808ED">
        <w:rPr>
          <w:lang w:val="fr-FR"/>
        </w:rPr>
        <w:t>arrive</w:t>
      </w:r>
      <w:r w:rsidRPr="005808ED">
        <w:rPr>
          <w:lang w:val="fr-FR"/>
        </w:rPr>
        <w:t xml:space="preserve"> parfois que </w:t>
      </w:r>
      <w:r w:rsidR="007D4819" w:rsidRPr="005808ED">
        <w:rPr>
          <w:lang w:val="fr-FR"/>
        </w:rPr>
        <w:t>la communauté dispose d’</w:t>
      </w:r>
      <w:r w:rsidR="00E37EFB" w:rsidRPr="005808ED">
        <w:rPr>
          <w:lang w:val="fr-FR"/>
        </w:rPr>
        <w:t>associ</w:t>
      </w:r>
      <w:r w:rsidRPr="005808ED">
        <w:rPr>
          <w:lang w:val="fr-FR"/>
        </w:rPr>
        <w:t>ations locales</w:t>
      </w:r>
      <w:r w:rsidR="00E37EFB" w:rsidRPr="005808ED">
        <w:rPr>
          <w:lang w:val="fr-FR"/>
        </w:rPr>
        <w:t>, telles que des organisation</w:t>
      </w:r>
      <w:r w:rsidR="007D4819" w:rsidRPr="005808ED">
        <w:rPr>
          <w:lang w:val="fr-FR"/>
        </w:rPr>
        <w:t>s</w:t>
      </w:r>
      <w:r w:rsidR="00E37EFB" w:rsidRPr="005808ED">
        <w:rPr>
          <w:lang w:val="fr-FR"/>
        </w:rPr>
        <w:t xml:space="preserve"> non gouvernementales </w:t>
      </w:r>
      <w:r w:rsidR="007D4819" w:rsidRPr="005808ED">
        <w:rPr>
          <w:lang w:val="fr-FR"/>
        </w:rPr>
        <w:t>ou</w:t>
      </w:r>
      <w:r w:rsidR="00E37EFB" w:rsidRPr="005808ED">
        <w:rPr>
          <w:lang w:val="fr-FR"/>
        </w:rPr>
        <w:t xml:space="preserve"> des agents de la santé publique,</w:t>
      </w:r>
      <w:r w:rsidRPr="005808ED">
        <w:rPr>
          <w:lang w:val="fr-FR"/>
        </w:rPr>
        <w:t xml:space="preserve"> p</w:t>
      </w:r>
      <w:r w:rsidR="007D4819" w:rsidRPr="005808ED">
        <w:rPr>
          <w:lang w:val="fr-FR"/>
        </w:rPr>
        <w:t>ouva</w:t>
      </w:r>
      <w:r w:rsidRPr="005808ED">
        <w:rPr>
          <w:lang w:val="fr-FR"/>
        </w:rPr>
        <w:t>nt s</w:t>
      </w:r>
      <w:r w:rsidR="00B3097B" w:rsidRPr="005808ED">
        <w:rPr>
          <w:lang w:val="fr-FR"/>
        </w:rPr>
        <w:t>’</w:t>
      </w:r>
      <w:r w:rsidRPr="005808ED">
        <w:rPr>
          <w:lang w:val="fr-FR"/>
        </w:rPr>
        <w:t>exprimer au nom de l</w:t>
      </w:r>
      <w:r w:rsidR="00B3097B" w:rsidRPr="005808ED">
        <w:rPr>
          <w:lang w:val="fr-FR"/>
        </w:rPr>
        <w:t>’</w:t>
      </w:r>
      <w:r w:rsidRPr="005808ED">
        <w:rPr>
          <w:lang w:val="fr-FR"/>
        </w:rPr>
        <w:t>ensemble ou d</w:t>
      </w:r>
      <w:r w:rsidR="00B3097B" w:rsidRPr="005808ED">
        <w:rPr>
          <w:lang w:val="fr-FR"/>
        </w:rPr>
        <w:t>’</w:t>
      </w:r>
      <w:r w:rsidRPr="005808ED">
        <w:rPr>
          <w:lang w:val="fr-FR"/>
        </w:rPr>
        <w:t xml:space="preserve">une partie de </w:t>
      </w:r>
      <w:r w:rsidR="007D4819" w:rsidRPr="005808ED">
        <w:rPr>
          <w:lang w:val="fr-FR"/>
        </w:rPr>
        <w:t>ses membres</w:t>
      </w:r>
      <w:r w:rsidRPr="005808ED">
        <w:rPr>
          <w:lang w:val="fr-FR"/>
        </w:rPr>
        <w:t>. Dans certains cas, en particulier lorsque des problèmes de longue date opposent les parties prenantes, il peut être judicieux qu</w:t>
      </w:r>
      <w:r w:rsidR="00B3097B" w:rsidRPr="005808ED">
        <w:rPr>
          <w:lang w:val="fr-FR"/>
        </w:rPr>
        <w:t>’</w:t>
      </w:r>
      <w:r w:rsidRPr="005808ED">
        <w:rPr>
          <w:lang w:val="fr-FR"/>
        </w:rPr>
        <w:t>une tierce partie se charge d</w:t>
      </w:r>
      <w:r w:rsidR="00B3097B" w:rsidRPr="005808ED">
        <w:rPr>
          <w:lang w:val="fr-FR"/>
        </w:rPr>
        <w:t>’</w:t>
      </w:r>
      <w:r w:rsidRPr="005808ED">
        <w:rPr>
          <w:lang w:val="fr-FR"/>
        </w:rPr>
        <w:t>organiser la consultation (par exemple, un(e) consultant(e) ou un(e) universitaire). La tierce partie pourra alors ne participer qu</w:t>
      </w:r>
      <w:r w:rsidR="00B3097B" w:rsidRPr="005808ED">
        <w:rPr>
          <w:lang w:val="fr-FR"/>
        </w:rPr>
        <w:t>’</w:t>
      </w:r>
      <w:r w:rsidRPr="005808ED">
        <w:rPr>
          <w:lang w:val="fr-FR"/>
        </w:rPr>
        <w:t>à la partie du processus relative à la sensibilisation du public ou bien également à d</w:t>
      </w:r>
      <w:r w:rsidR="00B3097B" w:rsidRPr="005808ED">
        <w:rPr>
          <w:lang w:val="fr-FR"/>
        </w:rPr>
        <w:t>’</w:t>
      </w:r>
      <w:r w:rsidRPr="005808ED">
        <w:rPr>
          <w:lang w:val="fr-FR"/>
        </w:rPr>
        <w:t>autres activités relatives à l</w:t>
      </w:r>
      <w:r w:rsidR="00B3097B" w:rsidRPr="005808ED">
        <w:rPr>
          <w:lang w:val="fr-FR"/>
        </w:rPr>
        <w:t>’</w:t>
      </w:r>
      <w:r w:rsidRPr="005808ED">
        <w:rPr>
          <w:lang w:val="fr-FR"/>
        </w:rPr>
        <w:t xml:space="preserve">identification des sites contaminés, voire à leur éventuelle remise en état. </w:t>
      </w:r>
    </w:p>
    <w:p w14:paraId="558118AF" w14:textId="6BE51757" w:rsidR="00F252EE" w:rsidRPr="005808ED" w:rsidRDefault="00896A25" w:rsidP="00F51980">
      <w:pPr>
        <w:pStyle w:val="Normalnumber"/>
        <w:numPr>
          <w:ilvl w:val="0"/>
          <w:numId w:val="12"/>
        </w:numPr>
        <w:ind w:left="1247" w:firstLine="0"/>
        <w:rPr>
          <w:lang w:val="fr-FR"/>
        </w:rPr>
      </w:pPr>
      <w:r w:rsidRPr="005808ED">
        <w:rPr>
          <w:lang w:val="fr-FR"/>
        </w:rPr>
        <w:t>La qualité des contributions devrait primer sur leur quantité et le processus de mobilisation devrait viser autant à recueillir des informations auprès de la communauté qu</w:t>
      </w:r>
      <w:r w:rsidR="00B3097B" w:rsidRPr="005808ED">
        <w:rPr>
          <w:lang w:val="fr-FR"/>
        </w:rPr>
        <w:t>’</w:t>
      </w:r>
      <w:r w:rsidRPr="005808ED">
        <w:rPr>
          <w:lang w:val="fr-FR"/>
        </w:rPr>
        <w:t xml:space="preserve">à lui en </w:t>
      </w:r>
      <w:r w:rsidR="00DD7150" w:rsidRPr="005808ED">
        <w:rPr>
          <w:lang w:val="fr-FR"/>
        </w:rPr>
        <w:t>fournir</w:t>
      </w:r>
      <w:r w:rsidRPr="005808ED">
        <w:rPr>
          <w:lang w:val="fr-FR"/>
        </w:rPr>
        <w:t>. Il</w:t>
      </w:r>
      <w:r w:rsidR="00A309BF" w:rsidRPr="005808ED">
        <w:rPr>
          <w:lang w:val="fr-FR"/>
        </w:rPr>
        <w:t> </w:t>
      </w:r>
      <w:r w:rsidRPr="005808ED">
        <w:rPr>
          <w:lang w:val="fr-FR"/>
        </w:rPr>
        <w:t>importe que le processus de mobilisation de la communauté se poursuive tout au long des activités d</w:t>
      </w:r>
      <w:r w:rsidR="00B3097B" w:rsidRPr="005808ED">
        <w:rPr>
          <w:lang w:val="fr-FR"/>
        </w:rPr>
        <w:t>’</w:t>
      </w:r>
      <w:r w:rsidRPr="005808ED">
        <w:rPr>
          <w:lang w:val="fr-FR"/>
        </w:rPr>
        <w:t>étude et de gestion ou de remise en état du site, la phase de gestion pouvant sensiblement augmenter les risques courus par les communautés voisines du site. L</w:t>
      </w:r>
      <w:r w:rsidR="00B3097B" w:rsidRPr="005808ED">
        <w:rPr>
          <w:lang w:val="fr-FR"/>
        </w:rPr>
        <w:t>’</w:t>
      </w:r>
      <w:r w:rsidRPr="005808ED">
        <w:rPr>
          <w:lang w:val="fr-FR"/>
        </w:rPr>
        <w:t>excavation de matériaux contaminés et les activités de traitement sur place peuvent soulever des poussières et provoquer des vapeurs et des odeurs. La création d</w:t>
      </w:r>
      <w:r w:rsidR="00B3097B" w:rsidRPr="005808ED">
        <w:rPr>
          <w:lang w:val="fr-FR"/>
        </w:rPr>
        <w:t>’</w:t>
      </w:r>
      <w:r w:rsidRPr="005808ED">
        <w:rPr>
          <w:lang w:val="fr-FR"/>
        </w:rPr>
        <w:t>un comité de consultation communautaire peut être un mécanisme utile de mobilisation par lequel les autorités, les entrepr</w:t>
      </w:r>
      <w:r w:rsidR="007D4819" w:rsidRPr="005808ED">
        <w:rPr>
          <w:lang w:val="fr-FR"/>
        </w:rPr>
        <w:t xml:space="preserve">ises chargées des travaux </w:t>
      </w:r>
      <w:r w:rsidRPr="005808ED">
        <w:rPr>
          <w:lang w:val="fr-FR"/>
        </w:rPr>
        <w:t>et la communauté peuvent échanger des informations techniques et pratiques et des données d</w:t>
      </w:r>
      <w:r w:rsidR="00B3097B" w:rsidRPr="005808ED">
        <w:rPr>
          <w:lang w:val="fr-FR"/>
        </w:rPr>
        <w:t>’</w:t>
      </w:r>
      <w:r w:rsidRPr="005808ED">
        <w:rPr>
          <w:lang w:val="fr-FR"/>
        </w:rPr>
        <w:t>expérience, afin de veiller au maintien d</w:t>
      </w:r>
      <w:r w:rsidR="00B3097B" w:rsidRPr="005808ED">
        <w:rPr>
          <w:lang w:val="fr-FR"/>
        </w:rPr>
        <w:t>’</w:t>
      </w:r>
      <w:r w:rsidRPr="005808ED">
        <w:rPr>
          <w:lang w:val="fr-FR"/>
        </w:rPr>
        <w:t xml:space="preserve">une vision commune des activités proposées </w:t>
      </w:r>
      <w:r w:rsidR="00DD7150" w:rsidRPr="005808ED">
        <w:rPr>
          <w:lang w:val="fr-FR"/>
        </w:rPr>
        <w:t>sur le</w:t>
      </w:r>
      <w:r w:rsidRPr="005808ED">
        <w:rPr>
          <w:lang w:val="fr-FR"/>
        </w:rPr>
        <w:t xml:space="preserve"> site contaminé. Ce comité peut également servir d</w:t>
      </w:r>
      <w:r w:rsidR="00B3097B" w:rsidRPr="005808ED">
        <w:rPr>
          <w:lang w:val="fr-FR"/>
        </w:rPr>
        <w:t>’</w:t>
      </w:r>
      <w:r w:rsidRPr="005808ED">
        <w:rPr>
          <w:lang w:val="fr-FR"/>
        </w:rPr>
        <w:t xml:space="preserve">espace de discussion pour examiner les programmes de surveillance (pour les vapeurs, la </w:t>
      </w:r>
      <w:r w:rsidR="005D4020" w:rsidRPr="005808ED">
        <w:rPr>
          <w:lang w:val="fr-FR"/>
        </w:rPr>
        <w:t>poussière,</w:t>
      </w:r>
      <w:r w:rsidRPr="005808ED">
        <w:rPr>
          <w:lang w:val="fr-FR"/>
        </w:rPr>
        <w:t xml:space="preserve"> etc.) qui pourraient être mis en place sur le site et dans ses environs afin de répondre aux préoccupations de la communauté durant la phase de gestion.</w:t>
      </w:r>
    </w:p>
    <w:p w14:paraId="549CDC32" w14:textId="05AD2EFD" w:rsidR="00F252EE" w:rsidRPr="005808ED" w:rsidRDefault="00F252EE" w:rsidP="00F51980">
      <w:pPr>
        <w:pStyle w:val="Normalnumber"/>
        <w:numPr>
          <w:ilvl w:val="0"/>
          <w:numId w:val="12"/>
        </w:numPr>
        <w:ind w:left="1247" w:firstLine="0"/>
        <w:rPr>
          <w:lang w:val="fr-FR"/>
        </w:rPr>
      </w:pPr>
      <w:r w:rsidRPr="005808ED">
        <w:rPr>
          <w:lang w:val="fr-FR"/>
        </w:rPr>
        <w:t xml:space="preserve">Il </w:t>
      </w:r>
      <w:r w:rsidR="00DD7150" w:rsidRPr="005808ED">
        <w:rPr>
          <w:lang w:val="fr-FR"/>
        </w:rPr>
        <w:t>convient de</w:t>
      </w:r>
      <w:r w:rsidRPr="005808ED">
        <w:rPr>
          <w:lang w:val="fr-FR"/>
        </w:rPr>
        <w:t xml:space="preserve"> reconnaître les connaissances spécialisées des membres des communautés locales</w:t>
      </w:r>
      <w:r w:rsidR="00B17606" w:rsidRPr="005808ED">
        <w:rPr>
          <w:lang w:val="fr-FR"/>
        </w:rPr>
        <w:t>,</w:t>
      </w:r>
      <w:r w:rsidRPr="005808ED">
        <w:rPr>
          <w:lang w:val="fr-FR"/>
        </w:rPr>
        <w:t xml:space="preserve"> </w:t>
      </w:r>
      <w:r w:rsidR="00B17606" w:rsidRPr="005808ED">
        <w:rPr>
          <w:lang w:val="fr-FR"/>
        </w:rPr>
        <w:t>vu qu’</w:t>
      </w:r>
      <w:r w:rsidRPr="005808ED">
        <w:rPr>
          <w:lang w:val="fr-FR"/>
        </w:rPr>
        <w:t xml:space="preserve">ils </w:t>
      </w:r>
      <w:r w:rsidR="00E755E0" w:rsidRPr="005808ED">
        <w:rPr>
          <w:lang w:val="fr-FR"/>
        </w:rPr>
        <w:t>sont susceptibles d</w:t>
      </w:r>
      <w:r w:rsidR="00DD7150" w:rsidRPr="005808ED">
        <w:rPr>
          <w:lang w:val="fr-FR"/>
        </w:rPr>
        <w:t>’avoir l</w:t>
      </w:r>
      <w:r w:rsidR="00E755E0" w:rsidRPr="005808ED">
        <w:rPr>
          <w:lang w:val="fr-FR"/>
        </w:rPr>
        <w:t>e</w:t>
      </w:r>
      <w:r w:rsidR="00F62CD1" w:rsidRPr="005808ED">
        <w:rPr>
          <w:lang w:val="fr-FR"/>
        </w:rPr>
        <w:t>s</w:t>
      </w:r>
      <w:r w:rsidR="00DD7150" w:rsidRPr="005808ED">
        <w:rPr>
          <w:lang w:val="fr-FR"/>
        </w:rPr>
        <w:t xml:space="preserve"> </w:t>
      </w:r>
      <w:r w:rsidRPr="005808ED">
        <w:rPr>
          <w:lang w:val="fr-FR"/>
        </w:rPr>
        <w:t xml:space="preserve">connaissances et </w:t>
      </w:r>
      <w:r w:rsidR="00F62CD1" w:rsidRPr="005808ED">
        <w:rPr>
          <w:lang w:val="fr-FR"/>
        </w:rPr>
        <w:t>l</w:t>
      </w:r>
      <w:r w:rsidR="00B3097B" w:rsidRPr="005808ED">
        <w:rPr>
          <w:lang w:val="fr-FR"/>
        </w:rPr>
        <w:t>’</w:t>
      </w:r>
      <w:r w:rsidRPr="005808ED">
        <w:rPr>
          <w:lang w:val="fr-FR"/>
        </w:rPr>
        <w:t>expérience</w:t>
      </w:r>
      <w:r w:rsidR="00DD7150" w:rsidRPr="005808ED">
        <w:rPr>
          <w:lang w:val="fr-FR"/>
        </w:rPr>
        <w:t xml:space="preserve"> </w:t>
      </w:r>
      <w:r w:rsidR="00F62CD1" w:rsidRPr="005808ED">
        <w:rPr>
          <w:lang w:val="fr-FR"/>
        </w:rPr>
        <w:t xml:space="preserve">les plus étendues </w:t>
      </w:r>
      <w:r w:rsidR="00B17606" w:rsidRPr="005808ED">
        <w:rPr>
          <w:lang w:val="fr-FR"/>
        </w:rPr>
        <w:t xml:space="preserve">en ce qui concerne </w:t>
      </w:r>
      <w:r w:rsidRPr="005808ED">
        <w:rPr>
          <w:lang w:val="fr-FR"/>
        </w:rPr>
        <w:t>l</w:t>
      </w:r>
      <w:r w:rsidR="00B3097B" w:rsidRPr="005808ED">
        <w:rPr>
          <w:lang w:val="fr-FR"/>
        </w:rPr>
        <w:t>’</w:t>
      </w:r>
      <w:r w:rsidRPr="005808ED">
        <w:rPr>
          <w:lang w:val="fr-FR"/>
        </w:rPr>
        <w:t xml:space="preserve">histoire et </w:t>
      </w:r>
      <w:r w:rsidR="00B17606" w:rsidRPr="005808ED">
        <w:rPr>
          <w:lang w:val="fr-FR"/>
        </w:rPr>
        <w:t>les effets de la</w:t>
      </w:r>
      <w:r w:rsidRPr="005808ED">
        <w:rPr>
          <w:lang w:val="fr-FR"/>
        </w:rPr>
        <w:t xml:space="preserve"> con</w:t>
      </w:r>
      <w:r w:rsidR="00F62CD1" w:rsidRPr="005808ED">
        <w:rPr>
          <w:lang w:val="fr-FR"/>
        </w:rPr>
        <w:t>tamination</w:t>
      </w:r>
      <w:r w:rsidRPr="005808ED">
        <w:rPr>
          <w:lang w:val="fr-FR"/>
        </w:rPr>
        <w:t xml:space="preserve">, ainsi que </w:t>
      </w:r>
      <w:r w:rsidR="00DD7150" w:rsidRPr="005808ED">
        <w:rPr>
          <w:lang w:val="fr-FR"/>
        </w:rPr>
        <w:t>les évolutions</w:t>
      </w:r>
      <w:r w:rsidRPr="005808ED">
        <w:rPr>
          <w:lang w:val="fr-FR"/>
        </w:rPr>
        <w:t xml:space="preserve"> de ces </w:t>
      </w:r>
      <w:r w:rsidR="00F62CD1" w:rsidRPr="005808ED">
        <w:rPr>
          <w:lang w:val="fr-FR"/>
        </w:rPr>
        <w:t>effets</w:t>
      </w:r>
      <w:r w:rsidRPr="005808ED">
        <w:rPr>
          <w:lang w:val="fr-FR"/>
        </w:rPr>
        <w:t xml:space="preserve"> dans le temps</w:t>
      </w:r>
      <w:r w:rsidR="00DD7150" w:rsidRPr="005808ED">
        <w:rPr>
          <w:lang w:val="fr-FR"/>
        </w:rPr>
        <w:t>, ce qui peut contribuer à</w:t>
      </w:r>
      <w:r w:rsidRPr="005808ED">
        <w:rPr>
          <w:lang w:val="fr-FR"/>
        </w:rPr>
        <w:t xml:space="preserve"> mieux comprendre les questions à évaluer. Une approche globale de la gestion des sites contaminés </w:t>
      </w:r>
      <w:r w:rsidR="00FB0A74" w:rsidRPr="005808ED">
        <w:rPr>
          <w:lang w:val="fr-FR"/>
        </w:rPr>
        <w:t>tend</w:t>
      </w:r>
      <w:r w:rsidRPr="005808ED">
        <w:rPr>
          <w:lang w:val="fr-FR"/>
        </w:rPr>
        <w:t xml:space="preserve"> à faire participer étroitement les membres des communautés locales et à les placer au centre des activités qui touchent leurs communautés. </w:t>
      </w:r>
    </w:p>
    <w:p w14:paraId="20B85637" w14:textId="1E56C359" w:rsidR="00F252EE" w:rsidRPr="005808ED" w:rsidRDefault="00E74A75" w:rsidP="00582B27">
      <w:pPr>
        <w:pStyle w:val="Normalnumber"/>
        <w:numPr>
          <w:ilvl w:val="0"/>
          <w:numId w:val="12"/>
        </w:numPr>
        <w:spacing w:after="100"/>
        <w:ind w:left="1247" w:firstLine="0"/>
        <w:rPr>
          <w:lang w:val="fr-FR"/>
        </w:rPr>
      </w:pPr>
      <w:r w:rsidRPr="005808ED">
        <w:rPr>
          <w:lang w:val="fr-FR"/>
        </w:rPr>
        <w:t>Le processus de mobilisation du public pourrait commencer par l</w:t>
      </w:r>
      <w:r w:rsidR="00B3097B" w:rsidRPr="005808ED">
        <w:rPr>
          <w:lang w:val="fr-FR"/>
        </w:rPr>
        <w:t>’</w:t>
      </w:r>
      <w:r w:rsidRPr="005808ED">
        <w:rPr>
          <w:lang w:val="fr-FR"/>
        </w:rPr>
        <w:t>information</w:t>
      </w:r>
      <w:r w:rsidR="006A1B88" w:rsidRPr="005808ED">
        <w:rPr>
          <w:lang w:val="fr-FR"/>
        </w:rPr>
        <w:t xml:space="preserve"> de</w:t>
      </w:r>
      <w:r w:rsidRPr="005808ED">
        <w:rPr>
          <w:lang w:val="fr-FR"/>
        </w:rPr>
        <w:t>s communauté</w:t>
      </w:r>
      <w:r w:rsidR="006A1B88" w:rsidRPr="005808ED">
        <w:rPr>
          <w:lang w:val="fr-FR"/>
        </w:rPr>
        <w:t>s</w:t>
      </w:r>
      <w:r w:rsidRPr="005808ED">
        <w:rPr>
          <w:lang w:val="fr-FR"/>
        </w:rPr>
        <w:t xml:space="preserve"> </w:t>
      </w:r>
      <w:r w:rsidR="006A1B88" w:rsidRPr="005808ED">
        <w:rPr>
          <w:lang w:val="fr-FR"/>
        </w:rPr>
        <w:t>concernées</w:t>
      </w:r>
      <w:r w:rsidRPr="005808ED">
        <w:rPr>
          <w:lang w:val="fr-FR"/>
        </w:rPr>
        <w:t xml:space="preserve">. </w:t>
      </w:r>
      <w:r w:rsidR="006A1B88" w:rsidRPr="005808ED">
        <w:rPr>
          <w:lang w:val="fr-FR"/>
        </w:rPr>
        <w:t>Ce stade, il peut s’agir</w:t>
      </w:r>
      <w:r w:rsidRPr="005808ED">
        <w:rPr>
          <w:lang w:val="fr-FR"/>
        </w:rPr>
        <w:t xml:space="preserve"> </w:t>
      </w:r>
      <w:r w:rsidR="006A1B88" w:rsidRPr="005808ED">
        <w:rPr>
          <w:lang w:val="fr-FR"/>
        </w:rPr>
        <w:t>de fournir, entre autres, des</w:t>
      </w:r>
      <w:r w:rsidRPr="005808ED">
        <w:rPr>
          <w:lang w:val="fr-FR"/>
        </w:rPr>
        <w:t xml:space="preserve"> informations générales sur le site, y compris </w:t>
      </w:r>
      <w:r w:rsidR="00A40348" w:rsidRPr="005808ED">
        <w:rPr>
          <w:lang w:val="fr-FR"/>
        </w:rPr>
        <w:t>ses</w:t>
      </w:r>
      <w:r w:rsidRPr="005808ED">
        <w:rPr>
          <w:lang w:val="fr-FR"/>
        </w:rPr>
        <w:t xml:space="preserve"> utilisations passées et la nature de la contamination présumée. </w:t>
      </w:r>
      <w:r w:rsidR="006A1B88" w:rsidRPr="005808ED">
        <w:rPr>
          <w:lang w:val="fr-FR"/>
        </w:rPr>
        <w:t>Ces informations peuvent être essentielles</w:t>
      </w:r>
      <w:r w:rsidRPr="005808ED">
        <w:rPr>
          <w:lang w:val="fr-FR"/>
        </w:rPr>
        <w:t xml:space="preserve"> pour s</w:t>
      </w:r>
      <w:r w:rsidR="00B3097B" w:rsidRPr="005808ED">
        <w:rPr>
          <w:lang w:val="fr-FR"/>
        </w:rPr>
        <w:t>’</w:t>
      </w:r>
      <w:r w:rsidRPr="005808ED">
        <w:rPr>
          <w:lang w:val="fr-FR"/>
        </w:rPr>
        <w:t xml:space="preserve">assurer </w:t>
      </w:r>
      <w:r w:rsidR="00A40348" w:rsidRPr="005808ED">
        <w:rPr>
          <w:lang w:val="fr-FR"/>
        </w:rPr>
        <w:t>l</w:t>
      </w:r>
      <w:r w:rsidR="00D75807" w:rsidRPr="005808ED">
        <w:rPr>
          <w:lang w:val="fr-FR"/>
        </w:rPr>
        <w:t>a coopération et l’obéissance</w:t>
      </w:r>
      <w:r w:rsidRPr="005808ED">
        <w:rPr>
          <w:lang w:val="fr-FR"/>
        </w:rPr>
        <w:t xml:space="preserve"> de la communauté, en particulier </w:t>
      </w:r>
      <w:r w:rsidR="00D75807" w:rsidRPr="005808ED">
        <w:rPr>
          <w:lang w:val="fr-FR"/>
        </w:rPr>
        <w:t>pour</w:t>
      </w:r>
      <w:r w:rsidRPr="005808ED">
        <w:rPr>
          <w:lang w:val="fr-FR"/>
        </w:rPr>
        <w:t xml:space="preserve"> les premières mesures qu</w:t>
      </w:r>
      <w:r w:rsidR="00D75807" w:rsidRPr="005808ED">
        <w:rPr>
          <w:lang w:val="fr-FR"/>
        </w:rPr>
        <w:t>’il peut être nécessaire de prendre</w:t>
      </w:r>
      <w:r w:rsidRPr="005808ED">
        <w:rPr>
          <w:lang w:val="fr-FR"/>
        </w:rPr>
        <w:t xml:space="preserve"> (par exemple, l</w:t>
      </w:r>
      <w:r w:rsidR="00B3097B" w:rsidRPr="005808ED">
        <w:rPr>
          <w:lang w:val="fr-FR"/>
        </w:rPr>
        <w:t>’</w:t>
      </w:r>
      <w:r w:rsidRPr="005808ED">
        <w:rPr>
          <w:lang w:val="fr-FR"/>
        </w:rPr>
        <w:t xml:space="preserve">installation de barrières pour empêcher </w:t>
      </w:r>
      <w:r w:rsidR="00D75807" w:rsidRPr="005808ED">
        <w:rPr>
          <w:lang w:val="fr-FR"/>
        </w:rPr>
        <w:t>l’entrée</w:t>
      </w:r>
      <w:r w:rsidRPr="005808ED">
        <w:rPr>
          <w:lang w:val="fr-FR"/>
        </w:rPr>
        <w:t xml:space="preserve"> dans les zones contaminées) et les activités de remise en état du site. Le maintien de l</w:t>
      </w:r>
      <w:r w:rsidR="00B3097B" w:rsidRPr="005808ED">
        <w:rPr>
          <w:lang w:val="fr-FR"/>
        </w:rPr>
        <w:t>’</w:t>
      </w:r>
      <w:r w:rsidRPr="005808ED">
        <w:rPr>
          <w:lang w:val="fr-FR"/>
        </w:rPr>
        <w:t xml:space="preserve">activité du site pourrait rendre une telle mobilisation plus difficile. </w:t>
      </w:r>
      <w:r w:rsidR="00915634" w:rsidRPr="005808ED">
        <w:rPr>
          <w:lang w:val="fr-FR"/>
        </w:rPr>
        <w:t>U</w:t>
      </w:r>
      <w:r w:rsidRPr="005808ED">
        <w:rPr>
          <w:lang w:val="fr-FR"/>
        </w:rPr>
        <w:t>ne déclaration sur les modalités de la participation demandée à la communauté</w:t>
      </w:r>
      <w:r w:rsidR="00915634" w:rsidRPr="005808ED">
        <w:rPr>
          <w:lang w:val="fr-FR"/>
        </w:rPr>
        <w:t xml:space="preserve"> devrait également être communiquée</w:t>
      </w:r>
      <w:r w:rsidRPr="005808ED">
        <w:rPr>
          <w:lang w:val="fr-FR"/>
        </w:rPr>
        <w:t>, ce qui aide</w:t>
      </w:r>
      <w:r w:rsidR="00915634" w:rsidRPr="005808ED">
        <w:rPr>
          <w:lang w:val="fr-FR"/>
        </w:rPr>
        <w:t>rait</w:t>
      </w:r>
      <w:r w:rsidRPr="005808ED">
        <w:rPr>
          <w:lang w:val="fr-FR"/>
        </w:rPr>
        <w:t xml:space="preserve"> à établir des attentes communes concernant les travaux à mener. Un calendrier initial des activités mentionnant toute échéance pour la présentation ou l</w:t>
      </w:r>
      <w:r w:rsidR="00B3097B" w:rsidRPr="005808ED">
        <w:rPr>
          <w:lang w:val="fr-FR"/>
        </w:rPr>
        <w:t>’</w:t>
      </w:r>
      <w:r w:rsidRPr="005808ED">
        <w:rPr>
          <w:lang w:val="fr-FR"/>
        </w:rPr>
        <w:t xml:space="preserve">élaboration de rapports </w:t>
      </w:r>
      <w:r w:rsidR="005D4020" w:rsidRPr="005808ED">
        <w:rPr>
          <w:lang w:val="fr-FR"/>
        </w:rPr>
        <w:t>devrait</w:t>
      </w:r>
      <w:r w:rsidRPr="005808ED">
        <w:rPr>
          <w:lang w:val="fr-FR"/>
        </w:rPr>
        <w:t xml:space="preserve"> également être fourni. L</w:t>
      </w:r>
      <w:r w:rsidR="00327F2C" w:rsidRPr="005808ED">
        <w:rPr>
          <w:lang w:val="fr-FR"/>
        </w:rPr>
        <w:t>a diffusion d</w:t>
      </w:r>
      <w:r w:rsidRPr="005808ED">
        <w:rPr>
          <w:lang w:val="fr-FR"/>
        </w:rPr>
        <w:t xml:space="preserve">es informations initiales peut </w:t>
      </w:r>
      <w:r w:rsidR="00327F2C" w:rsidRPr="005808ED">
        <w:rPr>
          <w:lang w:val="fr-FR"/>
        </w:rPr>
        <w:t>se faire</w:t>
      </w:r>
      <w:r w:rsidRPr="005808ED">
        <w:rPr>
          <w:lang w:val="fr-FR"/>
        </w:rPr>
        <w:t xml:space="preserve"> </w:t>
      </w:r>
      <w:r w:rsidR="001A57EF" w:rsidRPr="005808ED">
        <w:rPr>
          <w:lang w:val="fr-FR"/>
        </w:rPr>
        <w:t xml:space="preserve">au moyen </w:t>
      </w:r>
      <w:r w:rsidR="009649EA" w:rsidRPr="005808ED">
        <w:rPr>
          <w:lang w:val="fr-FR"/>
        </w:rPr>
        <w:t>de</w:t>
      </w:r>
      <w:r w:rsidRPr="005808ED">
        <w:rPr>
          <w:lang w:val="fr-FR"/>
        </w:rPr>
        <w:t xml:space="preserve"> supports imprimés </w:t>
      </w:r>
      <w:r w:rsidR="00FE68B2" w:rsidRPr="005808ED">
        <w:rPr>
          <w:lang w:val="fr-FR"/>
        </w:rPr>
        <w:t xml:space="preserve">distribués </w:t>
      </w:r>
      <w:r w:rsidRPr="005808ED">
        <w:rPr>
          <w:lang w:val="fr-FR"/>
        </w:rPr>
        <w:t xml:space="preserve">directement à la communauté </w:t>
      </w:r>
      <w:r w:rsidR="00B664C9" w:rsidRPr="005808ED">
        <w:rPr>
          <w:lang w:val="fr-FR"/>
        </w:rPr>
        <w:t>(prospectus, etc.)</w:t>
      </w:r>
      <w:r w:rsidR="009649EA" w:rsidRPr="005808ED">
        <w:rPr>
          <w:lang w:val="fr-FR"/>
        </w:rPr>
        <w:t>,</w:t>
      </w:r>
      <w:r w:rsidR="00B664C9" w:rsidRPr="005808ED">
        <w:rPr>
          <w:lang w:val="fr-FR"/>
        </w:rPr>
        <w:t xml:space="preserve"> </w:t>
      </w:r>
      <w:r w:rsidR="009649EA" w:rsidRPr="005808ED">
        <w:rPr>
          <w:lang w:val="fr-FR"/>
        </w:rPr>
        <w:t>d</w:t>
      </w:r>
      <w:r w:rsidRPr="005808ED">
        <w:rPr>
          <w:lang w:val="fr-FR"/>
        </w:rPr>
        <w:t>es journaux locaux ou communautaires</w:t>
      </w:r>
      <w:r w:rsidR="002F329B" w:rsidRPr="005808ED">
        <w:rPr>
          <w:lang w:val="fr-FR"/>
        </w:rPr>
        <w:t>,</w:t>
      </w:r>
      <w:r w:rsidRPr="005808ED">
        <w:rPr>
          <w:lang w:val="fr-FR"/>
        </w:rPr>
        <w:t xml:space="preserve"> ou des sites Web pertinents. </w:t>
      </w:r>
      <w:r w:rsidR="001A57EF" w:rsidRPr="005808ED">
        <w:rPr>
          <w:lang w:val="fr-FR"/>
        </w:rPr>
        <w:t xml:space="preserve">Il est </w:t>
      </w:r>
      <w:r w:rsidR="006A1B88" w:rsidRPr="005808ED">
        <w:rPr>
          <w:lang w:val="fr-FR"/>
        </w:rPr>
        <w:t xml:space="preserve">également </w:t>
      </w:r>
      <w:r w:rsidR="001A57EF" w:rsidRPr="005808ED">
        <w:rPr>
          <w:lang w:val="fr-FR"/>
        </w:rPr>
        <w:t>possible de se servir des</w:t>
      </w:r>
      <w:r w:rsidRPr="005808ED">
        <w:rPr>
          <w:lang w:val="fr-FR"/>
        </w:rPr>
        <w:t xml:space="preserve"> stations de radio et chaînes de télévision locales p</w:t>
      </w:r>
      <w:r w:rsidR="001A57EF" w:rsidRPr="005808ED">
        <w:rPr>
          <w:lang w:val="fr-FR"/>
        </w:rPr>
        <w:t>ou</w:t>
      </w:r>
      <w:r w:rsidRPr="005808ED">
        <w:rPr>
          <w:lang w:val="fr-FR"/>
        </w:rPr>
        <w:t xml:space="preserve">r </w:t>
      </w:r>
      <w:r w:rsidR="006A1B88" w:rsidRPr="005808ED">
        <w:rPr>
          <w:lang w:val="fr-FR"/>
        </w:rPr>
        <w:t>communiquer d</w:t>
      </w:r>
      <w:r w:rsidRPr="005808ED">
        <w:rPr>
          <w:lang w:val="fr-FR"/>
        </w:rPr>
        <w:t xml:space="preserve">es informations et faire connaître les principales activités. </w:t>
      </w:r>
      <w:r w:rsidR="006A1B88" w:rsidRPr="005808ED">
        <w:rPr>
          <w:lang w:val="fr-FR"/>
        </w:rPr>
        <w:t xml:space="preserve">Il convient par ailleurs de fournir une </w:t>
      </w:r>
      <w:r w:rsidR="001A57EF" w:rsidRPr="005808ED">
        <w:rPr>
          <w:lang w:val="fr-FR"/>
        </w:rPr>
        <w:t>adresse auprès de laquelle les</w:t>
      </w:r>
      <w:r w:rsidRPr="005808ED">
        <w:rPr>
          <w:lang w:val="fr-FR"/>
        </w:rPr>
        <w:t xml:space="preserve"> personnes intéressées </w:t>
      </w:r>
      <w:r w:rsidR="001A57EF" w:rsidRPr="005808ED">
        <w:rPr>
          <w:lang w:val="fr-FR"/>
        </w:rPr>
        <w:t xml:space="preserve">peuvent se procurer </w:t>
      </w:r>
      <w:r w:rsidRPr="005808ED">
        <w:rPr>
          <w:lang w:val="fr-FR"/>
        </w:rPr>
        <w:t>des informations supplémentaires.</w:t>
      </w:r>
    </w:p>
    <w:p w14:paraId="5AD02C9C" w14:textId="1EE3AC9B" w:rsidR="00F252EE" w:rsidRPr="005808ED" w:rsidRDefault="00F252EE" w:rsidP="00582B27">
      <w:pPr>
        <w:pStyle w:val="Normalnumber"/>
        <w:numPr>
          <w:ilvl w:val="0"/>
          <w:numId w:val="12"/>
        </w:numPr>
        <w:spacing w:after="100"/>
        <w:ind w:left="1247" w:firstLine="0"/>
        <w:rPr>
          <w:lang w:val="fr-FR"/>
        </w:rPr>
      </w:pPr>
      <w:r w:rsidRPr="005808ED">
        <w:rPr>
          <w:lang w:val="fr-FR"/>
        </w:rPr>
        <w:t xml:space="preserve">Un plan initial détaillant les modalités de mobilisation du public devrait être fourni, y compris un calendrier pour les activités de mobilisation proposées. Lorsque des contributions sont demandées, des informations devraient être fournies sur leurs modalités de collecte et sur la façon dont elles seront utilisées. Les activités de mobilisation du public peuvent comprendre des réunions publiques, qui pourront se tenir dans des locaux communautaires centraux ou, parfois, sur le site touché. Les réunions publiques peuvent prendre diverses formes et </w:t>
      </w:r>
      <w:r w:rsidR="00A73D1D" w:rsidRPr="005808ED">
        <w:rPr>
          <w:lang w:val="fr-FR"/>
        </w:rPr>
        <w:t xml:space="preserve">il pourra </w:t>
      </w:r>
      <w:r w:rsidRPr="005808ED">
        <w:rPr>
          <w:lang w:val="fr-FR"/>
        </w:rPr>
        <w:t>s</w:t>
      </w:r>
      <w:r w:rsidR="00B3097B" w:rsidRPr="005808ED">
        <w:rPr>
          <w:lang w:val="fr-FR"/>
        </w:rPr>
        <w:t>’</w:t>
      </w:r>
      <w:r w:rsidRPr="005808ED">
        <w:rPr>
          <w:lang w:val="fr-FR"/>
        </w:rPr>
        <w:t>avérer utile</w:t>
      </w:r>
      <w:r w:rsidR="00A73D1D" w:rsidRPr="005808ED">
        <w:rPr>
          <w:lang w:val="fr-FR"/>
        </w:rPr>
        <w:t xml:space="preserve"> d’organiser</w:t>
      </w:r>
      <w:r w:rsidRPr="005808ED">
        <w:rPr>
          <w:lang w:val="fr-FR"/>
        </w:rPr>
        <w:t xml:space="preserve"> </w:t>
      </w:r>
      <w:r w:rsidR="00A73D1D" w:rsidRPr="005808ED">
        <w:rPr>
          <w:lang w:val="fr-FR"/>
        </w:rPr>
        <w:t>d</w:t>
      </w:r>
      <w:r w:rsidR="002F329B" w:rsidRPr="005808ED">
        <w:rPr>
          <w:lang w:val="fr-FR"/>
        </w:rPr>
        <w:t>’autres typ</w:t>
      </w:r>
      <w:r w:rsidR="00A73D1D" w:rsidRPr="005808ED">
        <w:rPr>
          <w:lang w:val="fr-FR"/>
        </w:rPr>
        <w:t xml:space="preserve">es </w:t>
      </w:r>
      <w:r w:rsidR="002F329B" w:rsidRPr="005808ED">
        <w:rPr>
          <w:lang w:val="fr-FR"/>
        </w:rPr>
        <w:t xml:space="preserve">de </w:t>
      </w:r>
      <w:r w:rsidR="00A73D1D" w:rsidRPr="005808ED">
        <w:rPr>
          <w:lang w:val="fr-FR"/>
        </w:rPr>
        <w:t xml:space="preserve">réunions </w:t>
      </w:r>
      <w:r w:rsidRPr="005808ED">
        <w:rPr>
          <w:lang w:val="fr-FR"/>
        </w:rPr>
        <w:t>à différent</w:t>
      </w:r>
      <w:r w:rsidR="00A73D1D" w:rsidRPr="005808ED">
        <w:rPr>
          <w:lang w:val="fr-FR"/>
        </w:rPr>
        <w:t>e</w:t>
      </w:r>
      <w:r w:rsidRPr="005808ED">
        <w:rPr>
          <w:lang w:val="fr-FR"/>
        </w:rPr>
        <w:t xml:space="preserve">s </w:t>
      </w:r>
      <w:r w:rsidR="00A73D1D" w:rsidRPr="005808ED">
        <w:rPr>
          <w:lang w:val="fr-FR"/>
        </w:rPr>
        <w:t xml:space="preserve">étapes </w:t>
      </w:r>
      <w:r w:rsidRPr="005808ED">
        <w:rPr>
          <w:lang w:val="fr-FR"/>
        </w:rPr>
        <w:t xml:space="preserve">des travaux. Les réunions-débats, </w:t>
      </w:r>
      <w:r w:rsidR="00D12788" w:rsidRPr="005808ED">
        <w:rPr>
          <w:lang w:val="fr-FR"/>
        </w:rPr>
        <w:t>constituées d’exposés sur</w:t>
      </w:r>
      <w:r w:rsidRPr="005808ED">
        <w:rPr>
          <w:lang w:val="fr-FR"/>
        </w:rPr>
        <w:t xml:space="preserve"> les principaux points de discussion</w:t>
      </w:r>
      <w:r w:rsidR="00D12788" w:rsidRPr="005808ED">
        <w:rPr>
          <w:lang w:val="fr-FR"/>
        </w:rPr>
        <w:t xml:space="preserve"> </w:t>
      </w:r>
      <w:r w:rsidR="006A1B88" w:rsidRPr="005808ED">
        <w:rPr>
          <w:lang w:val="fr-FR"/>
        </w:rPr>
        <w:t>fait</w:t>
      </w:r>
      <w:r w:rsidR="00D12788" w:rsidRPr="005808ED">
        <w:rPr>
          <w:lang w:val="fr-FR"/>
        </w:rPr>
        <w:t>s par des personnes de premier plan</w:t>
      </w:r>
      <w:r w:rsidRPr="005808ED">
        <w:rPr>
          <w:lang w:val="fr-FR"/>
        </w:rPr>
        <w:t xml:space="preserve">, </w:t>
      </w:r>
      <w:r w:rsidR="00D12788" w:rsidRPr="005808ED">
        <w:rPr>
          <w:lang w:val="fr-FR"/>
        </w:rPr>
        <w:t>suivis d’</w:t>
      </w:r>
      <w:r w:rsidRPr="005808ED">
        <w:rPr>
          <w:lang w:val="fr-FR"/>
        </w:rPr>
        <w:t xml:space="preserve">une séance de questions-réponses, peuvent servir à la mobilisation initiale du public, tandis que les ateliers </w:t>
      </w:r>
      <w:r w:rsidR="00327F2C" w:rsidRPr="005808ED">
        <w:rPr>
          <w:lang w:val="fr-FR"/>
        </w:rPr>
        <w:t>et</w:t>
      </w:r>
      <w:r w:rsidRPr="005808ED">
        <w:rPr>
          <w:lang w:val="fr-FR"/>
        </w:rPr>
        <w:t xml:space="preserve"> réunions de conception peuvent </w:t>
      </w:r>
      <w:r w:rsidR="00327F2C" w:rsidRPr="005808ED">
        <w:rPr>
          <w:lang w:val="fr-FR"/>
        </w:rPr>
        <w:t>être utiles</w:t>
      </w:r>
      <w:r w:rsidRPr="005808ED">
        <w:rPr>
          <w:lang w:val="fr-FR"/>
        </w:rPr>
        <w:t xml:space="preserve">, à un stade ultérieur, </w:t>
      </w:r>
      <w:r w:rsidR="00327F2C" w:rsidRPr="005808ED">
        <w:rPr>
          <w:lang w:val="fr-FR"/>
        </w:rPr>
        <w:t>pour</w:t>
      </w:r>
      <w:r w:rsidRPr="005808ED">
        <w:rPr>
          <w:lang w:val="fr-FR"/>
        </w:rPr>
        <w:t xml:space="preserve"> renforcer les interactions et parvenir à des conclusions concertées. Il </w:t>
      </w:r>
      <w:r w:rsidR="009E7A7C" w:rsidRPr="005808ED">
        <w:rPr>
          <w:lang w:val="fr-FR"/>
        </w:rPr>
        <w:t>convient</w:t>
      </w:r>
      <w:r w:rsidRPr="005808ED">
        <w:rPr>
          <w:lang w:val="fr-FR"/>
        </w:rPr>
        <w:t xml:space="preserve"> également</w:t>
      </w:r>
      <w:r w:rsidR="00287D78" w:rsidRPr="005808ED">
        <w:rPr>
          <w:lang w:val="fr-FR"/>
        </w:rPr>
        <w:t xml:space="preserve"> d’envisager d</w:t>
      </w:r>
      <w:r w:rsidR="00D3796C" w:rsidRPr="005808ED">
        <w:rPr>
          <w:lang w:val="fr-FR"/>
        </w:rPr>
        <w:t>e fournir</w:t>
      </w:r>
      <w:r w:rsidR="00287D78" w:rsidRPr="005808ED">
        <w:rPr>
          <w:lang w:val="fr-FR"/>
        </w:rPr>
        <w:t xml:space="preserve"> </w:t>
      </w:r>
      <w:r w:rsidR="00D3796C" w:rsidRPr="005808ED">
        <w:rPr>
          <w:lang w:val="fr-FR"/>
        </w:rPr>
        <w:t>au public des</w:t>
      </w:r>
      <w:r w:rsidR="002F329B" w:rsidRPr="005808ED">
        <w:rPr>
          <w:lang w:val="fr-FR"/>
        </w:rPr>
        <w:t xml:space="preserve"> possibilité</w:t>
      </w:r>
      <w:r w:rsidR="00D3796C" w:rsidRPr="005808ED">
        <w:rPr>
          <w:lang w:val="fr-FR"/>
        </w:rPr>
        <w:t>s</w:t>
      </w:r>
      <w:r w:rsidR="002F329B" w:rsidRPr="005808ED">
        <w:rPr>
          <w:lang w:val="fr-FR"/>
        </w:rPr>
        <w:t xml:space="preserve"> </w:t>
      </w:r>
      <w:r w:rsidRPr="005808ED">
        <w:rPr>
          <w:lang w:val="fr-FR"/>
        </w:rPr>
        <w:t>de contribuer de manière confidentielle, afin d</w:t>
      </w:r>
      <w:r w:rsidR="00B3097B" w:rsidRPr="005808ED">
        <w:rPr>
          <w:lang w:val="fr-FR"/>
        </w:rPr>
        <w:t>’</w:t>
      </w:r>
      <w:r w:rsidRPr="005808ED">
        <w:rPr>
          <w:lang w:val="fr-FR"/>
        </w:rPr>
        <w:t xml:space="preserve">éviter toute pression que les propriétaires ou exploitants des </w:t>
      </w:r>
      <w:r w:rsidR="009E7A7C" w:rsidRPr="005808ED">
        <w:rPr>
          <w:lang w:val="fr-FR"/>
        </w:rPr>
        <w:t>sites concernés pourraient exercer</w:t>
      </w:r>
      <w:r w:rsidRPr="005808ED">
        <w:rPr>
          <w:lang w:val="fr-FR"/>
        </w:rPr>
        <w:t>, notamment sur le</w:t>
      </w:r>
      <w:r w:rsidR="009E7A7C" w:rsidRPr="005808ED">
        <w:rPr>
          <w:lang w:val="fr-FR"/>
        </w:rPr>
        <w:t>urs</w:t>
      </w:r>
      <w:r w:rsidRPr="005808ED">
        <w:rPr>
          <w:lang w:val="fr-FR"/>
        </w:rPr>
        <w:t xml:space="preserve"> employés.</w:t>
      </w:r>
    </w:p>
    <w:p w14:paraId="7F4C3216" w14:textId="73E747E6" w:rsidR="00F252EE" w:rsidRPr="005808ED" w:rsidRDefault="00F252EE" w:rsidP="00582B27">
      <w:pPr>
        <w:pStyle w:val="Normalnumber"/>
        <w:numPr>
          <w:ilvl w:val="0"/>
          <w:numId w:val="12"/>
        </w:numPr>
        <w:spacing w:after="100"/>
        <w:ind w:left="1247" w:firstLine="0"/>
        <w:rPr>
          <w:lang w:val="fr-FR"/>
        </w:rPr>
      </w:pPr>
      <w:r w:rsidRPr="005808ED">
        <w:rPr>
          <w:lang w:val="fr-FR"/>
        </w:rPr>
        <w:t xml:space="preserve">Selon la phase </w:t>
      </w:r>
      <w:r w:rsidR="009704C0" w:rsidRPr="005808ED">
        <w:rPr>
          <w:lang w:val="fr-FR"/>
        </w:rPr>
        <w:t>dans laquelle le</w:t>
      </w:r>
      <w:r w:rsidRPr="005808ED">
        <w:rPr>
          <w:lang w:val="fr-FR"/>
        </w:rPr>
        <w:t xml:space="preserve"> processus </w:t>
      </w:r>
      <w:r w:rsidR="009704C0" w:rsidRPr="005808ED">
        <w:rPr>
          <w:lang w:val="fr-FR"/>
        </w:rPr>
        <w:t>se trouve</w:t>
      </w:r>
      <w:r w:rsidRPr="005808ED">
        <w:rPr>
          <w:lang w:val="fr-FR"/>
        </w:rPr>
        <w:t xml:space="preserve"> (identification, étude, remise en état, suivi ultérieur du site</w:t>
      </w:r>
      <w:r w:rsidR="00BF4963" w:rsidRPr="005808ED">
        <w:rPr>
          <w:lang w:val="fr-FR"/>
        </w:rPr>
        <w:t>, etc.</w:t>
      </w:r>
      <w:r w:rsidRPr="005808ED">
        <w:rPr>
          <w:lang w:val="fr-FR"/>
        </w:rPr>
        <w:t xml:space="preserve">), diverses méthodes </w:t>
      </w:r>
      <w:r w:rsidR="009704C0" w:rsidRPr="005808ED">
        <w:rPr>
          <w:lang w:val="fr-FR"/>
        </w:rPr>
        <w:t>peuve</w:t>
      </w:r>
      <w:r w:rsidRPr="005808ED">
        <w:rPr>
          <w:lang w:val="fr-FR"/>
        </w:rPr>
        <w:t xml:space="preserve">nt mieux </w:t>
      </w:r>
      <w:r w:rsidR="009704C0" w:rsidRPr="005808ED">
        <w:rPr>
          <w:lang w:val="fr-FR"/>
        </w:rPr>
        <w:t>convenir</w:t>
      </w:r>
      <w:r w:rsidRPr="005808ED">
        <w:rPr>
          <w:lang w:val="fr-FR"/>
        </w:rPr>
        <w:t xml:space="preserve"> pour dialoguer avec le public. Les résultats du processus de consultation publique et les décisions prises </w:t>
      </w:r>
      <w:r w:rsidR="009A6D1B" w:rsidRPr="005808ED">
        <w:rPr>
          <w:lang w:val="fr-FR"/>
        </w:rPr>
        <w:t>au sujet des</w:t>
      </w:r>
      <w:r w:rsidRPr="005808ED">
        <w:rPr>
          <w:lang w:val="fr-FR"/>
        </w:rPr>
        <w:t xml:space="preserve"> activités futures devraient être diffusées </w:t>
      </w:r>
      <w:r w:rsidR="00D75807" w:rsidRPr="005808ED">
        <w:rPr>
          <w:lang w:val="fr-FR"/>
        </w:rPr>
        <w:t>par</w:t>
      </w:r>
      <w:r w:rsidR="00BF4963" w:rsidRPr="005808ED">
        <w:rPr>
          <w:lang w:val="fr-FR"/>
        </w:rPr>
        <w:t xml:space="preserve"> des moyens</w:t>
      </w:r>
      <w:r w:rsidRPr="005808ED">
        <w:rPr>
          <w:lang w:val="fr-FR"/>
        </w:rPr>
        <w:t xml:space="preserve"> semblable</w:t>
      </w:r>
      <w:r w:rsidR="00BF4963" w:rsidRPr="005808ED">
        <w:rPr>
          <w:lang w:val="fr-FR"/>
        </w:rPr>
        <w:t>s</w:t>
      </w:r>
      <w:r w:rsidRPr="005808ED">
        <w:rPr>
          <w:lang w:val="fr-FR"/>
        </w:rPr>
        <w:t xml:space="preserve"> à </w:t>
      </w:r>
      <w:r w:rsidR="00BF4963" w:rsidRPr="005808ED">
        <w:rPr>
          <w:lang w:val="fr-FR"/>
        </w:rPr>
        <w:t xml:space="preserve">ceux employés pour </w:t>
      </w:r>
      <w:r w:rsidRPr="005808ED">
        <w:rPr>
          <w:lang w:val="fr-FR"/>
        </w:rPr>
        <w:t>la communication des informations initiales au début du processus de mobilisation.</w:t>
      </w:r>
    </w:p>
    <w:p w14:paraId="292A78E5" w14:textId="5957A9C2" w:rsidR="00F252EE" w:rsidRPr="005808ED" w:rsidRDefault="00F23D44" w:rsidP="00FA6C22">
      <w:pPr>
        <w:pStyle w:val="CH1"/>
        <w:spacing w:before="200"/>
        <w:ind w:hanging="680"/>
        <w:rPr>
          <w:lang w:val="fr-FR"/>
        </w:rPr>
      </w:pPr>
      <w:bookmarkStart w:id="35" w:name="_Toc527017906"/>
      <w:r w:rsidRPr="005808ED">
        <w:rPr>
          <w:lang w:val="fr-FR"/>
        </w:rPr>
        <w:t>D.</w:t>
      </w:r>
      <w:r w:rsidR="00FA6C22" w:rsidRPr="005808ED">
        <w:rPr>
          <w:lang w:val="fr-FR"/>
        </w:rPr>
        <w:tab/>
      </w:r>
      <w:r w:rsidRPr="005808ED">
        <w:rPr>
          <w:lang w:val="fr-FR"/>
        </w:rPr>
        <w:tab/>
      </w:r>
      <w:r w:rsidRPr="005808ED">
        <w:rPr>
          <w:bCs/>
          <w:lang w:val="fr-FR"/>
        </w:rPr>
        <w:t>Évaluations des risques pour la santé humaine et l</w:t>
      </w:r>
      <w:r w:rsidR="00B3097B" w:rsidRPr="005808ED">
        <w:rPr>
          <w:bCs/>
          <w:lang w:val="fr-FR"/>
        </w:rPr>
        <w:t>’</w:t>
      </w:r>
      <w:r w:rsidRPr="005808ED">
        <w:rPr>
          <w:bCs/>
          <w:lang w:val="fr-FR"/>
        </w:rPr>
        <w:t>environnement</w:t>
      </w:r>
      <w:bookmarkEnd w:id="35"/>
    </w:p>
    <w:p w14:paraId="5D6CA941" w14:textId="6D82B039" w:rsidR="00F252EE" w:rsidRPr="005808ED" w:rsidRDefault="00F252EE" w:rsidP="00582B27">
      <w:pPr>
        <w:pStyle w:val="Normalnumber"/>
        <w:numPr>
          <w:ilvl w:val="0"/>
          <w:numId w:val="12"/>
        </w:numPr>
        <w:spacing w:after="100"/>
        <w:ind w:left="1247" w:firstLine="0"/>
        <w:rPr>
          <w:lang w:val="fr-FR"/>
        </w:rPr>
      </w:pPr>
      <w:r w:rsidRPr="005808ED">
        <w:rPr>
          <w:lang w:val="fr-FR"/>
        </w:rPr>
        <w:t>Les dangers du mercure sont bien reconnus et il existe des informations scientifiques détaillées concernant les conséquences d</w:t>
      </w:r>
      <w:r w:rsidR="00B3097B" w:rsidRPr="005808ED">
        <w:rPr>
          <w:lang w:val="fr-FR"/>
        </w:rPr>
        <w:t>’</w:t>
      </w:r>
      <w:r w:rsidRPr="005808ED">
        <w:rPr>
          <w:lang w:val="fr-FR"/>
        </w:rPr>
        <w:t xml:space="preserve">une exposition à cette substance, y compris le mercure élémentaire, le mercure inorganique et le méthylmercure. Cependant, il importe de veiller à ce que le grand public ait accès à ces informations. </w:t>
      </w:r>
    </w:p>
    <w:p w14:paraId="2CA60811" w14:textId="42FBA2E9" w:rsidR="00F252EE" w:rsidRPr="005808ED" w:rsidRDefault="00DE1385" w:rsidP="00582B27">
      <w:pPr>
        <w:pStyle w:val="Normalnumber"/>
        <w:numPr>
          <w:ilvl w:val="0"/>
          <w:numId w:val="12"/>
        </w:numPr>
        <w:spacing w:after="100"/>
        <w:ind w:left="1247" w:firstLine="0"/>
        <w:rPr>
          <w:lang w:val="fr-FR"/>
        </w:rPr>
      </w:pPr>
      <w:r w:rsidRPr="005808ED">
        <w:rPr>
          <w:lang w:val="fr-FR"/>
        </w:rPr>
        <w:t>D</w:t>
      </w:r>
      <w:r w:rsidR="00B3097B" w:rsidRPr="005808ED">
        <w:rPr>
          <w:lang w:val="fr-FR"/>
        </w:rPr>
        <w:t>’</w:t>
      </w:r>
      <w:r w:rsidRPr="005808ED">
        <w:rPr>
          <w:lang w:val="fr-FR"/>
        </w:rPr>
        <w:t>après l</w:t>
      </w:r>
      <w:r w:rsidR="00B3097B" w:rsidRPr="005808ED">
        <w:rPr>
          <w:lang w:val="fr-FR"/>
        </w:rPr>
        <w:t>’</w:t>
      </w:r>
      <w:r w:rsidRPr="005808ED">
        <w:rPr>
          <w:lang w:val="fr-FR"/>
        </w:rPr>
        <w:t>Organisation mondiale de la Santé (OMS), le mercure élémentaire et le méthylmercure sont toxiques pour le</w:t>
      </w:r>
      <w:r w:rsidR="00F23E7F" w:rsidRPr="005808ED">
        <w:rPr>
          <w:lang w:val="fr-FR"/>
        </w:rPr>
        <w:t>s</w:t>
      </w:r>
      <w:r w:rsidRPr="005808ED">
        <w:rPr>
          <w:lang w:val="fr-FR"/>
        </w:rPr>
        <w:t xml:space="preserve"> système</w:t>
      </w:r>
      <w:r w:rsidR="00F23E7F" w:rsidRPr="005808ED">
        <w:rPr>
          <w:lang w:val="fr-FR"/>
        </w:rPr>
        <w:t>s</w:t>
      </w:r>
      <w:r w:rsidRPr="005808ED">
        <w:rPr>
          <w:lang w:val="fr-FR"/>
        </w:rPr>
        <w:t xml:space="preserve"> nerveux central et périphérique. L</w:t>
      </w:r>
      <w:r w:rsidR="00B3097B" w:rsidRPr="005808ED">
        <w:rPr>
          <w:lang w:val="fr-FR"/>
        </w:rPr>
        <w:t>’</w:t>
      </w:r>
      <w:r w:rsidRPr="005808ED">
        <w:rPr>
          <w:lang w:val="fr-FR"/>
        </w:rPr>
        <w:t>inhalation de vapeur de mercure peut avoir des effets nocifs sur les systèmes nerveux, digestif et immunitaire</w:t>
      </w:r>
      <w:r w:rsidR="0065722D" w:rsidRPr="005808ED">
        <w:rPr>
          <w:lang w:val="fr-FR"/>
        </w:rPr>
        <w:t xml:space="preserve"> et</w:t>
      </w:r>
      <w:r w:rsidRPr="005808ED">
        <w:rPr>
          <w:lang w:val="fr-FR"/>
        </w:rPr>
        <w:t xml:space="preserve"> les poumons et les reins, voire être fatale. Les sels inorganiques du mercure sont corrosifs pour la peau, les yeux et le tractus gastro-intestinal et peuvent engendrer une néphrotoxicité en cas d</w:t>
      </w:r>
      <w:r w:rsidR="00B3097B" w:rsidRPr="005808ED">
        <w:rPr>
          <w:lang w:val="fr-FR"/>
        </w:rPr>
        <w:t>’</w:t>
      </w:r>
      <w:r w:rsidRPr="005808ED">
        <w:rPr>
          <w:lang w:val="fr-FR"/>
        </w:rPr>
        <w:t>ingestion. Des troubles neurologiques et comportementaux peuvent apparaître après inhalation ou ingestion de divers composés du mercure, ainsi qu</w:t>
      </w:r>
      <w:r w:rsidR="00B3097B" w:rsidRPr="005808ED">
        <w:rPr>
          <w:lang w:val="fr-FR"/>
        </w:rPr>
        <w:t>’</w:t>
      </w:r>
      <w:r w:rsidRPr="005808ED">
        <w:rPr>
          <w:lang w:val="fr-FR"/>
        </w:rPr>
        <w:t>en cas d</w:t>
      </w:r>
      <w:r w:rsidR="00B3097B" w:rsidRPr="005808ED">
        <w:rPr>
          <w:lang w:val="fr-FR"/>
        </w:rPr>
        <w:t>’</w:t>
      </w:r>
      <w:r w:rsidRPr="005808ED">
        <w:rPr>
          <w:lang w:val="fr-FR"/>
        </w:rPr>
        <w:t xml:space="preserve">exposition cutanée à ces substances. Les symptômes comprennent des tremblements, des insomnies, des pertes de mémoire, des effets neuromusculaires, des maux de tête et des troubles cognitifs et moteurs. Des signes légers voire </w:t>
      </w:r>
      <w:r w:rsidR="0065722D" w:rsidRPr="005808ED">
        <w:rPr>
          <w:lang w:val="fr-FR"/>
        </w:rPr>
        <w:t>subcliniques</w:t>
      </w:r>
      <w:r w:rsidRPr="005808ED">
        <w:rPr>
          <w:lang w:val="fr-FR"/>
        </w:rPr>
        <w:t xml:space="preserve"> d</w:t>
      </w:r>
      <w:r w:rsidR="00B86B50" w:rsidRPr="005808ED">
        <w:rPr>
          <w:lang w:val="fr-FR"/>
        </w:rPr>
        <w:t>’atteinte</w:t>
      </w:r>
      <w:r w:rsidRPr="005808ED">
        <w:rPr>
          <w:lang w:val="fr-FR"/>
        </w:rPr>
        <w:t xml:space="preserve"> du système nerveux central ont été observés chez des travailleurs exposés pendant plusieurs années à un </w:t>
      </w:r>
      <w:r w:rsidR="009704C0" w:rsidRPr="005808ED">
        <w:rPr>
          <w:lang w:val="fr-FR"/>
        </w:rPr>
        <w:t>taux atmosphérique</w:t>
      </w:r>
      <w:r w:rsidRPr="005808ED">
        <w:rPr>
          <w:lang w:val="fr-FR"/>
        </w:rPr>
        <w:t xml:space="preserve"> de mercure élémentaire supérieur ou égal à 20 µg/m</w:t>
      </w:r>
      <w:r w:rsidRPr="005808ED">
        <w:rPr>
          <w:vertAlign w:val="superscript"/>
          <w:lang w:val="fr-FR"/>
        </w:rPr>
        <w:t>3</w:t>
      </w:r>
      <w:r w:rsidRPr="005808ED">
        <w:rPr>
          <w:lang w:val="fr-FR"/>
        </w:rPr>
        <w:t>. Les effets observés sur les reins vont de l</w:t>
      </w:r>
      <w:r w:rsidR="00B3097B" w:rsidRPr="005808ED">
        <w:rPr>
          <w:lang w:val="fr-FR"/>
        </w:rPr>
        <w:t>’</w:t>
      </w:r>
      <w:r w:rsidRPr="005808ED">
        <w:rPr>
          <w:lang w:val="fr-FR"/>
        </w:rPr>
        <w:t xml:space="preserve">augmentation </w:t>
      </w:r>
      <w:r w:rsidR="00B86B50" w:rsidRPr="005808ED">
        <w:rPr>
          <w:lang w:val="fr-FR"/>
        </w:rPr>
        <w:t xml:space="preserve">du taux </w:t>
      </w:r>
      <w:r w:rsidRPr="005808ED">
        <w:rPr>
          <w:lang w:val="fr-FR"/>
        </w:rPr>
        <w:t>de</w:t>
      </w:r>
      <w:r w:rsidR="009704C0" w:rsidRPr="005808ED">
        <w:rPr>
          <w:lang w:val="fr-FR"/>
        </w:rPr>
        <w:t xml:space="preserve"> </w:t>
      </w:r>
      <w:r w:rsidRPr="005808ED">
        <w:rPr>
          <w:lang w:val="fr-FR"/>
        </w:rPr>
        <w:t>protéin</w:t>
      </w:r>
      <w:r w:rsidR="00B86B50" w:rsidRPr="005808ED">
        <w:rPr>
          <w:lang w:val="fr-FR"/>
        </w:rPr>
        <w:t>urie</w:t>
      </w:r>
      <w:r w:rsidRPr="005808ED">
        <w:rPr>
          <w:lang w:val="fr-FR"/>
        </w:rPr>
        <w:t xml:space="preserve"> à l</w:t>
      </w:r>
      <w:r w:rsidR="00B3097B" w:rsidRPr="005808ED">
        <w:rPr>
          <w:lang w:val="fr-FR"/>
        </w:rPr>
        <w:t>’</w:t>
      </w:r>
      <w:r w:rsidRPr="005808ED">
        <w:rPr>
          <w:lang w:val="fr-FR"/>
        </w:rPr>
        <w:t xml:space="preserve">insuffisance rénale. Des effets permanents sur le développement du système nerveux ont également été observés chez des </w:t>
      </w:r>
      <w:r w:rsidR="005D4020" w:rsidRPr="005808ED">
        <w:rPr>
          <w:lang w:val="fr-FR"/>
        </w:rPr>
        <w:t>fœtus</w:t>
      </w:r>
      <w:r w:rsidRPr="005808ED">
        <w:rPr>
          <w:lang w:val="fr-FR"/>
        </w:rPr>
        <w:t xml:space="preserve"> et des enfants ayant subi une exposition, ces groupes étant par conséquent considérés comme particulièrement vulnérables à une exposition au mercure (</w:t>
      </w:r>
      <w:r w:rsidR="000B1B38" w:rsidRPr="005808ED">
        <w:rPr>
          <w:lang w:val="fr-FR"/>
        </w:rPr>
        <w:t>OMS</w:t>
      </w:r>
      <w:r w:rsidRPr="005808ED">
        <w:rPr>
          <w:lang w:val="fr-FR"/>
        </w:rPr>
        <w:t xml:space="preserve">, 2017). </w:t>
      </w:r>
    </w:p>
    <w:p w14:paraId="78904BC4" w14:textId="4906C684" w:rsidR="00F252EE" w:rsidRPr="005808ED" w:rsidRDefault="00F252EE" w:rsidP="00582B27">
      <w:pPr>
        <w:pStyle w:val="Normalnumber"/>
        <w:numPr>
          <w:ilvl w:val="0"/>
          <w:numId w:val="12"/>
        </w:numPr>
        <w:spacing w:after="100"/>
        <w:ind w:left="1247" w:firstLine="0"/>
        <w:rPr>
          <w:lang w:val="fr-FR"/>
        </w:rPr>
      </w:pPr>
      <w:r w:rsidRPr="005808ED">
        <w:rPr>
          <w:lang w:val="fr-FR"/>
        </w:rPr>
        <w:t>Les effets d</w:t>
      </w:r>
      <w:r w:rsidR="00B3097B" w:rsidRPr="005808ED">
        <w:rPr>
          <w:lang w:val="fr-FR"/>
        </w:rPr>
        <w:t>’</w:t>
      </w:r>
      <w:r w:rsidRPr="005808ED">
        <w:rPr>
          <w:lang w:val="fr-FR"/>
        </w:rPr>
        <w:t>une exposition au mercure sur l</w:t>
      </w:r>
      <w:r w:rsidR="00B3097B" w:rsidRPr="005808ED">
        <w:rPr>
          <w:lang w:val="fr-FR"/>
        </w:rPr>
        <w:t>’</w:t>
      </w:r>
      <w:r w:rsidRPr="005808ED">
        <w:rPr>
          <w:lang w:val="fr-FR"/>
        </w:rPr>
        <w:t>environnement, notamment sur les grands prédateurs potentiellement soumis à une forte exposition du fait de leur alimentation, peuvent comprendre une baisse de la reproduction et de</w:t>
      </w:r>
      <w:r w:rsidR="00B86B50" w:rsidRPr="005808ED">
        <w:rPr>
          <w:lang w:val="fr-FR"/>
        </w:rPr>
        <w:t xml:space="preserve"> l’aptitude</w:t>
      </w:r>
      <w:r w:rsidRPr="005808ED">
        <w:rPr>
          <w:lang w:val="fr-FR"/>
        </w:rPr>
        <w:t xml:space="preserve"> </w:t>
      </w:r>
      <w:r w:rsidR="00B86B50" w:rsidRPr="005808ED">
        <w:rPr>
          <w:lang w:val="fr-FR"/>
        </w:rPr>
        <w:t xml:space="preserve">à la </w:t>
      </w:r>
      <w:r w:rsidRPr="005808ED">
        <w:rPr>
          <w:lang w:val="fr-FR"/>
        </w:rPr>
        <w:t xml:space="preserve">chasse. </w:t>
      </w:r>
    </w:p>
    <w:p w14:paraId="52B78501" w14:textId="7A679F3A" w:rsidR="00F252EE" w:rsidRPr="005808ED" w:rsidRDefault="00F252EE" w:rsidP="00582B27">
      <w:pPr>
        <w:pStyle w:val="Normalnumber"/>
        <w:numPr>
          <w:ilvl w:val="0"/>
          <w:numId w:val="12"/>
        </w:numPr>
        <w:spacing w:after="100"/>
        <w:ind w:left="1247" w:firstLine="0"/>
        <w:rPr>
          <w:lang w:val="fr-FR"/>
        </w:rPr>
      </w:pPr>
      <w:r w:rsidRPr="005808ED">
        <w:rPr>
          <w:lang w:val="fr-FR"/>
        </w:rPr>
        <w:t xml:space="preserve">Les sites contaminés peuvent causer une augmentation des </w:t>
      </w:r>
      <w:r w:rsidR="00B86B50" w:rsidRPr="005808ED">
        <w:rPr>
          <w:lang w:val="fr-FR"/>
        </w:rPr>
        <w:t>concentrations</w:t>
      </w:r>
      <w:r w:rsidRPr="005808ED">
        <w:rPr>
          <w:lang w:val="fr-FR"/>
        </w:rPr>
        <w:t xml:space="preserve"> loca</w:t>
      </w:r>
      <w:r w:rsidR="00B86B50" w:rsidRPr="005808ED">
        <w:rPr>
          <w:lang w:val="fr-FR"/>
        </w:rPr>
        <w:t>les</w:t>
      </w:r>
      <w:r w:rsidRPr="005808ED">
        <w:rPr>
          <w:lang w:val="fr-FR"/>
        </w:rPr>
        <w:t xml:space="preserve"> de mercure (ainsi que d</w:t>
      </w:r>
      <w:r w:rsidR="00B3097B" w:rsidRPr="005808ED">
        <w:rPr>
          <w:lang w:val="fr-FR"/>
        </w:rPr>
        <w:t>’</w:t>
      </w:r>
      <w:r w:rsidRPr="005808ED">
        <w:rPr>
          <w:lang w:val="fr-FR"/>
        </w:rPr>
        <w:t>autres polluants), ce qui peut présenter des risques pour les êtres humains et l</w:t>
      </w:r>
      <w:r w:rsidR="00B3097B" w:rsidRPr="005808ED">
        <w:rPr>
          <w:lang w:val="fr-FR"/>
        </w:rPr>
        <w:t>’</w:t>
      </w:r>
      <w:r w:rsidRPr="005808ED">
        <w:rPr>
          <w:lang w:val="fr-FR"/>
        </w:rPr>
        <w:t>environnement. L</w:t>
      </w:r>
      <w:r w:rsidR="00B3097B" w:rsidRPr="005808ED">
        <w:rPr>
          <w:lang w:val="fr-FR"/>
        </w:rPr>
        <w:t>’</w:t>
      </w:r>
      <w:r w:rsidR="00B86B50" w:rsidRPr="005808ED">
        <w:rPr>
          <w:lang w:val="fr-FR"/>
        </w:rPr>
        <w:t>utilisa</w:t>
      </w:r>
      <w:r w:rsidRPr="005808ED">
        <w:rPr>
          <w:lang w:val="fr-FR"/>
        </w:rPr>
        <w:t>tion d</w:t>
      </w:r>
      <w:r w:rsidR="00B3097B" w:rsidRPr="005808ED">
        <w:rPr>
          <w:lang w:val="fr-FR"/>
        </w:rPr>
        <w:t>’</w:t>
      </w:r>
      <w:r w:rsidRPr="005808ED">
        <w:rPr>
          <w:lang w:val="fr-FR"/>
        </w:rPr>
        <w:t>eau</w:t>
      </w:r>
      <w:r w:rsidR="00B86B50" w:rsidRPr="005808ED">
        <w:rPr>
          <w:lang w:val="fr-FR"/>
        </w:rPr>
        <w:t>x</w:t>
      </w:r>
      <w:r w:rsidRPr="005808ED">
        <w:rPr>
          <w:lang w:val="fr-FR"/>
        </w:rPr>
        <w:t xml:space="preserve"> souterraine</w:t>
      </w:r>
      <w:r w:rsidR="00B86B50" w:rsidRPr="005808ED">
        <w:rPr>
          <w:lang w:val="fr-FR"/>
        </w:rPr>
        <w:t>s</w:t>
      </w:r>
      <w:r w:rsidRPr="005808ED">
        <w:rPr>
          <w:lang w:val="fr-FR"/>
        </w:rPr>
        <w:t xml:space="preserve"> ou de surface contaminée</w:t>
      </w:r>
      <w:r w:rsidR="00B86B50" w:rsidRPr="005808ED">
        <w:rPr>
          <w:lang w:val="fr-FR"/>
        </w:rPr>
        <w:t>s</w:t>
      </w:r>
      <w:r w:rsidRPr="005808ED">
        <w:rPr>
          <w:lang w:val="fr-FR"/>
        </w:rPr>
        <w:t xml:space="preserve"> </w:t>
      </w:r>
      <w:r w:rsidR="00B86B50" w:rsidRPr="005808ED">
        <w:rPr>
          <w:lang w:val="fr-FR"/>
        </w:rPr>
        <w:t xml:space="preserve">comme </w:t>
      </w:r>
      <w:r w:rsidR="006B59A2" w:rsidRPr="005808ED">
        <w:rPr>
          <w:lang w:val="fr-FR"/>
        </w:rPr>
        <w:t>sources d’</w:t>
      </w:r>
      <w:r w:rsidR="00B86B50" w:rsidRPr="005808ED">
        <w:rPr>
          <w:lang w:val="fr-FR"/>
        </w:rPr>
        <w:t xml:space="preserve">eau de boisson </w:t>
      </w:r>
      <w:r w:rsidRPr="005808ED">
        <w:rPr>
          <w:lang w:val="fr-FR"/>
        </w:rPr>
        <w:t>peut entraîner une exposition à long terme, de même que la consommation de poisson</w:t>
      </w:r>
      <w:r w:rsidR="00F81F2E" w:rsidRPr="005808ED">
        <w:rPr>
          <w:lang w:val="fr-FR"/>
        </w:rPr>
        <w:t>s</w:t>
      </w:r>
      <w:r w:rsidRPr="005808ED">
        <w:rPr>
          <w:lang w:val="fr-FR"/>
        </w:rPr>
        <w:t xml:space="preserve"> et de fruits de mer provenant d</w:t>
      </w:r>
      <w:r w:rsidR="00B3097B" w:rsidRPr="005808ED">
        <w:rPr>
          <w:lang w:val="fr-FR"/>
        </w:rPr>
        <w:t>’</w:t>
      </w:r>
      <w:r w:rsidRPr="005808ED">
        <w:rPr>
          <w:lang w:val="fr-FR"/>
        </w:rPr>
        <w:t xml:space="preserve">eaux de surface contaminées. </w:t>
      </w:r>
      <w:r w:rsidR="006B59A2" w:rsidRPr="005808ED">
        <w:rPr>
          <w:lang w:val="fr-FR"/>
        </w:rPr>
        <w:t>L</w:t>
      </w:r>
      <w:r w:rsidRPr="005808ED">
        <w:rPr>
          <w:lang w:val="fr-FR"/>
        </w:rPr>
        <w:t xml:space="preserve">es </w:t>
      </w:r>
      <w:r w:rsidR="00B86B50" w:rsidRPr="005808ED">
        <w:rPr>
          <w:lang w:val="fr-FR"/>
        </w:rPr>
        <w:t>plantes alimentair</w:t>
      </w:r>
      <w:r w:rsidRPr="005808ED">
        <w:rPr>
          <w:lang w:val="fr-FR"/>
        </w:rPr>
        <w:t xml:space="preserve">es </w:t>
      </w:r>
      <w:r w:rsidR="00B86B50" w:rsidRPr="005808ED">
        <w:rPr>
          <w:lang w:val="fr-FR"/>
        </w:rPr>
        <w:t>cultiv</w:t>
      </w:r>
      <w:r w:rsidRPr="005808ED">
        <w:rPr>
          <w:lang w:val="fr-FR"/>
        </w:rPr>
        <w:t xml:space="preserve">ées sur un site contaminé ou </w:t>
      </w:r>
      <w:r w:rsidR="00B86B50" w:rsidRPr="005808ED">
        <w:rPr>
          <w:lang w:val="fr-FR"/>
        </w:rPr>
        <w:t>près d’un tel site</w:t>
      </w:r>
      <w:r w:rsidR="006B59A2" w:rsidRPr="005808ED">
        <w:rPr>
          <w:lang w:val="fr-FR"/>
        </w:rPr>
        <w:t xml:space="preserve"> peuvent également absorber des contaminants</w:t>
      </w:r>
      <w:r w:rsidRPr="005808ED">
        <w:rPr>
          <w:lang w:val="fr-FR"/>
        </w:rPr>
        <w:t xml:space="preserve">. Les sols contaminés par du mercure, en particulier le méthylmercure, peuvent </w:t>
      </w:r>
      <w:r w:rsidR="00505603" w:rsidRPr="005808ED">
        <w:rPr>
          <w:lang w:val="fr-FR"/>
        </w:rPr>
        <w:t>produire</w:t>
      </w:r>
      <w:r w:rsidRPr="005808ED">
        <w:rPr>
          <w:lang w:val="fr-FR"/>
        </w:rPr>
        <w:t xml:space="preserve"> des vapeurs</w:t>
      </w:r>
      <w:r w:rsidR="00D411AA" w:rsidRPr="005808ED">
        <w:rPr>
          <w:lang w:val="fr-FR"/>
        </w:rPr>
        <w:t xml:space="preserve"> </w:t>
      </w:r>
      <w:r w:rsidR="001B403C" w:rsidRPr="005808ED">
        <w:rPr>
          <w:lang w:val="fr-FR"/>
        </w:rPr>
        <w:t>souterraines (également appelées vapeurs du sol)</w:t>
      </w:r>
      <w:r w:rsidRPr="005808ED">
        <w:rPr>
          <w:lang w:val="fr-FR"/>
        </w:rPr>
        <w:t xml:space="preserve"> qui</w:t>
      </w:r>
      <w:r w:rsidR="00505603" w:rsidRPr="005808ED">
        <w:rPr>
          <w:lang w:val="fr-FR"/>
        </w:rPr>
        <w:t xml:space="preserve"> peuvent remonter dans</w:t>
      </w:r>
      <w:r w:rsidRPr="005808ED">
        <w:rPr>
          <w:lang w:val="fr-FR"/>
        </w:rPr>
        <w:t xml:space="preserve"> les bâtiments </w:t>
      </w:r>
      <w:r w:rsidR="006B59A2" w:rsidRPr="005808ED">
        <w:rPr>
          <w:lang w:val="fr-FR"/>
        </w:rPr>
        <w:t xml:space="preserve">construits </w:t>
      </w:r>
      <w:r w:rsidR="00264219" w:rsidRPr="005808ED">
        <w:rPr>
          <w:lang w:val="fr-FR"/>
        </w:rPr>
        <w:t>en surface</w:t>
      </w:r>
      <w:r w:rsidRPr="005808ED">
        <w:rPr>
          <w:lang w:val="fr-FR"/>
        </w:rPr>
        <w:t>, dev</w:t>
      </w:r>
      <w:r w:rsidR="00264219" w:rsidRPr="005808ED">
        <w:rPr>
          <w:lang w:val="fr-FR"/>
        </w:rPr>
        <w:t>enant ainsi</w:t>
      </w:r>
      <w:r w:rsidRPr="005808ED">
        <w:rPr>
          <w:lang w:val="fr-FR"/>
        </w:rPr>
        <w:t xml:space="preserve"> des sources notables d</w:t>
      </w:r>
      <w:r w:rsidR="00B3097B" w:rsidRPr="005808ED">
        <w:rPr>
          <w:lang w:val="fr-FR"/>
        </w:rPr>
        <w:t>’</w:t>
      </w:r>
      <w:r w:rsidRPr="005808ED">
        <w:rPr>
          <w:lang w:val="fr-FR"/>
        </w:rPr>
        <w:t xml:space="preserve">exposition en intérieur </w:t>
      </w:r>
      <w:r w:rsidR="00264219" w:rsidRPr="005808ED">
        <w:rPr>
          <w:lang w:val="fr-FR"/>
        </w:rPr>
        <w:t xml:space="preserve">par inhalation </w:t>
      </w:r>
      <w:r w:rsidRPr="005808ED">
        <w:rPr>
          <w:lang w:val="fr-FR"/>
        </w:rPr>
        <w:t xml:space="preserve">dont il </w:t>
      </w:r>
      <w:r w:rsidR="00264219" w:rsidRPr="005808ED">
        <w:rPr>
          <w:lang w:val="fr-FR"/>
        </w:rPr>
        <w:t xml:space="preserve">convient de </w:t>
      </w:r>
      <w:r w:rsidRPr="005808ED">
        <w:rPr>
          <w:lang w:val="fr-FR"/>
        </w:rPr>
        <w:t>tenir compte (Agence pour l</w:t>
      </w:r>
      <w:r w:rsidR="00B3097B" w:rsidRPr="005808ED">
        <w:rPr>
          <w:lang w:val="fr-FR"/>
        </w:rPr>
        <w:t>’</w:t>
      </w:r>
      <w:r w:rsidRPr="005808ED">
        <w:rPr>
          <w:lang w:val="fr-FR"/>
        </w:rPr>
        <w:t>enregistrement des substances toxiques et des maladies du Département de la santé et des services sociaux des États-Unis d</w:t>
      </w:r>
      <w:r w:rsidR="00B3097B" w:rsidRPr="005808ED">
        <w:rPr>
          <w:lang w:val="fr-FR"/>
        </w:rPr>
        <w:t>’</w:t>
      </w:r>
      <w:r w:rsidRPr="005808ED">
        <w:rPr>
          <w:lang w:val="fr-FR"/>
        </w:rPr>
        <w:t xml:space="preserve">Amérique). Il semble que les </w:t>
      </w:r>
      <w:r w:rsidR="00264219" w:rsidRPr="005808ED">
        <w:rPr>
          <w:lang w:val="fr-FR"/>
        </w:rPr>
        <w:t>endroit</w:t>
      </w:r>
      <w:r w:rsidRPr="005808ED">
        <w:rPr>
          <w:lang w:val="fr-FR"/>
        </w:rPr>
        <w:t xml:space="preserve">s </w:t>
      </w:r>
      <w:r w:rsidR="00264219" w:rsidRPr="005808ED">
        <w:rPr>
          <w:lang w:val="fr-FR"/>
        </w:rPr>
        <w:t>où</w:t>
      </w:r>
      <w:r w:rsidRPr="005808ED">
        <w:rPr>
          <w:lang w:val="fr-FR"/>
        </w:rPr>
        <w:t xml:space="preserve"> </w:t>
      </w:r>
      <w:r w:rsidR="00694B1D" w:rsidRPr="005808ED">
        <w:rPr>
          <w:lang w:val="fr-FR"/>
        </w:rPr>
        <w:t xml:space="preserve">une </w:t>
      </w:r>
      <w:r w:rsidRPr="005808ED">
        <w:rPr>
          <w:lang w:val="fr-FR"/>
        </w:rPr>
        <w:t xml:space="preserve">exposition </w:t>
      </w:r>
      <w:r w:rsidR="00264219" w:rsidRPr="005808ED">
        <w:rPr>
          <w:lang w:val="fr-FR"/>
        </w:rPr>
        <w:t xml:space="preserve">à des </w:t>
      </w:r>
      <w:r w:rsidRPr="005808ED">
        <w:rPr>
          <w:lang w:val="fr-FR"/>
        </w:rPr>
        <w:t>vapeurs de mercure est probable se limitent à ceux contaminés par du mercure métallique</w:t>
      </w:r>
      <w:r w:rsidR="006B59A2" w:rsidRPr="005808ED">
        <w:rPr>
          <w:lang w:val="fr-FR"/>
        </w:rPr>
        <w:t xml:space="preserve"> comme</w:t>
      </w:r>
      <w:r w:rsidRPr="005808ED">
        <w:rPr>
          <w:lang w:val="fr-FR"/>
        </w:rPr>
        <w:t xml:space="preserve">, </w:t>
      </w:r>
      <w:r w:rsidR="006B59A2" w:rsidRPr="005808ED">
        <w:rPr>
          <w:lang w:val="fr-FR"/>
        </w:rPr>
        <w:t xml:space="preserve">par exemple, les </w:t>
      </w:r>
      <w:r w:rsidRPr="005808ED">
        <w:rPr>
          <w:lang w:val="fr-FR"/>
        </w:rPr>
        <w:t xml:space="preserve">zones </w:t>
      </w:r>
      <w:r w:rsidR="00264219" w:rsidRPr="005808ED">
        <w:rPr>
          <w:lang w:val="fr-FR"/>
        </w:rPr>
        <w:t xml:space="preserve">avoisinant un site </w:t>
      </w:r>
      <w:r w:rsidRPr="005808ED">
        <w:rPr>
          <w:lang w:val="fr-FR"/>
        </w:rPr>
        <w:t>d</w:t>
      </w:r>
      <w:r w:rsidR="00B3097B" w:rsidRPr="005808ED">
        <w:rPr>
          <w:lang w:val="fr-FR"/>
        </w:rPr>
        <w:t>’</w:t>
      </w:r>
      <w:r w:rsidR="00520496" w:rsidRPr="005808ED">
        <w:rPr>
          <w:lang w:val="fr-FR"/>
        </w:rPr>
        <w:t>extraction artisanale et à petite échelle d’or</w:t>
      </w:r>
      <w:r w:rsidRPr="005808ED">
        <w:rPr>
          <w:lang w:val="fr-FR"/>
        </w:rPr>
        <w:t xml:space="preserve">. </w:t>
      </w:r>
    </w:p>
    <w:p w14:paraId="6576594B" w14:textId="018589F9" w:rsidR="00F252EE" w:rsidRPr="005808ED" w:rsidRDefault="00F252EE" w:rsidP="00582B27">
      <w:pPr>
        <w:pStyle w:val="Normalnumber"/>
        <w:numPr>
          <w:ilvl w:val="0"/>
          <w:numId w:val="12"/>
        </w:numPr>
        <w:spacing w:after="100"/>
        <w:ind w:left="1247" w:firstLine="0"/>
        <w:rPr>
          <w:lang w:val="fr-FR"/>
        </w:rPr>
      </w:pPr>
      <w:r w:rsidRPr="005808ED">
        <w:rPr>
          <w:lang w:val="fr-FR"/>
        </w:rPr>
        <w:t xml:space="preserve">Les sites contaminés peuvent, par </w:t>
      </w:r>
      <w:r w:rsidR="009D24D2" w:rsidRPr="005808ED">
        <w:rPr>
          <w:lang w:val="fr-FR"/>
        </w:rPr>
        <w:t>suite</w:t>
      </w:r>
      <w:r w:rsidRPr="005808ED">
        <w:rPr>
          <w:lang w:val="fr-FR"/>
        </w:rPr>
        <w:t xml:space="preserve"> d</w:t>
      </w:r>
      <w:r w:rsidR="00B3097B" w:rsidRPr="005808ED">
        <w:rPr>
          <w:lang w:val="fr-FR"/>
        </w:rPr>
        <w:t>’</w:t>
      </w:r>
      <w:r w:rsidRPr="005808ED">
        <w:rPr>
          <w:lang w:val="fr-FR"/>
        </w:rPr>
        <w:t>un lessivage ou d</w:t>
      </w:r>
      <w:r w:rsidR="00B3097B" w:rsidRPr="005808ED">
        <w:rPr>
          <w:lang w:val="fr-FR"/>
        </w:rPr>
        <w:t>’</w:t>
      </w:r>
      <w:r w:rsidRPr="005808ED">
        <w:rPr>
          <w:lang w:val="fr-FR"/>
        </w:rPr>
        <w:t>un ruissellement superficiel du mercure, contaminer les eaux souterraines ou de surface, ce qui peut faire courir le risque d</w:t>
      </w:r>
      <w:r w:rsidR="00B3097B" w:rsidRPr="005808ED">
        <w:rPr>
          <w:lang w:val="fr-FR"/>
        </w:rPr>
        <w:t>’</w:t>
      </w:r>
      <w:r w:rsidRPr="005808ED">
        <w:rPr>
          <w:lang w:val="fr-FR"/>
        </w:rPr>
        <w:t xml:space="preserve">une exposition au mercure élémentaire ou inorganique </w:t>
      </w:r>
      <w:r w:rsidR="00264219" w:rsidRPr="005808ED">
        <w:rPr>
          <w:lang w:val="fr-FR"/>
        </w:rPr>
        <w:t>via</w:t>
      </w:r>
      <w:r w:rsidRPr="005808ED">
        <w:rPr>
          <w:lang w:val="fr-FR"/>
        </w:rPr>
        <w:t xml:space="preserve"> l</w:t>
      </w:r>
      <w:r w:rsidR="00B3097B" w:rsidRPr="005808ED">
        <w:rPr>
          <w:lang w:val="fr-FR"/>
        </w:rPr>
        <w:t>’</w:t>
      </w:r>
      <w:r w:rsidRPr="005808ED">
        <w:rPr>
          <w:lang w:val="fr-FR"/>
        </w:rPr>
        <w:t xml:space="preserve">eau potable. Par conséquent, il importe de tenir compte du potentiel de contamination des eaux souterraines ou de surface par un site. </w:t>
      </w:r>
      <w:r w:rsidR="00A10FEB" w:rsidRPr="005808ED">
        <w:rPr>
          <w:lang w:val="fr-FR"/>
        </w:rPr>
        <w:t>Une méthylation du</w:t>
      </w:r>
      <w:r w:rsidRPr="005808ED">
        <w:rPr>
          <w:lang w:val="fr-FR"/>
        </w:rPr>
        <w:t xml:space="preserve"> mercure par des bactéries</w:t>
      </w:r>
      <w:r w:rsidR="00861C78" w:rsidRPr="005808ED">
        <w:rPr>
          <w:lang w:val="fr-FR"/>
        </w:rPr>
        <w:t xml:space="preserve"> </w:t>
      </w:r>
      <w:r w:rsidR="00A10FEB" w:rsidRPr="005808ED">
        <w:rPr>
          <w:lang w:val="fr-FR"/>
        </w:rPr>
        <w:t xml:space="preserve">anaérobies peut se produire </w:t>
      </w:r>
      <w:r w:rsidR="00861C78" w:rsidRPr="005808ED">
        <w:rPr>
          <w:lang w:val="fr-FR"/>
        </w:rPr>
        <w:t>dans l’environnement</w:t>
      </w:r>
      <w:r w:rsidRPr="005808ED">
        <w:rPr>
          <w:lang w:val="fr-FR"/>
        </w:rPr>
        <w:t xml:space="preserve">, notamment dans </w:t>
      </w:r>
      <w:r w:rsidR="00A10FEB" w:rsidRPr="005808ED">
        <w:rPr>
          <w:lang w:val="fr-FR"/>
        </w:rPr>
        <w:t>l</w:t>
      </w:r>
      <w:r w:rsidRPr="005808ED">
        <w:rPr>
          <w:lang w:val="fr-FR"/>
        </w:rPr>
        <w:t>es sédiments ou d</w:t>
      </w:r>
      <w:r w:rsidR="00B3097B" w:rsidRPr="005808ED">
        <w:rPr>
          <w:lang w:val="fr-FR"/>
        </w:rPr>
        <w:t>’</w:t>
      </w:r>
      <w:r w:rsidRPr="005808ED">
        <w:rPr>
          <w:lang w:val="fr-FR"/>
        </w:rPr>
        <w:t xml:space="preserve">autres </w:t>
      </w:r>
      <w:r w:rsidR="00861C78" w:rsidRPr="005808ED">
        <w:rPr>
          <w:lang w:val="fr-FR"/>
        </w:rPr>
        <w:t>milieux</w:t>
      </w:r>
      <w:r w:rsidRPr="005808ED">
        <w:rPr>
          <w:lang w:val="fr-FR"/>
        </w:rPr>
        <w:t xml:space="preserve"> propices. </w:t>
      </w:r>
      <w:r w:rsidR="00A10FEB" w:rsidRPr="005808ED">
        <w:rPr>
          <w:lang w:val="fr-FR"/>
        </w:rPr>
        <w:t>Du</w:t>
      </w:r>
      <w:r w:rsidRPr="005808ED">
        <w:rPr>
          <w:lang w:val="fr-FR"/>
        </w:rPr>
        <w:t xml:space="preserve"> mercure méthylé </w:t>
      </w:r>
      <w:r w:rsidR="00A10FEB" w:rsidRPr="005808ED">
        <w:rPr>
          <w:lang w:val="fr-FR"/>
        </w:rPr>
        <w:t>peut alors</w:t>
      </w:r>
      <w:r w:rsidRPr="005808ED">
        <w:rPr>
          <w:lang w:val="fr-FR"/>
        </w:rPr>
        <w:t xml:space="preserve"> pénétrer </w:t>
      </w:r>
      <w:r w:rsidR="00A10FEB" w:rsidRPr="005808ED">
        <w:rPr>
          <w:lang w:val="fr-FR"/>
        </w:rPr>
        <w:t xml:space="preserve">dans </w:t>
      </w:r>
      <w:r w:rsidRPr="005808ED">
        <w:rPr>
          <w:lang w:val="fr-FR"/>
        </w:rPr>
        <w:t xml:space="preserve">la chaîne alimentaire, ce qui entraîne une forte exposition des espèces prédatrices, y compris les êtres humains, par le biais de leur alimentation. Cette situation particulièrement préoccupante </w:t>
      </w:r>
      <w:r w:rsidR="00A10FEB" w:rsidRPr="005808ED">
        <w:rPr>
          <w:lang w:val="fr-FR"/>
        </w:rPr>
        <w:t>pour les</w:t>
      </w:r>
      <w:r w:rsidRPr="005808ED">
        <w:rPr>
          <w:lang w:val="fr-FR"/>
        </w:rPr>
        <w:t xml:space="preserve"> consommat</w:t>
      </w:r>
      <w:r w:rsidR="00A10FEB" w:rsidRPr="005808ED">
        <w:rPr>
          <w:lang w:val="fr-FR"/>
        </w:rPr>
        <w:t>eurs</w:t>
      </w:r>
      <w:r w:rsidRPr="005808ED">
        <w:rPr>
          <w:lang w:val="fr-FR"/>
        </w:rPr>
        <w:t xml:space="preserve"> de poisson</w:t>
      </w:r>
      <w:r w:rsidR="00A10FEB" w:rsidRPr="005808ED">
        <w:rPr>
          <w:lang w:val="fr-FR"/>
        </w:rPr>
        <w:t>s a entraîné</w:t>
      </w:r>
      <w:r w:rsidRPr="005808ED">
        <w:rPr>
          <w:lang w:val="fr-FR"/>
        </w:rPr>
        <w:t xml:space="preserve"> </w:t>
      </w:r>
      <w:r w:rsidR="00A10FEB" w:rsidRPr="005808ED">
        <w:rPr>
          <w:lang w:val="fr-FR"/>
        </w:rPr>
        <w:t>p</w:t>
      </w:r>
      <w:r w:rsidRPr="005808ED">
        <w:rPr>
          <w:lang w:val="fr-FR"/>
        </w:rPr>
        <w:t xml:space="preserve">lusieurs juridictions </w:t>
      </w:r>
      <w:r w:rsidR="00A10FEB" w:rsidRPr="005808ED">
        <w:rPr>
          <w:lang w:val="fr-FR"/>
        </w:rPr>
        <w:t>à mettre</w:t>
      </w:r>
      <w:r w:rsidRPr="005808ED">
        <w:rPr>
          <w:lang w:val="fr-FR"/>
        </w:rPr>
        <w:t xml:space="preserve"> en place des programmes de surveillance des poissons et </w:t>
      </w:r>
      <w:r w:rsidR="00A10FEB" w:rsidRPr="005808ED">
        <w:rPr>
          <w:lang w:val="fr-FR"/>
        </w:rPr>
        <w:t xml:space="preserve">à </w:t>
      </w:r>
      <w:r w:rsidR="00CF6298" w:rsidRPr="005808ED">
        <w:rPr>
          <w:lang w:val="fr-FR"/>
        </w:rPr>
        <w:t>publi</w:t>
      </w:r>
      <w:r w:rsidR="00A10FEB" w:rsidRPr="005808ED">
        <w:rPr>
          <w:lang w:val="fr-FR"/>
        </w:rPr>
        <w:t>er</w:t>
      </w:r>
      <w:r w:rsidR="00CF6298" w:rsidRPr="005808ED">
        <w:rPr>
          <w:lang w:val="fr-FR"/>
        </w:rPr>
        <w:t xml:space="preserve"> </w:t>
      </w:r>
      <w:r w:rsidRPr="005808ED">
        <w:rPr>
          <w:lang w:val="fr-FR"/>
        </w:rPr>
        <w:t xml:space="preserve">des </w:t>
      </w:r>
      <w:r w:rsidR="00CF6298" w:rsidRPr="005808ED">
        <w:rPr>
          <w:lang w:val="fr-FR"/>
        </w:rPr>
        <w:t>avis sur</w:t>
      </w:r>
      <w:r w:rsidRPr="005808ED">
        <w:rPr>
          <w:lang w:val="fr-FR"/>
        </w:rPr>
        <w:t xml:space="preserve"> la consommation de poisson</w:t>
      </w:r>
      <w:r w:rsidR="00A10FEB" w:rsidRPr="005808ED">
        <w:rPr>
          <w:lang w:val="fr-FR"/>
        </w:rPr>
        <w:t>s</w:t>
      </w:r>
      <w:r w:rsidRPr="005808ED">
        <w:rPr>
          <w:lang w:val="fr-FR"/>
        </w:rPr>
        <w:t xml:space="preserve">, en particulier </w:t>
      </w:r>
      <w:r w:rsidR="00A10FEB" w:rsidRPr="005808ED">
        <w:rPr>
          <w:lang w:val="fr-FR"/>
        </w:rPr>
        <w:t xml:space="preserve">dans les </w:t>
      </w:r>
      <w:r w:rsidRPr="005808ED">
        <w:rPr>
          <w:lang w:val="fr-FR"/>
        </w:rPr>
        <w:t>alentours de</w:t>
      </w:r>
      <w:r w:rsidR="00A10FEB" w:rsidRPr="005808ED">
        <w:rPr>
          <w:lang w:val="fr-FR"/>
        </w:rPr>
        <w:t>s</w:t>
      </w:r>
      <w:r w:rsidRPr="005808ED">
        <w:rPr>
          <w:lang w:val="fr-FR"/>
        </w:rPr>
        <w:t xml:space="preserve"> sources ponctuelles connues, présumées ou historiques d</w:t>
      </w:r>
      <w:r w:rsidR="00B3097B" w:rsidRPr="005808ED">
        <w:rPr>
          <w:lang w:val="fr-FR"/>
        </w:rPr>
        <w:t>’</w:t>
      </w:r>
      <w:r w:rsidRPr="005808ED">
        <w:rPr>
          <w:lang w:val="fr-FR"/>
        </w:rPr>
        <w:t>émissions de mercure.</w:t>
      </w:r>
    </w:p>
    <w:p w14:paraId="084C7B99" w14:textId="4EEBAE28" w:rsidR="00F252EE" w:rsidRPr="005808ED" w:rsidRDefault="00F252EE" w:rsidP="00F51980">
      <w:pPr>
        <w:pStyle w:val="Normalnumber"/>
        <w:numPr>
          <w:ilvl w:val="0"/>
          <w:numId w:val="12"/>
        </w:numPr>
        <w:ind w:left="1247" w:firstLine="0"/>
        <w:rPr>
          <w:lang w:val="fr-FR"/>
        </w:rPr>
      </w:pPr>
      <w:r w:rsidRPr="005808ED">
        <w:rPr>
          <w:lang w:val="fr-FR"/>
        </w:rPr>
        <w:t>Les risques a</w:t>
      </w:r>
      <w:r w:rsidR="00A10FEB" w:rsidRPr="005808ED">
        <w:rPr>
          <w:lang w:val="fr-FR"/>
        </w:rPr>
        <w:t>ssociés à</w:t>
      </w:r>
      <w:r w:rsidRPr="005808ED">
        <w:rPr>
          <w:lang w:val="fr-FR"/>
        </w:rPr>
        <w:t xml:space="preserve"> un site donné </w:t>
      </w:r>
      <w:r w:rsidR="00A10FEB" w:rsidRPr="005808ED">
        <w:rPr>
          <w:lang w:val="fr-FR"/>
        </w:rPr>
        <w:t>dépendent de</w:t>
      </w:r>
      <w:r w:rsidRPr="005808ED">
        <w:rPr>
          <w:lang w:val="fr-FR"/>
        </w:rPr>
        <w:t xml:space="preserve"> son niveau de contamination et d</w:t>
      </w:r>
      <w:r w:rsidR="00454627" w:rsidRPr="005808ED">
        <w:rPr>
          <w:lang w:val="fr-FR"/>
        </w:rPr>
        <w:t>e l</w:t>
      </w:r>
      <w:r w:rsidR="00B3097B" w:rsidRPr="005808ED">
        <w:rPr>
          <w:lang w:val="fr-FR"/>
        </w:rPr>
        <w:t>’</w:t>
      </w:r>
      <w:r w:rsidRPr="005808ED">
        <w:rPr>
          <w:lang w:val="fr-FR"/>
        </w:rPr>
        <w:t xml:space="preserve">exposition </w:t>
      </w:r>
      <w:r w:rsidR="00A10FEB" w:rsidRPr="005808ED">
        <w:rPr>
          <w:lang w:val="fr-FR"/>
        </w:rPr>
        <w:t xml:space="preserve">au mercure </w:t>
      </w:r>
      <w:r w:rsidR="00454627" w:rsidRPr="005808ED">
        <w:rPr>
          <w:lang w:val="fr-FR"/>
        </w:rPr>
        <w:t>qu’il peut causer</w:t>
      </w:r>
      <w:r w:rsidRPr="005808ED">
        <w:rPr>
          <w:lang w:val="fr-FR"/>
        </w:rPr>
        <w:t xml:space="preserve">. Un site très contaminé </w:t>
      </w:r>
      <w:r w:rsidR="00A10FEB" w:rsidRPr="005808ED">
        <w:rPr>
          <w:lang w:val="fr-FR"/>
        </w:rPr>
        <w:t xml:space="preserve">mais </w:t>
      </w:r>
      <w:r w:rsidR="00454627" w:rsidRPr="005808ED">
        <w:rPr>
          <w:lang w:val="fr-FR"/>
        </w:rPr>
        <w:t>éloign</w:t>
      </w:r>
      <w:r w:rsidRPr="005808ED">
        <w:rPr>
          <w:lang w:val="fr-FR"/>
        </w:rPr>
        <w:t xml:space="preserve">é des centres habités ou ne présentant pas de potentiel élevé de lessivage </w:t>
      </w:r>
      <w:r w:rsidR="00454627" w:rsidRPr="005808ED">
        <w:rPr>
          <w:lang w:val="fr-FR"/>
        </w:rPr>
        <w:t>présente beaucoup moins de</w:t>
      </w:r>
      <w:r w:rsidRPr="005808ED">
        <w:rPr>
          <w:lang w:val="fr-FR"/>
        </w:rPr>
        <w:t xml:space="preserve"> risque </w:t>
      </w:r>
      <w:r w:rsidR="00454627" w:rsidRPr="005808ED">
        <w:rPr>
          <w:lang w:val="fr-FR"/>
        </w:rPr>
        <w:t>qu’</w:t>
      </w:r>
      <w:r w:rsidRPr="005808ED">
        <w:rPr>
          <w:lang w:val="fr-FR"/>
        </w:rPr>
        <w:t>un site moins contaminé mais situé dans une zone urbaine, connecté de manière plus étroite à des zones humides ou p</w:t>
      </w:r>
      <w:r w:rsidR="00454627" w:rsidRPr="005808ED">
        <w:rPr>
          <w:lang w:val="fr-FR"/>
        </w:rPr>
        <w:t>ermet</w:t>
      </w:r>
      <w:r w:rsidRPr="005808ED">
        <w:rPr>
          <w:lang w:val="fr-FR"/>
        </w:rPr>
        <w:t xml:space="preserve">tant une </w:t>
      </w:r>
      <w:r w:rsidR="00A10FEB" w:rsidRPr="005808ED">
        <w:rPr>
          <w:lang w:val="fr-FR"/>
        </w:rPr>
        <w:t>in</w:t>
      </w:r>
      <w:r w:rsidRPr="005808ED">
        <w:rPr>
          <w:lang w:val="fr-FR"/>
        </w:rPr>
        <w:t xml:space="preserve">filtration plus importante </w:t>
      </w:r>
      <w:r w:rsidR="00A10FEB" w:rsidRPr="005808ED">
        <w:rPr>
          <w:lang w:val="fr-FR"/>
        </w:rPr>
        <w:t>dans la nappe</w:t>
      </w:r>
      <w:r w:rsidRPr="005808ED">
        <w:rPr>
          <w:lang w:val="fr-FR"/>
        </w:rPr>
        <w:t xml:space="preserve"> souterraine. Par conséquent, les objectifs de nettoyage varient en fonction des niveaux d</w:t>
      </w:r>
      <w:r w:rsidR="00B3097B" w:rsidRPr="005808ED">
        <w:rPr>
          <w:lang w:val="fr-FR"/>
        </w:rPr>
        <w:t>’</w:t>
      </w:r>
      <w:r w:rsidRPr="005808ED">
        <w:rPr>
          <w:lang w:val="fr-FR"/>
        </w:rPr>
        <w:t xml:space="preserve">exposition réels ou prévus </w:t>
      </w:r>
      <w:r w:rsidR="009B3916" w:rsidRPr="005808ED">
        <w:rPr>
          <w:lang w:val="fr-FR"/>
        </w:rPr>
        <w:t xml:space="preserve">associés </w:t>
      </w:r>
      <w:r w:rsidRPr="005808ED">
        <w:rPr>
          <w:lang w:val="fr-FR"/>
        </w:rPr>
        <w:t>au site en question. L</w:t>
      </w:r>
      <w:r w:rsidR="00B3097B" w:rsidRPr="005808ED">
        <w:rPr>
          <w:lang w:val="fr-FR"/>
        </w:rPr>
        <w:t>’</w:t>
      </w:r>
      <w:r w:rsidRPr="005808ED">
        <w:rPr>
          <w:lang w:val="fr-FR"/>
        </w:rPr>
        <w:t>évaluation du niveau d</w:t>
      </w:r>
      <w:r w:rsidR="00B3097B" w:rsidRPr="005808ED">
        <w:rPr>
          <w:lang w:val="fr-FR"/>
        </w:rPr>
        <w:t>’</w:t>
      </w:r>
      <w:r w:rsidR="005D4020" w:rsidRPr="005808ED">
        <w:rPr>
          <w:lang w:val="fr-FR"/>
        </w:rPr>
        <w:t>exposition</w:t>
      </w:r>
      <w:r w:rsidRPr="005808ED">
        <w:rPr>
          <w:lang w:val="fr-FR"/>
        </w:rPr>
        <w:t xml:space="preserve"> </w:t>
      </w:r>
      <w:r w:rsidR="00454627" w:rsidRPr="005808ED">
        <w:rPr>
          <w:lang w:val="fr-FR"/>
        </w:rPr>
        <w:t>exige la prise en</w:t>
      </w:r>
      <w:r w:rsidRPr="005808ED">
        <w:rPr>
          <w:lang w:val="fr-FR"/>
        </w:rPr>
        <w:t xml:space="preserve"> compte du niveau de mercure ou de composés du mercure sur le site et de la migration d</w:t>
      </w:r>
      <w:r w:rsidR="00454627" w:rsidRPr="005808ED">
        <w:rPr>
          <w:lang w:val="fr-FR"/>
        </w:rPr>
        <w:t>e</w:t>
      </w:r>
      <w:r w:rsidRPr="005808ED">
        <w:rPr>
          <w:lang w:val="fr-FR"/>
        </w:rPr>
        <w:t xml:space="preserve"> mercure en hors du site, ainsi que de la proximité des populations locales. </w:t>
      </w:r>
      <w:r w:rsidR="00142010" w:rsidRPr="005808ED">
        <w:rPr>
          <w:lang w:val="fr-FR"/>
        </w:rPr>
        <w:t>Il est possible que c</w:t>
      </w:r>
      <w:r w:rsidRPr="005808ED">
        <w:rPr>
          <w:lang w:val="fr-FR"/>
        </w:rPr>
        <w:t xml:space="preserve">es informations </w:t>
      </w:r>
      <w:r w:rsidR="00142010" w:rsidRPr="005808ED">
        <w:rPr>
          <w:lang w:val="fr-FR"/>
        </w:rPr>
        <w:t>aient</w:t>
      </w:r>
      <w:r w:rsidRPr="005808ED">
        <w:rPr>
          <w:lang w:val="fr-FR"/>
        </w:rPr>
        <w:t xml:space="preserve"> déjà </w:t>
      </w:r>
      <w:r w:rsidR="00142010" w:rsidRPr="005808ED">
        <w:rPr>
          <w:lang w:val="fr-FR"/>
        </w:rPr>
        <w:t xml:space="preserve">été </w:t>
      </w:r>
      <w:r w:rsidRPr="005808ED">
        <w:rPr>
          <w:lang w:val="fr-FR"/>
        </w:rPr>
        <w:t xml:space="preserve">collectées </w:t>
      </w:r>
      <w:r w:rsidR="00142010" w:rsidRPr="005808ED">
        <w:rPr>
          <w:lang w:val="fr-FR"/>
        </w:rPr>
        <w:t>au cours</w:t>
      </w:r>
      <w:r w:rsidRPr="005808ED">
        <w:rPr>
          <w:lang w:val="fr-FR"/>
        </w:rPr>
        <w:t xml:space="preserve"> du processus d</w:t>
      </w:r>
      <w:r w:rsidR="00B3097B" w:rsidRPr="005808ED">
        <w:rPr>
          <w:lang w:val="fr-FR"/>
        </w:rPr>
        <w:t>’</w:t>
      </w:r>
      <w:r w:rsidRPr="005808ED">
        <w:rPr>
          <w:lang w:val="fr-FR"/>
        </w:rPr>
        <w:t>identification du site</w:t>
      </w:r>
      <w:r w:rsidR="00142010" w:rsidRPr="005808ED">
        <w:rPr>
          <w:lang w:val="fr-FR"/>
        </w:rPr>
        <w:t xml:space="preserve"> ou qu’un</w:t>
      </w:r>
      <w:r w:rsidRPr="005808ED">
        <w:rPr>
          <w:lang w:val="fr-FR"/>
        </w:rPr>
        <w:t xml:space="preserve"> échantillon</w:t>
      </w:r>
      <w:r w:rsidR="00142010" w:rsidRPr="005808ED">
        <w:rPr>
          <w:lang w:val="fr-FR"/>
        </w:rPr>
        <w:t>nage</w:t>
      </w:r>
      <w:r w:rsidRPr="005808ED">
        <w:rPr>
          <w:lang w:val="fr-FR"/>
        </w:rPr>
        <w:t xml:space="preserve"> supplémentaire</w:t>
      </w:r>
      <w:r w:rsidR="00142010" w:rsidRPr="005808ED">
        <w:rPr>
          <w:lang w:val="fr-FR"/>
        </w:rPr>
        <w:t xml:space="preserve"> soit nécessaire</w:t>
      </w:r>
      <w:r w:rsidRPr="005808ED">
        <w:rPr>
          <w:lang w:val="fr-FR"/>
        </w:rPr>
        <w:t xml:space="preserve">. </w:t>
      </w:r>
      <w:r w:rsidR="00142010" w:rsidRPr="005808ED">
        <w:rPr>
          <w:lang w:val="fr-FR"/>
        </w:rPr>
        <w:t>D</w:t>
      </w:r>
      <w:r w:rsidRPr="005808ED">
        <w:rPr>
          <w:lang w:val="fr-FR"/>
        </w:rPr>
        <w:t>es modèles de transfert et d</w:t>
      </w:r>
      <w:r w:rsidR="00B3097B" w:rsidRPr="005808ED">
        <w:rPr>
          <w:lang w:val="fr-FR"/>
        </w:rPr>
        <w:t>’</w:t>
      </w:r>
      <w:r w:rsidRPr="005808ED">
        <w:rPr>
          <w:lang w:val="fr-FR"/>
        </w:rPr>
        <w:t xml:space="preserve">exposition </w:t>
      </w:r>
      <w:r w:rsidR="00142010" w:rsidRPr="005808ED">
        <w:rPr>
          <w:lang w:val="fr-FR"/>
        </w:rPr>
        <w:t xml:space="preserve">sont disponibles </w:t>
      </w:r>
      <w:r w:rsidRPr="005808ED">
        <w:rPr>
          <w:lang w:val="fr-FR"/>
        </w:rPr>
        <w:t xml:space="preserve">pour évaluer le risque et il </w:t>
      </w:r>
      <w:r w:rsidR="00142010" w:rsidRPr="005808ED">
        <w:rPr>
          <w:lang w:val="fr-FR"/>
        </w:rPr>
        <w:t>convient</w:t>
      </w:r>
      <w:r w:rsidRPr="005808ED">
        <w:rPr>
          <w:lang w:val="fr-FR"/>
        </w:rPr>
        <w:t xml:space="preserve"> </w:t>
      </w:r>
      <w:r w:rsidR="00142010" w:rsidRPr="005808ED">
        <w:rPr>
          <w:lang w:val="fr-FR"/>
        </w:rPr>
        <w:t xml:space="preserve">de </w:t>
      </w:r>
      <w:r w:rsidRPr="005808ED">
        <w:rPr>
          <w:lang w:val="fr-FR"/>
        </w:rPr>
        <w:t xml:space="preserve">prélever </w:t>
      </w:r>
      <w:r w:rsidR="00142010" w:rsidRPr="005808ED">
        <w:rPr>
          <w:lang w:val="fr-FR"/>
        </w:rPr>
        <w:t xml:space="preserve">régulièrement </w:t>
      </w:r>
      <w:r w:rsidRPr="005808ED">
        <w:rPr>
          <w:lang w:val="fr-FR"/>
        </w:rPr>
        <w:t>des échantillons afin de s</w:t>
      </w:r>
      <w:r w:rsidR="00B3097B" w:rsidRPr="005808ED">
        <w:rPr>
          <w:lang w:val="fr-FR"/>
        </w:rPr>
        <w:t>’</w:t>
      </w:r>
      <w:r w:rsidRPr="005808ED">
        <w:rPr>
          <w:lang w:val="fr-FR"/>
        </w:rPr>
        <w:t xml:space="preserve">assurer que la situation ne se dégrade pas. </w:t>
      </w:r>
    </w:p>
    <w:p w14:paraId="792E5EE4" w14:textId="7F2FDE91" w:rsidR="004760AE" w:rsidRPr="005808ED" w:rsidRDefault="002C0BE8" w:rsidP="00F51980">
      <w:pPr>
        <w:pStyle w:val="Normalnumber"/>
        <w:numPr>
          <w:ilvl w:val="0"/>
          <w:numId w:val="12"/>
        </w:numPr>
        <w:ind w:left="1247" w:firstLine="0"/>
        <w:rPr>
          <w:lang w:val="fr-FR"/>
        </w:rPr>
      </w:pPr>
      <w:r w:rsidRPr="005808ED">
        <w:rPr>
          <w:lang w:val="fr-FR"/>
        </w:rPr>
        <w:t>En fonction des utilisations passées d</w:t>
      </w:r>
      <w:r w:rsidR="00B3097B" w:rsidRPr="005808ED">
        <w:rPr>
          <w:lang w:val="fr-FR"/>
        </w:rPr>
        <w:t>’</w:t>
      </w:r>
      <w:r w:rsidRPr="005808ED">
        <w:rPr>
          <w:lang w:val="fr-FR"/>
        </w:rPr>
        <w:t>un site, il est possible d</w:t>
      </w:r>
      <w:r w:rsidR="00B3097B" w:rsidRPr="005808ED">
        <w:rPr>
          <w:lang w:val="fr-FR"/>
        </w:rPr>
        <w:t>’</w:t>
      </w:r>
      <w:r w:rsidRPr="005808ED">
        <w:rPr>
          <w:lang w:val="fr-FR"/>
        </w:rPr>
        <w:t>y trouver de nombreux contaminants autres que le mercure pouvant soulever des préoccupations à l</w:t>
      </w:r>
      <w:r w:rsidR="00B3097B" w:rsidRPr="005808ED">
        <w:rPr>
          <w:lang w:val="fr-FR"/>
        </w:rPr>
        <w:t>’</w:t>
      </w:r>
      <w:r w:rsidRPr="005808ED">
        <w:rPr>
          <w:lang w:val="fr-FR"/>
        </w:rPr>
        <w:t xml:space="preserve">échelle nationale. Le processus </w:t>
      </w:r>
      <w:r w:rsidR="005D4020" w:rsidRPr="005808ED">
        <w:rPr>
          <w:lang w:val="fr-FR"/>
        </w:rPr>
        <w:t>d</w:t>
      </w:r>
      <w:r w:rsidR="00B3097B" w:rsidRPr="005808ED">
        <w:rPr>
          <w:lang w:val="fr-FR"/>
        </w:rPr>
        <w:t>’</w:t>
      </w:r>
      <w:r w:rsidR="005D4020" w:rsidRPr="005808ED">
        <w:rPr>
          <w:lang w:val="fr-FR"/>
        </w:rPr>
        <w:t>évaluation</w:t>
      </w:r>
      <w:r w:rsidRPr="005808ED">
        <w:rPr>
          <w:lang w:val="fr-FR"/>
        </w:rPr>
        <w:t xml:space="preserve"> du site peut également servir à collecter des informations sur ces contaminants. La présence d</w:t>
      </w:r>
      <w:r w:rsidR="00B3097B" w:rsidRPr="005808ED">
        <w:rPr>
          <w:lang w:val="fr-FR"/>
        </w:rPr>
        <w:t>’</w:t>
      </w:r>
      <w:r w:rsidRPr="005808ED">
        <w:rPr>
          <w:lang w:val="fr-FR"/>
        </w:rPr>
        <w:t>autres substances, y compris d</w:t>
      </w:r>
      <w:r w:rsidR="00B3097B" w:rsidRPr="005808ED">
        <w:rPr>
          <w:lang w:val="fr-FR"/>
        </w:rPr>
        <w:t>’</w:t>
      </w:r>
      <w:r w:rsidRPr="005808ED">
        <w:rPr>
          <w:lang w:val="fr-FR"/>
        </w:rPr>
        <w:t>autres métaux lourds, de polluants organiques persistants et d</w:t>
      </w:r>
      <w:r w:rsidR="00B3097B" w:rsidRPr="005808ED">
        <w:rPr>
          <w:lang w:val="fr-FR"/>
        </w:rPr>
        <w:t>’</w:t>
      </w:r>
      <w:r w:rsidRPr="005808ED">
        <w:rPr>
          <w:lang w:val="fr-FR"/>
        </w:rPr>
        <w:t>autres substances dangereuses, peut influer sur les décisions de gestion, notamment les choix relatifs à une éventuelle remise en état, aux méthodes employées dans ce but et à l</w:t>
      </w:r>
      <w:r w:rsidR="00B3097B" w:rsidRPr="005808ED">
        <w:rPr>
          <w:lang w:val="fr-FR"/>
        </w:rPr>
        <w:t>’</w:t>
      </w:r>
      <w:r w:rsidRPr="005808ED">
        <w:rPr>
          <w:lang w:val="fr-FR"/>
        </w:rPr>
        <w:t>adoption de mesures de gestion des risques, telles que la restriction de l</w:t>
      </w:r>
      <w:r w:rsidR="00B3097B" w:rsidRPr="005808ED">
        <w:rPr>
          <w:lang w:val="fr-FR"/>
        </w:rPr>
        <w:t>’</w:t>
      </w:r>
      <w:r w:rsidRPr="005808ED">
        <w:rPr>
          <w:lang w:val="fr-FR"/>
        </w:rPr>
        <w:t xml:space="preserve">accès au site et à ses alentours. </w:t>
      </w:r>
    </w:p>
    <w:p w14:paraId="02FB4785" w14:textId="55B4FE49" w:rsidR="00F252EE" w:rsidRPr="005808ED" w:rsidRDefault="00DA2784" w:rsidP="00F51980">
      <w:pPr>
        <w:pStyle w:val="Normalnumber"/>
        <w:numPr>
          <w:ilvl w:val="0"/>
          <w:numId w:val="12"/>
        </w:numPr>
        <w:ind w:left="1247" w:firstLine="0"/>
        <w:rPr>
          <w:lang w:val="fr-FR"/>
        </w:rPr>
      </w:pPr>
      <w:r w:rsidRPr="005808ED">
        <w:rPr>
          <w:lang w:val="fr-FR"/>
        </w:rPr>
        <w:t>Le style de vie (tabagisme, régime alimentaire, etc.) a également une influence sur l</w:t>
      </w:r>
      <w:r w:rsidR="00B3097B" w:rsidRPr="005808ED">
        <w:rPr>
          <w:lang w:val="fr-FR"/>
        </w:rPr>
        <w:t>’</w:t>
      </w:r>
      <w:r w:rsidRPr="005808ED">
        <w:rPr>
          <w:lang w:val="fr-FR"/>
        </w:rPr>
        <w:t>effet des contaminants sur la santé humaine</w:t>
      </w:r>
      <w:r w:rsidR="0097152B" w:rsidRPr="005808ED">
        <w:rPr>
          <w:lang w:val="fr-FR"/>
        </w:rPr>
        <w:t> ;</w:t>
      </w:r>
      <w:r w:rsidRPr="005808ED">
        <w:rPr>
          <w:lang w:val="fr-FR"/>
        </w:rPr>
        <w:t xml:space="preserve"> il est à noter que les contaminants ont tendance à toucher </w:t>
      </w:r>
      <w:r w:rsidR="00ED5FC0" w:rsidRPr="005808ED">
        <w:rPr>
          <w:lang w:val="fr-FR"/>
        </w:rPr>
        <w:t xml:space="preserve">de façon disproportionnelle </w:t>
      </w:r>
      <w:r w:rsidRPr="005808ED">
        <w:rPr>
          <w:lang w:val="fr-FR"/>
        </w:rPr>
        <w:t xml:space="preserve">les personnes économiquement défavorisées. </w:t>
      </w:r>
    </w:p>
    <w:p w14:paraId="7CF36200" w14:textId="44DA18AB" w:rsidR="00F252EE" w:rsidRPr="005808ED" w:rsidRDefault="00F252EE" w:rsidP="00FA6C22">
      <w:pPr>
        <w:pStyle w:val="CH1"/>
        <w:spacing w:before="200"/>
        <w:ind w:hanging="680"/>
        <w:rPr>
          <w:lang w:val="fr-FR"/>
        </w:rPr>
      </w:pPr>
      <w:bookmarkStart w:id="36" w:name="_Toc527017907"/>
      <w:r w:rsidRPr="005808ED">
        <w:rPr>
          <w:lang w:val="fr-FR"/>
        </w:rPr>
        <w:t>E.</w:t>
      </w:r>
      <w:r w:rsidRPr="005808ED">
        <w:rPr>
          <w:lang w:val="fr-FR"/>
        </w:rPr>
        <w:tab/>
      </w:r>
      <w:r w:rsidR="00FA6C22" w:rsidRPr="005808ED">
        <w:rPr>
          <w:lang w:val="fr-FR"/>
        </w:rPr>
        <w:tab/>
      </w:r>
      <w:r w:rsidRPr="005808ED">
        <w:rPr>
          <w:bCs/>
          <w:lang w:val="fr-FR"/>
        </w:rPr>
        <w:t>Options de gestion des risques présentés par les sites contaminés</w:t>
      </w:r>
      <w:bookmarkEnd w:id="36"/>
    </w:p>
    <w:p w14:paraId="20038C0C" w14:textId="2ABA0FD9" w:rsidR="00380A7F" w:rsidRPr="005808ED" w:rsidRDefault="00F252EE" w:rsidP="00582B27">
      <w:pPr>
        <w:pStyle w:val="Normalnumber"/>
        <w:numPr>
          <w:ilvl w:val="0"/>
          <w:numId w:val="12"/>
        </w:numPr>
        <w:spacing w:after="100"/>
        <w:ind w:left="1247" w:firstLine="0"/>
        <w:rPr>
          <w:lang w:val="fr-FR"/>
        </w:rPr>
      </w:pPr>
      <w:r w:rsidRPr="005808ED">
        <w:rPr>
          <w:lang w:val="fr-FR"/>
        </w:rPr>
        <w:t>Une fois qu</w:t>
      </w:r>
      <w:r w:rsidR="00B3097B" w:rsidRPr="005808ED">
        <w:rPr>
          <w:lang w:val="fr-FR"/>
        </w:rPr>
        <w:t>’</w:t>
      </w:r>
      <w:r w:rsidRPr="005808ED">
        <w:rPr>
          <w:lang w:val="fr-FR"/>
        </w:rPr>
        <w:t>un site contaminé a été évalué, il est nécessaire de prendre des décisions quant aux meilleurs moyens de gérer les risques qu</w:t>
      </w:r>
      <w:r w:rsidR="00B3097B" w:rsidRPr="005808ED">
        <w:rPr>
          <w:lang w:val="fr-FR"/>
        </w:rPr>
        <w:t>’</w:t>
      </w:r>
      <w:r w:rsidRPr="005808ED">
        <w:rPr>
          <w:lang w:val="fr-FR"/>
        </w:rPr>
        <w:t xml:space="preserve">il présente. De telles décisions peuvent être prises aux niveaux national, régional ou local ou, dans certains cas, par </w:t>
      </w:r>
      <w:r w:rsidR="00142010" w:rsidRPr="005808ED">
        <w:rPr>
          <w:lang w:val="fr-FR"/>
        </w:rPr>
        <w:t>l</w:t>
      </w:r>
      <w:r w:rsidRPr="005808ED">
        <w:rPr>
          <w:lang w:val="fr-FR"/>
        </w:rPr>
        <w:t>es propriétaires fonciers ou d</w:t>
      </w:r>
      <w:r w:rsidR="00B3097B" w:rsidRPr="005808ED">
        <w:rPr>
          <w:lang w:val="fr-FR"/>
        </w:rPr>
        <w:t>’</w:t>
      </w:r>
      <w:r w:rsidRPr="005808ED">
        <w:rPr>
          <w:lang w:val="fr-FR"/>
        </w:rPr>
        <w:t xml:space="preserve">autres entités. </w:t>
      </w:r>
      <w:r w:rsidR="00142010" w:rsidRPr="005808ED">
        <w:rPr>
          <w:lang w:val="fr-FR"/>
        </w:rPr>
        <w:t>Il convient de fixer l</w:t>
      </w:r>
      <w:r w:rsidR="00B3097B" w:rsidRPr="005808ED">
        <w:rPr>
          <w:lang w:val="fr-FR"/>
        </w:rPr>
        <w:t>’</w:t>
      </w:r>
      <w:r w:rsidRPr="005808ED">
        <w:rPr>
          <w:lang w:val="fr-FR"/>
        </w:rPr>
        <w:t xml:space="preserve">objectif de </w:t>
      </w:r>
      <w:r w:rsidR="00142010" w:rsidRPr="005808ED">
        <w:rPr>
          <w:lang w:val="fr-FR"/>
        </w:rPr>
        <w:t xml:space="preserve">la </w:t>
      </w:r>
      <w:r w:rsidRPr="005808ED">
        <w:rPr>
          <w:lang w:val="fr-FR"/>
        </w:rPr>
        <w:t>gestion des risques avant de prendre des mesures</w:t>
      </w:r>
      <w:r w:rsidR="00142010" w:rsidRPr="005808ED">
        <w:rPr>
          <w:lang w:val="fr-FR"/>
        </w:rPr>
        <w:t> ;</w:t>
      </w:r>
      <w:r w:rsidRPr="005808ED">
        <w:rPr>
          <w:lang w:val="fr-FR"/>
        </w:rPr>
        <w:t xml:space="preserve"> </w:t>
      </w:r>
      <w:r w:rsidR="00142010" w:rsidRPr="005808ED">
        <w:rPr>
          <w:lang w:val="fr-FR"/>
        </w:rPr>
        <w:t>c</w:t>
      </w:r>
      <w:r w:rsidRPr="005808ED">
        <w:rPr>
          <w:lang w:val="fr-FR"/>
        </w:rPr>
        <w:t xml:space="preserve">et </w:t>
      </w:r>
      <w:r w:rsidR="00142010" w:rsidRPr="005808ED">
        <w:rPr>
          <w:lang w:val="fr-FR"/>
        </w:rPr>
        <w:t>objectif doit cadrer avec celui</w:t>
      </w:r>
      <w:r w:rsidRPr="005808ED">
        <w:rPr>
          <w:lang w:val="fr-FR"/>
        </w:rPr>
        <w:t xml:space="preserve"> de la Convention de Minamata </w:t>
      </w:r>
      <w:r w:rsidR="00142010" w:rsidRPr="005808ED">
        <w:rPr>
          <w:lang w:val="fr-FR"/>
        </w:rPr>
        <w:t xml:space="preserve">pour ce qui est de </w:t>
      </w:r>
      <w:r w:rsidRPr="005808ED">
        <w:rPr>
          <w:lang w:val="fr-FR"/>
        </w:rPr>
        <w:t>la protection de la santé humaine et de l</w:t>
      </w:r>
      <w:r w:rsidR="00B3097B" w:rsidRPr="005808ED">
        <w:rPr>
          <w:lang w:val="fr-FR"/>
        </w:rPr>
        <w:t>’</w:t>
      </w:r>
      <w:r w:rsidRPr="005808ED">
        <w:rPr>
          <w:lang w:val="fr-FR"/>
        </w:rPr>
        <w:t xml:space="preserve">environnement contre les émissions et rejets </w:t>
      </w:r>
      <w:r w:rsidR="00142010" w:rsidRPr="005808ED">
        <w:rPr>
          <w:lang w:val="fr-FR"/>
        </w:rPr>
        <w:t xml:space="preserve">anthropiques </w:t>
      </w:r>
      <w:r w:rsidRPr="005808ED">
        <w:rPr>
          <w:lang w:val="fr-FR"/>
        </w:rPr>
        <w:t xml:space="preserve">de mercure et de composés du mercure. Les obligations en matière de gestion des sites contaminés peuvent être </w:t>
      </w:r>
      <w:r w:rsidR="00CE3773" w:rsidRPr="005808ED">
        <w:rPr>
          <w:lang w:val="fr-FR"/>
        </w:rPr>
        <w:t>défin</w:t>
      </w:r>
      <w:r w:rsidRPr="005808ED">
        <w:rPr>
          <w:lang w:val="fr-FR"/>
        </w:rPr>
        <w:t xml:space="preserve">ies </w:t>
      </w:r>
      <w:r w:rsidR="00CE3773" w:rsidRPr="005808ED">
        <w:rPr>
          <w:lang w:val="fr-FR"/>
        </w:rPr>
        <w:t>dans</w:t>
      </w:r>
      <w:r w:rsidRPr="005808ED">
        <w:rPr>
          <w:lang w:val="fr-FR"/>
        </w:rPr>
        <w:t xml:space="preserve"> la législation et </w:t>
      </w:r>
      <w:r w:rsidR="00CE3773" w:rsidRPr="005808ED">
        <w:rPr>
          <w:lang w:val="fr-FR"/>
        </w:rPr>
        <w:t>l</w:t>
      </w:r>
      <w:r w:rsidRPr="005808ED">
        <w:rPr>
          <w:lang w:val="fr-FR"/>
        </w:rPr>
        <w:t xml:space="preserve">es politiques </w:t>
      </w:r>
      <w:r w:rsidR="00597A17" w:rsidRPr="005808ED">
        <w:rPr>
          <w:lang w:val="fr-FR"/>
        </w:rPr>
        <w:t>nationales.</w:t>
      </w:r>
    </w:p>
    <w:p w14:paraId="43205E15" w14:textId="68007D6F" w:rsidR="00F23D44" w:rsidRPr="005808ED" w:rsidRDefault="00380A7F" w:rsidP="00582B27">
      <w:pPr>
        <w:pStyle w:val="Normalnumber"/>
        <w:numPr>
          <w:ilvl w:val="0"/>
          <w:numId w:val="12"/>
        </w:numPr>
        <w:spacing w:after="100"/>
        <w:ind w:left="1247" w:firstLine="0"/>
        <w:rPr>
          <w:lang w:val="fr-FR"/>
        </w:rPr>
      </w:pPr>
      <w:r w:rsidRPr="005808ED">
        <w:rPr>
          <w:lang w:val="fr-FR"/>
        </w:rPr>
        <w:t xml:space="preserve">Il existe </w:t>
      </w:r>
      <w:r w:rsidR="000C52D7" w:rsidRPr="005808ED">
        <w:rPr>
          <w:lang w:val="fr-FR"/>
        </w:rPr>
        <w:t xml:space="preserve">principalement </w:t>
      </w:r>
      <w:r w:rsidRPr="005808ED">
        <w:rPr>
          <w:lang w:val="fr-FR"/>
        </w:rPr>
        <w:t>deux façons de traiter la question d</w:t>
      </w:r>
      <w:r w:rsidR="00B3097B" w:rsidRPr="005808ED">
        <w:rPr>
          <w:lang w:val="fr-FR"/>
        </w:rPr>
        <w:t>’</w:t>
      </w:r>
      <w:r w:rsidRPr="005808ED">
        <w:rPr>
          <w:lang w:val="fr-FR"/>
        </w:rPr>
        <w:t>un site contaminé par suite d</w:t>
      </w:r>
      <w:r w:rsidR="00B3097B" w:rsidRPr="005808ED">
        <w:rPr>
          <w:lang w:val="fr-FR"/>
        </w:rPr>
        <w:t>’</w:t>
      </w:r>
      <w:r w:rsidRPr="005808ED">
        <w:rPr>
          <w:lang w:val="fr-FR"/>
        </w:rPr>
        <w:t>activités industrielles ou d</w:t>
      </w:r>
      <w:r w:rsidR="00B3097B" w:rsidRPr="005808ED">
        <w:rPr>
          <w:lang w:val="fr-FR"/>
        </w:rPr>
        <w:t>’</w:t>
      </w:r>
      <w:r w:rsidRPr="005808ED">
        <w:rPr>
          <w:lang w:val="fr-FR"/>
        </w:rPr>
        <w:t>autres activités humaines</w:t>
      </w:r>
      <w:r w:rsidR="0097152B" w:rsidRPr="005808ED">
        <w:rPr>
          <w:lang w:val="fr-FR"/>
        </w:rPr>
        <w:t> :</w:t>
      </w:r>
      <w:r w:rsidRPr="005808ED">
        <w:rPr>
          <w:lang w:val="fr-FR"/>
        </w:rPr>
        <w:t xml:space="preserve"> la gestion du site </w:t>
      </w:r>
      <w:r w:rsidR="00E2715E" w:rsidRPr="005808ED">
        <w:rPr>
          <w:lang w:val="fr-FR"/>
        </w:rPr>
        <w:t>et</w:t>
      </w:r>
      <w:r w:rsidRPr="005808ED">
        <w:rPr>
          <w:lang w:val="fr-FR"/>
        </w:rPr>
        <w:t xml:space="preserve"> </w:t>
      </w:r>
      <w:r w:rsidR="006A5C08" w:rsidRPr="005808ED">
        <w:rPr>
          <w:lang w:val="fr-FR"/>
        </w:rPr>
        <w:t>s</w:t>
      </w:r>
      <w:r w:rsidRPr="005808ED">
        <w:rPr>
          <w:lang w:val="fr-FR"/>
        </w:rPr>
        <w:t>a remise en état. Que la remise en état du site soit entreprise ou non, il faudra probablement en premier lieu mettre en place une forme de gestion après avoir identifié le site et les éventuelles voies de rejet et d</w:t>
      </w:r>
      <w:r w:rsidR="00B3097B" w:rsidRPr="005808ED">
        <w:rPr>
          <w:lang w:val="fr-FR"/>
        </w:rPr>
        <w:t>’</w:t>
      </w:r>
      <w:r w:rsidRPr="005808ED">
        <w:rPr>
          <w:lang w:val="fr-FR"/>
        </w:rPr>
        <w:t>exposition.</w:t>
      </w:r>
    </w:p>
    <w:p w14:paraId="4BC62E89" w14:textId="388F80FD" w:rsidR="00301201" w:rsidRPr="005808ED" w:rsidRDefault="00380A7F" w:rsidP="00582B27">
      <w:pPr>
        <w:pStyle w:val="Normalnumber"/>
        <w:numPr>
          <w:ilvl w:val="0"/>
          <w:numId w:val="12"/>
        </w:numPr>
        <w:spacing w:after="100"/>
        <w:ind w:left="1247" w:firstLine="0"/>
        <w:rPr>
          <w:lang w:val="fr-FR"/>
        </w:rPr>
      </w:pPr>
      <w:r w:rsidRPr="005808ED">
        <w:rPr>
          <w:lang w:val="fr-FR"/>
        </w:rPr>
        <w:t>La gestion du site comprend la prise de mesures visant à réduire l</w:t>
      </w:r>
      <w:r w:rsidR="00B3097B" w:rsidRPr="005808ED">
        <w:rPr>
          <w:lang w:val="fr-FR"/>
        </w:rPr>
        <w:t>’</w:t>
      </w:r>
      <w:r w:rsidRPr="005808ED">
        <w:rPr>
          <w:lang w:val="fr-FR"/>
        </w:rPr>
        <w:t>exposition des êtres humains et de l</w:t>
      </w:r>
      <w:r w:rsidR="00B3097B" w:rsidRPr="005808ED">
        <w:rPr>
          <w:lang w:val="fr-FR"/>
        </w:rPr>
        <w:t>’</w:t>
      </w:r>
      <w:r w:rsidRPr="005808ED">
        <w:rPr>
          <w:lang w:val="fr-FR"/>
        </w:rPr>
        <w:t>environnement au mercure ou aux composés du mercure qui s</w:t>
      </w:r>
      <w:r w:rsidR="00B3097B" w:rsidRPr="005808ED">
        <w:rPr>
          <w:lang w:val="fr-FR"/>
        </w:rPr>
        <w:t>’</w:t>
      </w:r>
      <w:r w:rsidRPr="005808ED">
        <w:rPr>
          <w:lang w:val="fr-FR"/>
        </w:rPr>
        <w:t>y trouvent. Il faudra peut-être tenir compte de l</w:t>
      </w:r>
      <w:r w:rsidR="00B3097B" w:rsidRPr="005808ED">
        <w:rPr>
          <w:lang w:val="fr-FR"/>
        </w:rPr>
        <w:t>’</w:t>
      </w:r>
      <w:r w:rsidRPr="005808ED">
        <w:rPr>
          <w:lang w:val="fr-FR"/>
        </w:rPr>
        <w:t>existence d</w:t>
      </w:r>
      <w:r w:rsidR="00B3097B" w:rsidRPr="005808ED">
        <w:rPr>
          <w:lang w:val="fr-FR"/>
        </w:rPr>
        <w:t>’</w:t>
      </w:r>
      <w:r w:rsidRPr="005808ED">
        <w:rPr>
          <w:lang w:val="fr-FR"/>
        </w:rPr>
        <w:t xml:space="preserve">une source primaire ou continue de contamination des sols et de la surface. </w:t>
      </w:r>
    </w:p>
    <w:p w14:paraId="0CF40E9F" w14:textId="78ECBEBA" w:rsidR="00F252EE" w:rsidRPr="005808ED" w:rsidRDefault="00380A7F" w:rsidP="00582B27">
      <w:pPr>
        <w:pStyle w:val="Normalnumber"/>
        <w:numPr>
          <w:ilvl w:val="0"/>
          <w:numId w:val="12"/>
        </w:numPr>
        <w:spacing w:after="100"/>
        <w:ind w:left="1247" w:firstLine="0"/>
        <w:rPr>
          <w:lang w:val="fr-FR"/>
        </w:rPr>
      </w:pPr>
      <w:r w:rsidRPr="005808ED">
        <w:rPr>
          <w:lang w:val="fr-FR"/>
        </w:rPr>
        <w:t>Les mesures prises peuvent comprendre la restriction de l</w:t>
      </w:r>
      <w:r w:rsidR="00B3097B" w:rsidRPr="005808ED">
        <w:rPr>
          <w:lang w:val="fr-FR"/>
        </w:rPr>
        <w:t>’</w:t>
      </w:r>
      <w:r w:rsidRPr="005808ED">
        <w:rPr>
          <w:lang w:val="fr-FR"/>
        </w:rPr>
        <w:t>accès au site afin de limiter l</w:t>
      </w:r>
      <w:r w:rsidR="00B3097B" w:rsidRPr="005808ED">
        <w:rPr>
          <w:lang w:val="fr-FR"/>
        </w:rPr>
        <w:t>’</w:t>
      </w:r>
      <w:r w:rsidRPr="005808ED">
        <w:rPr>
          <w:lang w:val="fr-FR"/>
        </w:rPr>
        <w:t xml:space="preserve">exposition directe aux substances (au moyen de </w:t>
      </w:r>
      <w:r w:rsidR="006A5C08" w:rsidRPr="005808ED">
        <w:rPr>
          <w:lang w:val="fr-FR"/>
        </w:rPr>
        <w:t>clôtu</w:t>
      </w:r>
      <w:r w:rsidRPr="005808ED">
        <w:rPr>
          <w:lang w:val="fr-FR"/>
        </w:rPr>
        <w:t>res et de panneaux d</w:t>
      </w:r>
      <w:r w:rsidR="00B3097B" w:rsidRPr="005808ED">
        <w:rPr>
          <w:lang w:val="fr-FR"/>
        </w:rPr>
        <w:t>’</w:t>
      </w:r>
      <w:r w:rsidRPr="005808ED">
        <w:rPr>
          <w:lang w:val="fr-FR"/>
        </w:rPr>
        <w:t>avertissement) ou l</w:t>
      </w:r>
      <w:r w:rsidR="006A5C08" w:rsidRPr="005808ED">
        <w:rPr>
          <w:lang w:val="fr-FR"/>
        </w:rPr>
        <w:t>’imposi</w:t>
      </w:r>
      <w:r w:rsidRPr="005808ED">
        <w:rPr>
          <w:lang w:val="fr-FR"/>
        </w:rPr>
        <w:t xml:space="preserve">tion de restrictions </w:t>
      </w:r>
      <w:r w:rsidR="006A5C08" w:rsidRPr="005808ED">
        <w:rPr>
          <w:lang w:val="fr-FR"/>
        </w:rPr>
        <w:t>s</w:t>
      </w:r>
      <w:r w:rsidRPr="005808ED">
        <w:rPr>
          <w:lang w:val="fr-FR"/>
        </w:rPr>
        <w:t>ur toute activité susceptible de causer une migration de la contamination. Si l</w:t>
      </w:r>
      <w:r w:rsidR="00B3097B" w:rsidRPr="005808ED">
        <w:rPr>
          <w:lang w:val="fr-FR"/>
        </w:rPr>
        <w:t>’</w:t>
      </w:r>
      <w:r w:rsidRPr="005808ED">
        <w:rPr>
          <w:lang w:val="fr-FR"/>
        </w:rPr>
        <w:t>environnement ou la communauté locale ne courent pas de danger immédiat, il peut être envisagé d</w:t>
      </w:r>
      <w:r w:rsidR="00B3097B" w:rsidRPr="005808ED">
        <w:rPr>
          <w:lang w:val="fr-FR"/>
        </w:rPr>
        <w:t>’</w:t>
      </w:r>
      <w:r w:rsidRPr="005808ED">
        <w:rPr>
          <w:lang w:val="fr-FR"/>
        </w:rPr>
        <w:t>attendre, pour traiter les matériaux contaminés, qu</w:t>
      </w:r>
      <w:r w:rsidR="00B3097B" w:rsidRPr="005808ED">
        <w:rPr>
          <w:lang w:val="fr-FR"/>
        </w:rPr>
        <w:t>’</w:t>
      </w:r>
      <w:r w:rsidRPr="005808ED">
        <w:rPr>
          <w:lang w:val="fr-FR"/>
        </w:rPr>
        <w:t>une solution ait été trouvée pour d</w:t>
      </w:r>
      <w:r w:rsidR="00B3097B" w:rsidRPr="005808ED">
        <w:rPr>
          <w:lang w:val="fr-FR"/>
        </w:rPr>
        <w:t>’</w:t>
      </w:r>
      <w:r w:rsidRPr="005808ED">
        <w:rPr>
          <w:lang w:val="fr-FR"/>
        </w:rPr>
        <w:t>autres sites présentant une priorité plus élevée. En attendant une remise en état ultérieure</w:t>
      </w:r>
      <w:r w:rsidR="00B82283" w:rsidRPr="005808ED">
        <w:rPr>
          <w:lang w:val="fr-FR"/>
        </w:rPr>
        <w:t xml:space="preserve"> du site</w:t>
      </w:r>
      <w:r w:rsidRPr="005808ED">
        <w:rPr>
          <w:lang w:val="fr-FR"/>
        </w:rPr>
        <w:t xml:space="preserve">, il est possible de recourir à une installation de confinement </w:t>
      </w:r>
      <w:r w:rsidR="00B82283" w:rsidRPr="005808ED">
        <w:rPr>
          <w:lang w:val="fr-FR"/>
        </w:rPr>
        <w:t>de</w:t>
      </w:r>
      <w:r w:rsidRPr="005808ED">
        <w:rPr>
          <w:lang w:val="fr-FR"/>
        </w:rPr>
        <w:t xml:space="preserve"> la contamination. Dans ce cas, </w:t>
      </w:r>
      <w:r w:rsidR="00B82283" w:rsidRPr="005808ED">
        <w:rPr>
          <w:lang w:val="fr-FR"/>
        </w:rPr>
        <w:t>il convient</w:t>
      </w:r>
      <w:r w:rsidRPr="005808ED">
        <w:rPr>
          <w:lang w:val="fr-FR"/>
        </w:rPr>
        <w:t xml:space="preserve"> de veiller</w:t>
      </w:r>
      <w:r w:rsidR="00B82283" w:rsidRPr="005808ED">
        <w:rPr>
          <w:lang w:val="fr-FR"/>
        </w:rPr>
        <w:t>, en procédant à des contrôles réguliers,</w:t>
      </w:r>
      <w:r w:rsidRPr="005808ED">
        <w:rPr>
          <w:lang w:val="fr-FR"/>
        </w:rPr>
        <w:t xml:space="preserve"> à ce que le mercure ne </w:t>
      </w:r>
      <w:r w:rsidR="006A5C08" w:rsidRPr="005808ED">
        <w:rPr>
          <w:lang w:val="fr-FR"/>
        </w:rPr>
        <w:t>s’en échappe</w:t>
      </w:r>
      <w:r w:rsidRPr="005808ED">
        <w:rPr>
          <w:lang w:val="fr-FR"/>
        </w:rPr>
        <w:t xml:space="preserve"> pas ou ne puisse avoir un impact sur l</w:t>
      </w:r>
      <w:r w:rsidR="00B3097B" w:rsidRPr="005808ED">
        <w:rPr>
          <w:lang w:val="fr-FR"/>
        </w:rPr>
        <w:t>’</w:t>
      </w:r>
      <w:r w:rsidRPr="005808ED">
        <w:rPr>
          <w:lang w:val="fr-FR"/>
        </w:rPr>
        <w:t>environnement situé au-delà des limites du site. Il importe également que les futurs utilisateurs du site disposent d</w:t>
      </w:r>
      <w:r w:rsidR="00B3097B" w:rsidRPr="005808ED">
        <w:rPr>
          <w:lang w:val="fr-FR"/>
        </w:rPr>
        <w:t>’</w:t>
      </w:r>
      <w:r w:rsidRPr="005808ED">
        <w:rPr>
          <w:lang w:val="fr-FR"/>
        </w:rPr>
        <w:t>un accès immédiat aux informations relatives à la qualité du sol et à d</w:t>
      </w:r>
      <w:r w:rsidR="00B3097B" w:rsidRPr="005808ED">
        <w:rPr>
          <w:lang w:val="fr-FR"/>
        </w:rPr>
        <w:t>’</w:t>
      </w:r>
      <w:r w:rsidRPr="005808ED">
        <w:rPr>
          <w:lang w:val="fr-FR"/>
        </w:rPr>
        <w:t>autres informations sur l</w:t>
      </w:r>
      <w:r w:rsidR="00B3097B" w:rsidRPr="005808ED">
        <w:rPr>
          <w:lang w:val="fr-FR"/>
        </w:rPr>
        <w:t>’</w:t>
      </w:r>
      <w:r w:rsidRPr="005808ED">
        <w:rPr>
          <w:lang w:val="fr-FR"/>
        </w:rPr>
        <w:t xml:space="preserve">état du site. </w:t>
      </w:r>
    </w:p>
    <w:p w14:paraId="09E19CDE" w14:textId="70B78629" w:rsidR="00F252EE" w:rsidRPr="005808ED" w:rsidRDefault="00F252EE" w:rsidP="00582B27">
      <w:pPr>
        <w:pStyle w:val="Normalnumber"/>
        <w:numPr>
          <w:ilvl w:val="0"/>
          <w:numId w:val="12"/>
        </w:numPr>
        <w:spacing w:after="100"/>
        <w:ind w:left="1247" w:firstLine="0"/>
        <w:rPr>
          <w:lang w:val="fr-FR"/>
        </w:rPr>
      </w:pPr>
      <w:r w:rsidRPr="005808ED">
        <w:rPr>
          <w:lang w:val="fr-FR"/>
        </w:rPr>
        <w:t xml:space="preserve">Une surveillance à long terme </w:t>
      </w:r>
      <w:r w:rsidR="00B82283" w:rsidRPr="005808ED">
        <w:rPr>
          <w:lang w:val="fr-FR"/>
        </w:rPr>
        <w:t>peut être envisagée pour</w:t>
      </w:r>
      <w:r w:rsidRPr="005808ED">
        <w:rPr>
          <w:lang w:val="fr-FR"/>
        </w:rPr>
        <w:t xml:space="preserve"> déterminer l</w:t>
      </w:r>
      <w:r w:rsidR="00B3097B" w:rsidRPr="005808ED">
        <w:rPr>
          <w:lang w:val="fr-FR"/>
        </w:rPr>
        <w:t>’</w:t>
      </w:r>
      <w:r w:rsidRPr="005808ED">
        <w:rPr>
          <w:lang w:val="fr-FR"/>
        </w:rPr>
        <w:t>existence d</w:t>
      </w:r>
      <w:r w:rsidR="00B3097B" w:rsidRPr="005808ED">
        <w:rPr>
          <w:lang w:val="fr-FR"/>
        </w:rPr>
        <w:t>’</w:t>
      </w:r>
      <w:r w:rsidRPr="005808ED">
        <w:rPr>
          <w:lang w:val="fr-FR"/>
        </w:rPr>
        <w:t>émissions ou de rejets continus liés à la présence des contaminants et de leurs métabolites. L</w:t>
      </w:r>
      <w:r w:rsidR="00B3097B" w:rsidRPr="005808ED">
        <w:rPr>
          <w:lang w:val="fr-FR"/>
        </w:rPr>
        <w:t>’</w:t>
      </w:r>
      <w:r w:rsidRPr="005808ED">
        <w:rPr>
          <w:lang w:val="fr-FR"/>
        </w:rPr>
        <w:t>échantillonnage des sols est probablement le meilleur indicateur du niveau de contamination du site</w:t>
      </w:r>
      <w:r w:rsidR="0097152B" w:rsidRPr="005808ED">
        <w:rPr>
          <w:lang w:val="fr-FR"/>
        </w:rPr>
        <w:t> ;</w:t>
      </w:r>
      <w:r w:rsidRPr="005808ED">
        <w:rPr>
          <w:lang w:val="fr-FR"/>
        </w:rPr>
        <w:t xml:space="preserve"> cependant, la surveillance pourrait également comprendre la mesure des </w:t>
      </w:r>
      <w:r w:rsidR="00B82283" w:rsidRPr="005808ED">
        <w:rPr>
          <w:lang w:val="fr-FR"/>
        </w:rPr>
        <w:t>t</w:t>
      </w:r>
      <w:r w:rsidRPr="005808ED">
        <w:rPr>
          <w:lang w:val="fr-FR"/>
        </w:rPr>
        <w:t xml:space="preserve">aux atmosphériques de mercure </w:t>
      </w:r>
      <w:r w:rsidR="00B82283" w:rsidRPr="005808ED">
        <w:rPr>
          <w:lang w:val="fr-FR"/>
        </w:rPr>
        <w:t>dans les</w:t>
      </w:r>
      <w:r w:rsidRPr="005808ED">
        <w:rPr>
          <w:lang w:val="fr-FR"/>
        </w:rPr>
        <w:t xml:space="preserve"> environs du site. Si l</w:t>
      </w:r>
      <w:r w:rsidR="00B3097B" w:rsidRPr="005808ED">
        <w:rPr>
          <w:lang w:val="fr-FR"/>
        </w:rPr>
        <w:t>’</w:t>
      </w:r>
      <w:r w:rsidRPr="005808ED">
        <w:rPr>
          <w:lang w:val="fr-FR"/>
        </w:rPr>
        <w:t>évaluation initiale du site révèle une contamination des eaux souterraines ou de surface, il est également possible d</w:t>
      </w:r>
      <w:r w:rsidR="00B3097B" w:rsidRPr="005808ED">
        <w:rPr>
          <w:lang w:val="fr-FR"/>
        </w:rPr>
        <w:t>’</w:t>
      </w:r>
      <w:r w:rsidRPr="005808ED">
        <w:rPr>
          <w:lang w:val="fr-FR"/>
        </w:rPr>
        <w:t>envisager d</w:t>
      </w:r>
      <w:r w:rsidR="00B3097B" w:rsidRPr="005808ED">
        <w:rPr>
          <w:lang w:val="fr-FR"/>
        </w:rPr>
        <w:t>’</w:t>
      </w:r>
      <w:r w:rsidRPr="005808ED">
        <w:rPr>
          <w:lang w:val="fr-FR"/>
        </w:rPr>
        <w:t>inclure un échantillonnage régulier de l</w:t>
      </w:r>
      <w:r w:rsidR="00B3097B" w:rsidRPr="005808ED">
        <w:rPr>
          <w:lang w:val="fr-FR"/>
        </w:rPr>
        <w:t>’</w:t>
      </w:r>
      <w:r w:rsidRPr="005808ED">
        <w:rPr>
          <w:lang w:val="fr-FR"/>
        </w:rPr>
        <w:t xml:space="preserve">eau dans le plan de gestion. </w:t>
      </w:r>
    </w:p>
    <w:p w14:paraId="2F4B9F7B" w14:textId="1D6B7E86" w:rsidR="00CE4245" w:rsidRPr="005808ED" w:rsidRDefault="004544B4" w:rsidP="00582B27">
      <w:pPr>
        <w:pStyle w:val="Normalnumber"/>
        <w:numPr>
          <w:ilvl w:val="0"/>
          <w:numId w:val="12"/>
        </w:numPr>
        <w:spacing w:after="100"/>
        <w:ind w:left="1247" w:firstLine="0"/>
        <w:rPr>
          <w:lang w:val="fr-FR"/>
        </w:rPr>
      </w:pPr>
      <w:r w:rsidRPr="005808ED">
        <w:rPr>
          <w:lang w:val="fr-FR"/>
        </w:rPr>
        <w:t xml:space="preserve">La remise en état du site est un autre moyen de réduction des risques liés aux sites contaminés. </w:t>
      </w:r>
      <w:r w:rsidR="001E6F10" w:rsidRPr="005808ED">
        <w:rPr>
          <w:lang w:val="fr-FR"/>
        </w:rPr>
        <w:t>Elle</w:t>
      </w:r>
      <w:r w:rsidRPr="005808ED">
        <w:rPr>
          <w:lang w:val="fr-FR"/>
        </w:rPr>
        <w:t xml:space="preserve"> comprend la prise de mesures tendant à éliminer, contrôler, confiner ou réduire les contaminants ou les voies d</w:t>
      </w:r>
      <w:r w:rsidR="00B3097B" w:rsidRPr="005808ED">
        <w:rPr>
          <w:lang w:val="fr-FR"/>
        </w:rPr>
        <w:t>’</w:t>
      </w:r>
      <w:r w:rsidRPr="005808ED">
        <w:rPr>
          <w:lang w:val="fr-FR"/>
        </w:rPr>
        <w:t>exposition. L</w:t>
      </w:r>
      <w:r w:rsidR="00B3097B" w:rsidRPr="005808ED">
        <w:rPr>
          <w:lang w:val="fr-FR"/>
        </w:rPr>
        <w:t>’</w:t>
      </w:r>
      <w:r w:rsidRPr="005808ED">
        <w:rPr>
          <w:lang w:val="fr-FR"/>
        </w:rPr>
        <w:t>objectif de la remise en état est de rendre un site acceptable et sûr dans le cadre de son utilisation actuelle et de maximiser ses éventuelles utilisations futures. La décision de remettre le site en état appelle l</w:t>
      </w:r>
      <w:r w:rsidR="00B3097B" w:rsidRPr="005808ED">
        <w:rPr>
          <w:lang w:val="fr-FR"/>
        </w:rPr>
        <w:t>’</w:t>
      </w:r>
      <w:r w:rsidRPr="005808ED">
        <w:rPr>
          <w:lang w:val="fr-FR"/>
        </w:rPr>
        <w:t>examen d</w:t>
      </w:r>
      <w:r w:rsidR="00B3097B" w:rsidRPr="005808ED">
        <w:rPr>
          <w:lang w:val="fr-FR"/>
        </w:rPr>
        <w:t>’</w:t>
      </w:r>
      <w:r w:rsidRPr="005808ED">
        <w:rPr>
          <w:lang w:val="fr-FR"/>
        </w:rPr>
        <w:t>un certain nombre de facteurs, y compris le résultat visé, le niveau de contamination, les expositions probables résultant de la contamination, la viabilité des solutions de remise en état,</w:t>
      </w:r>
      <w:r w:rsidR="006358B1" w:rsidRPr="005808ED">
        <w:rPr>
          <w:lang w:val="fr-FR"/>
        </w:rPr>
        <w:t xml:space="preserve"> la prise en compte des coûts et des avantages,</w:t>
      </w:r>
      <w:r w:rsidRPr="005808ED">
        <w:rPr>
          <w:lang w:val="fr-FR"/>
        </w:rPr>
        <w:t xml:space="preserve"> les effets négatifs que peut entraîner la mise en œuvre de toute mesure (tels qu</w:t>
      </w:r>
      <w:r w:rsidR="00B3097B" w:rsidRPr="005808ED">
        <w:rPr>
          <w:lang w:val="fr-FR"/>
        </w:rPr>
        <w:t>’</w:t>
      </w:r>
      <w:r w:rsidRPr="005808ED">
        <w:rPr>
          <w:lang w:val="fr-FR"/>
        </w:rPr>
        <w:t>une contamination de l</w:t>
      </w:r>
      <w:r w:rsidR="00B3097B" w:rsidRPr="005808ED">
        <w:rPr>
          <w:lang w:val="fr-FR"/>
        </w:rPr>
        <w:t>’</w:t>
      </w:r>
      <w:r w:rsidRPr="005808ED">
        <w:rPr>
          <w:lang w:val="fr-FR"/>
        </w:rPr>
        <w:t>environnement par suite de la perturbation des sols contaminés) et les ressources disponibles en vue d</w:t>
      </w:r>
      <w:r w:rsidR="00B3097B" w:rsidRPr="005808ED">
        <w:rPr>
          <w:lang w:val="fr-FR"/>
        </w:rPr>
        <w:t>’</w:t>
      </w:r>
      <w:r w:rsidRPr="005808ED">
        <w:rPr>
          <w:lang w:val="fr-FR"/>
        </w:rPr>
        <w:t>une remise en l</w:t>
      </w:r>
      <w:r w:rsidR="00B3097B" w:rsidRPr="005808ED">
        <w:rPr>
          <w:lang w:val="fr-FR"/>
        </w:rPr>
        <w:t>’</w:t>
      </w:r>
      <w:r w:rsidRPr="005808ED">
        <w:rPr>
          <w:lang w:val="fr-FR"/>
        </w:rPr>
        <w:t xml:space="preserve">état. </w:t>
      </w:r>
      <w:r w:rsidR="004D4CCA" w:rsidRPr="005808ED">
        <w:rPr>
          <w:lang w:val="fr-FR"/>
        </w:rPr>
        <w:t>La prise de mesures de remise en état suppose</w:t>
      </w:r>
      <w:r w:rsidRPr="005808ED">
        <w:rPr>
          <w:lang w:val="fr-FR"/>
        </w:rPr>
        <w:t xml:space="preserve"> également </w:t>
      </w:r>
      <w:r w:rsidR="004D4CCA" w:rsidRPr="005808ED">
        <w:rPr>
          <w:lang w:val="fr-FR"/>
        </w:rPr>
        <w:t xml:space="preserve">de </w:t>
      </w:r>
      <w:r w:rsidRPr="005808ED">
        <w:rPr>
          <w:lang w:val="fr-FR"/>
        </w:rPr>
        <w:t>tenir dûment compte du fait qu</w:t>
      </w:r>
      <w:r w:rsidR="00B3097B" w:rsidRPr="005808ED">
        <w:rPr>
          <w:lang w:val="fr-FR"/>
        </w:rPr>
        <w:t>’</w:t>
      </w:r>
      <w:r w:rsidRPr="005808ED">
        <w:rPr>
          <w:lang w:val="fr-FR"/>
        </w:rPr>
        <w:t xml:space="preserve">il est indispensable </w:t>
      </w:r>
      <w:r w:rsidR="004D4CCA" w:rsidRPr="005808ED">
        <w:rPr>
          <w:lang w:val="fr-FR"/>
        </w:rPr>
        <w:t>que ces</w:t>
      </w:r>
      <w:r w:rsidRPr="005808ED">
        <w:rPr>
          <w:lang w:val="fr-FR"/>
        </w:rPr>
        <w:t xml:space="preserve"> activités </w:t>
      </w:r>
      <w:r w:rsidR="004D4CCA" w:rsidRPr="005808ED">
        <w:rPr>
          <w:lang w:val="fr-FR"/>
        </w:rPr>
        <w:t xml:space="preserve">se déroulent </w:t>
      </w:r>
      <w:r w:rsidRPr="005808ED">
        <w:rPr>
          <w:lang w:val="fr-FR"/>
        </w:rPr>
        <w:t>de manière durable.</w:t>
      </w:r>
    </w:p>
    <w:p w14:paraId="0331F952" w14:textId="06EF9D9D" w:rsidR="00F252EE" w:rsidRPr="005808ED" w:rsidRDefault="00F252EE" w:rsidP="00F51980">
      <w:pPr>
        <w:pStyle w:val="Normalnumber"/>
        <w:numPr>
          <w:ilvl w:val="0"/>
          <w:numId w:val="12"/>
        </w:numPr>
        <w:ind w:left="1247" w:firstLine="0"/>
        <w:rPr>
          <w:lang w:val="fr-FR"/>
        </w:rPr>
      </w:pPr>
      <w:r w:rsidRPr="005808ED">
        <w:rPr>
          <w:lang w:val="fr-FR"/>
        </w:rPr>
        <w:t>Il existe un certain nombre de solutions de remise en état, qui présentent une efficacité et des coûts variés. Le choix de la méthode de remise en état doit prendre en compte l</w:t>
      </w:r>
      <w:r w:rsidR="00B3097B" w:rsidRPr="005808ED">
        <w:rPr>
          <w:lang w:val="fr-FR"/>
        </w:rPr>
        <w:t>’</w:t>
      </w:r>
      <w:r w:rsidRPr="005808ED">
        <w:rPr>
          <w:lang w:val="fr-FR"/>
        </w:rPr>
        <w:t xml:space="preserve">utilisation déclarée du site et les risques connexes. </w:t>
      </w:r>
      <w:r w:rsidR="00BA2FA4" w:rsidRPr="005808ED">
        <w:rPr>
          <w:lang w:val="fr-FR"/>
        </w:rPr>
        <w:t>Il peut également dépendre de l</w:t>
      </w:r>
      <w:r w:rsidRPr="005808ED">
        <w:rPr>
          <w:lang w:val="fr-FR"/>
        </w:rPr>
        <w:t>a présence d</w:t>
      </w:r>
      <w:r w:rsidR="00B3097B" w:rsidRPr="005808ED">
        <w:rPr>
          <w:lang w:val="fr-FR"/>
        </w:rPr>
        <w:t>’</w:t>
      </w:r>
      <w:r w:rsidRPr="005808ED">
        <w:rPr>
          <w:lang w:val="fr-FR"/>
        </w:rPr>
        <w:t>autres contaminants. Il est à noter qu</w:t>
      </w:r>
      <w:r w:rsidR="00B3097B" w:rsidRPr="005808ED">
        <w:rPr>
          <w:lang w:val="fr-FR"/>
        </w:rPr>
        <w:t>’</w:t>
      </w:r>
      <w:r w:rsidRPr="005808ED">
        <w:rPr>
          <w:lang w:val="fr-FR"/>
        </w:rPr>
        <w:t>une stratégie de remise en état doit souvent combiner plusieurs techniques, afin d</w:t>
      </w:r>
      <w:r w:rsidR="00B3097B" w:rsidRPr="005808ED">
        <w:rPr>
          <w:lang w:val="fr-FR"/>
        </w:rPr>
        <w:t>’</w:t>
      </w:r>
      <w:r w:rsidRPr="005808ED">
        <w:rPr>
          <w:lang w:val="fr-FR"/>
        </w:rPr>
        <w:t>apporter une réponse convenable à la situation. L</w:t>
      </w:r>
      <w:r w:rsidR="00B3097B" w:rsidRPr="005808ED">
        <w:rPr>
          <w:lang w:val="fr-FR"/>
        </w:rPr>
        <w:t>’</w:t>
      </w:r>
      <w:r w:rsidRPr="005808ED">
        <w:rPr>
          <w:lang w:val="fr-FR"/>
        </w:rPr>
        <w:t>évaluation et la comparaison des diverses solutions de remise en état afin de déterminer celle qui convient le mieux est une étape cruciale de l</w:t>
      </w:r>
      <w:r w:rsidR="00B3097B" w:rsidRPr="005808ED">
        <w:rPr>
          <w:lang w:val="fr-FR"/>
        </w:rPr>
        <w:t>’</w:t>
      </w:r>
      <w:r w:rsidRPr="005808ED">
        <w:rPr>
          <w:lang w:val="fr-FR"/>
        </w:rPr>
        <w:t>évaluation des risques pour l</w:t>
      </w:r>
      <w:r w:rsidR="00B3097B" w:rsidRPr="005808ED">
        <w:rPr>
          <w:lang w:val="fr-FR"/>
        </w:rPr>
        <w:t>’</w:t>
      </w:r>
      <w:r w:rsidRPr="005808ED">
        <w:rPr>
          <w:lang w:val="fr-FR"/>
        </w:rPr>
        <w:t xml:space="preserve">environnement et la santé </w:t>
      </w:r>
      <w:r w:rsidR="00B82283" w:rsidRPr="005808ED">
        <w:rPr>
          <w:lang w:val="fr-FR"/>
        </w:rPr>
        <w:t>présentés par</w:t>
      </w:r>
      <w:r w:rsidRPr="005808ED">
        <w:rPr>
          <w:lang w:val="fr-FR"/>
        </w:rPr>
        <w:t xml:space="preserve"> un site contaminé. </w:t>
      </w:r>
    </w:p>
    <w:p w14:paraId="2F3664C7" w14:textId="6F21E922" w:rsidR="00F252EE" w:rsidRPr="005808ED" w:rsidRDefault="00520198" w:rsidP="00FA6C22">
      <w:pPr>
        <w:pStyle w:val="CH2"/>
        <w:ind w:firstLine="27"/>
        <w:rPr>
          <w:lang w:val="fr-FR"/>
        </w:rPr>
      </w:pPr>
      <w:bookmarkStart w:id="37" w:name="_Toc527017908"/>
      <w:r w:rsidRPr="005808ED">
        <w:rPr>
          <w:bCs/>
          <w:lang w:val="fr-FR"/>
        </w:rPr>
        <w:t>Traitement des sols</w:t>
      </w:r>
      <w:bookmarkEnd w:id="37"/>
    </w:p>
    <w:p w14:paraId="54C503A8" w14:textId="221EAD00" w:rsidR="00D716BE" w:rsidRPr="005808ED" w:rsidRDefault="0055545E" w:rsidP="00F51980">
      <w:pPr>
        <w:pStyle w:val="Normalnumber"/>
        <w:numPr>
          <w:ilvl w:val="0"/>
          <w:numId w:val="12"/>
        </w:numPr>
        <w:ind w:left="1247" w:firstLine="0"/>
        <w:rPr>
          <w:lang w:val="fr-FR"/>
        </w:rPr>
      </w:pPr>
      <w:r w:rsidRPr="005808ED">
        <w:rPr>
          <w:lang w:val="fr-FR"/>
        </w:rPr>
        <w:t>Lorsque c</w:t>
      </w:r>
      <w:r w:rsidR="00B3097B" w:rsidRPr="005808ED">
        <w:rPr>
          <w:lang w:val="fr-FR"/>
        </w:rPr>
        <w:t>’</w:t>
      </w:r>
      <w:r w:rsidRPr="005808ED">
        <w:rPr>
          <w:lang w:val="fr-FR"/>
        </w:rPr>
        <w:t>est possible, il est préférable que le traitement des contaminants en vue d</w:t>
      </w:r>
      <w:r w:rsidR="00B3097B" w:rsidRPr="005808ED">
        <w:rPr>
          <w:lang w:val="fr-FR"/>
        </w:rPr>
        <w:t>’</w:t>
      </w:r>
      <w:r w:rsidRPr="005808ED">
        <w:rPr>
          <w:lang w:val="fr-FR"/>
        </w:rPr>
        <w:t>éliminer ou de réduire à un niveau acceptable le danger qu</w:t>
      </w:r>
      <w:r w:rsidR="00B3097B" w:rsidRPr="005808ED">
        <w:rPr>
          <w:lang w:val="fr-FR"/>
        </w:rPr>
        <w:t>’</w:t>
      </w:r>
      <w:r w:rsidRPr="005808ED">
        <w:rPr>
          <w:lang w:val="fr-FR"/>
        </w:rPr>
        <w:t>ils représentent se fasse sur le site. Un tel traitement devrait être appliqué de manière à éviter, autant que faire se peut, tout effet négatif pour l</w:t>
      </w:r>
      <w:r w:rsidR="00B3097B" w:rsidRPr="005808ED">
        <w:rPr>
          <w:lang w:val="fr-FR"/>
        </w:rPr>
        <w:t>’</w:t>
      </w:r>
      <w:r w:rsidRPr="005808ED">
        <w:rPr>
          <w:lang w:val="fr-FR"/>
        </w:rPr>
        <w:t xml:space="preserve">environnement, les travailleurs, la communauté installée à proximité du site ou le grand public. </w:t>
      </w:r>
    </w:p>
    <w:p w14:paraId="252A1AF3" w14:textId="589D59F3" w:rsidR="0077064B" w:rsidRPr="005808ED" w:rsidRDefault="00F252EE" w:rsidP="00F51980">
      <w:pPr>
        <w:pStyle w:val="Normalnumber"/>
        <w:numPr>
          <w:ilvl w:val="0"/>
          <w:numId w:val="12"/>
        </w:numPr>
        <w:ind w:left="1247" w:firstLine="0"/>
        <w:rPr>
          <w:lang w:val="fr-FR"/>
        </w:rPr>
      </w:pPr>
      <w:r w:rsidRPr="005808ED">
        <w:rPr>
          <w:lang w:val="fr-FR"/>
        </w:rPr>
        <w:t xml:space="preserve">Dans certains cas, </w:t>
      </w:r>
      <w:r w:rsidR="007447A2" w:rsidRPr="005808ED">
        <w:rPr>
          <w:lang w:val="fr-FR"/>
        </w:rPr>
        <w:t>l</w:t>
      </w:r>
      <w:r w:rsidRPr="005808ED">
        <w:rPr>
          <w:lang w:val="fr-FR"/>
        </w:rPr>
        <w:t>e confine</w:t>
      </w:r>
      <w:r w:rsidR="007447A2" w:rsidRPr="005808ED">
        <w:rPr>
          <w:lang w:val="fr-FR"/>
        </w:rPr>
        <w:t>ment d</w:t>
      </w:r>
      <w:r w:rsidR="001728B5" w:rsidRPr="005808ED">
        <w:rPr>
          <w:lang w:val="fr-FR"/>
        </w:rPr>
        <w:t>e la partie contaminée</w:t>
      </w:r>
      <w:r w:rsidRPr="005808ED">
        <w:rPr>
          <w:lang w:val="fr-FR"/>
        </w:rPr>
        <w:t xml:space="preserve"> </w:t>
      </w:r>
      <w:r w:rsidR="001728B5" w:rsidRPr="005808ED">
        <w:rPr>
          <w:lang w:val="fr-FR"/>
        </w:rPr>
        <w:t>du</w:t>
      </w:r>
      <w:r w:rsidRPr="005808ED">
        <w:rPr>
          <w:lang w:val="fr-FR"/>
        </w:rPr>
        <w:t xml:space="preserve"> site </w:t>
      </w:r>
      <w:r w:rsidR="007447A2" w:rsidRPr="005808ED">
        <w:rPr>
          <w:lang w:val="fr-FR"/>
        </w:rPr>
        <w:t xml:space="preserve">peut être une option viable. </w:t>
      </w:r>
      <w:r w:rsidR="001728B5" w:rsidRPr="005808ED">
        <w:rPr>
          <w:lang w:val="fr-FR"/>
        </w:rPr>
        <w:t>Il</w:t>
      </w:r>
      <w:r w:rsidR="00A309BF" w:rsidRPr="005808ED">
        <w:rPr>
          <w:lang w:val="fr-FR"/>
        </w:rPr>
        <w:t> </w:t>
      </w:r>
      <w:r w:rsidR="001728B5" w:rsidRPr="005808ED">
        <w:rPr>
          <w:lang w:val="fr-FR"/>
        </w:rPr>
        <w:t>consiste à empêcher la migration du mercure dans le sol ou son passage dans l’air à l’aide de</w:t>
      </w:r>
      <w:r w:rsidRPr="005808ED">
        <w:rPr>
          <w:lang w:val="fr-FR"/>
        </w:rPr>
        <w:t xml:space="preserve"> barrières physiques</w:t>
      </w:r>
      <w:r w:rsidR="00BE0F6D" w:rsidRPr="005808ED">
        <w:rPr>
          <w:lang w:val="fr-FR"/>
        </w:rPr>
        <w:t xml:space="preserve">, </w:t>
      </w:r>
      <w:r w:rsidR="001728B5" w:rsidRPr="005808ED">
        <w:rPr>
          <w:lang w:val="fr-FR"/>
        </w:rPr>
        <w:t xml:space="preserve">le recouvrement étant une solution </w:t>
      </w:r>
      <w:r w:rsidR="007447A2" w:rsidRPr="005808ED">
        <w:rPr>
          <w:lang w:val="fr-FR"/>
        </w:rPr>
        <w:t>peu coûteuse pour</w:t>
      </w:r>
      <w:r w:rsidR="001728B5" w:rsidRPr="005808ED">
        <w:rPr>
          <w:lang w:val="fr-FR"/>
        </w:rPr>
        <w:t xml:space="preserve"> ce faire</w:t>
      </w:r>
      <w:r w:rsidR="00BE0F6D" w:rsidRPr="005808ED">
        <w:rPr>
          <w:lang w:val="fr-FR"/>
        </w:rPr>
        <w:t>.</w:t>
      </w:r>
      <w:r w:rsidRPr="005808ED">
        <w:rPr>
          <w:lang w:val="fr-FR"/>
        </w:rPr>
        <w:t xml:space="preserve"> </w:t>
      </w:r>
      <w:r w:rsidR="001728B5" w:rsidRPr="005808ED">
        <w:rPr>
          <w:lang w:val="fr-FR"/>
        </w:rPr>
        <w:t xml:space="preserve">Cela </w:t>
      </w:r>
      <w:r w:rsidR="00437E3B" w:rsidRPr="005808ED">
        <w:rPr>
          <w:lang w:val="fr-FR"/>
        </w:rPr>
        <w:t xml:space="preserve">peut </w:t>
      </w:r>
      <w:r w:rsidR="001728B5" w:rsidRPr="005808ED">
        <w:rPr>
          <w:lang w:val="fr-FR"/>
        </w:rPr>
        <w:t>demander que</w:t>
      </w:r>
      <w:r w:rsidRPr="005808ED">
        <w:rPr>
          <w:lang w:val="fr-FR"/>
        </w:rPr>
        <w:t xml:space="preserve"> </w:t>
      </w:r>
      <w:r w:rsidR="00437E3B" w:rsidRPr="005808ED">
        <w:rPr>
          <w:lang w:val="fr-FR"/>
        </w:rPr>
        <w:t>des tranchées profondes</w:t>
      </w:r>
      <w:r w:rsidRPr="005808ED">
        <w:rPr>
          <w:lang w:val="fr-FR"/>
        </w:rPr>
        <w:t xml:space="preserve"> </w:t>
      </w:r>
      <w:r w:rsidR="001728B5" w:rsidRPr="005808ED">
        <w:rPr>
          <w:lang w:val="fr-FR"/>
        </w:rPr>
        <w:t>soient creusées sur le pourtour de la zone contaminée et</w:t>
      </w:r>
      <w:r w:rsidRPr="005808ED">
        <w:rPr>
          <w:lang w:val="fr-FR"/>
        </w:rPr>
        <w:t xml:space="preserve"> rempli</w:t>
      </w:r>
      <w:r w:rsidR="001728B5" w:rsidRPr="005808ED">
        <w:rPr>
          <w:lang w:val="fr-FR"/>
        </w:rPr>
        <w:t>es</w:t>
      </w:r>
      <w:r w:rsidRPr="005808ED">
        <w:rPr>
          <w:lang w:val="fr-FR"/>
        </w:rPr>
        <w:t xml:space="preserve"> de boues (</w:t>
      </w:r>
      <w:r w:rsidR="00D4576E" w:rsidRPr="005808ED">
        <w:rPr>
          <w:lang w:val="fr-FR"/>
        </w:rPr>
        <w:t>mélanges</w:t>
      </w:r>
      <w:r w:rsidRPr="005808ED">
        <w:rPr>
          <w:lang w:val="fr-FR"/>
        </w:rPr>
        <w:t xml:space="preserve"> </w:t>
      </w:r>
      <w:r w:rsidR="00D4576E" w:rsidRPr="005808ED">
        <w:rPr>
          <w:lang w:val="fr-FR"/>
        </w:rPr>
        <w:t>de</w:t>
      </w:r>
      <w:r w:rsidRPr="005808ED">
        <w:rPr>
          <w:lang w:val="fr-FR"/>
        </w:rPr>
        <w:t xml:space="preserve"> bentonite ou d</w:t>
      </w:r>
      <w:r w:rsidR="00D4576E" w:rsidRPr="005808ED">
        <w:rPr>
          <w:lang w:val="fr-FR"/>
        </w:rPr>
        <w:t>e</w:t>
      </w:r>
      <w:r w:rsidRPr="005808ED">
        <w:rPr>
          <w:lang w:val="fr-FR"/>
        </w:rPr>
        <w:t xml:space="preserve"> ciment et de terre</w:t>
      </w:r>
      <w:r w:rsidR="00D4576E" w:rsidRPr="005808ED">
        <w:rPr>
          <w:lang w:val="fr-FR"/>
        </w:rPr>
        <w:t>, par exemple</w:t>
      </w:r>
      <w:r w:rsidRPr="005808ED">
        <w:rPr>
          <w:lang w:val="fr-FR"/>
        </w:rPr>
        <w:t xml:space="preserve">). Il </w:t>
      </w:r>
      <w:r w:rsidR="001728B5" w:rsidRPr="005808ED">
        <w:rPr>
          <w:lang w:val="fr-FR"/>
        </w:rPr>
        <w:t xml:space="preserve">peut </w:t>
      </w:r>
      <w:r w:rsidRPr="005808ED">
        <w:rPr>
          <w:lang w:val="fr-FR"/>
        </w:rPr>
        <w:t xml:space="preserve">également </w:t>
      </w:r>
      <w:r w:rsidR="001728B5" w:rsidRPr="005808ED">
        <w:rPr>
          <w:lang w:val="fr-FR"/>
        </w:rPr>
        <w:t xml:space="preserve">être nécessaire </w:t>
      </w:r>
      <w:r w:rsidRPr="005808ED">
        <w:rPr>
          <w:lang w:val="fr-FR"/>
        </w:rPr>
        <w:t>d</w:t>
      </w:r>
      <w:r w:rsidR="00B3097B" w:rsidRPr="005808ED">
        <w:rPr>
          <w:lang w:val="fr-FR"/>
        </w:rPr>
        <w:t>’</w:t>
      </w:r>
      <w:r w:rsidRPr="005808ED">
        <w:rPr>
          <w:lang w:val="fr-FR"/>
        </w:rPr>
        <w:t>inject</w:t>
      </w:r>
      <w:r w:rsidR="001728B5" w:rsidRPr="005808ED">
        <w:rPr>
          <w:lang w:val="fr-FR"/>
        </w:rPr>
        <w:t>er</w:t>
      </w:r>
      <w:r w:rsidRPr="005808ED">
        <w:rPr>
          <w:lang w:val="fr-FR"/>
        </w:rPr>
        <w:t xml:space="preserve"> </w:t>
      </w:r>
      <w:r w:rsidR="001728B5" w:rsidRPr="005808ED">
        <w:rPr>
          <w:lang w:val="fr-FR"/>
        </w:rPr>
        <w:t xml:space="preserve">des produits chimiques stabilisants </w:t>
      </w:r>
      <w:r w:rsidRPr="005808ED">
        <w:rPr>
          <w:lang w:val="fr-FR"/>
        </w:rPr>
        <w:t>dans le sol</w:t>
      </w:r>
      <w:r w:rsidR="001728B5" w:rsidRPr="005808ED">
        <w:rPr>
          <w:lang w:val="fr-FR"/>
        </w:rPr>
        <w:t>,</w:t>
      </w:r>
      <w:r w:rsidRPr="005808ED">
        <w:rPr>
          <w:lang w:val="fr-FR"/>
        </w:rPr>
        <w:t xml:space="preserve"> </w:t>
      </w:r>
      <w:r w:rsidR="001728B5" w:rsidRPr="005808ED">
        <w:rPr>
          <w:lang w:val="fr-FR"/>
        </w:rPr>
        <w:t>en se servant</w:t>
      </w:r>
      <w:r w:rsidRPr="005808ED">
        <w:rPr>
          <w:lang w:val="fr-FR"/>
        </w:rPr>
        <w:t xml:space="preserve"> de </w:t>
      </w:r>
      <w:r w:rsidR="00025BA5" w:rsidRPr="005808ED">
        <w:rPr>
          <w:lang w:val="fr-FR"/>
        </w:rPr>
        <w:t>tarièr</w:t>
      </w:r>
      <w:r w:rsidRPr="005808ED">
        <w:rPr>
          <w:lang w:val="fr-FR"/>
        </w:rPr>
        <w:t xml:space="preserve">es </w:t>
      </w:r>
      <w:r w:rsidR="001728B5" w:rsidRPr="005808ED">
        <w:rPr>
          <w:lang w:val="fr-FR"/>
        </w:rPr>
        <w:t>conçues</w:t>
      </w:r>
      <w:r w:rsidR="00025BA5" w:rsidRPr="005808ED">
        <w:rPr>
          <w:lang w:val="fr-FR"/>
        </w:rPr>
        <w:t xml:space="preserve"> à cette fin</w:t>
      </w:r>
      <w:r w:rsidRPr="005808ED">
        <w:rPr>
          <w:lang w:val="fr-FR"/>
        </w:rPr>
        <w:t>. Il est à noter que de telles mesures ne réduisent pas l</w:t>
      </w:r>
      <w:r w:rsidR="00437E3B" w:rsidRPr="005808ED">
        <w:rPr>
          <w:lang w:val="fr-FR"/>
        </w:rPr>
        <w:t>es quantités</w:t>
      </w:r>
      <w:r w:rsidRPr="005808ED">
        <w:rPr>
          <w:lang w:val="fr-FR"/>
        </w:rPr>
        <w:t xml:space="preserve"> de mercure présent</w:t>
      </w:r>
      <w:r w:rsidR="00437E3B" w:rsidRPr="005808ED">
        <w:rPr>
          <w:lang w:val="fr-FR"/>
        </w:rPr>
        <w:t>es</w:t>
      </w:r>
      <w:r w:rsidRPr="005808ED">
        <w:rPr>
          <w:lang w:val="fr-FR"/>
        </w:rPr>
        <w:t xml:space="preserve"> sur le site et que des matériaux contaminés risquent d</w:t>
      </w:r>
      <w:r w:rsidR="00B3097B" w:rsidRPr="005808ED">
        <w:rPr>
          <w:lang w:val="fr-FR"/>
        </w:rPr>
        <w:t>’</w:t>
      </w:r>
      <w:r w:rsidRPr="005808ED">
        <w:rPr>
          <w:lang w:val="fr-FR"/>
        </w:rPr>
        <w:t xml:space="preserve">être rejetés durant le processus (Merly et Hube, 2014). Des contrôles institutionnels, tels que des restrictions relatives aux actes de vente et des avis concernant les registres fonciers, peuvent venir renforcer les mesures visant à éviter la migration du mercure. </w:t>
      </w:r>
    </w:p>
    <w:p w14:paraId="5B58AABA" w14:textId="353128B0" w:rsidR="00F252EE" w:rsidRPr="005808ED" w:rsidRDefault="00F252EE" w:rsidP="00F51980">
      <w:pPr>
        <w:pStyle w:val="Normalnumber"/>
        <w:numPr>
          <w:ilvl w:val="0"/>
          <w:numId w:val="12"/>
        </w:numPr>
        <w:ind w:left="1247" w:firstLine="0"/>
        <w:rPr>
          <w:lang w:val="fr-FR"/>
        </w:rPr>
      </w:pPr>
      <w:r w:rsidRPr="005808ED">
        <w:rPr>
          <w:lang w:val="fr-FR"/>
        </w:rPr>
        <w:t>Les excavations et autres activités qui perturbent le sol du site peuvent être réalisées à l</w:t>
      </w:r>
      <w:r w:rsidR="00B3097B" w:rsidRPr="005808ED">
        <w:rPr>
          <w:lang w:val="fr-FR"/>
        </w:rPr>
        <w:t>’</w:t>
      </w:r>
      <w:r w:rsidRPr="005808ED">
        <w:rPr>
          <w:lang w:val="fr-FR"/>
        </w:rPr>
        <w:t>intérieur de structures temporaires rendues hermétiques par le biais de filtres au charbon et de systèmes de pressurisation négative. De cette manière, le risque que représentent les vapeurs et les rejets de particules susceptibles de nuire aux communautés locales et à l</w:t>
      </w:r>
      <w:r w:rsidR="00B3097B" w:rsidRPr="005808ED">
        <w:rPr>
          <w:lang w:val="fr-FR"/>
        </w:rPr>
        <w:t>’</w:t>
      </w:r>
      <w:r w:rsidRPr="005808ED">
        <w:rPr>
          <w:lang w:val="fr-FR"/>
        </w:rPr>
        <w:t>environnement est atténué. De telles structures peuvent également remplacer des programmes coûteux de surveillance de l</w:t>
      </w:r>
      <w:r w:rsidR="00B3097B" w:rsidRPr="005808ED">
        <w:rPr>
          <w:lang w:val="fr-FR"/>
        </w:rPr>
        <w:t>’</w:t>
      </w:r>
      <w:r w:rsidRPr="005808ED">
        <w:rPr>
          <w:lang w:val="fr-FR"/>
        </w:rPr>
        <w:t>air ambiant, étant plus à même de rassurer les travailleurs et la population locale au sujet des niveaux d</w:t>
      </w:r>
      <w:r w:rsidR="00B3097B" w:rsidRPr="005808ED">
        <w:rPr>
          <w:lang w:val="fr-FR"/>
        </w:rPr>
        <w:t>’</w:t>
      </w:r>
      <w:r w:rsidRPr="005808ED">
        <w:rPr>
          <w:lang w:val="fr-FR"/>
        </w:rPr>
        <w:t>exposition.</w:t>
      </w:r>
    </w:p>
    <w:p w14:paraId="739A823A" w14:textId="59FCF514" w:rsidR="00D716BE" w:rsidRPr="005808ED" w:rsidRDefault="005632F9" w:rsidP="00F51980">
      <w:pPr>
        <w:pStyle w:val="Normalnumber"/>
        <w:numPr>
          <w:ilvl w:val="0"/>
          <w:numId w:val="12"/>
        </w:numPr>
        <w:ind w:left="1247" w:firstLine="0"/>
        <w:rPr>
          <w:lang w:val="fr-FR"/>
        </w:rPr>
      </w:pPr>
      <w:r w:rsidRPr="005808ED">
        <w:rPr>
          <w:lang w:val="fr-FR"/>
        </w:rPr>
        <w:t>S</w:t>
      </w:r>
      <w:r w:rsidR="00025BA5" w:rsidRPr="005808ED">
        <w:rPr>
          <w:lang w:val="fr-FR"/>
        </w:rPr>
        <w:t>i le traitement direct sur site du sol contaminé</w:t>
      </w:r>
      <w:r w:rsidRPr="005808ED">
        <w:rPr>
          <w:lang w:val="fr-FR"/>
        </w:rPr>
        <w:t xml:space="preserve"> n</w:t>
      </w:r>
      <w:r w:rsidR="00B3097B" w:rsidRPr="005808ED">
        <w:rPr>
          <w:lang w:val="fr-FR"/>
        </w:rPr>
        <w:t>’</w:t>
      </w:r>
      <w:r w:rsidRPr="005808ED">
        <w:rPr>
          <w:lang w:val="fr-FR"/>
        </w:rPr>
        <w:t xml:space="preserve">est pas possible, une autre solution consiste à </w:t>
      </w:r>
      <w:r w:rsidR="00025BA5" w:rsidRPr="005808ED">
        <w:rPr>
          <w:lang w:val="fr-FR"/>
        </w:rPr>
        <w:t>l’</w:t>
      </w:r>
      <w:r w:rsidRPr="005808ED">
        <w:rPr>
          <w:lang w:val="fr-FR"/>
        </w:rPr>
        <w:t xml:space="preserve">extraire </w:t>
      </w:r>
      <w:r w:rsidR="00025BA5" w:rsidRPr="005808ED">
        <w:rPr>
          <w:lang w:val="fr-FR"/>
        </w:rPr>
        <w:t xml:space="preserve">aux fins de traitement </w:t>
      </w:r>
      <w:r w:rsidRPr="005808ED">
        <w:rPr>
          <w:lang w:val="fr-FR"/>
        </w:rPr>
        <w:t xml:space="preserve">hors site. </w:t>
      </w:r>
      <w:r w:rsidR="00025BA5" w:rsidRPr="005808ED">
        <w:rPr>
          <w:lang w:val="fr-FR"/>
        </w:rPr>
        <w:t xml:space="preserve">En attendant </w:t>
      </w:r>
      <w:r w:rsidR="000101CC" w:rsidRPr="005808ED">
        <w:rPr>
          <w:lang w:val="fr-FR"/>
        </w:rPr>
        <w:t>son traitement</w:t>
      </w:r>
      <w:r w:rsidR="00025BA5" w:rsidRPr="005808ED">
        <w:rPr>
          <w:lang w:val="fr-FR"/>
        </w:rPr>
        <w:t>, i</w:t>
      </w:r>
      <w:r w:rsidRPr="005808ED">
        <w:rPr>
          <w:lang w:val="fr-FR"/>
        </w:rPr>
        <w:t xml:space="preserve">l </w:t>
      </w:r>
      <w:r w:rsidR="00025BA5" w:rsidRPr="005808ED">
        <w:rPr>
          <w:lang w:val="fr-FR"/>
        </w:rPr>
        <w:t>peut être</w:t>
      </w:r>
      <w:r w:rsidRPr="005808ED">
        <w:rPr>
          <w:lang w:val="fr-FR"/>
        </w:rPr>
        <w:t xml:space="preserve"> envoyé </w:t>
      </w:r>
      <w:r w:rsidR="000101CC" w:rsidRPr="005808ED">
        <w:rPr>
          <w:lang w:val="fr-FR"/>
        </w:rPr>
        <w:t xml:space="preserve">à </w:t>
      </w:r>
      <w:r w:rsidRPr="005808ED">
        <w:rPr>
          <w:lang w:val="fr-FR"/>
        </w:rPr>
        <w:t>un site ou une installation de stockage agréés. Si cette dernière solution est retenue, la Partie intéressée devrait veiller à ce que l</w:t>
      </w:r>
      <w:r w:rsidR="00B3097B" w:rsidRPr="005808ED">
        <w:rPr>
          <w:lang w:val="fr-FR"/>
        </w:rPr>
        <w:t>’</w:t>
      </w:r>
      <w:r w:rsidRPr="005808ED">
        <w:rPr>
          <w:lang w:val="fr-FR"/>
        </w:rPr>
        <w:t>installation qui recevra le sol contaminé soit en mesure de gérer les déchets conformément aux dispositions de l</w:t>
      </w:r>
      <w:r w:rsidR="00B3097B" w:rsidRPr="005808ED">
        <w:rPr>
          <w:lang w:val="fr-FR"/>
        </w:rPr>
        <w:t>’</w:t>
      </w:r>
      <w:r w:rsidRPr="005808ED">
        <w:rPr>
          <w:lang w:val="fr-FR"/>
        </w:rPr>
        <w:t xml:space="preserve">article 11 de la Convention en matière de gestion écologiquement rationnelle des déchets de mercure. Le traitement hors site du sol excavé vise à </w:t>
      </w:r>
      <w:r w:rsidR="000101CC" w:rsidRPr="005808ED">
        <w:rPr>
          <w:lang w:val="fr-FR"/>
        </w:rPr>
        <w:t xml:space="preserve">en </w:t>
      </w:r>
      <w:r w:rsidRPr="005808ED">
        <w:rPr>
          <w:lang w:val="fr-FR"/>
        </w:rPr>
        <w:t xml:space="preserve">éliminer les contaminants ou à ramener </w:t>
      </w:r>
      <w:r w:rsidR="004C06AB" w:rsidRPr="005808ED">
        <w:rPr>
          <w:lang w:val="fr-FR"/>
        </w:rPr>
        <w:t xml:space="preserve">le danger </w:t>
      </w:r>
      <w:r w:rsidR="000101CC" w:rsidRPr="005808ED">
        <w:rPr>
          <w:lang w:val="fr-FR"/>
        </w:rPr>
        <w:t>posé par ceux-ci</w:t>
      </w:r>
      <w:r w:rsidR="004C06AB" w:rsidRPr="005808ED">
        <w:rPr>
          <w:lang w:val="fr-FR"/>
        </w:rPr>
        <w:t xml:space="preserve"> </w:t>
      </w:r>
      <w:r w:rsidRPr="005808ED">
        <w:rPr>
          <w:lang w:val="fr-FR"/>
        </w:rPr>
        <w:t>à un niveau acceptable. Lorsque c</w:t>
      </w:r>
      <w:r w:rsidR="00B3097B" w:rsidRPr="005808ED">
        <w:rPr>
          <w:lang w:val="fr-FR"/>
        </w:rPr>
        <w:t>’</w:t>
      </w:r>
      <w:r w:rsidRPr="005808ED">
        <w:rPr>
          <w:lang w:val="fr-FR"/>
        </w:rPr>
        <w:t xml:space="preserve">est possible, le sol traité est ensuite </w:t>
      </w:r>
      <w:r w:rsidR="00025BA5" w:rsidRPr="005808ED">
        <w:rPr>
          <w:lang w:val="fr-FR"/>
        </w:rPr>
        <w:t>retourné au</w:t>
      </w:r>
      <w:r w:rsidRPr="005808ED">
        <w:rPr>
          <w:lang w:val="fr-FR"/>
        </w:rPr>
        <w:t xml:space="preserve"> site initial ou </w:t>
      </w:r>
      <w:r w:rsidR="00025BA5" w:rsidRPr="005808ED">
        <w:rPr>
          <w:lang w:val="fr-FR"/>
        </w:rPr>
        <w:t>envoyé à</w:t>
      </w:r>
      <w:r w:rsidRPr="005808ED">
        <w:rPr>
          <w:lang w:val="fr-FR"/>
        </w:rPr>
        <w:t xml:space="preserve"> un autre site. En toute probabilité, les résidus issus du traitement du sol devraient présenter des concentrations élevées de mercure et devraient être gérés comme des déchets de mercure. Il est également à noter qu</w:t>
      </w:r>
      <w:r w:rsidR="00B3097B" w:rsidRPr="005808ED">
        <w:rPr>
          <w:lang w:val="fr-FR"/>
        </w:rPr>
        <w:t>’</w:t>
      </w:r>
      <w:r w:rsidRPr="005808ED">
        <w:rPr>
          <w:lang w:val="fr-FR"/>
        </w:rPr>
        <w:t>en cas de traitement et d</w:t>
      </w:r>
      <w:r w:rsidR="00B3097B" w:rsidRPr="005808ED">
        <w:rPr>
          <w:lang w:val="fr-FR"/>
        </w:rPr>
        <w:t>’</w:t>
      </w:r>
      <w:r w:rsidRPr="005808ED">
        <w:rPr>
          <w:lang w:val="fr-FR"/>
        </w:rPr>
        <w:t xml:space="preserve">élimination </w:t>
      </w:r>
      <w:r w:rsidR="00025BA5" w:rsidRPr="005808ED">
        <w:rPr>
          <w:lang w:val="fr-FR"/>
        </w:rPr>
        <w:t xml:space="preserve">hors site </w:t>
      </w:r>
      <w:r w:rsidRPr="005808ED">
        <w:rPr>
          <w:lang w:val="fr-FR"/>
        </w:rPr>
        <w:t>du sol contaminé, les conditions d</w:t>
      </w:r>
      <w:r w:rsidR="00025BA5" w:rsidRPr="005808ED">
        <w:rPr>
          <w:lang w:val="fr-FR"/>
        </w:rPr>
        <w:t>ans lesquelles</w:t>
      </w:r>
      <w:r w:rsidRPr="005808ED">
        <w:rPr>
          <w:lang w:val="fr-FR"/>
        </w:rPr>
        <w:t xml:space="preserve"> l</w:t>
      </w:r>
      <w:r w:rsidR="00B3097B" w:rsidRPr="005808ED">
        <w:rPr>
          <w:lang w:val="fr-FR"/>
        </w:rPr>
        <w:t>’</w:t>
      </w:r>
      <w:r w:rsidRPr="005808ED">
        <w:rPr>
          <w:lang w:val="fr-FR"/>
        </w:rPr>
        <w:t xml:space="preserve">unité de gestion des déchets </w:t>
      </w:r>
      <w:r w:rsidR="00025BA5" w:rsidRPr="005808ED">
        <w:rPr>
          <w:lang w:val="fr-FR"/>
        </w:rPr>
        <w:t xml:space="preserve">opère </w:t>
      </w:r>
      <w:r w:rsidRPr="005808ED">
        <w:rPr>
          <w:lang w:val="fr-FR"/>
        </w:rPr>
        <w:t>peuvent influer sur l</w:t>
      </w:r>
      <w:r w:rsidR="00B3097B" w:rsidRPr="005808ED">
        <w:rPr>
          <w:lang w:val="fr-FR"/>
        </w:rPr>
        <w:t>’</w:t>
      </w:r>
      <w:r w:rsidRPr="005808ED">
        <w:rPr>
          <w:lang w:val="fr-FR"/>
        </w:rPr>
        <w:t>efficacité du traitement.</w:t>
      </w:r>
    </w:p>
    <w:p w14:paraId="0982D10D" w14:textId="362212AE" w:rsidR="00D716BE" w:rsidRPr="005808ED" w:rsidRDefault="00D716BE" w:rsidP="00F51980">
      <w:pPr>
        <w:pStyle w:val="Normalnumber"/>
        <w:numPr>
          <w:ilvl w:val="0"/>
          <w:numId w:val="12"/>
        </w:numPr>
        <w:ind w:left="1247" w:firstLine="0"/>
        <w:rPr>
          <w:lang w:val="fr-FR"/>
        </w:rPr>
      </w:pPr>
      <w:r w:rsidRPr="005808ED">
        <w:rPr>
          <w:lang w:val="fr-FR"/>
        </w:rPr>
        <w:t>Parmi les méthodes dont l</w:t>
      </w:r>
      <w:r w:rsidR="00B3097B" w:rsidRPr="005808ED">
        <w:rPr>
          <w:lang w:val="fr-FR"/>
        </w:rPr>
        <w:t>’</w:t>
      </w:r>
      <w:r w:rsidRPr="005808ED">
        <w:rPr>
          <w:lang w:val="fr-FR"/>
        </w:rPr>
        <w:t>efficacité a été prouvée pour le traitement des sols contaminés par du mercure</w:t>
      </w:r>
      <w:r w:rsidR="00C621F2" w:rsidRPr="005808ED">
        <w:rPr>
          <w:lang w:val="fr-FR"/>
        </w:rPr>
        <w:t>,</w:t>
      </w:r>
      <w:r w:rsidRPr="005808ED">
        <w:rPr>
          <w:lang w:val="fr-FR"/>
        </w:rPr>
        <w:t xml:space="preserve"> on trouve la solidification et la stabilisation, le lavage des sols et l</w:t>
      </w:r>
      <w:r w:rsidR="00B3097B" w:rsidRPr="005808ED">
        <w:rPr>
          <w:lang w:val="fr-FR"/>
        </w:rPr>
        <w:t>’</w:t>
      </w:r>
      <w:r w:rsidR="000101CC" w:rsidRPr="005808ED">
        <w:rPr>
          <w:lang w:val="fr-FR"/>
        </w:rPr>
        <w:t>extraction à l’acide</w:t>
      </w:r>
      <w:r w:rsidRPr="005808ED">
        <w:rPr>
          <w:lang w:val="fr-FR"/>
        </w:rPr>
        <w:t xml:space="preserve">, le traitement thermique et la vitrification (US EPA, 2007), ainsi que la décontamination électrocinétique et la désorption thermique </w:t>
      </w:r>
      <w:r w:rsidR="000101CC" w:rsidRPr="005808ED">
        <w:rPr>
          <w:i/>
          <w:lang w:val="fr-FR"/>
        </w:rPr>
        <w:t>in situ</w:t>
      </w:r>
      <w:r w:rsidRPr="005808ED">
        <w:rPr>
          <w:lang w:val="fr-FR"/>
        </w:rPr>
        <w:t xml:space="preserve">. La solution la plus adaptée </w:t>
      </w:r>
      <w:r w:rsidR="00F5685C" w:rsidRPr="005808ED">
        <w:rPr>
          <w:lang w:val="fr-FR"/>
        </w:rPr>
        <w:t>dépendra</w:t>
      </w:r>
      <w:r w:rsidRPr="005808ED">
        <w:rPr>
          <w:lang w:val="fr-FR"/>
        </w:rPr>
        <w:t xml:space="preserve"> </w:t>
      </w:r>
      <w:r w:rsidR="000101CC" w:rsidRPr="005808ED">
        <w:rPr>
          <w:lang w:val="fr-FR"/>
        </w:rPr>
        <w:t xml:space="preserve">des concentrations </w:t>
      </w:r>
      <w:r w:rsidRPr="005808ED">
        <w:rPr>
          <w:lang w:val="fr-FR"/>
        </w:rPr>
        <w:t>de mercure et d</w:t>
      </w:r>
      <w:r w:rsidR="000101CC" w:rsidRPr="005808ED">
        <w:rPr>
          <w:lang w:val="fr-FR"/>
        </w:rPr>
        <w:t>’</w:t>
      </w:r>
      <w:r w:rsidRPr="005808ED">
        <w:rPr>
          <w:lang w:val="fr-FR"/>
        </w:rPr>
        <w:t>autres contaminants dans le sol, de leur répartition et de la zone contaminée. Par conséquent, le choix de la méthode de traitement devrait se faire en fonction des caractéristiques du site, en tenant compte des technologies disponibles aux niveaux local et national.</w:t>
      </w:r>
    </w:p>
    <w:p w14:paraId="7A9A9B70" w14:textId="48BE3B3C" w:rsidR="00F252EE" w:rsidRPr="005808ED" w:rsidRDefault="00F252EE" w:rsidP="00F51980">
      <w:pPr>
        <w:pStyle w:val="Normalnumber"/>
        <w:numPr>
          <w:ilvl w:val="0"/>
          <w:numId w:val="12"/>
        </w:numPr>
        <w:ind w:left="1247" w:firstLine="0"/>
        <w:rPr>
          <w:lang w:val="fr-FR"/>
        </w:rPr>
      </w:pPr>
      <w:r w:rsidRPr="005808ED">
        <w:rPr>
          <w:lang w:val="fr-FR"/>
        </w:rPr>
        <w:t>Le procédé de solidification consiste à mélanger le sol contaminé ou les déchets avec un liant en vue d</w:t>
      </w:r>
      <w:r w:rsidR="00B3097B" w:rsidRPr="005808ED">
        <w:rPr>
          <w:lang w:val="fr-FR"/>
        </w:rPr>
        <w:t>’</w:t>
      </w:r>
      <w:r w:rsidRPr="005808ED">
        <w:rPr>
          <w:lang w:val="fr-FR"/>
        </w:rPr>
        <w:t xml:space="preserve">obtenir une </w:t>
      </w:r>
      <w:r w:rsidR="00994578" w:rsidRPr="005808ED">
        <w:rPr>
          <w:lang w:val="fr-FR"/>
        </w:rPr>
        <w:t xml:space="preserve">suspension </w:t>
      </w:r>
      <w:r w:rsidR="00B452B9" w:rsidRPr="005808ED">
        <w:rPr>
          <w:lang w:val="fr-FR"/>
        </w:rPr>
        <w:t>ou</w:t>
      </w:r>
      <w:r w:rsidR="00074030" w:rsidRPr="005808ED">
        <w:rPr>
          <w:lang w:val="fr-FR"/>
        </w:rPr>
        <w:t xml:space="preserve"> une </w:t>
      </w:r>
      <w:r w:rsidRPr="005808ED">
        <w:rPr>
          <w:lang w:val="fr-FR"/>
        </w:rPr>
        <w:t xml:space="preserve">pâte </w:t>
      </w:r>
      <w:r w:rsidR="00B452B9" w:rsidRPr="005808ED">
        <w:rPr>
          <w:lang w:val="fr-FR"/>
        </w:rPr>
        <w:t xml:space="preserve">plus </w:t>
      </w:r>
      <w:r w:rsidRPr="005808ED">
        <w:rPr>
          <w:lang w:val="fr-FR"/>
        </w:rPr>
        <w:t xml:space="preserve">ou </w:t>
      </w:r>
      <w:r w:rsidR="00B452B9" w:rsidRPr="005808ED">
        <w:rPr>
          <w:lang w:val="fr-FR"/>
        </w:rPr>
        <w:t xml:space="preserve">moins épaisse </w:t>
      </w:r>
      <w:r w:rsidRPr="005808ED">
        <w:rPr>
          <w:lang w:val="fr-FR"/>
        </w:rPr>
        <w:t>qui se solidifiera au fil du temps (US EPA, 2007). L</w:t>
      </w:r>
      <w:r w:rsidR="00074030" w:rsidRPr="005808ED">
        <w:rPr>
          <w:lang w:val="fr-FR"/>
        </w:rPr>
        <w:t>a</w:t>
      </w:r>
      <w:r w:rsidRPr="005808ED">
        <w:rPr>
          <w:lang w:val="fr-FR"/>
        </w:rPr>
        <w:t xml:space="preserve"> solidification et </w:t>
      </w:r>
      <w:r w:rsidR="00074030" w:rsidRPr="005808ED">
        <w:rPr>
          <w:lang w:val="fr-FR"/>
        </w:rPr>
        <w:t>la</w:t>
      </w:r>
      <w:r w:rsidRPr="005808ED">
        <w:rPr>
          <w:lang w:val="fr-FR"/>
        </w:rPr>
        <w:t xml:space="preserve"> stabilisation peu</w:t>
      </w:r>
      <w:r w:rsidR="00074030" w:rsidRPr="005808ED">
        <w:rPr>
          <w:lang w:val="fr-FR"/>
        </w:rPr>
        <w:t>ven</w:t>
      </w:r>
      <w:r w:rsidRPr="005808ED">
        <w:rPr>
          <w:lang w:val="fr-FR"/>
        </w:rPr>
        <w:t>t s</w:t>
      </w:r>
      <w:r w:rsidR="00B3097B" w:rsidRPr="005808ED">
        <w:rPr>
          <w:lang w:val="fr-FR"/>
        </w:rPr>
        <w:t>’</w:t>
      </w:r>
      <w:r w:rsidRPr="005808ED">
        <w:rPr>
          <w:lang w:val="fr-FR"/>
        </w:rPr>
        <w:t>opérer directement sur le site ou en dehors. Cette technique a déjà été utilisée dans le cadre d</w:t>
      </w:r>
      <w:r w:rsidR="00B3097B" w:rsidRPr="005808ED">
        <w:rPr>
          <w:lang w:val="fr-FR"/>
        </w:rPr>
        <w:t>’</w:t>
      </w:r>
      <w:r w:rsidRPr="005808ED">
        <w:rPr>
          <w:lang w:val="fr-FR"/>
        </w:rPr>
        <w:t xml:space="preserve">opérations de nettoyage et est </w:t>
      </w:r>
      <w:r w:rsidR="00074030" w:rsidRPr="005808ED">
        <w:rPr>
          <w:lang w:val="fr-FR"/>
        </w:rPr>
        <w:t xml:space="preserve">commercialement </w:t>
      </w:r>
      <w:r w:rsidRPr="005808ED">
        <w:rPr>
          <w:lang w:val="fr-FR"/>
        </w:rPr>
        <w:t>disponible dans certains pays (US EPA, 2007). Plusieurs facteurs ont une incidence sur l</w:t>
      </w:r>
      <w:r w:rsidR="00B3097B" w:rsidRPr="005808ED">
        <w:rPr>
          <w:lang w:val="fr-FR"/>
        </w:rPr>
        <w:t>’</w:t>
      </w:r>
      <w:r w:rsidRPr="005808ED">
        <w:rPr>
          <w:lang w:val="fr-FR"/>
        </w:rPr>
        <w:t>efficacité et le coût de cette technique de traitement, y compris le pH de la substance traitée, la présence de composés organiques, la taille des particules, la teneur en eau et l</w:t>
      </w:r>
      <w:r w:rsidR="00B3097B" w:rsidRPr="005808ED">
        <w:rPr>
          <w:lang w:val="fr-FR"/>
        </w:rPr>
        <w:t>’</w:t>
      </w:r>
      <w:r w:rsidRPr="005808ED">
        <w:rPr>
          <w:lang w:val="fr-FR"/>
        </w:rPr>
        <w:t>état d</w:t>
      </w:r>
      <w:r w:rsidR="00B3097B" w:rsidRPr="005808ED">
        <w:rPr>
          <w:lang w:val="fr-FR"/>
        </w:rPr>
        <w:t>’</w:t>
      </w:r>
      <w:r w:rsidRPr="005808ED">
        <w:rPr>
          <w:lang w:val="fr-FR"/>
        </w:rPr>
        <w:t>oxydation du mercure présent. Parmi les composés liants on trouve le ciment Portland, le ciment polymère sulfuré, les liants sulfurés et phosphatés, la poussière de four à ciment, les résines de polyester et les composés de polysiloxane. Ces composés n</w:t>
      </w:r>
      <w:r w:rsidR="00B3097B" w:rsidRPr="005808ED">
        <w:rPr>
          <w:lang w:val="fr-FR"/>
        </w:rPr>
        <w:t>’</w:t>
      </w:r>
      <w:r w:rsidRPr="005808ED">
        <w:rPr>
          <w:lang w:val="fr-FR"/>
        </w:rPr>
        <w:t>ont pas tous la même efficacité pour se lier au mercure. Mélangé au soufre, le mercure peut être stabilisé sous forme de sulfure de mercure, ce qui réduit son potentiel de lessivage et sa volatilité</w:t>
      </w:r>
      <w:r w:rsidR="0097152B" w:rsidRPr="005808ED">
        <w:rPr>
          <w:lang w:val="fr-FR"/>
        </w:rPr>
        <w:t> ;</w:t>
      </w:r>
      <w:r w:rsidRPr="005808ED">
        <w:rPr>
          <w:lang w:val="fr-FR"/>
        </w:rPr>
        <w:t xml:space="preserve"> cependant, le sulfure de mercure peut se transformer à nouveau en mercure élémentaire dans certaines conditions. Un procédé de stabilisation </w:t>
      </w:r>
      <w:r w:rsidR="00074030" w:rsidRPr="005808ED">
        <w:rPr>
          <w:lang w:val="fr-FR"/>
        </w:rPr>
        <w:t xml:space="preserve">utilisant </w:t>
      </w:r>
      <w:r w:rsidRPr="005808ED">
        <w:rPr>
          <w:lang w:val="fr-FR"/>
        </w:rPr>
        <w:t xml:space="preserve">des polymères peut être employé </w:t>
      </w:r>
      <w:r w:rsidR="00074030" w:rsidRPr="005808ED">
        <w:rPr>
          <w:lang w:val="fr-FR"/>
        </w:rPr>
        <w:t>pour</w:t>
      </w:r>
      <w:r w:rsidRPr="005808ED">
        <w:rPr>
          <w:lang w:val="fr-FR"/>
        </w:rPr>
        <w:t xml:space="preserve"> microencapsuler le sulfure de mercure dans une matrice de polymère sulfuré formant des blocs solides (</w:t>
      </w:r>
      <w:r w:rsidR="00C621F2" w:rsidRPr="005808ED">
        <w:rPr>
          <w:lang w:val="fr-FR"/>
        </w:rPr>
        <w:t>PNUE</w:t>
      </w:r>
      <w:r w:rsidRPr="005808ED">
        <w:rPr>
          <w:lang w:val="fr-FR"/>
        </w:rPr>
        <w:t>, 2015). Ce procédé en deux étapes limite les risques pour l</w:t>
      </w:r>
      <w:r w:rsidR="00B3097B" w:rsidRPr="005808ED">
        <w:rPr>
          <w:lang w:val="fr-FR"/>
        </w:rPr>
        <w:t>’</w:t>
      </w:r>
      <w:r w:rsidRPr="005808ED">
        <w:rPr>
          <w:lang w:val="fr-FR"/>
        </w:rPr>
        <w:t>environnement que pose le mercure mais également les possibilités d</w:t>
      </w:r>
      <w:r w:rsidR="00B3097B" w:rsidRPr="005808ED">
        <w:rPr>
          <w:lang w:val="fr-FR"/>
        </w:rPr>
        <w:t>’</w:t>
      </w:r>
      <w:r w:rsidRPr="005808ED">
        <w:rPr>
          <w:lang w:val="fr-FR"/>
        </w:rPr>
        <w:t xml:space="preserve">extraire le mercure à un stade ultérieur. </w:t>
      </w:r>
    </w:p>
    <w:p w14:paraId="184A0EFA" w14:textId="0EFA19E3" w:rsidR="00F252EE" w:rsidRPr="005808ED" w:rsidRDefault="00F252EE" w:rsidP="00F51980">
      <w:pPr>
        <w:pStyle w:val="Normalnumber"/>
        <w:numPr>
          <w:ilvl w:val="0"/>
          <w:numId w:val="12"/>
        </w:numPr>
        <w:ind w:left="1247" w:firstLine="0"/>
        <w:rPr>
          <w:lang w:val="fr-FR"/>
        </w:rPr>
      </w:pPr>
      <w:r w:rsidRPr="005808ED">
        <w:rPr>
          <w:lang w:val="fr-FR"/>
        </w:rPr>
        <w:t>Les procédés de lavage des sols et d</w:t>
      </w:r>
      <w:r w:rsidR="00B3097B" w:rsidRPr="005808ED">
        <w:rPr>
          <w:lang w:val="fr-FR"/>
        </w:rPr>
        <w:t>’</w:t>
      </w:r>
      <w:r w:rsidR="000101CC" w:rsidRPr="005808ED">
        <w:rPr>
          <w:lang w:val="fr-FR"/>
        </w:rPr>
        <w:t>extraction à l’acide</w:t>
      </w:r>
      <w:r w:rsidRPr="005808ED">
        <w:rPr>
          <w:lang w:val="fr-FR"/>
        </w:rPr>
        <w:t xml:space="preserve"> peuvent être utilisé</w:t>
      </w:r>
      <w:r w:rsidR="00B452B9" w:rsidRPr="005808ED">
        <w:rPr>
          <w:lang w:val="fr-FR"/>
        </w:rPr>
        <w:t>s</w:t>
      </w:r>
      <w:r w:rsidRPr="005808ED">
        <w:rPr>
          <w:lang w:val="fr-FR"/>
        </w:rPr>
        <w:t xml:space="preserve"> sur les sols contaminés </w:t>
      </w:r>
      <w:r w:rsidR="00B452B9" w:rsidRPr="005808ED">
        <w:rPr>
          <w:lang w:val="fr-FR"/>
        </w:rPr>
        <w:t>enlevés</w:t>
      </w:r>
      <w:r w:rsidRPr="005808ED">
        <w:rPr>
          <w:lang w:val="fr-FR"/>
        </w:rPr>
        <w:t xml:space="preserve"> du site et traités séparément. Comme l</w:t>
      </w:r>
      <w:r w:rsidR="00B3097B" w:rsidRPr="005808ED">
        <w:rPr>
          <w:lang w:val="fr-FR"/>
        </w:rPr>
        <w:t>’</w:t>
      </w:r>
      <w:r w:rsidRPr="005808ED">
        <w:rPr>
          <w:lang w:val="fr-FR"/>
        </w:rPr>
        <w:t xml:space="preserve">indique son nom, le lavage des sols est un procédé </w:t>
      </w:r>
      <w:r w:rsidR="00994578" w:rsidRPr="005808ED">
        <w:rPr>
          <w:lang w:val="fr-FR"/>
        </w:rPr>
        <w:t>consistant à les nettoyer avec un liquide</w:t>
      </w:r>
      <w:r w:rsidRPr="005808ED">
        <w:rPr>
          <w:lang w:val="fr-FR"/>
        </w:rPr>
        <w:t xml:space="preserve"> pour </w:t>
      </w:r>
      <w:r w:rsidR="00B452B9" w:rsidRPr="005808ED">
        <w:rPr>
          <w:lang w:val="fr-FR"/>
        </w:rPr>
        <w:t>en élimin</w:t>
      </w:r>
      <w:r w:rsidRPr="005808ED">
        <w:rPr>
          <w:lang w:val="fr-FR"/>
        </w:rPr>
        <w:t>er les contaminants. Le lavage des sols et l</w:t>
      </w:r>
      <w:r w:rsidR="00B3097B" w:rsidRPr="005808ED">
        <w:rPr>
          <w:lang w:val="fr-FR"/>
        </w:rPr>
        <w:t>’</w:t>
      </w:r>
      <w:r w:rsidR="000101CC" w:rsidRPr="005808ED">
        <w:rPr>
          <w:lang w:val="fr-FR"/>
        </w:rPr>
        <w:t>extraction à l’acide</w:t>
      </w:r>
      <w:r w:rsidRPr="005808ED">
        <w:rPr>
          <w:lang w:val="fr-FR"/>
        </w:rPr>
        <w:t xml:space="preserve"> servent principalement </w:t>
      </w:r>
      <w:r w:rsidR="00645857" w:rsidRPr="005808ED">
        <w:rPr>
          <w:lang w:val="fr-FR"/>
        </w:rPr>
        <w:t>à</w:t>
      </w:r>
      <w:r w:rsidRPr="005808ED">
        <w:rPr>
          <w:lang w:val="fr-FR"/>
        </w:rPr>
        <w:t xml:space="preserve"> traite</w:t>
      </w:r>
      <w:r w:rsidR="00645857" w:rsidRPr="005808ED">
        <w:rPr>
          <w:lang w:val="fr-FR"/>
        </w:rPr>
        <w:t>r</w:t>
      </w:r>
      <w:r w:rsidRPr="005808ED">
        <w:rPr>
          <w:lang w:val="fr-FR"/>
        </w:rPr>
        <w:t xml:space="preserve"> des sols présentant une teneur en argile relativement basse pouvant être séparée en fractions. Ils sont également moins efficaces sur les sols à forte teneur en matières organiques. De plus, l</w:t>
      </w:r>
      <w:r w:rsidR="00B3097B" w:rsidRPr="005808ED">
        <w:rPr>
          <w:lang w:val="fr-FR"/>
        </w:rPr>
        <w:t>’</w:t>
      </w:r>
      <w:r w:rsidRPr="005808ED">
        <w:rPr>
          <w:lang w:val="fr-FR"/>
        </w:rPr>
        <w:t>efficacité et le coût de ces techniques peuvent varier en fonction de l</w:t>
      </w:r>
      <w:r w:rsidR="00B3097B" w:rsidRPr="005808ED">
        <w:rPr>
          <w:lang w:val="fr-FR"/>
        </w:rPr>
        <w:t>’</w:t>
      </w:r>
      <w:r w:rsidRPr="005808ED">
        <w:rPr>
          <w:lang w:val="fr-FR"/>
        </w:rPr>
        <w:t xml:space="preserve">homogénéité du sol, de la taille des particules, du pH et de la teneur en eau. </w:t>
      </w:r>
    </w:p>
    <w:p w14:paraId="6C2D46E3" w14:textId="621C6ED1" w:rsidR="00A70FCB" w:rsidRPr="005808ED" w:rsidRDefault="00F252EE" w:rsidP="00F51980">
      <w:pPr>
        <w:pStyle w:val="Normalnumber"/>
        <w:numPr>
          <w:ilvl w:val="0"/>
          <w:numId w:val="12"/>
        </w:numPr>
        <w:ind w:left="1247" w:firstLine="0"/>
        <w:rPr>
          <w:lang w:val="fr-FR"/>
        </w:rPr>
      </w:pPr>
      <w:r w:rsidRPr="005808ED">
        <w:rPr>
          <w:lang w:val="fr-FR"/>
        </w:rPr>
        <w:t>Le traitement thermique sert à traiter les déchets industriels et médicaux contenant du mercure mais n</w:t>
      </w:r>
      <w:r w:rsidR="00B3097B" w:rsidRPr="005808ED">
        <w:rPr>
          <w:lang w:val="fr-FR"/>
        </w:rPr>
        <w:t>’</w:t>
      </w:r>
      <w:r w:rsidRPr="005808ED">
        <w:rPr>
          <w:lang w:val="fr-FR"/>
        </w:rPr>
        <w:t>est généralement pas adapté aux sols à forte teneur en argile ou en matières organiques. L</w:t>
      </w:r>
      <w:r w:rsidR="00B3097B" w:rsidRPr="005808ED">
        <w:rPr>
          <w:lang w:val="fr-FR"/>
        </w:rPr>
        <w:t>’</w:t>
      </w:r>
      <w:r w:rsidRPr="005808ED">
        <w:rPr>
          <w:lang w:val="fr-FR"/>
        </w:rPr>
        <w:t>efficacité et le coût de ce traitement varient en fonction, entre autres, de la taille des particules et de la teneur en eau. Ce procédé utilise la chaleur pour volatiliser le mercure, qui est ensuite recueilli dans les effluents gazeux. Il est généralement réalisé en dehors du site. La réalisation de tout traitement thermique suppose des moyens de contrôle du mercure vaporisé durant le procédé. La désorption thermique peut se faire directement ou indirectement. La désorption directe consiste à appliquer la chaleur directement sur le matériau à traiter. La désorption indirecte consiste à appliquer la chaleur sur le mur extérieur d</w:t>
      </w:r>
      <w:r w:rsidR="00B3097B" w:rsidRPr="005808ED">
        <w:rPr>
          <w:lang w:val="fr-FR"/>
        </w:rPr>
        <w:t>’</w:t>
      </w:r>
      <w:r w:rsidRPr="005808ED">
        <w:rPr>
          <w:lang w:val="fr-FR"/>
        </w:rPr>
        <w:t>une chambre, afin de la transmettre au matériau à traiter placé à l</w:t>
      </w:r>
      <w:r w:rsidR="00B3097B" w:rsidRPr="005808ED">
        <w:rPr>
          <w:lang w:val="fr-FR"/>
        </w:rPr>
        <w:t>’</w:t>
      </w:r>
      <w:r w:rsidRPr="005808ED">
        <w:rPr>
          <w:lang w:val="fr-FR"/>
        </w:rPr>
        <w:t>intérieur. La désorption thermique indirecte présente l</w:t>
      </w:r>
      <w:r w:rsidR="00B3097B" w:rsidRPr="005808ED">
        <w:rPr>
          <w:lang w:val="fr-FR"/>
        </w:rPr>
        <w:t>’</w:t>
      </w:r>
      <w:r w:rsidRPr="005808ED">
        <w:rPr>
          <w:lang w:val="fr-FR"/>
        </w:rPr>
        <w:t>avantage de séparer les effluents gazeux issus du matériau traité des gaz de combustion, réduisant considérablement le volume des gaz contaminés à traiter. Il est possible de récupérer le mercure contenu dans les effluents gazeux issus du matériau traité par condensation, par exemple (Environment Agency, 2012). Les sols contaminés présentant une forte concentration de mercure peuvent être traités à haute température dans des fours à cornues atteignant entre 425 et 540 °C (US EPA, 2007). Il est à noter que les émissions engendrées par l</w:t>
      </w:r>
      <w:r w:rsidR="00B3097B" w:rsidRPr="005808ED">
        <w:rPr>
          <w:lang w:val="fr-FR"/>
        </w:rPr>
        <w:t>’</w:t>
      </w:r>
      <w:r w:rsidRPr="005808ED">
        <w:rPr>
          <w:lang w:val="fr-FR"/>
        </w:rPr>
        <w:t>incinération de déchets sont visées à l</w:t>
      </w:r>
      <w:r w:rsidR="00B3097B" w:rsidRPr="005808ED">
        <w:rPr>
          <w:lang w:val="fr-FR"/>
        </w:rPr>
        <w:t>’</w:t>
      </w:r>
      <w:r w:rsidRPr="005808ED">
        <w:rPr>
          <w:lang w:val="fr-FR"/>
        </w:rPr>
        <w:t>article 8 de la Convention de Minamata et que la Conférence des Parties à la Convention de Minamata a adopté des directives sur les meilleurs techniques disponibles et les meilleures pratiques environnementales pour le contrôle et, dans la mesure du possible, la réduction des émissions atmosphériques de mercure et de composés du mercure provenant de sources diverses, y</w:t>
      </w:r>
      <w:r w:rsidR="00A309BF" w:rsidRPr="005808ED">
        <w:rPr>
          <w:lang w:val="fr-FR"/>
        </w:rPr>
        <w:t> </w:t>
      </w:r>
      <w:r w:rsidRPr="005808ED">
        <w:rPr>
          <w:lang w:val="fr-FR"/>
        </w:rPr>
        <w:t>compris l</w:t>
      </w:r>
      <w:r w:rsidR="00B3097B" w:rsidRPr="005808ED">
        <w:rPr>
          <w:lang w:val="fr-FR"/>
        </w:rPr>
        <w:t>’</w:t>
      </w:r>
      <w:r w:rsidRPr="005808ED">
        <w:rPr>
          <w:lang w:val="fr-FR"/>
        </w:rPr>
        <w:t>incinération de déchets</w:t>
      </w:r>
      <w:r w:rsidR="008E7545" w:rsidRPr="005808ED">
        <w:rPr>
          <w:rStyle w:val="FootnoteReference"/>
          <w:lang w:val="fr-FR"/>
        </w:rPr>
        <w:footnoteReference w:id="6"/>
      </w:r>
      <w:r w:rsidRPr="005808ED">
        <w:rPr>
          <w:lang w:val="fr-FR"/>
        </w:rPr>
        <w:t>.</w:t>
      </w:r>
    </w:p>
    <w:p w14:paraId="200569E7" w14:textId="6F5D1557" w:rsidR="00A70FCB" w:rsidRPr="005808ED" w:rsidRDefault="00F252EE" w:rsidP="00F51980">
      <w:pPr>
        <w:pStyle w:val="Normalnumber"/>
        <w:numPr>
          <w:ilvl w:val="0"/>
          <w:numId w:val="12"/>
        </w:numPr>
        <w:ind w:left="1247" w:firstLine="0"/>
        <w:rPr>
          <w:lang w:val="fr-FR"/>
        </w:rPr>
      </w:pPr>
      <w:r w:rsidRPr="005808ED">
        <w:rPr>
          <w:lang w:val="fr-FR"/>
        </w:rPr>
        <w:t>La décontamination électrocinétique consiste à appliquer un courant électrique de faible intensité au sol contaminé. Cette technique comprend généralement quatre procédés</w:t>
      </w:r>
      <w:r w:rsidR="0097152B" w:rsidRPr="005808ED">
        <w:rPr>
          <w:lang w:val="fr-FR"/>
        </w:rPr>
        <w:t> :</w:t>
      </w:r>
      <w:r w:rsidRPr="005808ED">
        <w:rPr>
          <w:lang w:val="fr-FR"/>
        </w:rPr>
        <w:t xml:space="preserve"> l</w:t>
      </w:r>
      <w:r w:rsidR="00B3097B" w:rsidRPr="005808ED">
        <w:rPr>
          <w:lang w:val="fr-FR"/>
        </w:rPr>
        <w:t>’</w:t>
      </w:r>
      <w:r w:rsidRPr="005808ED">
        <w:rPr>
          <w:lang w:val="fr-FR"/>
        </w:rPr>
        <w:t>électromigration (propagation dans le fluide interstitiel d</w:t>
      </w:r>
      <w:r w:rsidR="00B3097B" w:rsidRPr="005808ED">
        <w:rPr>
          <w:lang w:val="fr-FR"/>
        </w:rPr>
        <w:t>’</w:t>
      </w:r>
      <w:r w:rsidRPr="005808ED">
        <w:rPr>
          <w:lang w:val="fr-FR"/>
        </w:rPr>
        <w:t>espèces chimiques chargées), l</w:t>
      </w:r>
      <w:r w:rsidR="00B3097B" w:rsidRPr="005808ED">
        <w:rPr>
          <w:lang w:val="fr-FR"/>
        </w:rPr>
        <w:t>’</w:t>
      </w:r>
      <w:r w:rsidRPr="005808ED">
        <w:rPr>
          <w:lang w:val="fr-FR"/>
        </w:rPr>
        <w:t xml:space="preserve">électro-osmose (propagation du fluide </w:t>
      </w:r>
      <w:r w:rsidR="005D4020" w:rsidRPr="005808ED">
        <w:rPr>
          <w:lang w:val="fr-FR"/>
        </w:rPr>
        <w:t>interstitiel</w:t>
      </w:r>
      <w:r w:rsidRPr="005808ED">
        <w:rPr>
          <w:lang w:val="fr-FR"/>
        </w:rPr>
        <w:t>), l</w:t>
      </w:r>
      <w:r w:rsidR="00B3097B" w:rsidRPr="005808ED">
        <w:rPr>
          <w:lang w:val="fr-FR"/>
        </w:rPr>
        <w:t>’</w:t>
      </w:r>
      <w:r w:rsidRPr="005808ED">
        <w:rPr>
          <w:lang w:val="fr-FR"/>
        </w:rPr>
        <w:t>électrophorèse (migration de particules chargées) et l</w:t>
      </w:r>
      <w:r w:rsidR="00B3097B" w:rsidRPr="005808ED">
        <w:rPr>
          <w:lang w:val="fr-FR"/>
        </w:rPr>
        <w:t>’</w:t>
      </w:r>
      <w:r w:rsidRPr="005808ED">
        <w:rPr>
          <w:lang w:val="fr-FR"/>
        </w:rPr>
        <w:t>électrolyse (réaction chimique causée par le passage d</w:t>
      </w:r>
      <w:r w:rsidR="00B3097B" w:rsidRPr="005808ED">
        <w:rPr>
          <w:lang w:val="fr-FR"/>
        </w:rPr>
        <w:t>’</w:t>
      </w:r>
      <w:r w:rsidRPr="005808ED">
        <w:rPr>
          <w:lang w:val="fr-FR"/>
        </w:rPr>
        <w:t>un courant électrique). Bien que ces procédés puissent extraire des métaux de sols contaminés, leur efficacité dépend de nombreux facteurs. La décontamination électrocinétique peut s</w:t>
      </w:r>
      <w:r w:rsidR="00B3097B" w:rsidRPr="005808ED">
        <w:rPr>
          <w:lang w:val="fr-FR"/>
        </w:rPr>
        <w:t>’</w:t>
      </w:r>
      <w:r w:rsidRPr="005808ED">
        <w:rPr>
          <w:lang w:val="fr-FR"/>
        </w:rPr>
        <w:t xml:space="preserve">avérer difficile en raison de la faible solubilité du mercure dans la </w:t>
      </w:r>
      <w:r w:rsidR="005D4020" w:rsidRPr="005808ED">
        <w:rPr>
          <w:lang w:val="fr-FR"/>
        </w:rPr>
        <w:t>plupart</w:t>
      </w:r>
      <w:r w:rsidRPr="005808ED">
        <w:rPr>
          <w:lang w:val="fr-FR"/>
        </w:rPr>
        <w:t xml:space="preserve"> des sols naturels et </w:t>
      </w:r>
      <w:r w:rsidR="00645857" w:rsidRPr="005808ED">
        <w:rPr>
          <w:lang w:val="fr-FR"/>
        </w:rPr>
        <w:t xml:space="preserve">du fait que </w:t>
      </w:r>
      <w:r w:rsidRPr="005808ED">
        <w:rPr>
          <w:lang w:val="fr-FR"/>
        </w:rPr>
        <w:t>la présence de mercure élémentaire peut freiner le procédé (Feng et al., 2015).</w:t>
      </w:r>
    </w:p>
    <w:p w14:paraId="0ABC8B14" w14:textId="5095C7AC" w:rsidR="00F252EE" w:rsidRPr="005808ED" w:rsidRDefault="00FA6C22" w:rsidP="00FA6C22">
      <w:pPr>
        <w:pStyle w:val="CH2"/>
        <w:ind w:hanging="1"/>
        <w:rPr>
          <w:lang w:val="fr-FR"/>
        </w:rPr>
      </w:pPr>
      <w:bookmarkStart w:id="38" w:name="_Toc527017909"/>
      <w:r w:rsidRPr="005808ED">
        <w:rPr>
          <w:lang w:val="fr-FR"/>
        </w:rPr>
        <w:tab/>
      </w:r>
      <w:r w:rsidR="00520198" w:rsidRPr="005808ED">
        <w:rPr>
          <w:bCs/>
          <w:lang w:val="fr-FR"/>
        </w:rPr>
        <w:t>Techniques de traitement de l</w:t>
      </w:r>
      <w:r w:rsidR="00B3097B" w:rsidRPr="005808ED">
        <w:rPr>
          <w:bCs/>
          <w:lang w:val="fr-FR"/>
        </w:rPr>
        <w:t>’</w:t>
      </w:r>
      <w:r w:rsidR="00520198" w:rsidRPr="005808ED">
        <w:rPr>
          <w:bCs/>
          <w:lang w:val="fr-FR"/>
        </w:rPr>
        <w:t>eau</w:t>
      </w:r>
      <w:bookmarkEnd w:id="38"/>
    </w:p>
    <w:p w14:paraId="7E302EAA" w14:textId="222904B9" w:rsidR="00F252EE" w:rsidRPr="005808ED" w:rsidRDefault="00C3505F" w:rsidP="00F51980">
      <w:pPr>
        <w:pStyle w:val="Normalnumber"/>
        <w:numPr>
          <w:ilvl w:val="0"/>
          <w:numId w:val="12"/>
        </w:numPr>
        <w:ind w:left="1247" w:firstLine="0"/>
        <w:rPr>
          <w:lang w:val="fr-FR"/>
        </w:rPr>
      </w:pPr>
      <w:r w:rsidRPr="005808ED">
        <w:rPr>
          <w:lang w:val="fr-FR"/>
        </w:rPr>
        <w:t>Les sites contaminés devraient être évalués afin de déterminer la probabilité d</w:t>
      </w:r>
      <w:r w:rsidR="00B3097B" w:rsidRPr="005808ED">
        <w:rPr>
          <w:lang w:val="fr-FR"/>
        </w:rPr>
        <w:t>’</w:t>
      </w:r>
      <w:r w:rsidRPr="005808ED">
        <w:rPr>
          <w:lang w:val="fr-FR"/>
        </w:rPr>
        <w:t>une contamination des eaux souterraines ou de surface. L</w:t>
      </w:r>
      <w:r w:rsidR="00B3097B" w:rsidRPr="005808ED">
        <w:rPr>
          <w:lang w:val="fr-FR"/>
        </w:rPr>
        <w:t>’</w:t>
      </w:r>
      <w:r w:rsidRPr="005808ED">
        <w:rPr>
          <w:lang w:val="fr-FR"/>
        </w:rPr>
        <w:t xml:space="preserve">évaluation des conditions hydrogéologiques peut contribuer à cette détermination. Si les eaux </w:t>
      </w:r>
      <w:r w:rsidR="00994578" w:rsidRPr="005808ED">
        <w:rPr>
          <w:lang w:val="fr-FR"/>
        </w:rPr>
        <w:t>ayant un rapport avec</w:t>
      </w:r>
      <w:r w:rsidRPr="005808ED">
        <w:rPr>
          <w:lang w:val="fr-FR"/>
        </w:rPr>
        <w:t xml:space="preserve"> un site contaminé se sont révélées contenir du mercure, plusieurs techniques de traitement sont possibles. Parmi celles-ci, on compte la précipitation/coprécipitation, l</w:t>
      </w:r>
      <w:r w:rsidR="00B3097B" w:rsidRPr="005808ED">
        <w:rPr>
          <w:lang w:val="fr-FR"/>
        </w:rPr>
        <w:t>’</w:t>
      </w:r>
      <w:r w:rsidRPr="005808ED">
        <w:rPr>
          <w:lang w:val="fr-FR"/>
        </w:rPr>
        <w:t>adsorption et la filtration membranaire (US EPA, 2007). Si les sédiments de fond sont contaminés par du mercure, l</w:t>
      </w:r>
      <w:r w:rsidR="00B3097B" w:rsidRPr="005808ED">
        <w:rPr>
          <w:lang w:val="fr-FR"/>
        </w:rPr>
        <w:t>’</w:t>
      </w:r>
      <w:r w:rsidRPr="005808ED">
        <w:rPr>
          <w:lang w:val="fr-FR"/>
        </w:rPr>
        <w:t>excavation, l</w:t>
      </w:r>
      <w:r w:rsidR="00B3097B" w:rsidRPr="005808ED">
        <w:rPr>
          <w:lang w:val="fr-FR"/>
        </w:rPr>
        <w:t>’</w:t>
      </w:r>
      <w:r w:rsidRPr="005808ED">
        <w:rPr>
          <w:lang w:val="fr-FR"/>
        </w:rPr>
        <w:t>extraction et le recouvrement peuvent constituer des traitements adaptés.</w:t>
      </w:r>
    </w:p>
    <w:p w14:paraId="197B3D00" w14:textId="7E1EC575" w:rsidR="00A70FCB" w:rsidRPr="005808ED" w:rsidRDefault="00F252EE" w:rsidP="00F51980">
      <w:pPr>
        <w:pStyle w:val="Normalnumber"/>
        <w:numPr>
          <w:ilvl w:val="0"/>
          <w:numId w:val="12"/>
        </w:numPr>
        <w:ind w:left="1247" w:firstLine="0"/>
        <w:rPr>
          <w:lang w:val="fr-FR"/>
        </w:rPr>
      </w:pPr>
      <w:r w:rsidRPr="005808ED">
        <w:rPr>
          <w:lang w:val="fr-FR"/>
        </w:rPr>
        <w:t>La précipitation/coprécipitation est un traitement répandu mais pour lequel une installation de traitement des eaux usées et des opérateurs qualifiés sont indispensables. Son efficacité dépend du pH et de la présence d</w:t>
      </w:r>
      <w:r w:rsidR="00B3097B" w:rsidRPr="005808ED">
        <w:rPr>
          <w:lang w:val="fr-FR"/>
        </w:rPr>
        <w:t>’</w:t>
      </w:r>
      <w:r w:rsidRPr="005808ED">
        <w:rPr>
          <w:lang w:val="fr-FR"/>
        </w:rPr>
        <w:t xml:space="preserve">autres contaminants. Le procédé consiste à utiliser des additifs chimiques qui </w:t>
      </w:r>
      <w:r w:rsidR="004E7613" w:rsidRPr="005808ED">
        <w:rPr>
          <w:lang w:val="fr-FR"/>
        </w:rPr>
        <w:t>transform</w:t>
      </w:r>
      <w:r w:rsidRPr="005808ED">
        <w:rPr>
          <w:lang w:val="fr-FR"/>
        </w:rPr>
        <w:t xml:space="preserve">ent les contaminants </w:t>
      </w:r>
      <w:r w:rsidR="004E7613" w:rsidRPr="005808ED">
        <w:rPr>
          <w:lang w:val="fr-FR"/>
        </w:rPr>
        <w:t xml:space="preserve">dissous </w:t>
      </w:r>
      <w:r w:rsidRPr="005808ED">
        <w:rPr>
          <w:lang w:val="fr-FR"/>
        </w:rPr>
        <w:t xml:space="preserve">en </w:t>
      </w:r>
      <w:r w:rsidR="004E7613" w:rsidRPr="005808ED">
        <w:rPr>
          <w:lang w:val="fr-FR"/>
        </w:rPr>
        <w:t xml:space="preserve">particules </w:t>
      </w:r>
      <w:r w:rsidRPr="005808ED">
        <w:rPr>
          <w:lang w:val="fr-FR"/>
        </w:rPr>
        <w:t>solide</w:t>
      </w:r>
      <w:r w:rsidR="004E7613" w:rsidRPr="005808ED">
        <w:rPr>
          <w:lang w:val="fr-FR"/>
        </w:rPr>
        <w:t>s</w:t>
      </w:r>
      <w:r w:rsidRPr="005808ED">
        <w:rPr>
          <w:lang w:val="fr-FR"/>
        </w:rPr>
        <w:t xml:space="preserve"> insoluble</w:t>
      </w:r>
      <w:r w:rsidR="004E7613" w:rsidRPr="005808ED">
        <w:rPr>
          <w:lang w:val="fr-FR"/>
        </w:rPr>
        <w:t>s</w:t>
      </w:r>
      <w:r w:rsidRPr="005808ED">
        <w:rPr>
          <w:lang w:val="fr-FR"/>
        </w:rPr>
        <w:t xml:space="preserve"> (qui précipite</w:t>
      </w:r>
      <w:r w:rsidR="004E7613" w:rsidRPr="005808ED">
        <w:rPr>
          <w:lang w:val="fr-FR"/>
        </w:rPr>
        <w:t>nt ensuite</w:t>
      </w:r>
      <w:r w:rsidRPr="005808ED">
        <w:rPr>
          <w:lang w:val="fr-FR"/>
        </w:rPr>
        <w:t>) ou qui forme</w:t>
      </w:r>
      <w:r w:rsidR="00994578" w:rsidRPr="005808ED">
        <w:rPr>
          <w:lang w:val="fr-FR"/>
        </w:rPr>
        <w:t>nt</w:t>
      </w:r>
      <w:r w:rsidRPr="005808ED">
        <w:rPr>
          <w:lang w:val="fr-FR"/>
        </w:rPr>
        <w:t xml:space="preserve"> des solides insolubles sur lesquels les contaminants dissous s</w:t>
      </w:r>
      <w:r w:rsidR="004E7613" w:rsidRPr="005808ED">
        <w:rPr>
          <w:lang w:val="fr-FR"/>
        </w:rPr>
        <w:t>’</w:t>
      </w:r>
      <w:r w:rsidRPr="005808ED">
        <w:rPr>
          <w:lang w:val="fr-FR"/>
        </w:rPr>
        <w:t>adsorb</w:t>
      </w:r>
      <w:r w:rsidR="004E7613" w:rsidRPr="005808ED">
        <w:rPr>
          <w:lang w:val="fr-FR"/>
        </w:rPr>
        <w:t>ent</w:t>
      </w:r>
      <w:r w:rsidRPr="005808ED">
        <w:rPr>
          <w:lang w:val="fr-FR"/>
        </w:rPr>
        <w:t>. Le liquide est ensuite filtré ou clarifié afin d</w:t>
      </w:r>
      <w:r w:rsidR="00B3097B" w:rsidRPr="005808ED">
        <w:rPr>
          <w:lang w:val="fr-FR"/>
        </w:rPr>
        <w:t>’</w:t>
      </w:r>
      <w:r w:rsidRPr="005808ED">
        <w:rPr>
          <w:lang w:val="fr-FR"/>
        </w:rPr>
        <w:t>en retirer les solides.</w:t>
      </w:r>
    </w:p>
    <w:p w14:paraId="27DFEB9D" w14:textId="1B629260" w:rsidR="00F252EE" w:rsidRPr="005808ED" w:rsidRDefault="00F252EE" w:rsidP="00F51980">
      <w:pPr>
        <w:pStyle w:val="Normalnumber"/>
        <w:numPr>
          <w:ilvl w:val="0"/>
          <w:numId w:val="12"/>
        </w:numPr>
        <w:ind w:left="1247" w:firstLine="0"/>
        <w:rPr>
          <w:lang w:val="fr-FR"/>
        </w:rPr>
      </w:pPr>
      <w:r w:rsidRPr="005808ED">
        <w:rPr>
          <w:lang w:val="fr-FR"/>
        </w:rPr>
        <w:t>La plupart du temps, l</w:t>
      </w:r>
      <w:r w:rsidR="00B3097B" w:rsidRPr="005808ED">
        <w:rPr>
          <w:lang w:val="fr-FR"/>
        </w:rPr>
        <w:t>’</w:t>
      </w:r>
      <w:r w:rsidRPr="005808ED">
        <w:rPr>
          <w:lang w:val="fr-FR"/>
        </w:rPr>
        <w:t>adsorption (souvent au charbon actif) est utilisée pour des petits systèmes où le mercure est le seul contaminant. Ce procédé concentre le mercure à la surface d</w:t>
      </w:r>
      <w:r w:rsidR="00B3097B" w:rsidRPr="005808ED">
        <w:rPr>
          <w:lang w:val="fr-FR"/>
        </w:rPr>
        <w:t>’</w:t>
      </w:r>
      <w:r w:rsidRPr="005808ED">
        <w:rPr>
          <w:lang w:val="fr-FR"/>
        </w:rPr>
        <w:t>un sorbant, ce qui réduit la concentration du contaminant dans le reste de la phase liquide. Généralement, le sorbant est placé dans une colonne à travers laquelle l</w:t>
      </w:r>
      <w:r w:rsidR="00B3097B" w:rsidRPr="005808ED">
        <w:rPr>
          <w:lang w:val="fr-FR"/>
        </w:rPr>
        <w:t>’</w:t>
      </w:r>
      <w:r w:rsidRPr="005808ED">
        <w:rPr>
          <w:lang w:val="fr-FR"/>
        </w:rPr>
        <w:t>eau contaminée circule. Le sorbant usé devra ensuite être régénéré pour une utilisation ultérieure ou éliminé correctement. Ce procédé est le plus susceptible d</w:t>
      </w:r>
      <w:r w:rsidR="00B3097B" w:rsidRPr="005808ED">
        <w:rPr>
          <w:lang w:val="fr-FR"/>
        </w:rPr>
        <w:t>’</w:t>
      </w:r>
      <w:r w:rsidRPr="005808ED">
        <w:rPr>
          <w:lang w:val="fr-FR"/>
        </w:rPr>
        <w:t>être perturbé par la présence d</w:t>
      </w:r>
      <w:r w:rsidR="00B3097B" w:rsidRPr="005808ED">
        <w:rPr>
          <w:lang w:val="fr-FR"/>
        </w:rPr>
        <w:t>’</w:t>
      </w:r>
      <w:r w:rsidRPr="005808ED">
        <w:rPr>
          <w:lang w:val="fr-FR"/>
        </w:rPr>
        <w:t xml:space="preserve">autres contaminants. </w:t>
      </w:r>
    </w:p>
    <w:p w14:paraId="545EABDE" w14:textId="378618AE" w:rsidR="00F252EE" w:rsidRPr="005808ED" w:rsidRDefault="00F252EE" w:rsidP="00F51980">
      <w:pPr>
        <w:pStyle w:val="Normalnumber"/>
        <w:numPr>
          <w:ilvl w:val="0"/>
          <w:numId w:val="12"/>
        </w:numPr>
        <w:ind w:left="1247" w:firstLine="0"/>
        <w:rPr>
          <w:lang w:val="fr-FR"/>
        </w:rPr>
      </w:pPr>
      <w:r w:rsidRPr="005808ED">
        <w:rPr>
          <w:lang w:val="fr-FR"/>
        </w:rPr>
        <w:t>La filtration membranaire est un procédé très efficace par lequel l</w:t>
      </w:r>
      <w:r w:rsidR="00B3097B" w:rsidRPr="005808ED">
        <w:rPr>
          <w:lang w:val="fr-FR"/>
        </w:rPr>
        <w:t>’</w:t>
      </w:r>
      <w:r w:rsidRPr="005808ED">
        <w:rPr>
          <w:lang w:val="fr-FR"/>
        </w:rPr>
        <w:t>eau est débarrassée des contaminants en la faisant passer à travers une membrane semi-perméable. Cependant, la présence d</w:t>
      </w:r>
      <w:r w:rsidR="00B3097B" w:rsidRPr="005808ED">
        <w:rPr>
          <w:lang w:val="fr-FR"/>
        </w:rPr>
        <w:t>’</w:t>
      </w:r>
      <w:r w:rsidRPr="005808ED">
        <w:rPr>
          <w:lang w:val="fr-FR"/>
        </w:rPr>
        <w:t xml:space="preserve">autres contaminants </w:t>
      </w:r>
      <w:r w:rsidR="00131FCE" w:rsidRPr="005808ED">
        <w:rPr>
          <w:lang w:val="fr-FR"/>
        </w:rPr>
        <w:t>tels que</w:t>
      </w:r>
      <w:r w:rsidRPr="005808ED">
        <w:rPr>
          <w:lang w:val="fr-FR"/>
        </w:rPr>
        <w:t xml:space="preserve"> solides en suspension, composés organiques</w:t>
      </w:r>
      <w:r w:rsidR="00131FCE" w:rsidRPr="005808ED">
        <w:rPr>
          <w:lang w:val="fr-FR"/>
        </w:rPr>
        <w:t>, etc.</w:t>
      </w:r>
      <w:r w:rsidRPr="005808ED">
        <w:rPr>
          <w:lang w:val="fr-FR"/>
        </w:rPr>
        <w:t xml:space="preserve"> réduit l</w:t>
      </w:r>
      <w:r w:rsidR="00B3097B" w:rsidRPr="005808ED">
        <w:rPr>
          <w:lang w:val="fr-FR"/>
        </w:rPr>
        <w:t>’</w:t>
      </w:r>
      <w:r w:rsidRPr="005808ED">
        <w:rPr>
          <w:lang w:val="fr-FR"/>
        </w:rPr>
        <w:t xml:space="preserve">efficacité de la membrane </w:t>
      </w:r>
      <w:r w:rsidR="00131FCE" w:rsidRPr="005808ED">
        <w:rPr>
          <w:lang w:val="fr-FR"/>
        </w:rPr>
        <w:t>et peut même</w:t>
      </w:r>
      <w:r w:rsidRPr="005808ED">
        <w:rPr>
          <w:lang w:val="fr-FR"/>
        </w:rPr>
        <w:t xml:space="preserve"> l</w:t>
      </w:r>
      <w:r w:rsidR="00B3097B" w:rsidRPr="005808ED">
        <w:rPr>
          <w:lang w:val="fr-FR"/>
        </w:rPr>
        <w:t>’</w:t>
      </w:r>
      <w:r w:rsidRPr="005808ED">
        <w:rPr>
          <w:lang w:val="fr-FR"/>
        </w:rPr>
        <w:t>empêche</w:t>
      </w:r>
      <w:r w:rsidR="00131FCE" w:rsidRPr="005808ED">
        <w:rPr>
          <w:lang w:val="fr-FR"/>
        </w:rPr>
        <w:t>r</w:t>
      </w:r>
      <w:r w:rsidRPr="005808ED">
        <w:rPr>
          <w:lang w:val="fr-FR"/>
        </w:rPr>
        <w:t xml:space="preserve"> de fonctionner. </w:t>
      </w:r>
    </w:p>
    <w:p w14:paraId="4EF44894" w14:textId="1DA9DA70" w:rsidR="00F252EE" w:rsidRPr="005808ED" w:rsidRDefault="00CF5BF0" w:rsidP="00F51980">
      <w:pPr>
        <w:pStyle w:val="Normalnumber"/>
        <w:numPr>
          <w:ilvl w:val="0"/>
          <w:numId w:val="12"/>
        </w:numPr>
        <w:ind w:left="1247" w:firstLine="0"/>
        <w:rPr>
          <w:lang w:val="fr-FR"/>
        </w:rPr>
      </w:pPr>
      <w:r w:rsidRPr="005808ED">
        <w:rPr>
          <w:lang w:val="fr-FR"/>
        </w:rPr>
        <w:t xml:space="preserve">Décider de ne pas prendre de mesures immédiates de remise en état pourrait permettre le développement de nouvelles technologies qui faciliteraient les futures opérations de remise en état. </w:t>
      </w:r>
      <w:r w:rsidR="005D4020" w:rsidRPr="005808ED">
        <w:rPr>
          <w:lang w:val="fr-FR"/>
        </w:rPr>
        <w:t>Dans</w:t>
      </w:r>
      <w:r w:rsidRPr="005808ED">
        <w:rPr>
          <w:lang w:val="fr-FR"/>
        </w:rPr>
        <w:t xml:space="preserve"> ce cas, il faudrait peut-être mettre en place un programme de surveillance à long terme, ainsi qu</w:t>
      </w:r>
      <w:r w:rsidR="00B3097B" w:rsidRPr="005808ED">
        <w:rPr>
          <w:lang w:val="fr-FR"/>
        </w:rPr>
        <w:t>’</w:t>
      </w:r>
      <w:r w:rsidRPr="005808ED">
        <w:rPr>
          <w:lang w:val="fr-FR"/>
        </w:rPr>
        <w:t>une procédure d</w:t>
      </w:r>
      <w:r w:rsidR="00B3097B" w:rsidRPr="005808ED">
        <w:rPr>
          <w:lang w:val="fr-FR"/>
        </w:rPr>
        <w:t>’</w:t>
      </w:r>
      <w:r w:rsidRPr="005808ED">
        <w:rPr>
          <w:lang w:val="fr-FR"/>
        </w:rPr>
        <w:t>examen pour se pencher sur les éventuelles futures mesures de remise en état.</w:t>
      </w:r>
    </w:p>
    <w:p w14:paraId="0C9122F2" w14:textId="7DE8643C" w:rsidR="00F252EE" w:rsidRPr="005808ED" w:rsidRDefault="00F252EE" w:rsidP="00FA6C22">
      <w:pPr>
        <w:pStyle w:val="CH1"/>
        <w:ind w:hanging="680"/>
        <w:rPr>
          <w:lang w:val="fr-FR"/>
        </w:rPr>
      </w:pPr>
      <w:bookmarkStart w:id="39" w:name="_Toc527017910"/>
      <w:r w:rsidRPr="005808ED">
        <w:rPr>
          <w:lang w:val="fr-FR"/>
        </w:rPr>
        <w:t>F.</w:t>
      </w:r>
      <w:r w:rsidRPr="005808ED">
        <w:rPr>
          <w:lang w:val="fr-FR"/>
        </w:rPr>
        <w:tab/>
      </w:r>
      <w:r w:rsidR="00FA6C22" w:rsidRPr="005808ED">
        <w:rPr>
          <w:lang w:val="fr-FR"/>
        </w:rPr>
        <w:tab/>
      </w:r>
      <w:r w:rsidRPr="005808ED">
        <w:rPr>
          <w:bCs/>
          <w:lang w:val="fr-FR"/>
        </w:rPr>
        <w:t>Évaluation des avantages et des coûts</w:t>
      </w:r>
      <w:bookmarkEnd w:id="39"/>
    </w:p>
    <w:p w14:paraId="36F654D6" w14:textId="61130690" w:rsidR="00F252EE" w:rsidRPr="005808ED" w:rsidRDefault="00F252EE" w:rsidP="00F51980">
      <w:pPr>
        <w:pStyle w:val="Normalnumber"/>
        <w:numPr>
          <w:ilvl w:val="0"/>
          <w:numId w:val="12"/>
        </w:numPr>
        <w:ind w:left="1247" w:firstLine="0"/>
        <w:rPr>
          <w:lang w:val="fr-FR"/>
        </w:rPr>
      </w:pPr>
      <w:r w:rsidRPr="005808ED">
        <w:rPr>
          <w:lang w:val="fr-FR"/>
        </w:rPr>
        <w:t xml:space="preserve">Toutes les activités </w:t>
      </w:r>
      <w:r w:rsidR="00131FCE" w:rsidRPr="005808ED">
        <w:rPr>
          <w:lang w:val="fr-FR"/>
        </w:rPr>
        <w:t>en rapport avec</w:t>
      </w:r>
      <w:r w:rsidRPr="005808ED">
        <w:rPr>
          <w:lang w:val="fr-FR"/>
        </w:rPr>
        <w:t xml:space="preserve"> l</w:t>
      </w:r>
      <w:r w:rsidR="00B3097B" w:rsidRPr="005808ED">
        <w:rPr>
          <w:lang w:val="fr-FR"/>
        </w:rPr>
        <w:t>’</w:t>
      </w:r>
      <w:r w:rsidRPr="005808ED">
        <w:rPr>
          <w:lang w:val="fr-FR"/>
        </w:rPr>
        <w:t>identification et l</w:t>
      </w:r>
      <w:r w:rsidR="00B3097B" w:rsidRPr="005808ED">
        <w:rPr>
          <w:lang w:val="fr-FR"/>
        </w:rPr>
        <w:t>’</w:t>
      </w:r>
      <w:r w:rsidRPr="005808ED">
        <w:rPr>
          <w:lang w:val="fr-FR"/>
        </w:rPr>
        <w:t>évaluation d</w:t>
      </w:r>
      <w:r w:rsidR="00B3097B" w:rsidRPr="005808ED">
        <w:rPr>
          <w:lang w:val="fr-FR"/>
        </w:rPr>
        <w:t>’</w:t>
      </w:r>
      <w:r w:rsidRPr="005808ED">
        <w:rPr>
          <w:lang w:val="fr-FR"/>
        </w:rPr>
        <w:t>un site contaminé entraînent des coûts plus ou moins élevés. Ces coûts peuvent comprendre la rémunération du personnel chargé de l</w:t>
      </w:r>
      <w:r w:rsidR="00B3097B" w:rsidRPr="005808ED">
        <w:rPr>
          <w:lang w:val="fr-FR"/>
        </w:rPr>
        <w:t>’</w:t>
      </w:r>
      <w:r w:rsidRPr="005808ED">
        <w:rPr>
          <w:lang w:val="fr-FR"/>
        </w:rPr>
        <w:t>identification initiale des sites potentiellement contaminés, des visites d</w:t>
      </w:r>
      <w:r w:rsidR="00B3097B" w:rsidRPr="005808ED">
        <w:rPr>
          <w:lang w:val="fr-FR"/>
        </w:rPr>
        <w:t>’</w:t>
      </w:r>
      <w:r w:rsidRPr="005808ED">
        <w:rPr>
          <w:lang w:val="fr-FR"/>
        </w:rPr>
        <w:t>inspection des sites potentiels et du prélèvement des échantillons pour l</w:t>
      </w:r>
      <w:r w:rsidR="00B3097B" w:rsidRPr="005808ED">
        <w:rPr>
          <w:lang w:val="fr-FR"/>
        </w:rPr>
        <w:t>’</w:t>
      </w:r>
      <w:r w:rsidRPr="005808ED">
        <w:rPr>
          <w:lang w:val="fr-FR"/>
        </w:rPr>
        <w:t>évaluation du niveau de contamination. L</w:t>
      </w:r>
      <w:r w:rsidR="00B3097B" w:rsidRPr="005808ED">
        <w:rPr>
          <w:lang w:val="fr-FR"/>
        </w:rPr>
        <w:t>’</w:t>
      </w:r>
      <w:r w:rsidRPr="005808ED">
        <w:rPr>
          <w:lang w:val="fr-FR"/>
        </w:rPr>
        <w:t>analyse des échantillons, qu</w:t>
      </w:r>
      <w:r w:rsidR="00B3097B" w:rsidRPr="005808ED">
        <w:rPr>
          <w:lang w:val="fr-FR"/>
        </w:rPr>
        <w:t>’</w:t>
      </w:r>
      <w:r w:rsidRPr="005808ED">
        <w:rPr>
          <w:lang w:val="fr-FR"/>
        </w:rPr>
        <w:t xml:space="preserve">elle soit réalisée par des laboratoires gouvernementaux ou universitaires ou par </w:t>
      </w:r>
      <w:r w:rsidR="00131FCE" w:rsidRPr="005808ED">
        <w:rPr>
          <w:lang w:val="fr-FR"/>
        </w:rPr>
        <w:t xml:space="preserve">des </w:t>
      </w:r>
      <w:r w:rsidRPr="005808ED">
        <w:rPr>
          <w:lang w:val="fr-FR"/>
        </w:rPr>
        <w:t>entreprises privées, entraînera également des coûts. La baisse de la valeur foncière en raison de la contamination, d</w:t>
      </w:r>
      <w:r w:rsidR="00B3097B" w:rsidRPr="005808ED">
        <w:rPr>
          <w:lang w:val="fr-FR"/>
        </w:rPr>
        <w:t>’</w:t>
      </w:r>
      <w:r w:rsidRPr="005808ED">
        <w:rPr>
          <w:lang w:val="fr-FR"/>
        </w:rPr>
        <w:t>une poursuite en responsabilité ou d</w:t>
      </w:r>
      <w:r w:rsidR="00B3097B" w:rsidRPr="005808ED">
        <w:rPr>
          <w:lang w:val="fr-FR"/>
        </w:rPr>
        <w:t>’</w:t>
      </w:r>
      <w:r w:rsidRPr="005808ED">
        <w:rPr>
          <w:lang w:val="fr-FR"/>
        </w:rPr>
        <w:t xml:space="preserve">un fonctionnement réduit du site peut également engendrer des coûts privés. Le principe du pollueur-payeur est une pratique largement acceptée pour la prise en charge des coûts engendrés. Si le pollueur est absent ou inconnu, il peut être utile de créer une fondation. </w:t>
      </w:r>
    </w:p>
    <w:p w14:paraId="2321750E" w14:textId="3BC89835" w:rsidR="00A70FCB" w:rsidRPr="005808ED" w:rsidRDefault="00F252EE" w:rsidP="00F51980">
      <w:pPr>
        <w:pStyle w:val="Normalnumber"/>
        <w:numPr>
          <w:ilvl w:val="0"/>
          <w:numId w:val="12"/>
        </w:numPr>
        <w:ind w:left="1247" w:firstLine="0"/>
        <w:rPr>
          <w:lang w:val="fr-FR"/>
        </w:rPr>
      </w:pPr>
      <w:r w:rsidRPr="005808ED">
        <w:rPr>
          <w:lang w:val="fr-FR"/>
        </w:rPr>
        <w:t>Les consultations publiques peuvent également engendrer des coûts en raison du personnel dédié à ces tâches ou du recrutement d</w:t>
      </w:r>
      <w:r w:rsidR="00B3097B" w:rsidRPr="005808ED">
        <w:rPr>
          <w:lang w:val="fr-FR"/>
        </w:rPr>
        <w:t>’</w:t>
      </w:r>
      <w:r w:rsidRPr="005808ED">
        <w:rPr>
          <w:lang w:val="fr-FR"/>
        </w:rPr>
        <w:t>un consultant ou d</w:t>
      </w:r>
      <w:r w:rsidR="00B3097B" w:rsidRPr="005808ED">
        <w:rPr>
          <w:lang w:val="fr-FR"/>
        </w:rPr>
        <w:t>’</w:t>
      </w:r>
      <w:r w:rsidRPr="005808ED">
        <w:rPr>
          <w:lang w:val="fr-FR"/>
        </w:rPr>
        <w:t>entreprises spécialisées.</w:t>
      </w:r>
    </w:p>
    <w:p w14:paraId="55944F5C" w14:textId="02C361E3" w:rsidR="00F252EE" w:rsidRPr="005808ED" w:rsidRDefault="00F252EE" w:rsidP="00F51980">
      <w:pPr>
        <w:pStyle w:val="Normalnumber"/>
        <w:numPr>
          <w:ilvl w:val="0"/>
          <w:numId w:val="12"/>
        </w:numPr>
        <w:ind w:left="1247" w:firstLine="0"/>
        <w:rPr>
          <w:lang w:val="fr-FR"/>
        </w:rPr>
      </w:pPr>
      <w:r w:rsidRPr="005808ED">
        <w:rPr>
          <w:lang w:val="fr-FR"/>
        </w:rPr>
        <w:t>La gestion ou la remise en état des sites contaminés entraîne des coûts, dont certains sont ponctuels (dépenses d</w:t>
      </w:r>
      <w:r w:rsidR="00B3097B" w:rsidRPr="005808ED">
        <w:rPr>
          <w:lang w:val="fr-FR"/>
        </w:rPr>
        <w:t>’</w:t>
      </w:r>
      <w:r w:rsidRPr="005808ED">
        <w:rPr>
          <w:lang w:val="fr-FR"/>
        </w:rPr>
        <w:t>investissement) et d</w:t>
      </w:r>
      <w:r w:rsidR="00B3097B" w:rsidRPr="005808ED">
        <w:rPr>
          <w:lang w:val="fr-FR"/>
        </w:rPr>
        <w:t>’</w:t>
      </w:r>
      <w:r w:rsidRPr="005808ED">
        <w:rPr>
          <w:lang w:val="fr-FR"/>
        </w:rPr>
        <w:t>autres récurrents</w:t>
      </w:r>
      <w:r w:rsidR="00131FCE" w:rsidRPr="005808ED">
        <w:rPr>
          <w:lang w:val="fr-FR"/>
        </w:rPr>
        <w:t xml:space="preserve"> (</w:t>
      </w:r>
      <w:r w:rsidRPr="005808ED">
        <w:rPr>
          <w:lang w:val="fr-FR"/>
        </w:rPr>
        <w:t>coûts de fonctionnement, de maintenance et de surveillance</w:t>
      </w:r>
      <w:r w:rsidR="00131FCE" w:rsidRPr="005808ED">
        <w:rPr>
          <w:lang w:val="fr-FR"/>
        </w:rPr>
        <w:t>)</w:t>
      </w:r>
      <w:r w:rsidRPr="005808ED">
        <w:rPr>
          <w:lang w:val="fr-FR"/>
        </w:rPr>
        <w:t xml:space="preserve">. Les coûts réels varient </w:t>
      </w:r>
      <w:r w:rsidR="00131FCE" w:rsidRPr="005808ED">
        <w:rPr>
          <w:lang w:val="fr-FR"/>
        </w:rPr>
        <w:t>d’un</w:t>
      </w:r>
      <w:r w:rsidRPr="005808ED">
        <w:rPr>
          <w:lang w:val="fr-FR"/>
        </w:rPr>
        <w:t xml:space="preserve"> site </w:t>
      </w:r>
      <w:r w:rsidR="00131FCE" w:rsidRPr="005808ED">
        <w:rPr>
          <w:lang w:val="fr-FR"/>
        </w:rPr>
        <w:t xml:space="preserve">à l’autre </w:t>
      </w:r>
      <w:r w:rsidRPr="005808ED">
        <w:rPr>
          <w:lang w:val="fr-FR"/>
        </w:rPr>
        <w:t>et dépendent de la disponibilité de technologies adaptées au niveau national et des coûts locaux des consommables et de la main-d</w:t>
      </w:r>
      <w:r w:rsidR="00B3097B" w:rsidRPr="005808ED">
        <w:rPr>
          <w:lang w:val="fr-FR"/>
        </w:rPr>
        <w:t>’</w:t>
      </w:r>
      <w:r w:rsidRPr="005808ED">
        <w:rPr>
          <w:lang w:val="fr-FR"/>
        </w:rPr>
        <w:t xml:space="preserve">œuvre. </w:t>
      </w:r>
    </w:p>
    <w:p w14:paraId="35B55BE2" w14:textId="08CE2F57" w:rsidR="00F252EE" w:rsidRPr="005808ED" w:rsidRDefault="00F252EE" w:rsidP="00F51980">
      <w:pPr>
        <w:pStyle w:val="Normalnumber"/>
        <w:numPr>
          <w:ilvl w:val="0"/>
          <w:numId w:val="12"/>
        </w:numPr>
        <w:ind w:left="1247" w:firstLine="0"/>
        <w:rPr>
          <w:lang w:val="fr-FR"/>
        </w:rPr>
      </w:pPr>
      <w:r w:rsidRPr="005808ED">
        <w:rPr>
          <w:lang w:val="fr-FR"/>
        </w:rPr>
        <w:t xml:space="preserve">Les </w:t>
      </w:r>
      <w:r w:rsidR="00072CA3" w:rsidRPr="005808ED">
        <w:rPr>
          <w:lang w:val="fr-FR"/>
        </w:rPr>
        <w:t>effets</w:t>
      </w:r>
      <w:r w:rsidRPr="005808ED">
        <w:rPr>
          <w:lang w:val="fr-FR"/>
        </w:rPr>
        <w:t xml:space="preserve"> à l</w:t>
      </w:r>
      <w:r w:rsidR="00B3097B" w:rsidRPr="005808ED">
        <w:rPr>
          <w:lang w:val="fr-FR"/>
        </w:rPr>
        <w:t>’</w:t>
      </w:r>
      <w:r w:rsidRPr="005808ED">
        <w:rPr>
          <w:lang w:val="fr-FR"/>
        </w:rPr>
        <w:t xml:space="preserve">échelle locale </w:t>
      </w:r>
      <w:r w:rsidR="00072CA3" w:rsidRPr="005808ED">
        <w:rPr>
          <w:lang w:val="fr-FR"/>
        </w:rPr>
        <w:t xml:space="preserve">sur la population et sur l’environnement </w:t>
      </w:r>
      <w:r w:rsidRPr="005808ED">
        <w:rPr>
          <w:lang w:val="fr-FR"/>
        </w:rPr>
        <w:t xml:space="preserve">ont également </w:t>
      </w:r>
      <w:r w:rsidR="00072CA3" w:rsidRPr="005808ED">
        <w:rPr>
          <w:lang w:val="fr-FR"/>
        </w:rPr>
        <w:t>des</w:t>
      </w:r>
      <w:r w:rsidRPr="005808ED">
        <w:rPr>
          <w:lang w:val="fr-FR"/>
        </w:rPr>
        <w:t xml:space="preserve"> coût</w:t>
      </w:r>
      <w:r w:rsidR="00072CA3" w:rsidRPr="005808ED">
        <w:rPr>
          <w:lang w:val="fr-FR"/>
        </w:rPr>
        <w:t>s</w:t>
      </w:r>
      <w:r w:rsidRPr="005808ED">
        <w:rPr>
          <w:lang w:val="fr-FR"/>
        </w:rPr>
        <w:t xml:space="preserve">. </w:t>
      </w:r>
      <w:r w:rsidR="00072CA3" w:rsidRPr="005808ED">
        <w:rPr>
          <w:lang w:val="fr-FR"/>
        </w:rPr>
        <w:t>Certains de ces derniers sont</w:t>
      </w:r>
      <w:r w:rsidRPr="005808ED">
        <w:rPr>
          <w:lang w:val="fr-FR"/>
        </w:rPr>
        <w:t xml:space="preserve"> direct</w:t>
      </w:r>
      <w:r w:rsidR="00072CA3" w:rsidRPr="005808ED">
        <w:rPr>
          <w:lang w:val="fr-FR"/>
        </w:rPr>
        <w:t>s</w:t>
      </w:r>
      <w:r w:rsidRPr="005808ED">
        <w:rPr>
          <w:lang w:val="fr-FR"/>
        </w:rPr>
        <w:t xml:space="preserve"> (par exemple, </w:t>
      </w:r>
      <w:r w:rsidR="00072CA3" w:rsidRPr="005808ED">
        <w:rPr>
          <w:lang w:val="fr-FR"/>
        </w:rPr>
        <w:t>ceux de traitement</w:t>
      </w:r>
      <w:r w:rsidRPr="005808ED">
        <w:rPr>
          <w:lang w:val="fr-FR"/>
        </w:rPr>
        <w:t xml:space="preserve"> médica</w:t>
      </w:r>
      <w:r w:rsidR="00072CA3" w:rsidRPr="005808ED">
        <w:rPr>
          <w:lang w:val="fr-FR"/>
        </w:rPr>
        <w:t>l des</w:t>
      </w:r>
      <w:r w:rsidRPr="005808ED">
        <w:rPr>
          <w:lang w:val="fr-FR"/>
        </w:rPr>
        <w:t xml:space="preserve"> personnes </w:t>
      </w:r>
      <w:r w:rsidR="00072CA3" w:rsidRPr="005808ED">
        <w:rPr>
          <w:lang w:val="fr-FR"/>
        </w:rPr>
        <w:t>affectées</w:t>
      </w:r>
      <w:r w:rsidRPr="005808ED">
        <w:rPr>
          <w:lang w:val="fr-FR"/>
        </w:rPr>
        <w:t xml:space="preserve">) </w:t>
      </w:r>
      <w:r w:rsidR="00072CA3" w:rsidRPr="005808ED">
        <w:rPr>
          <w:lang w:val="fr-FR"/>
        </w:rPr>
        <w:t>et d’</w:t>
      </w:r>
      <w:r w:rsidRPr="005808ED">
        <w:rPr>
          <w:lang w:val="fr-FR"/>
        </w:rPr>
        <w:t>autre</w:t>
      </w:r>
      <w:r w:rsidR="00072CA3" w:rsidRPr="005808ED">
        <w:rPr>
          <w:lang w:val="fr-FR"/>
        </w:rPr>
        <w:t>s</w:t>
      </w:r>
      <w:r w:rsidRPr="005808ED">
        <w:rPr>
          <w:lang w:val="fr-FR"/>
        </w:rPr>
        <w:t xml:space="preserve"> plus indirect</w:t>
      </w:r>
      <w:r w:rsidR="00072CA3" w:rsidRPr="005808ED">
        <w:rPr>
          <w:lang w:val="fr-FR"/>
        </w:rPr>
        <w:t>s</w:t>
      </w:r>
      <w:r w:rsidRPr="005808ED">
        <w:rPr>
          <w:lang w:val="fr-FR"/>
        </w:rPr>
        <w:t xml:space="preserve"> (par exemple, </w:t>
      </w:r>
      <w:r w:rsidR="00072CA3" w:rsidRPr="005808ED">
        <w:rPr>
          <w:lang w:val="fr-FR"/>
        </w:rPr>
        <w:t>manque à gagner</w:t>
      </w:r>
      <w:r w:rsidRPr="005808ED">
        <w:rPr>
          <w:lang w:val="fr-FR"/>
        </w:rPr>
        <w:t xml:space="preserve"> </w:t>
      </w:r>
      <w:r w:rsidR="00072CA3" w:rsidRPr="005808ED">
        <w:rPr>
          <w:lang w:val="fr-FR"/>
        </w:rPr>
        <w:t>causé</w:t>
      </w:r>
      <w:r w:rsidR="00714036" w:rsidRPr="005808ED">
        <w:rPr>
          <w:lang w:val="fr-FR"/>
        </w:rPr>
        <w:t xml:space="preserve"> par le fait que le</w:t>
      </w:r>
      <w:r w:rsidR="00072CA3" w:rsidRPr="005808ED">
        <w:rPr>
          <w:lang w:val="fr-FR"/>
        </w:rPr>
        <w:t xml:space="preserve">s </w:t>
      </w:r>
      <w:r w:rsidRPr="005808ED">
        <w:rPr>
          <w:lang w:val="fr-FR"/>
        </w:rPr>
        <w:t xml:space="preserve">poissons contaminés ne peuvent être ni pêchés ni vendus ou </w:t>
      </w:r>
      <w:r w:rsidR="00714036" w:rsidRPr="005808ED">
        <w:rPr>
          <w:lang w:val="fr-FR"/>
        </w:rPr>
        <w:t>par</w:t>
      </w:r>
      <w:r w:rsidRPr="005808ED">
        <w:rPr>
          <w:lang w:val="fr-FR"/>
        </w:rPr>
        <w:t xml:space="preserve"> la perte de terres agricoles). Les coûts engendrés par les conséquences de la contamination d</w:t>
      </w:r>
      <w:r w:rsidR="00B3097B" w:rsidRPr="005808ED">
        <w:rPr>
          <w:lang w:val="fr-FR"/>
        </w:rPr>
        <w:t>’</w:t>
      </w:r>
      <w:r w:rsidRPr="005808ED">
        <w:rPr>
          <w:lang w:val="fr-FR"/>
        </w:rPr>
        <w:t xml:space="preserve">un site </w:t>
      </w:r>
      <w:r w:rsidR="00714036" w:rsidRPr="005808ED">
        <w:rPr>
          <w:lang w:val="fr-FR"/>
        </w:rPr>
        <w:t>po</w:t>
      </w:r>
      <w:r w:rsidRPr="005808ED">
        <w:rPr>
          <w:lang w:val="fr-FR"/>
        </w:rPr>
        <w:t>ur l</w:t>
      </w:r>
      <w:r w:rsidR="00B3097B" w:rsidRPr="005808ED">
        <w:rPr>
          <w:lang w:val="fr-FR"/>
        </w:rPr>
        <w:t>’</w:t>
      </w:r>
      <w:r w:rsidRPr="005808ED">
        <w:rPr>
          <w:lang w:val="fr-FR"/>
        </w:rPr>
        <w:t>environnement local peuvent être ressentis à court ou long terme, mais les bénéfices tirés de la gestion réussie d</w:t>
      </w:r>
      <w:r w:rsidR="00B3097B" w:rsidRPr="005808ED">
        <w:rPr>
          <w:lang w:val="fr-FR"/>
        </w:rPr>
        <w:t>’</w:t>
      </w:r>
      <w:r w:rsidRPr="005808ED">
        <w:rPr>
          <w:lang w:val="fr-FR"/>
        </w:rPr>
        <w:t xml:space="preserve">un site contaminé sont visibles pendant très longtemps. Les coûts à court terme peuvent comprendre les nuisances </w:t>
      </w:r>
      <w:r w:rsidR="005D4020" w:rsidRPr="005808ED">
        <w:rPr>
          <w:lang w:val="fr-FR"/>
        </w:rPr>
        <w:t>engendrées</w:t>
      </w:r>
      <w:r w:rsidRPr="005808ED">
        <w:rPr>
          <w:lang w:val="fr-FR"/>
        </w:rPr>
        <w:t xml:space="preserve"> par les travaux de remise en état, tandis qu</w:t>
      </w:r>
      <w:r w:rsidR="00B3097B" w:rsidRPr="005808ED">
        <w:rPr>
          <w:lang w:val="fr-FR"/>
        </w:rPr>
        <w:t>’</w:t>
      </w:r>
      <w:r w:rsidRPr="005808ED">
        <w:rPr>
          <w:lang w:val="fr-FR"/>
        </w:rPr>
        <w:t xml:space="preserve">à plus long terme on </w:t>
      </w:r>
      <w:r w:rsidR="005D4020" w:rsidRPr="005808ED">
        <w:rPr>
          <w:lang w:val="fr-FR"/>
        </w:rPr>
        <w:t>peut</w:t>
      </w:r>
      <w:r w:rsidRPr="005808ED">
        <w:rPr>
          <w:lang w:val="fr-FR"/>
        </w:rPr>
        <w:t xml:space="preserve"> observer une baisse de la valeur foncière aux alentours du site et une réduction de la production agricole ou d</w:t>
      </w:r>
      <w:r w:rsidR="00B3097B" w:rsidRPr="005808ED">
        <w:rPr>
          <w:lang w:val="fr-FR"/>
        </w:rPr>
        <w:t>’</w:t>
      </w:r>
      <w:r w:rsidRPr="005808ED">
        <w:rPr>
          <w:lang w:val="fr-FR"/>
        </w:rPr>
        <w:t>autres utilisations des terres. Par contraste, les coûts non commerciaux supportés par les communautés locales, tels que la mortalité, les lésions cérébrales et la perte des ressources naturelles ou d</w:t>
      </w:r>
      <w:r w:rsidR="00B3097B" w:rsidRPr="005808ED">
        <w:rPr>
          <w:lang w:val="fr-FR"/>
        </w:rPr>
        <w:t>’</w:t>
      </w:r>
      <w:r w:rsidRPr="005808ED">
        <w:rPr>
          <w:lang w:val="fr-FR"/>
        </w:rPr>
        <w:t>une eau salubre, peuvent être considérablement plus élevés. Toute évaluation économique devrait tenir compte de ces coûts.</w:t>
      </w:r>
    </w:p>
    <w:p w14:paraId="0992B051" w14:textId="425729FF" w:rsidR="00F252EE" w:rsidRPr="005808ED" w:rsidRDefault="003E7095" w:rsidP="00F51980">
      <w:pPr>
        <w:pStyle w:val="Normalnumber"/>
        <w:numPr>
          <w:ilvl w:val="0"/>
          <w:numId w:val="12"/>
        </w:numPr>
        <w:ind w:left="1247" w:firstLine="0"/>
        <w:rPr>
          <w:lang w:val="fr-FR"/>
        </w:rPr>
      </w:pPr>
      <w:r w:rsidRPr="005808ED">
        <w:rPr>
          <w:lang w:val="fr-FR"/>
        </w:rPr>
        <w:t>Les coûts engendrés par un certain nombre de techniques possibles pour une remise en état ont été évalués. De nombreuses techniques parmi celles disponibles présentent à la fois des dépenses d</w:t>
      </w:r>
      <w:r w:rsidR="00B3097B" w:rsidRPr="005808ED">
        <w:rPr>
          <w:lang w:val="fr-FR"/>
        </w:rPr>
        <w:t>’</w:t>
      </w:r>
      <w:r w:rsidRPr="005808ED">
        <w:rPr>
          <w:lang w:val="fr-FR"/>
        </w:rPr>
        <w:t>investissement et des coûts récurrents de fonctionnement, de maintenance et de surveillance. Les Parties peuvent établir des priorités afin de veiller à l</w:t>
      </w:r>
      <w:r w:rsidR="00B3097B" w:rsidRPr="005808ED">
        <w:rPr>
          <w:lang w:val="fr-FR"/>
        </w:rPr>
        <w:t>’</w:t>
      </w:r>
      <w:r w:rsidRPr="005808ED">
        <w:rPr>
          <w:lang w:val="fr-FR"/>
        </w:rPr>
        <w:t>efficacité de l</w:t>
      </w:r>
      <w:r w:rsidR="00B3097B" w:rsidRPr="005808ED">
        <w:rPr>
          <w:lang w:val="fr-FR"/>
        </w:rPr>
        <w:t>’</w:t>
      </w:r>
      <w:r w:rsidRPr="005808ED">
        <w:rPr>
          <w:lang w:val="fr-FR"/>
        </w:rPr>
        <w:t>utilisation des ressources disponibles. La détermination des priorités pourrait découler d</w:t>
      </w:r>
      <w:r w:rsidR="00B3097B" w:rsidRPr="005808ED">
        <w:rPr>
          <w:lang w:val="fr-FR"/>
        </w:rPr>
        <w:t>’</w:t>
      </w:r>
      <w:r w:rsidRPr="005808ED">
        <w:rPr>
          <w:lang w:val="fr-FR"/>
        </w:rPr>
        <w:t>un classement des sites sur la base d</w:t>
      </w:r>
      <w:r w:rsidR="00B3097B" w:rsidRPr="005808ED">
        <w:rPr>
          <w:lang w:val="fr-FR"/>
        </w:rPr>
        <w:t>’</w:t>
      </w:r>
      <w:r w:rsidRPr="005808ED">
        <w:rPr>
          <w:lang w:val="fr-FR"/>
        </w:rPr>
        <w:t xml:space="preserve">un système de notation élaboré au niveau national pour identifier </w:t>
      </w:r>
      <w:r w:rsidR="00714036" w:rsidRPr="005808ED">
        <w:rPr>
          <w:lang w:val="fr-FR"/>
        </w:rPr>
        <w:t>ceux</w:t>
      </w:r>
      <w:r w:rsidRPr="005808ED">
        <w:rPr>
          <w:lang w:val="fr-FR"/>
        </w:rPr>
        <w:t xml:space="preserve"> dont le traitement est le plus urgent. Il existe de nombreuses informations sur la viabilité et les risques inhérents à certaines technologies disponibles mais peu d</w:t>
      </w:r>
      <w:r w:rsidR="00B3097B" w:rsidRPr="005808ED">
        <w:rPr>
          <w:lang w:val="fr-FR"/>
        </w:rPr>
        <w:t>’</w:t>
      </w:r>
      <w:r w:rsidRPr="005808ED">
        <w:rPr>
          <w:lang w:val="fr-FR"/>
        </w:rPr>
        <w:t>informations sont disponibles concernant d</w:t>
      </w:r>
      <w:r w:rsidR="00B3097B" w:rsidRPr="005808ED">
        <w:rPr>
          <w:lang w:val="fr-FR"/>
        </w:rPr>
        <w:t>’</w:t>
      </w:r>
      <w:r w:rsidRPr="005808ED">
        <w:rPr>
          <w:lang w:val="fr-FR"/>
        </w:rPr>
        <w:t xml:space="preserve">autres technologies moins matures. </w:t>
      </w:r>
    </w:p>
    <w:p w14:paraId="5B82C447" w14:textId="4C01227B" w:rsidR="00F252EE" w:rsidRPr="005808ED" w:rsidRDefault="00F252EE" w:rsidP="00F51980">
      <w:pPr>
        <w:pStyle w:val="Normalnumber"/>
        <w:numPr>
          <w:ilvl w:val="0"/>
          <w:numId w:val="12"/>
        </w:numPr>
        <w:ind w:left="1247" w:firstLine="0"/>
        <w:rPr>
          <w:lang w:val="fr-FR"/>
        </w:rPr>
      </w:pPr>
      <w:r w:rsidRPr="005808ED">
        <w:rPr>
          <w:lang w:val="fr-FR"/>
        </w:rPr>
        <w:t>La mise sous gestion d</w:t>
      </w:r>
      <w:r w:rsidR="00B3097B" w:rsidRPr="005808ED">
        <w:rPr>
          <w:lang w:val="fr-FR"/>
        </w:rPr>
        <w:t>’</w:t>
      </w:r>
      <w:r w:rsidRPr="005808ED">
        <w:rPr>
          <w:lang w:val="fr-FR"/>
        </w:rPr>
        <w:t>un site ne signifie pas que ce dernier n</w:t>
      </w:r>
      <w:r w:rsidR="00B3097B" w:rsidRPr="005808ED">
        <w:rPr>
          <w:lang w:val="fr-FR"/>
        </w:rPr>
        <w:t>’</w:t>
      </w:r>
      <w:r w:rsidRPr="005808ED">
        <w:rPr>
          <w:lang w:val="fr-FR"/>
        </w:rPr>
        <w:t>a plus d</w:t>
      </w:r>
      <w:r w:rsidR="00B3097B" w:rsidRPr="005808ED">
        <w:rPr>
          <w:lang w:val="fr-FR"/>
        </w:rPr>
        <w:t>’</w:t>
      </w:r>
      <w:r w:rsidRPr="005808ED">
        <w:rPr>
          <w:lang w:val="fr-FR"/>
        </w:rPr>
        <w:t>incidence sur l</w:t>
      </w:r>
      <w:r w:rsidR="00B3097B" w:rsidRPr="005808ED">
        <w:rPr>
          <w:lang w:val="fr-FR"/>
        </w:rPr>
        <w:t>’</w:t>
      </w:r>
      <w:r w:rsidRPr="005808ED">
        <w:rPr>
          <w:lang w:val="fr-FR"/>
        </w:rPr>
        <w:t>environnement ou la santé humaine. La restriction de l</w:t>
      </w:r>
      <w:r w:rsidR="00B3097B" w:rsidRPr="005808ED">
        <w:rPr>
          <w:lang w:val="fr-FR"/>
        </w:rPr>
        <w:t>’</w:t>
      </w:r>
      <w:r w:rsidRPr="005808ED">
        <w:rPr>
          <w:lang w:val="fr-FR"/>
        </w:rPr>
        <w:t>accès à un site contaminé par du mercure peut limiter l</w:t>
      </w:r>
      <w:r w:rsidR="00B3097B" w:rsidRPr="005808ED">
        <w:rPr>
          <w:lang w:val="fr-FR"/>
        </w:rPr>
        <w:t>’</w:t>
      </w:r>
      <w:r w:rsidRPr="005808ED">
        <w:rPr>
          <w:lang w:val="fr-FR"/>
        </w:rPr>
        <w:t>exposition directe d</w:t>
      </w:r>
      <w:r w:rsidR="0021580E" w:rsidRPr="005808ED">
        <w:rPr>
          <w:lang w:val="fr-FR"/>
        </w:rPr>
        <w:t>e la population</w:t>
      </w:r>
      <w:r w:rsidRPr="005808ED">
        <w:rPr>
          <w:lang w:val="fr-FR"/>
        </w:rPr>
        <w:t xml:space="preserve"> humain</w:t>
      </w:r>
      <w:r w:rsidR="0021580E" w:rsidRPr="005808ED">
        <w:rPr>
          <w:lang w:val="fr-FR"/>
        </w:rPr>
        <w:t>e</w:t>
      </w:r>
      <w:r w:rsidRPr="005808ED">
        <w:rPr>
          <w:lang w:val="fr-FR"/>
        </w:rPr>
        <w:t xml:space="preserve"> et anima</w:t>
      </w:r>
      <w:r w:rsidR="0021580E" w:rsidRPr="005808ED">
        <w:rPr>
          <w:lang w:val="fr-FR"/>
        </w:rPr>
        <w:t>le</w:t>
      </w:r>
      <w:r w:rsidRPr="005808ED">
        <w:rPr>
          <w:lang w:val="fr-FR"/>
        </w:rPr>
        <w:t xml:space="preserve"> </w:t>
      </w:r>
      <w:r w:rsidR="0021580E" w:rsidRPr="005808ED">
        <w:rPr>
          <w:lang w:val="fr-FR"/>
        </w:rPr>
        <w:t xml:space="preserve">à cette substance </w:t>
      </w:r>
      <w:r w:rsidRPr="005808ED">
        <w:rPr>
          <w:lang w:val="fr-FR"/>
        </w:rPr>
        <w:t>mais elle n</w:t>
      </w:r>
      <w:r w:rsidR="00B3097B" w:rsidRPr="005808ED">
        <w:rPr>
          <w:lang w:val="fr-FR"/>
        </w:rPr>
        <w:t>’</w:t>
      </w:r>
      <w:r w:rsidRPr="005808ED">
        <w:rPr>
          <w:lang w:val="fr-FR"/>
        </w:rPr>
        <w:t xml:space="preserve">empêche pas forcément la contamination des eaux souterraines, la </w:t>
      </w:r>
      <w:r w:rsidR="0021580E" w:rsidRPr="005808ED">
        <w:rPr>
          <w:lang w:val="fr-FR"/>
        </w:rPr>
        <w:t>propag</w:t>
      </w:r>
      <w:r w:rsidRPr="005808ED">
        <w:rPr>
          <w:lang w:val="fr-FR"/>
        </w:rPr>
        <w:t xml:space="preserve">ation </w:t>
      </w:r>
      <w:r w:rsidR="0021580E" w:rsidRPr="005808ED">
        <w:rPr>
          <w:lang w:val="fr-FR"/>
        </w:rPr>
        <w:t xml:space="preserve">hors site </w:t>
      </w:r>
      <w:r w:rsidRPr="005808ED">
        <w:rPr>
          <w:lang w:val="fr-FR"/>
        </w:rPr>
        <w:t>de</w:t>
      </w:r>
      <w:r w:rsidR="0021580E" w:rsidRPr="005808ED">
        <w:rPr>
          <w:lang w:val="fr-FR"/>
        </w:rPr>
        <w:t>s</w:t>
      </w:r>
      <w:r w:rsidRPr="005808ED">
        <w:rPr>
          <w:lang w:val="fr-FR"/>
        </w:rPr>
        <w:t xml:space="preserve"> poussières </w:t>
      </w:r>
      <w:r w:rsidR="005D4020" w:rsidRPr="005808ED">
        <w:rPr>
          <w:lang w:val="fr-FR"/>
        </w:rPr>
        <w:t>contaminées</w:t>
      </w:r>
      <w:r w:rsidRPr="005808ED">
        <w:rPr>
          <w:lang w:val="fr-FR"/>
        </w:rPr>
        <w:t xml:space="preserve"> ou la contamination de l</w:t>
      </w:r>
      <w:r w:rsidR="00B3097B" w:rsidRPr="005808ED">
        <w:rPr>
          <w:lang w:val="fr-FR"/>
        </w:rPr>
        <w:t>’</w:t>
      </w:r>
      <w:r w:rsidRPr="005808ED">
        <w:rPr>
          <w:lang w:val="fr-FR"/>
        </w:rPr>
        <w:t>air par des vapeurs de mercure. Chacune de ces incidences porte un coût dont toute évaluation devrait tenir compte.</w:t>
      </w:r>
    </w:p>
    <w:p w14:paraId="543B1F0D" w14:textId="77777777" w:rsidR="00A309BF" w:rsidRPr="005808ED" w:rsidRDefault="00A309BF">
      <w:pPr>
        <w:tabs>
          <w:tab w:val="clear" w:pos="1247"/>
          <w:tab w:val="clear" w:pos="1814"/>
          <w:tab w:val="clear" w:pos="2381"/>
          <w:tab w:val="clear" w:pos="2948"/>
          <w:tab w:val="clear" w:pos="3515"/>
        </w:tabs>
        <w:rPr>
          <w:b/>
          <w:sz w:val="28"/>
          <w:szCs w:val="28"/>
          <w:lang w:val="fr-FR"/>
        </w:rPr>
      </w:pPr>
      <w:bookmarkStart w:id="40" w:name="_Toc527017911"/>
      <w:r w:rsidRPr="005808ED">
        <w:rPr>
          <w:lang w:val="fr-FR"/>
        </w:rPr>
        <w:br w:type="page"/>
      </w:r>
    </w:p>
    <w:p w14:paraId="42B0C21E" w14:textId="40674126" w:rsidR="00F252EE" w:rsidRPr="005808ED" w:rsidRDefault="00F252EE" w:rsidP="00FA6C22">
      <w:pPr>
        <w:pStyle w:val="CH1"/>
        <w:ind w:hanging="680"/>
        <w:rPr>
          <w:lang w:val="fr-FR"/>
        </w:rPr>
      </w:pPr>
      <w:r w:rsidRPr="005808ED">
        <w:rPr>
          <w:lang w:val="fr-FR"/>
        </w:rPr>
        <w:t>G.</w:t>
      </w:r>
      <w:r w:rsidRPr="005808ED">
        <w:rPr>
          <w:lang w:val="fr-FR"/>
        </w:rPr>
        <w:tab/>
      </w:r>
      <w:r w:rsidRPr="005808ED">
        <w:rPr>
          <w:bCs/>
          <w:lang w:val="fr-FR"/>
        </w:rPr>
        <w:t>Validation des résultats</w:t>
      </w:r>
      <w:bookmarkEnd w:id="40"/>
    </w:p>
    <w:p w14:paraId="1213C913" w14:textId="7D698A6C" w:rsidR="00A70FCB" w:rsidRPr="005808ED" w:rsidRDefault="00F252EE" w:rsidP="00F51980">
      <w:pPr>
        <w:pStyle w:val="Normalnumber"/>
        <w:numPr>
          <w:ilvl w:val="0"/>
          <w:numId w:val="12"/>
        </w:numPr>
        <w:ind w:left="1247" w:firstLine="0"/>
        <w:rPr>
          <w:lang w:val="fr-FR"/>
        </w:rPr>
      </w:pPr>
      <w:r w:rsidRPr="005808ED">
        <w:rPr>
          <w:lang w:val="fr-FR"/>
        </w:rPr>
        <w:t xml:space="preserve">Afin de sélectionner les solutions </w:t>
      </w:r>
      <w:r w:rsidR="0021580E" w:rsidRPr="005808ED">
        <w:rPr>
          <w:lang w:val="fr-FR"/>
        </w:rPr>
        <w:t>les plus appropriées de</w:t>
      </w:r>
      <w:r w:rsidRPr="005808ED">
        <w:rPr>
          <w:lang w:val="fr-FR"/>
        </w:rPr>
        <w:t xml:space="preserve"> gestion des risques afférents à un site contaminé, les objectifs de </w:t>
      </w:r>
      <w:r w:rsidR="0021580E" w:rsidRPr="005808ED">
        <w:rPr>
          <w:lang w:val="fr-FR"/>
        </w:rPr>
        <w:t xml:space="preserve">la </w:t>
      </w:r>
      <w:r w:rsidRPr="005808ED">
        <w:rPr>
          <w:lang w:val="fr-FR"/>
        </w:rPr>
        <w:t>gestion des sites contaminés doivent être clairement établis. Il importe de pouvoir vérifier que les mesures prises ont contribué à la réalisation de ces objectifs. Les moyens de cette vérification devraient être définis durant le processus initial de planification et les ressources indispensables à la réalisation des mesures qui s</w:t>
      </w:r>
      <w:r w:rsidR="00B3097B" w:rsidRPr="005808ED">
        <w:rPr>
          <w:lang w:val="fr-FR"/>
        </w:rPr>
        <w:t>’</w:t>
      </w:r>
      <w:r w:rsidRPr="005808ED">
        <w:rPr>
          <w:lang w:val="fr-FR"/>
        </w:rPr>
        <w:t>imposent, telles que la surveillance, devraient être intégrées au projet global.</w:t>
      </w:r>
    </w:p>
    <w:p w14:paraId="1C159F04" w14:textId="1C54D09B" w:rsidR="00760A95" w:rsidRPr="005808ED" w:rsidRDefault="00F252EE" w:rsidP="00F51980">
      <w:pPr>
        <w:pStyle w:val="Normalnumber"/>
        <w:numPr>
          <w:ilvl w:val="0"/>
          <w:numId w:val="12"/>
        </w:numPr>
        <w:ind w:left="1247" w:firstLine="0"/>
        <w:rPr>
          <w:lang w:val="fr-FR"/>
        </w:rPr>
      </w:pPr>
      <w:r w:rsidRPr="005808ED">
        <w:rPr>
          <w:lang w:val="fr-FR"/>
        </w:rPr>
        <w:t>Les objectifs d</w:t>
      </w:r>
      <w:r w:rsidR="00B3097B" w:rsidRPr="005808ED">
        <w:rPr>
          <w:lang w:val="fr-FR"/>
        </w:rPr>
        <w:t>’</w:t>
      </w:r>
      <w:r w:rsidRPr="005808ED">
        <w:rPr>
          <w:lang w:val="fr-FR"/>
        </w:rPr>
        <w:t>un programme de surveillance varient en fonction des mesures choisies pour la gestion du site. La réussite pourra s</w:t>
      </w:r>
      <w:r w:rsidR="00B3097B" w:rsidRPr="005808ED">
        <w:rPr>
          <w:lang w:val="fr-FR"/>
        </w:rPr>
        <w:t>’</w:t>
      </w:r>
      <w:r w:rsidRPr="005808ED">
        <w:rPr>
          <w:lang w:val="fr-FR"/>
        </w:rPr>
        <w:t>apprécier à l</w:t>
      </w:r>
      <w:r w:rsidR="00B3097B" w:rsidRPr="005808ED">
        <w:rPr>
          <w:lang w:val="fr-FR"/>
        </w:rPr>
        <w:t>’</w:t>
      </w:r>
      <w:r w:rsidRPr="005808ED">
        <w:rPr>
          <w:lang w:val="fr-FR"/>
        </w:rPr>
        <w:t xml:space="preserve">aune de la réduction des </w:t>
      </w:r>
      <w:r w:rsidR="0021580E" w:rsidRPr="005808ED">
        <w:rPr>
          <w:lang w:val="fr-FR"/>
        </w:rPr>
        <w:t>concentrations</w:t>
      </w:r>
      <w:r w:rsidRPr="005808ED">
        <w:rPr>
          <w:lang w:val="fr-FR"/>
        </w:rPr>
        <w:t xml:space="preserve"> de mercure sur le site, de la quantité de mercure pénétrant dans l</w:t>
      </w:r>
      <w:r w:rsidR="00B3097B" w:rsidRPr="005808ED">
        <w:rPr>
          <w:lang w:val="fr-FR"/>
        </w:rPr>
        <w:t>’</w:t>
      </w:r>
      <w:r w:rsidRPr="005808ED">
        <w:rPr>
          <w:lang w:val="fr-FR"/>
        </w:rPr>
        <w:t>environnement à partir du site ou de l</w:t>
      </w:r>
      <w:r w:rsidR="00B3097B" w:rsidRPr="005808ED">
        <w:rPr>
          <w:lang w:val="fr-FR"/>
        </w:rPr>
        <w:t>’</w:t>
      </w:r>
      <w:r w:rsidR="005D4020" w:rsidRPr="005808ED">
        <w:rPr>
          <w:lang w:val="fr-FR"/>
        </w:rPr>
        <w:t>exposition</w:t>
      </w:r>
      <w:r w:rsidRPr="005808ED">
        <w:rPr>
          <w:lang w:val="fr-FR"/>
        </w:rPr>
        <w:t xml:space="preserve"> des populations installées autour du site, ou bien du retour du site à une utilisation </w:t>
      </w:r>
      <w:r w:rsidR="00A05DD7" w:rsidRPr="005808ED">
        <w:rPr>
          <w:lang w:val="fr-FR"/>
        </w:rPr>
        <w:t xml:space="preserve">convenable </w:t>
      </w:r>
      <w:r w:rsidRPr="005808ED">
        <w:rPr>
          <w:lang w:val="fr-FR"/>
        </w:rPr>
        <w:t>quelconque. S</w:t>
      </w:r>
      <w:r w:rsidR="00B3097B" w:rsidRPr="005808ED">
        <w:rPr>
          <w:lang w:val="fr-FR"/>
        </w:rPr>
        <w:t>’</w:t>
      </w:r>
      <w:r w:rsidRPr="005808ED">
        <w:rPr>
          <w:lang w:val="fr-FR"/>
        </w:rPr>
        <w:t>il apparaît que les mesures de gestion ne contribuent pas à la réalisation des objectifs du projet global, des mesures supplémentaires seront peut-être nécessaires. Le cycle de gestion de la planification, de la mise en œuvre, de l</w:t>
      </w:r>
      <w:r w:rsidR="00B3097B" w:rsidRPr="005808ED">
        <w:rPr>
          <w:lang w:val="fr-FR"/>
        </w:rPr>
        <w:t>’</w:t>
      </w:r>
      <w:r w:rsidRPr="005808ED">
        <w:rPr>
          <w:lang w:val="fr-FR"/>
        </w:rPr>
        <w:t xml:space="preserve">évaluation, de la prise de décisions et de la réorganisation devra peut-être se répéter, en particulier si des mesures futures sont envisagées. </w:t>
      </w:r>
    </w:p>
    <w:p w14:paraId="04823060" w14:textId="6FE12315" w:rsidR="00F252EE" w:rsidRPr="005808ED" w:rsidRDefault="00F252EE" w:rsidP="00F51980">
      <w:pPr>
        <w:pStyle w:val="Normalnumber"/>
        <w:numPr>
          <w:ilvl w:val="0"/>
          <w:numId w:val="12"/>
        </w:numPr>
        <w:ind w:left="1247" w:firstLine="0"/>
        <w:rPr>
          <w:lang w:val="fr-FR"/>
        </w:rPr>
      </w:pPr>
      <w:r w:rsidRPr="005808ED">
        <w:rPr>
          <w:lang w:val="fr-FR"/>
        </w:rPr>
        <w:t>L</w:t>
      </w:r>
      <w:r w:rsidR="00B3097B" w:rsidRPr="005808ED">
        <w:rPr>
          <w:lang w:val="fr-FR"/>
        </w:rPr>
        <w:t>’</w:t>
      </w:r>
      <w:r w:rsidRPr="005808ED">
        <w:rPr>
          <w:lang w:val="fr-FR"/>
        </w:rPr>
        <w:t xml:space="preserve">échantillonnage est une forme répandue de validation. Par exemple dans le cas où un foyer de mercure a été excavé, </w:t>
      </w:r>
      <w:r w:rsidR="0021580E" w:rsidRPr="005808ED">
        <w:rPr>
          <w:lang w:val="fr-FR"/>
        </w:rPr>
        <w:t xml:space="preserve">les taux de mercure mesurés dans </w:t>
      </w:r>
      <w:r w:rsidRPr="005808ED">
        <w:rPr>
          <w:lang w:val="fr-FR"/>
        </w:rPr>
        <w:t xml:space="preserve">des échantillons </w:t>
      </w:r>
      <w:r w:rsidR="00361FAF" w:rsidRPr="005808ED">
        <w:rPr>
          <w:lang w:val="fr-FR"/>
        </w:rPr>
        <w:t xml:space="preserve">de sol </w:t>
      </w:r>
      <w:r w:rsidRPr="005808ED">
        <w:rPr>
          <w:lang w:val="fr-FR"/>
        </w:rPr>
        <w:t xml:space="preserve">prélevés sur les parois et à la base de la zone excavée devraient </w:t>
      </w:r>
      <w:r w:rsidR="00361FAF" w:rsidRPr="005808ED">
        <w:rPr>
          <w:lang w:val="fr-FR"/>
        </w:rPr>
        <w:t>être</w:t>
      </w:r>
      <w:r w:rsidRPr="005808ED">
        <w:rPr>
          <w:lang w:val="fr-FR"/>
        </w:rPr>
        <w:t xml:space="preserve"> inférieurs aux objectifs </w:t>
      </w:r>
      <w:r w:rsidR="008D0710" w:rsidRPr="005808ED">
        <w:rPr>
          <w:lang w:val="fr-FR"/>
        </w:rPr>
        <w:t>fixés</w:t>
      </w:r>
      <w:r w:rsidRPr="005808ED">
        <w:rPr>
          <w:lang w:val="fr-FR"/>
        </w:rPr>
        <w:t xml:space="preserve"> </w:t>
      </w:r>
      <w:r w:rsidR="00361FAF" w:rsidRPr="005808ED">
        <w:rPr>
          <w:lang w:val="fr-FR"/>
        </w:rPr>
        <w:t>pour</w:t>
      </w:r>
      <w:r w:rsidRPr="005808ED">
        <w:rPr>
          <w:lang w:val="fr-FR"/>
        </w:rPr>
        <w:t xml:space="preserve"> la remise en état. Les concentrations dans les eaux de surface, l</w:t>
      </w:r>
      <w:r w:rsidR="00B3097B" w:rsidRPr="005808ED">
        <w:rPr>
          <w:lang w:val="fr-FR"/>
        </w:rPr>
        <w:t>’</w:t>
      </w:r>
      <w:r w:rsidRPr="005808ED">
        <w:rPr>
          <w:lang w:val="fr-FR"/>
        </w:rPr>
        <w:t>air et le biote peuvent également être mesurées afin de déterminer si les objectifs de gestion ou de remise en état ont été atteints.</w:t>
      </w:r>
    </w:p>
    <w:p w14:paraId="11869723" w14:textId="3E060D18" w:rsidR="00F252EE" w:rsidRPr="005808ED" w:rsidRDefault="00F252EE" w:rsidP="00F51980">
      <w:pPr>
        <w:pStyle w:val="Normalnumber"/>
        <w:numPr>
          <w:ilvl w:val="0"/>
          <w:numId w:val="12"/>
        </w:numPr>
        <w:ind w:left="1247" w:firstLine="0"/>
        <w:rPr>
          <w:lang w:val="fr-FR"/>
        </w:rPr>
      </w:pPr>
      <w:r w:rsidRPr="005808ED">
        <w:rPr>
          <w:lang w:val="fr-FR"/>
        </w:rPr>
        <w:t>Dans le cadre de l</w:t>
      </w:r>
      <w:r w:rsidR="00B3097B" w:rsidRPr="005808ED">
        <w:rPr>
          <w:lang w:val="fr-FR"/>
        </w:rPr>
        <w:t>’</w:t>
      </w:r>
      <w:r w:rsidRPr="005808ED">
        <w:rPr>
          <w:lang w:val="fr-FR"/>
        </w:rPr>
        <w:t>évaluation globale des mesures prises pour la gestion d</w:t>
      </w:r>
      <w:r w:rsidR="00B3097B" w:rsidRPr="005808ED">
        <w:rPr>
          <w:lang w:val="fr-FR"/>
        </w:rPr>
        <w:t>’</w:t>
      </w:r>
      <w:r w:rsidRPr="005808ED">
        <w:rPr>
          <w:lang w:val="fr-FR"/>
        </w:rPr>
        <w:t>un site contaminé, il</w:t>
      </w:r>
      <w:r w:rsidR="00A309BF" w:rsidRPr="005808ED">
        <w:rPr>
          <w:lang w:val="fr-FR"/>
        </w:rPr>
        <w:t> </w:t>
      </w:r>
      <w:r w:rsidRPr="005808ED">
        <w:rPr>
          <w:lang w:val="fr-FR"/>
        </w:rPr>
        <w:t>n</w:t>
      </w:r>
      <w:r w:rsidR="00B3097B" w:rsidRPr="005808ED">
        <w:rPr>
          <w:lang w:val="fr-FR"/>
        </w:rPr>
        <w:t>’</w:t>
      </w:r>
      <w:r w:rsidRPr="005808ED">
        <w:rPr>
          <w:lang w:val="fr-FR"/>
        </w:rPr>
        <w:t>est pas exclu d</w:t>
      </w:r>
      <w:r w:rsidR="00B3097B" w:rsidRPr="005808ED">
        <w:rPr>
          <w:lang w:val="fr-FR"/>
        </w:rPr>
        <w:t>’</w:t>
      </w:r>
      <w:r w:rsidRPr="005808ED">
        <w:rPr>
          <w:lang w:val="fr-FR"/>
        </w:rPr>
        <w:t>envisager des mesures supplémentaires telles que la remise en état, notamment si des avancées technologiques survenues depuis l</w:t>
      </w:r>
      <w:r w:rsidR="00B3097B" w:rsidRPr="005808ED">
        <w:rPr>
          <w:lang w:val="fr-FR"/>
        </w:rPr>
        <w:t>’</w:t>
      </w:r>
      <w:r w:rsidRPr="005808ED">
        <w:rPr>
          <w:lang w:val="fr-FR"/>
        </w:rPr>
        <w:t>évaluation initiale du site ont amélioré la viabilité d</w:t>
      </w:r>
      <w:r w:rsidR="00B3097B" w:rsidRPr="005808ED">
        <w:rPr>
          <w:lang w:val="fr-FR"/>
        </w:rPr>
        <w:t>’</w:t>
      </w:r>
      <w:r w:rsidRPr="005808ED">
        <w:rPr>
          <w:lang w:val="fr-FR"/>
        </w:rPr>
        <w:t>une telle opération. Quoi qu</w:t>
      </w:r>
      <w:r w:rsidR="00B3097B" w:rsidRPr="005808ED">
        <w:rPr>
          <w:lang w:val="fr-FR"/>
        </w:rPr>
        <w:t>’</w:t>
      </w:r>
      <w:r w:rsidRPr="005808ED">
        <w:rPr>
          <w:lang w:val="fr-FR"/>
        </w:rPr>
        <w:t>il en soit, il faudra peut-être effectuer un suivi continu de la concentration de mercure dans le sol, même après la fin de l</w:t>
      </w:r>
      <w:r w:rsidR="00B3097B" w:rsidRPr="005808ED">
        <w:rPr>
          <w:lang w:val="fr-FR"/>
        </w:rPr>
        <w:t>’</w:t>
      </w:r>
      <w:r w:rsidRPr="005808ED">
        <w:rPr>
          <w:lang w:val="fr-FR"/>
        </w:rPr>
        <w:t xml:space="preserve">opération de remise en état. </w:t>
      </w:r>
    </w:p>
    <w:p w14:paraId="7360DF65" w14:textId="423A2CE6" w:rsidR="00F252EE" w:rsidRPr="005808ED" w:rsidRDefault="006E0E27" w:rsidP="00FA6C22">
      <w:pPr>
        <w:pStyle w:val="CH1"/>
        <w:spacing w:before="200"/>
        <w:ind w:hanging="680"/>
        <w:rPr>
          <w:lang w:val="fr-FR"/>
        </w:rPr>
      </w:pPr>
      <w:bookmarkStart w:id="41" w:name="_Toc527017912"/>
      <w:r w:rsidRPr="005808ED">
        <w:rPr>
          <w:lang w:val="fr-FR"/>
        </w:rPr>
        <w:t>H.</w:t>
      </w:r>
      <w:r w:rsidRPr="005808ED">
        <w:rPr>
          <w:lang w:val="fr-FR"/>
        </w:rPr>
        <w:tab/>
      </w:r>
      <w:r w:rsidRPr="005808ED">
        <w:rPr>
          <w:bCs/>
          <w:lang w:val="fr-FR"/>
        </w:rPr>
        <w:t>Coopération pour l</w:t>
      </w:r>
      <w:r w:rsidR="00B3097B" w:rsidRPr="005808ED">
        <w:rPr>
          <w:bCs/>
          <w:lang w:val="fr-FR"/>
        </w:rPr>
        <w:t>’</w:t>
      </w:r>
      <w:r w:rsidRPr="005808ED">
        <w:rPr>
          <w:bCs/>
          <w:lang w:val="fr-FR"/>
        </w:rPr>
        <w:t>élaboration de stratégies et l</w:t>
      </w:r>
      <w:r w:rsidR="00B3097B" w:rsidRPr="005808ED">
        <w:rPr>
          <w:bCs/>
          <w:lang w:val="fr-FR"/>
        </w:rPr>
        <w:t>’</w:t>
      </w:r>
      <w:r w:rsidRPr="005808ED">
        <w:rPr>
          <w:bCs/>
          <w:lang w:val="fr-FR"/>
        </w:rPr>
        <w:t>exécution d</w:t>
      </w:r>
      <w:r w:rsidR="00B3097B" w:rsidRPr="005808ED">
        <w:rPr>
          <w:bCs/>
          <w:lang w:val="fr-FR"/>
        </w:rPr>
        <w:t>’</w:t>
      </w:r>
      <w:r w:rsidRPr="005808ED">
        <w:rPr>
          <w:bCs/>
          <w:lang w:val="fr-FR"/>
        </w:rPr>
        <w:t>activités visant à identifier</w:t>
      </w:r>
      <w:r w:rsidR="00F17741" w:rsidRPr="005808ED">
        <w:rPr>
          <w:bCs/>
          <w:lang w:val="fr-FR"/>
        </w:rPr>
        <w:t>, évaluer, classer par ordre de </w:t>
      </w:r>
      <w:r w:rsidRPr="005808ED">
        <w:rPr>
          <w:bCs/>
          <w:lang w:val="fr-FR"/>
        </w:rPr>
        <w:t>priorité, gérer et, s</w:t>
      </w:r>
      <w:r w:rsidR="00B3097B" w:rsidRPr="005808ED">
        <w:rPr>
          <w:bCs/>
          <w:lang w:val="fr-FR"/>
        </w:rPr>
        <w:t>’</w:t>
      </w:r>
      <w:r w:rsidRPr="005808ED">
        <w:rPr>
          <w:bCs/>
          <w:lang w:val="fr-FR"/>
        </w:rPr>
        <w:t>il y a lieu, remettre en état les sites contaminés</w:t>
      </w:r>
      <w:bookmarkEnd w:id="41"/>
      <w:r w:rsidRPr="005808ED">
        <w:rPr>
          <w:lang w:val="fr-FR"/>
        </w:rPr>
        <w:t xml:space="preserve"> </w:t>
      </w:r>
    </w:p>
    <w:p w14:paraId="6667230B" w14:textId="39334FBD" w:rsidR="00A70FCB" w:rsidRPr="005808ED" w:rsidRDefault="00F252EE" w:rsidP="00F51980">
      <w:pPr>
        <w:pStyle w:val="Normalnumber"/>
        <w:numPr>
          <w:ilvl w:val="0"/>
          <w:numId w:val="12"/>
        </w:numPr>
        <w:ind w:left="1247" w:firstLine="0"/>
        <w:rPr>
          <w:lang w:val="fr-FR"/>
        </w:rPr>
      </w:pPr>
      <w:r w:rsidRPr="005808ED">
        <w:rPr>
          <w:lang w:val="fr-FR"/>
        </w:rPr>
        <w:t>Le texte de la Convention encourage la coopération entre les Parties, notamment dans l</w:t>
      </w:r>
      <w:r w:rsidR="00B3097B" w:rsidRPr="005808ED">
        <w:rPr>
          <w:lang w:val="fr-FR"/>
        </w:rPr>
        <w:t>’</w:t>
      </w:r>
      <w:r w:rsidRPr="005808ED">
        <w:rPr>
          <w:lang w:val="fr-FR"/>
        </w:rPr>
        <w:t>article sur les sites contaminés et dans les dispositions de l</w:t>
      </w:r>
      <w:r w:rsidR="00B3097B" w:rsidRPr="005808ED">
        <w:rPr>
          <w:lang w:val="fr-FR"/>
        </w:rPr>
        <w:t>’</w:t>
      </w:r>
      <w:r w:rsidR="00F17741" w:rsidRPr="005808ED">
        <w:rPr>
          <w:lang w:val="fr-FR"/>
        </w:rPr>
        <w:t>article </w:t>
      </w:r>
      <w:r w:rsidRPr="005808ED">
        <w:rPr>
          <w:lang w:val="fr-FR"/>
        </w:rPr>
        <w:t>14 sur le renforcement des capacités, l</w:t>
      </w:r>
      <w:r w:rsidR="00B3097B" w:rsidRPr="005808ED">
        <w:rPr>
          <w:lang w:val="fr-FR"/>
        </w:rPr>
        <w:t>’</w:t>
      </w:r>
      <w:r w:rsidRPr="005808ED">
        <w:rPr>
          <w:lang w:val="fr-FR"/>
        </w:rPr>
        <w:t>assistance technique et le transfert de technologies.</w:t>
      </w:r>
    </w:p>
    <w:p w14:paraId="1DB858DB" w14:textId="4502926C" w:rsidR="00F252EE" w:rsidRPr="005808ED" w:rsidRDefault="00F252EE" w:rsidP="00F51980">
      <w:pPr>
        <w:pStyle w:val="Normalnumber"/>
        <w:numPr>
          <w:ilvl w:val="0"/>
          <w:numId w:val="12"/>
        </w:numPr>
        <w:ind w:left="1247" w:firstLine="0"/>
        <w:rPr>
          <w:lang w:val="fr-FR"/>
        </w:rPr>
      </w:pPr>
      <w:r w:rsidRPr="005808ED">
        <w:rPr>
          <w:lang w:val="fr-FR"/>
        </w:rPr>
        <w:t>La coopération pourrait comprendre des activités d</w:t>
      </w:r>
      <w:r w:rsidR="00B3097B" w:rsidRPr="005808ED">
        <w:rPr>
          <w:lang w:val="fr-FR"/>
        </w:rPr>
        <w:t>’</w:t>
      </w:r>
      <w:r w:rsidRPr="005808ED">
        <w:rPr>
          <w:lang w:val="fr-FR"/>
        </w:rPr>
        <w:t>échange d</w:t>
      </w:r>
      <w:r w:rsidR="00B3097B" w:rsidRPr="005808ED">
        <w:rPr>
          <w:lang w:val="fr-FR"/>
        </w:rPr>
        <w:t>’</w:t>
      </w:r>
      <w:r w:rsidRPr="005808ED">
        <w:rPr>
          <w:lang w:val="fr-FR"/>
        </w:rPr>
        <w:t>informations, l</w:t>
      </w:r>
      <w:r w:rsidR="00B3097B" w:rsidRPr="005808ED">
        <w:rPr>
          <w:lang w:val="fr-FR"/>
        </w:rPr>
        <w:t>’</w:t>
      </w:r>
      <w:r w:rsidRPr="005808ED">
        <w:rPr>
          <w:lang w:val="fr-FR"/>
        </w:rPr>
        <w:t>examen des solutions possibles pour une évaluation conjointe des sites, la coordination des plans de communication ayant trait aux sites et d</w:t>
      </w:r>
      <w:r w:rsidR="00B3097B" w:rsidRPr="005808ED">
        <w:rPr>
          <w:lang w:val="fr-FR"/>
        </w:rPr>
        <w:t>’</w:t>
      </w:r>
      <w:r w:rsidRPr="005808ED">
        <w:rPr>
          <w:lang w:val="fr-FR"/>
        </w:rPr>
        <w:t>autres activités, s</w:t>
      </w:r>
      <w:r w:rsidR="00B3097B" w:rsidRPr="005808ED">
        <w:rPr>
          <w:lang w:val="fr-FR"/>
        </w:rPr>
        <w:t>’</w:t>
      </w:r>
      <w:r w:rsidRPr="005808ED">
        <w:rPr>
          <w:lang w:val="fr-FR"/>
        </w:rPr>
        <w:t>il y a lieu.</w:t>
      </w:r>
    </w:p>
    <w:p w14:paraId="443586B3" w14:textId="1070B1E9" w:rsidR="00A70FCB" w:rsidRPr="005808ED" w:rsidRDefault="00F252EE" w:rsidP="00F51980">
      <w:pPr>
        <w:pStyle w:val="Normalnumber"/>
        <w:numPr>
          <w:ilvl w:val="0"/>
          <w:numId w:val="12"/>
        </w:numPr>
        <w:ind w:left="1247" w:firstLine="0"/>
        <w:rPr>
          <w:lang w:val="fr-FR"/>
        </w:rPr>
      </w:pPr>
      <w:r w:rsidRPr="005808ED">
        <w:rPr>
          <w:lang w:val="fr-FR"/>
        </w:rPr>
        <w:t>Des créneaux pour l</w:t>
      </w:r>
      <w:r w:rsidR="00B3097B" w:rsidRPr="005808ED">
        <w:rPr>
          <w:lang w:val="fr-FR"/>
        </w:rPr>
        <w:t>’</w:t>
      </w:r>
      <w:r w:rsidRPr="005808ED">
        <w:rPr>
          <w:lang w:val="fr-FR"/>
        </w:rPr>
        <w:t>échange d</w:t>
      </w:r>
      <w:r w:rsidR="00B3097B" w:rsidRPr="005808ED">
        <w:rPr>
          <w:lang w:val="fr-FR"/>
        </w:rPr>
        <w:t>’</w:t>
      </w:r>
      <w:r w:rsidRPr="005808ED">
        <w:rPr>
          <w:lang w:val="fr-FR"/>
        </w:rPr>
        <w:t>informations peuvent se dégager durant le processus d</w:t>
      </w:r>
      <w:r w:rsidR="00B3097B" w:rsidRPr="005808ED">
        <w:rPr>
          <w:lang w:val="fr-FR"/>
        </w:rPr>
        <w:t>’</w:t>
      </w:r>
      <w:r w:rsidRPr="005808ED">
        <w:rPr>
          <w:lang w:val="fr-FR"/>
        </w:rPr>
        <w:t xml:space="preserve">identification des sites contaminés, </w:t>
      </w:r>
      <w:r w:rsidR="00BE68F8" w:rsidRPr="005808ED">
        <w:rPr>
          <w:lang w:val="fr-FR"/>
        </w:rPr>
        <w:t>qui pourrait également s’avérer propice à</w:t>
      </w:r>
      <w:r w:rsidRPr="005808ED">
        <w:rPr>
          <w:lang w:val="fr-FR"/>
        </w:rPr>
        <w:t xml:space="preserve"> une évaluation conjointe des sites. Une telle coopération pourrait </w:t>
      </w:r>
      <w:r w:rsidR="00BE68F8" w:rsidRPr="005808ED">
        <w:rPr>
          <w:lang w:val="fr-FR"/>
        </w:rPr>
        <w:t>être</w:t>
      </w:r>
      <w:r w:rsidRPr="005808ED">
        <w:rPr>
          <w:lang w:val="fr-FR"/>
        </w:rPr>
        <w:t xml:space="preserve"> particulièrement judicieuse dans les cas où un certain nombre de sites se trouvant au sein d</w:t>
      </w:r>
      <w:r w:rsidR="00B3097B" w:rsidRPr="005808ED">
        <w:rPr>
          <w:lang w:val="fr-FR"/>
        </w:rPr>
        <w:t>’</w:t>
      </w:r>
      <w:r w:rsidRPr="005808ED">
        <w:rPr>
          <w:lang w:val="fr-FR"/>
        </w:rPr>
        <w:t>une sous-région étaient précédemment détenus ou gérés par la même entreprise ou abritaient des activités semblables (telles que l</w:t>
      </w:r>
      <w:r w:rsidR="00B3097B" w:rsidRPr="005808ED">
        <w:rPr>
          <w:lang w:val="fr-FR"/>
        </w:rPr>
        <w:t>’</w:t>
      </w:r>
      <w:r w:rsidRPr="005808ED">
        <w:rPr>
          <w:lang w:val="fr-FR"/>
        </w:rPr>
        <w:t xml:space="preserve">extraction minière ou la production de chlore-alcali). </w:t>
      </w:r>
    </w:p>
    <w:p w14:paraId="547D6342" w14:textId="10740DC6" w:rsidR="00F252EE" w:rsidRPr="005808ED" w:rsidRDefault="00F252EE" w:rsidP="00F51980">
      <w:pPr>
        <w:pStyle w:val="Normalnumber"/>
        <w:numPr>
          <w:ilvl w:val="0"/>
          <w:numId w:val="12"/>
        </w:numPr>
        <w:ind w:left="1247" w:firstLine="0"/>
        <w:rPr>
          <w:lang w:val="fr-FR"/>
        </w:rPr>
      </w:pPr>
      <w:r w:rsidRPr="005808ED">
        <w:rPr>
          <w:lang w:val="fr-FR"/>
        </w:rPr>
        <w:t>Les activités de coopération menées durant l</w:t>
      </w:r>
      <w:r w:rsidR="00B3097B" w:rsidRPr="005808ED">
        <w:rPr>
          <w:lang w:val="fr-FR"/>
        </w:rPr>
        <w:t>’</w:t>
      </w:r>
      <w:r w:rsidRPr="005808ED">
        <w:rPr>
          <w:lang w:val="fr-FR"/>
        </w:rPr>
        <w:t>évaluation des sites contaminés peuvent permettre de faire des économies</w:t>
      </w:r>
      <w:r w:rsidR="00BE68F8" w:rsidRPr="005808ED">
        <w:rPr>
          <w:lang w:val="fr-FR"/>
        </w:rPr>
        <w:t xml:space="preserve"> et de gagner en productivité</w:t>
      </w:r>
      <w:r w:rsidRPr="005808ED">
        <w:rPr>
          <w:lang w:val="fr-FR"/>
        </w:rPr>
        <w:t>, en particulier si les Parties parviennent à se partager les coûts de l</w:t>
      </w:r>
      <w:r w:rsidR="00B3097B" w:rsidRPr="005808ED">
        <w:rPr>
          <w:lang w:val="fr-FR"/>
        </w:rPr>
        <w:t>’</w:t>
      </w:r>
      <w:r w:rsidRPr="005808ED">
        <w:rPr>
          <w:lang w:val="fr-FR"/>
        </w:rPr>
        <w:t>échantillonnage et des analyses. Il peut être envisageable, par exemple, qu</w:t>
      </w:r>
      <w:r w:rsidR="00B3097B" w:rsidRPr="005808ED">
        <w:rPr>
          <w:lang w:val="fr-FR"/>
        </w:rPr>
        <w:t>’</w:t>
      </w:r>
      <w:r w:rsidRPr="005808ED">
        <w:rPr>
          <w:lang w:val="fr-FR"/>
        </w:rPr>
        <w:t xml:space="preserve">une Partie se charge du prélèvement des échantillons, qui seront analysés par une autre Partie </w:t>
      </w:r>
      <w:r w:rsidR="00BE68F8" w:rsidRPr="005808ED">
        <w:rPr>
          <w:lang w:val="fr-FR"/>
        </w:rPr>
        <w:t>dont</w:t>
      </w:r>
      <w:r w:rsidRPr="005808ED">
        <w:rPr>
          <w:lang w:val="fr-FR"/>
        </w:rPr>
        <w:t xml:space="preserve"> </w:t>
      </w:r>
      <w:r w:rsidR="00BE68F8" w:rsidRPr="005808ED">
        <w:rPr>
          <w:lang w:val="fr-FR"/>
        </w:rPr>
        <w:t>l</w:t>
      </w:r>
      <w:r w:rsidRPr="005808ED">
        <w:rPr>
          <w:lang w:val="fr-FR"/>
        </w:rPr>
        <w:t xml:space="preserve">es services de laboratoire </w:t>
      </w:r>
      <w:r w:rsidR="00BE68F8" w:rsidRPr="005808ED">
        <w:rPr>
          <w:lang w:val="fr-FR"/>
        </w:rPr>
        <w:t xml:space="preserve">sont </w:t>
      </w:r>
      <w:r w:rsidRPr="005808ED">
        <w:rPr>
          <w:lang w:val="fr-FR"/>
        </w:rPr>
        <w:t xml:space="preserve">plus développés. </w:t>
      </w:r>
    </w:p>
    <w:p w14:paraId="6955B9D5" w14:textId="65B77553" w:rsidR="00A70FCB" w:rsidRPr="005808ED" w:rsidRDefault="00F252EE" w:rsidP="00F51980">
      <w:pPr>
        <w:pStyle w:val="Normalnumber"/>
        <w:numPr>
          <w:ilvl w:val="0"/>
          <w:numId w:val="12"/>
        </w:numPr>
        <w:ind w:left="1247" w:firstLine="0"/>
        <w:rPr>
          <w:lang w:val="fr-FR"/>
        </w:rPr>
      </w:pPr>
      <w:r w:rsidRPr="005808ED">
        <w:rPr>
          <w:lang w:val="fr-FR"/>
        </w:rPr>
        <w:t>S</w:t>
      </w:r>
      <w:r w:rsidR="00B3097B" w:rsidRPr="005808ED">
        <w:rPr>
          <w:lang w:val="fr-FR"/>
        </w:rPr>
        <w:t>’</w:t>
      </w:r>
      <w:r w:rsidRPr="005808ED">
        <w:rPr>
          <w:lang w:val="fr-FR"/>
        </w:rPr>
        <w:t xml:space="preserve">agissant </w:t>
      </w:r>
      <w:r w:rsidR="00361FAF" w:rsidRPr="005808ED">
        <w:rPr>
          <w:lang w:val="fr-FR"/>
        </w:rPr>
        <w:t xml:space="preserve">de la hiérarchisation </w:t>
      </w:r>
      <w:r w:rsidRPr="005808ED">
        <w:rPr>
          <w:lang w:val="fr-FR"/>
        </w:rPr>
        <w:t xml:space="preserve">des sites contaminés, les Parties peuvent prendre des décisions </w:t>
      </w:r>
      <w:r w:rsidR="00CA4DFE" w:rsidRPr="005808ED">
        <w:rPr>
          <w:lang w:val="fr-FR"/>
        </w:rPr>
        <w:t>reflétant</w:t>
      </w:r>
      <w:r w:rsidRPr="005808ED">
        <w:rPr>
          <w:lang w:val="fr-FR"/>
        </w:rPr>
        <w:t xml:space="preserve"> leurs priorités au niveau national</w:t>
      </w:r>
      <w:r w:rsidR="0097152B" w:rsidRPr="005808ED">
        <w:rPr>
          <w:lang w:val="fr-FR"/>
        </w:rPr>
        <w:t> ;</w:t>
      </w:r>
      <w:r w:rsidRPr="005808ED">
        <w:rPr>
          <w:lang w:val="fr-FR"/>
        </w:rPr>
        <w:t xml:space="preserve"> cependant, une démarche coopérative comprenant un échange d</w:t>
      </w:r>
      <w:r w:rsidR="00B3097B" w:rsidRPr="005808ED">
        <w:rPr>
          <w:lang w:val="fr-FR"/>
        </w:rPr>
        <w:t>’</w:t>
      </w:r>
      <w:r w:rsidRPr="005808ED">
        <w:rPr>
          <w:lang w:val="fr-FR"/>
        </w:rPr>
        <w:t>informations et un examen conjoint des priorités peut s</w:t>
      </w:r>
      <w:r w:rsidR="00B3097B" w:rsidRPr="005808ED">
        <w:rPr>
          <w:lang w:val="fr-FR"/>
        </w:rPr>
        <w:t>’</w:t>
      </w:r>
      <w:r w:rsidRPr="005808ED">
        <w:rPr>
          <w:lang w:val="fr-FR"/>
        </w:rPr>
        <w:t>avérer utile, en particulier dans les situations où une contamination est susceptible d</w:t>
      </w:r>
      <w:r w:rsidR="00B3097B" w:rsidRPr="005808ED">
        <w:rPr>
          <w:lang w:val="fr-FR"/>
        </w:rPr>
        <w:t>’</w:t>
      </w:r>
      <w:r w:rsidRPr="005808ED">
        <w:rPr>
          <w:lang w:val="fr-FR"/>
        </w:rPr>
        <w:t xml:space="preserve">avoir traversé les frontières nationales. La Partie la plus touchée par la pollution pourra contribuer utilement au processus de </w:t>
      </w:r>
      <w:r w:rsidR="007F610D" w:rsidRPr="005808ED">
        <w:rPr>
          <w:lang w:val="fr-FR"/>
        </w:rPr>
        <w:t xml:space="preserve">classement par </w:t>
      </w:r>
      <w:r w:rsidR="00361FAF" w:rsidRPr="005808ED">
        <w:rPr>
          <w:lang w:val="fr-FR"/>
        </w:rPr>
        <w:t xml:space="preserve">ordre de </w:t>
      </w:r>
      <w:r w:rsidR="007F610D" w:rsidRPr="005808ED">
        <w:rPr>
          <w:lang w:val="fr-FR"/>
        </w:rPr>
        <w:t>priorité</w:t>
      </w:r>
      <w:r w:rsidRPr="005808ED">
        <w:rPr>
          <w:lang w:val="fr-FR"/>
        </w:rPr>
        <w:t>. Par ailleurs, les Parties souhaiteront peut-être coopérer dans les cas où un certain nombre de sites se trouvent à proximité les uns des autres, comme c</w:t>
      </w:r>
      <w:r w:rsidR="00B3097B" w:rsidRPr="005808ED">
        <w:rPr>
          <w:lang w:val="fr-FR"/>
        </w:rPr>
        <w:t>’</w:t>
      </w:r>
      <w:r w:rsidRPr="005808ED">
        <w:rPr>
          <w:lang w:val="fr-FR"/>
        </w:rPr>
        <w:t>est souvent le cas dans les zones où des activités minières ont été menées. Les Parties devront peut-être coopérer pour restreindre l</w:t>
      </w:r>
      <w:r w:rsidR="00B3097B" w:rsidRPr="005808ED">
        <w:rPr>
          <w:lang w:val="fr-FR"/>
        </w:rPr>
        <w:t>’</w:t>
      </w:r>
      <w:r w:rsidRPr="005808ED">
        <w:rPr>
          <w:lang w:val="fr-FR"/>
        </w:rPr>
        <w:t>accès à certains sites. Dans les cas où des activités de remise en état ont été planifiées, il est envisageable d</w:t>
      </w:r>
      <w:r w:rsidR="00B3097B" w:rsidRPr="005808ED">
        <w:rPr>
          <w:lang w:val="fr-FR"/>
        </w:rPr>
        <w:t>’</w:t>
      </w:r>
      <w:r w:rsidRPr="005808ED">
        <w:rPr>
          <w:lang w:val="fr-FR"/>
        </w:rPr>
        <w:t>élaborer des plans conjoints pour le traitement des matériaux contaminés, ce qui pourrait engendrer des économies d</w:t>
      </w:r>
      <w:r w:rsidR="00B3097B" w:rsidRPr="005808ED">
        <w:rPr>
          <w:lang w:val="fr-FR"/>
        </w:rPr>
        <w:t>’</w:t>
      </w:r>
      <w:r w:rsidRPr="005808ED">
        <w:rPr>
          <w:lang w:val="fr-FR"/>
        </w:rPr>
        <w:t>échelle ou permettre de confier le traitement à des installations spécialisées.</w:t>
      </w:r>
    </w:p>
    <w:p w14:paraId="18C71EEF" w14:textId="469E9873" w:rsidR="00F252EE" w:rsidRPr="005808ED" w:rsidRDefault="007E4EF4" w:rsidP="006D27CD">
      <w:pPr>
        <w:pStyle w:val="Normalnumber"/>
        <w:numPr>
          <w:ilvl w:val="0"/>
          <w:numId w:val="12"/>
        </w:numPr>
        <w:ind w:left="1247" w:firstLine="0"/>
        <w:rPr>
          <w:lang w:val="fr-FR"/>
        </w:rPr>
      </w:pPr>
      <w:r w:rsidRPr="005808ED">
        <w:rPr>
          <w:lang w:val="fr-FR"/>
        </w:rPr>
        <w:t>Il existe un certain nombre de réseaux de régulation établis de longue date pour la gestion des sites contaminés. À l</w:t>
      </w:r>
      <w:r w:rsidR="00B3097B" w:rsidRPr="005808ED">
        <w:rPr>
          <w:lang w:val="fr-FR"/>
        </w:rPr>
        <w:t>’</w:t>
      </w:r>
      <w:r w:rsidRPr="005808ED">
        <w:rPr>
          <w:lang w:val="fr-FR"/>
        </w:rPr>
        <w:t>échelle internationale, l</w:t>
      </w:r>
      <w:r w:rsidR="00B3097B" w:rsidRPr="005808ED">
        <w:rPr>
          <w:lang w:val="fr-FR"/>
        </w:rPr>
        <w:t>’</w:t>
      </w:r>
      <w:r w:rsidRPr="005808ED">
        <w:rPr>
          <w:lang w:val="fr-FR"/>
        </w:rPr>
        <w:t>International Committee on Contaminated Land a été créé en 1993. À l</w:t>
      </w:r>
      <w:r w:rsidR="00B3097B" w:rsidRPr="005808ED">
        <w:rPr>
          <w:lang w:val="fr-FR"/>
        </w:rPr>
        <w:t>’</w:t>
      </w:r>
      <w:r w:rsidRPr="005808ED">
        <w:rPr>
          <w:lang w:val="fr-FR"/>
        </w:rPr>
        <w:t>échelle de l</w:t>
      </w:r>
      <w:r w:rsidR="00B3097B" w:rsidRPr="005808ED">
        <w:rPr>
          <w:lang w:val="fr-FR"/>
        </w:rPr>
        <w:t>’</w:t>
      </w:r>
      <w:r w:rsidRPr="005808ED">
        <w:rPr>
          <w:lang w:val="fr-FR"/>
        </w:rPr>
        <w:t xml:space="preserve">Union </w:t>
      </w:r>
      <w:r w:rsidR="005D4020" w:rsidRPr="005808ED">
        <w:rPr>
          <w:lang w:val="fr-FR"/>
        </w:rPr>
        <w:t>européenne</w:t>
      </w:r>
      <w:r w:rsidRPr="005808ED">
        <w:rPr>
          <w:lang w:val="fr-FR"/>
        </w:rPr>
        <w:t>, les États membres et la Commission européenne collaborent depuis 1994 au sein du Common Forum on Contaminated Land, qui est à l</w:t>
      </w:r>
      <w:r w:rsidR="00B3097B" w:rsidRPr="005808ED">
        <w:rPr>
          <w:lang w:val="fr-FR"/>
        </w:rPr>
        <w:t>’</w:t>
      </w:r>
      <w:r w:rsidRPr="005808ED">
        <w:rPr>
          <w:lang w:val="fr-FR"/>
        </w:rPr>
        <w:t>origine de deux</w:t>
      </w:r>
      <w:r w:rsidR="00A309BF" w:rsidRPr="005808ED">
        <w:rPr>
          <w:lang w:val="fr-FR"/>
        </w:rPr>
        <w:t> </w:t>
      </w:r>
      <w:r w:rsidRPr="005808ED">
        <w:rPr>
          <w:lang w:val="fr-FR"/>
        </w:rPr>
        <w:t>actions concertées relatives à l</w:t>
      </w:r>
      <w:r w:rsidR="00B3097B" w:rsidRPr="005808ED">
        <w:rPr>
          <w:lang w:val="fr-FR"/>
        </w:rPr>
        <w:t>’</w:t>
      </w:r>
      <w:r w:rsidRPr="005808ED">
        <w:rPr>
          <w:lang w:val="fr-FR"/>
        </w:rPr>
        <w:t>évaluation et à la gestion des risques</w:t>
      </w:r>
      <w:r w:rsidR="00840E5C" w:rsidRPr="005808ED">
        <w:rPr>
          <w:rStyle w:val="FootnoteReference"/>
          <w:lang w:val="fr-FR"/>
        </w:rPr>
        <w:footnoteReference w:id="7"/>
      </w:r>
      <w:r w:rsidRPr="005808ED">
        <w:rPr>
          <w:lang w:val="fr-FR"/>
        </w:rPr>
        <w:t>. Ces initiatives ont produit des documents d</w:t>
      </w:r>
      <w:r w:rsidR="00B3097B" w:rsidRPr="005808ED">
        <w:rPr>
          <w:lang w:val="fr-FR"/>
        </w:rPr>
        <w:t>’</w:t>
      </w:r>
      <w:r w:rsidRPr="005808ED">
        <w:rPr>
          <w:lang w:val="fr-FR"/>
        </w:rPr>
        <w:t>orientation sur la gestion durable des sites contaminés qui peuvent être téléchargés gratuitement depuis les adresses suivantes</w:t>
      </w:r>
      <w:r w:rsidR="0097152B" w:rsidRPr="005808ED">
        <w:rPr>
          <w:lang w:val="fr-FR"/>
        </w:rPr>
        <w:t> :</w:t>
      </w:r>
      <w:r w:rsidRPr="005808ED">
        <w:rPr>
          <w:lang w:val="fr-FR"/>
        </w:rPr>
        <w:t xml:space="preserve"> </w:t>
      </w:r>
      <w:hyperlink r:id="rId18" w:history="1">
        <w:r w:rsidR="00011B5D" w:rsidRPr="005808ED">
          <w:rPr>
            <w:rStyle w:val="Hyperlink"/>
          </w:rPr>
          <w:t>http://www.iccl.ch/</w:t>
        </w:r>
      </w:hyperlink>
      <w:r w:rsidRPr="005808ED">
        <w:rPr>
          <w:lang w:val="fr-FR"/>
        </w:rPr>
        <w:t xml:space="preserve"> et </w:t>
      </w:r>
      <w:hyperlink r:id="rId19" w:history="1">
        <w:r w:rsidR="00011B5D" w:rsidRPr="005808ED">
          <w:rPr>
            <w:rStyle w:val="Hyperlink"/>
          </w:rPr>
          <w:t>https://www.commonforum.eu/</w:t>
        </w:r>
      </w:hyperlink>
      <w:r w:rsidRPr="005808ED">
        <w:rPr>
          <w:lang w:val="fr-FR"/>
        </w:rPr>
        <w:t xml:space="preserve"> (en</w:t>
      </w:r>
      <w:r w:rsidR="00A309BF" w:rsidRPr="005808ED">
        <w:rPr>
          <w:lang w:val="fr-FR"/>
        </w:rPr>
        <w:t> </w:t>
      </w:r>
      <w:r w:rsidRPr="005808ED">
        <w:rPr>
          <w:lang w:val="fr-FR"/>
        </w:rPr>
        <w:t>anglais</w:t>
      </w:r>
      <w:r w:rsidR="00011B5D" w:rsidRPr="005808ED">
        <w:rPr>
          <w:lang w:val="fr-FR"/>
        </w:rPr>
        <w:t xml:space="preserve"> uniquement</w:t>
      </w:r>
      <w:r w:rsidRPr="005808ED">
        <w:rPr>
          <w:lang w:val="fr-FR"/>
        </w:rPr>
        <w:t xml:space="preserve">). </w:t>
      </w:r>
    </w:p>
    <w:p w14:paraId="29FA88A6" w14:textId="77777777" w:rsidR="00F252EE" w:rsidRPr="005808ED" w:rsidRDefault="00F252EE" w:rsidP="00F252EE">
      <w:pPr>
        <w:rPr>
          <w:lang w:val="fr-FR"/>
        </w:rPr>
      </w:pPr>
      <w:r w:rsidRPr="005808ED">
        <w:rPr>
          <w:lang w:val="fr-FR"/>
        </w:rPr>
        <w:br w:type="page"/>
      </w:r>
    </w:p>
    <w:p w14:paraId="343C9EF3" w14:textId="38F99FD6" w:rsidR="007F65B6" w:rsidRPr="005808ED" w:rsidRDefault="00FA6C22" w:rsidP="00FA6C22">
      <w:pPr>
        <w:pStyle w:val="CH1"/>
        <w:ind w:firstLine="27"/>
        <w:rPr>
          <w:lang w:val="fr-FR"/>
        </w:rPr>
      </w:pPr>
      <w:bookmarkStart w:id="42" w:name="_Toc524355415"/>
      <w:bookmarkStart w:id="43" w:name="_Toc527017913"/>
      <w:r w:rsidRPr="005808ED">
        <w:rPr>
          <w:lang w:val="fr-FR"/>
        </w:rPr>
        <w:t>Réfé</w:t>
      </w:r>
      <w:r w:rsidR="007F65B6" w:rsidRPr="005808ED">
        <w:rPr>
          <w:lang w:val="fr-FR"/>
        </w:rPr>
        <w:t>rences</w:t>
      </w:r>
      <w:bookmarkEnd w:id="42"/>
      <w:bookmarkEnd w:id="43"/>
    </w:p>
    <w:p w14:paraId="14AA8E65"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r w:rsidRPr="005808ED">
        <w:rPr>
          <w:rFonts w:asciiTheme="majorBidi" w:hAnsiTheme="majorBidi" w:cstheme="majorBidi"/>
          <w:lang w:val="fr-FR"/>
        </w:rPr>
        <w:t xml:space="preserve">Canadian Council of Ministers of the Environment (CCME) (2016). </w:t>
      </w:r>
      <w:r w:rsidRPr="005808ED">
        <w:rPr>
          <w:rFonts w:asciiTheme="majorBidi" w:hAnsiTheme="majorBidi" w:cstheme="majorBidi"/>
          <w:i/>
          <w:lang w:val="fr-FR"/>
        </w:rPr>
        <w:t>Guidance Manual for Environmental Site Characterization in Support of Environmental and Human Health Risk Assessment</w:t>
      </w:r>
      <w:r w:rsidRPr="005808ED">
        <w:rPr>
          <w:rFonts w:asciiTheme="majorBidi" w:hAnsiTheme="majorBidi" w:cstheme="majorBidi"/>
          <w:lang w:val="fr-FR"/>
        </w:rPr>
        <w:t>. Available at https://www.ccme.ca/en/resources/contaminated_site_management/assessment.html.</w:t>
      </w:r>
    </w:p>
    <w:p w14:paraId="6E25826B"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r w:rsidRPr="005808ED">
        <w:rPr>
          <w:rFonts w:asciiTheme="majorBidi" w:hAnsiTheme="majorBidi" w:cstheme="majorBidi"/>
          <w:lang w:val="fr-FR"/>
        </w:rPr>
        <w:t xml:space="preserve">Common Forum (2011). </w:t>
      </w:r>
      <w:r w:rsidRPr="005808ED">
        <w:rPr>
          <w:rFonts w:asciiTheme="majorBidi" w:hAnsiTheme="majorBidi" w:cstheme="majorBidi"/>
          <w:i/>
          <w:lang w:val="fr-FR"/>
        </w:rPr>
        <w:t>Proposal of alternative text for a framework directive on soil protection</w:t>
      </w:r>
      <w:r w:rsidRPr="005808ED">
        <w:rPr>
          <w:rFonts w:asciiTheme="majorBidi" w:hAnsiTheme="majorBidi" w:cstheme="majorBidi"/>
          <w:lang w:val="fr-FR"/>
        </w:rPr>
        <w:t xml:space="preserve">. Available at </w:t>
      </w:r>
      <w:hyperlink r:id="rId20" w:history="1">
        <w:r w:rsidRPr="005808ED">
          <w:rPr>
            <w:rStyle w:val="Hyperlink"/>
            <w:rFonts w:asciiTheme="majorBidi" w:hAnsiTheme="majorBidi" w:cstheme="majorBidi"/>
          </w:rPr>
          <w:t>https://commonforum.eu/Documents/SoilDirectiveAlternative/</w:t>
        </w:r>
        <w:r w:rsidRPr="005808ED">
          <w:rPr>
            <w:rStyle w:val="Hyperlink"/>
            <w:rFonts w:asciiTheme="majorBidi" w:hAnsiTheme="majorBidi" w:cstheme="majorBidi"/>
          </w:rPr>
          <w:br/>
          <w:t>20111212_text_proposal_SFD_CF_final2.pdf</w:t>
        </w:r>
      </w:hyperlink>
      <w:r w:rsidRPr="005808ED">
        <w:rPr>
          <w:rFonts w:asciiTheme="majorBidi" w:hAnsiTheme="majorBidi" w:cstheme="majorBidi"/>
          <w:lang w:val="fr-FR"/>
        </w:rPr>
        <w:t>.</w:t>
      </w:r>
    </w:p>
    <w:p w14:paraId="300938E2"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r w:rsidRPr="005808ED">
        <w:rPr>
          <w:rFonts w:asciiTheme="majorBidi" w:hAnsiTheme="majorBidi" w:cstheme="majorBidi"/>
          <w:lang w:val="fr-FR"/>
        </w:rPr>
        <w:t xml:space="preserve">Environment Agency (2012). </w:t>
      </w:r>
      <w:r w:rsidRPr="005808ED">
        <w:rPr>
          <w:rFonts w:asciiTheme="majorBidi" w:hAnsiTheme="majorBidi" w:cstheme="majorBidi"/>
          <w:i/>
          <w:lang w:val="fr-FR"/>
        </w:rPr>
        <w:t>How to comply with your environmental permit: additional guidance for treating waste by thermal desorption.</w:t>
      </w:r>
      <w:r w:rsidRPr="005808ED">
        <w:rPr>
          <w:rFonts w:asciiTheme="majorBidi" w:hAnsiTheme="majorBidi" w:cstheme="majorBidi"/>
          <w:lang w:val="fr-FR"/>
        </w:rPr>
        <w:t xml:space="preserve"> Available at https://assets.publishing.service.gov.uk/government/uploads/system/uploads/attachment_data/file/300893/geho0512bwir-e-e.pdf. </w:t>
      </w:r>
    </w:p>
    <w:p w14:paraId="6CD8133C"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r w:rsidRPr="005808ED">
        <w:rPr>
          <w:rFonts w:asciiTheme="majorBidi" w:hAnsiTheme="majorBidi" w:cstheme="majorBidi"/>
          <w:lang w:val="fr-FR"/>
        </w:rPr>
        <w:t xml:space="preserve">Feng, H., and others (2015). “In situ remediation technologies for mercury-contaminated soil.” </w:t>
      </w:r>
      <w:r w:rsidRPr="005808ED">
        <w:rPr>
          <w:rFonts w:asciiTheme="majorBidi" w:hAnsiTheme="majorBidi" w:cstheme="majorBidi"/>
          <w:i/>
          <w:lang w:val="fr-FR"/>
        </w:rPr>
        <w:t>Environmental Science and Pollution Research</w:t>
      </w:r>
      <w:r w:rsidRPr="005808ED">
        <w:rPr>
          <w:rFonts w:asciiTheme="majorBidi" w:hAnsiTheme="majorBidi" w:cstheme="majorBidi"/>
          <w:lang w:val="fr-FR"/>
        </w:rPr>
        <w:t>, vol. 22, </w:t>
      </w:r>
      <w:hyperlink r:id="rId21" w:history="1">
        <w:r w:rsidRPr="005808ED">
          <w:rPr>
            <w:rStyle w:val="Hyperlink"/>
            <w:rFonts w:asciiTheme="majorBidi" w:hAnsiTheme="majorBidi" w:cstheme="majorBidi"/>
          </w:rPr>
          <w:t>no. 11</w:t>
        </w:r>
      </w:hyperlink>
      <w:r w:rsidRPr="005808ED">
        <w:rPr>
          <w:rFonts w:asciiTheme="majorBidi" w:hAnsiTheme="majorBidi" w:cstheme="majorBidi"/>
          <w:lang w:val="fr-FR"/>
        </w:rPr>
        <w:t>, pp. 8124–8147.  Available at https://www.researchgate.net/publication/274729292_In_situ_remediation_technologies_for_mercury-contaminated_soil.</w:t>
      </w:r>
      <w:r w:rsidRPr="005808ED" w:rsidDel="005524DC">
        <w:rPr>
          <w:rFonts w:asciiTheme="majorBidi" w:hAnsiTheme="majorBidi" w:cstheme="majorBidi"/>
          <w:lang w:val="fr-FR"/>
        </w:rPr>
        <w:t xml:space="preserve"> </w:t>
      </w:r>
    </w:p>
    <w:p w14:paraId="3866DC88"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r w:rsidRPr="005808ED">
        <w:rPr>
          <w:rFonts w:asciiTheme="majorBidi" w:hAnsiTheme="majorBidi" w:cstheme="majorBidi"/>
          <w:lang w:val="fr-FR"/>
        </w:rPr>
        <w:t xml:space="preserve">IPEN (2016). </w:t>
      </w:r>
      <w:r w:rsidRPr="005808ED">
        <w:rPr>
          <w:rFonts w:asciiTheme="majorBidi" w:hAnsiTheme="majorBidi" w:cstheme="majorBidi"/>
          <w:i/>
          <w:lang w:val="fr-FR"/>
        </w:rPr>
        <w:t>Guidance on the Identification, Management and Remediation of Mercury-Contaminated Sites</w:t>
      </w:r>
      <w:r w:rsidRPr="005808ED">
        <w:rPr>
          <w:rFonts w:asciiTheme="majorBidi" w:hAnsiTheme="majorBidi" w:cstheme="majorBidi"/>
          <w:lang w:val="fr-FR"/>
        </w:rPr>
        <w:t xml:space="preserve">. Available at https://ipen.org/documents/guidance-identification-management-and-remediation-mercury-contaminated-sites. </w:t>
      </w:r>
    </w:p>
    <w:p w14:paraId="5D27316F"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r w:rsidRPr="005808ED">
        <w:rPr>
          <w:rFonts w:asciiTheme="majorBidi" w:hAnsiTheme="majorBidi" w:cstheme="majorBidi"/>
          <w:lang w:val="fr-FR"/>
        </w:rPr>
        <w:t xml:space="preserve">Kocman, D., and others (2013). “Contribution of contaminated sites to the global mercury budget.” </w:t>
      </w:r>
      <w:r w:rsidRPr="005808ED">
        <w:rPr>
          <w:rFonts w:asciiTheme="majorBidi" w:hAnsiTheme="majorBidi" w:cstheme="majorBidi"/>
          <w:i/>
          <w:lang w:val="fr-FR"/>
        </w:rPr>
        <w:t xml:space="preserve">Environmental Research, </w:t>
      </w:r>
      <w:r w:rsidRPr="005808ED">
        <w:rPr>
          <w:rFonts w:asciiTheme="majorBidi" w:hAnsiTheme="majorBidi" w:cstheme="majorBidi"/>
          <w:lang w:val="fr-FR"/>
        </w:rPr>
        <w:t>vol. 125, pp.160–170. Available at http://citeseerx.ist.psu.edu/viewdoc/download?doi=10.1.1.362.1877&amp;rep=rep1&amp;type=pdf.</w:t>
      </w:r>
    </w:p>
    <w:p w14:paraId="43A05BF8"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r w:rsidRPr="005808ED">
        <w:rPr>
          <w:rFonts w:asciiTheme="majorBidi" w:hAnsiTheme="majorBidi" w:cstheme="majorBidi"/>
          <w:lang w:val="fr-FR"/>
        </w:rPr>
        <w:t>Mediterranean Action Plan</w:t>
      </w:r>
      <w:r w:rsidRPr="005808ED">
        <w:rPr>
          <w:lang w:val="fr-FR"/>
        </w:rPr>
        <w:t>/United Nations Environment Programme (M</w:t>
      </w:r>
      <w:r w:rsidRPr="005808ED">
        <w:rPr>
          <w:rFonts w:asciiTheme="majorBidi" w:hAnsiTheme="majorBidi" w:cstheme="majorBidi"/>
          <w:lang w:val="fr-FR"/>
        </w:rPr>
        <w:t xml:space="preserve">AP/UNEP) (2015). </w:t>
      </w:r>
      <w:r w:rsidRPr="005808ED">
        <w:rPr>
          <w:rFonts w:asciiTheme="majorBidi" w:hAnsiTheme="majorBidi" w:cstheme="majorBidi"/>
          <w:i/>
          <w:lang w:val="fr-FR"/>
        </w:rPr>
        <w:t>Guidelines on Best Environmental Practices for Environmentally Sound Management of Mercury-Contaminated Sites in the Mediterranean</w:t>
      </w:r>
      <w:r w:rsidRPr="005808ED">
        <w:rPr>
          <w:rFonts w:asciiTheme="majorBidi" w:hAnsiTheme="majorBidi" w:cstheme="majorBidi"/>
          <w:lang w:val="fr-FR"/>
        </w:rPr>
        <w:t xml:space="preserve">. Available at http://wedocs.unep.org/handle/20.500.11822/9917. </w:t>
      </w:r>
    </w:p>
    <w:p w14:paraId="79F52177"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r w:rsidRPr="005808ED">
        <w:rPr>
          <w:rFonts w:asciiTheme="majorBidi" w:hAnsiTheme="majorBidi" w:cstheme="majorBidi"/>
          <w:lang w:val="fr-FR"/>
        </w:rPr>
        <w:t xml:space="preserve">Merly, C., and Hube, D. (2014). </w:t>
      </w:r>
      <w:r w:rsidRPr="005808ED">
        <w:rPr>
          <w:rFonts w:asciiTheme="majorBidi" w:hAnsiTheme="majorBidi" w:cstheme="majorBidi"/>
          <w:i/>
          <w:lang w:val="fr-FR"/>
        </w:rPr>
        <w:t>Remediation of Mercury-Contaminated Sites</w:t>
      </w:r>
      <w:r w:rsidRPr="005808ED">
        <w:rPr>
          <w:rFonts w:asciiTheme="majorBidi" w:hAnsiTheme="majorBidi" w:cstheme="majorBidi"/>
          <w:lang w:val="fr-FR"/>
        </w:rPr>
        <w:t>. Project No. SN-03/08. Available at https://docplayer.net/18898131-Remediation-of-mercury-contaminated-sites.html.</w:t>
      </w:r>
    </w:p>
    <w:p w14:paraId="4C11D368"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bookmarkStart w:id="44" w:name="_Hlk506896386"/>
      <w:r w:rsidRPr="005808ED">
        <w:rPr>
          <w:rFonts w:asciiTheme="majorBidi" w:hAnsiTheme="majorBidi" w:cstheme="majorBidi"/>
          <w:lang w:val="fr-FR"/>
        </w:rPr>
        <w:t>National Environmental Justice Advisory Council (2013</w:t>
      </w:r>
      <w:bookmarkEnd w:id="44"/>
      <w:r w:rsidRPr="005808ED">
        <w:rPr>
          <w:rFonts w:asciiTheme="majorBidi" w:hAnsiTheme="majorBidi" w:cstheme="majorBidi"/>
          <w:lang w:val="fr-FR"/>
        </w:rPr>
        <w:t xml:space="preserve">). </w:t>
      </w:r>
      <w:r w:rsidRPr="005808ED">
        <w:rPr>
          <w:rFonts w:asciiTheme="majorBidi" w:hAnsiTheme="majorBidi" w:cstheme="majorBidi"/>
          <w:i/>
          <w:lang w:val="fr-FR"/>
        </w:rPr>
        <w:t>Model Guidelines for Public Participation</w:t>
      </w:r>
      <w:r w:rsidRPr="005808ED">
        <w:rPr>
          <w:rFonts w:asciiTheme="majorBidi" w:hAnsiTheme="majorBidi" w:cstheme="majorBidi"/>
          <w:lang w:val="fr-FR"/>
        </w:rPr>
        <w:t>. Available at https://www.epa.gov/sites/production/files/2015-02/documents/recommendations-model-guide-pp-2013.pdf.</w:t>
      </w:r>
    </w:p>
    <w:p w14:paraId="62E81C50"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r w:rsidRPr="005808ED">
        <w:rPr>
          <w:rFonts w:asciiTheme="majorBidi" w:hAnsiTheme="majorBidi" w:cstheme="majorBidi"/>
          <w:lang w:val="fr-FR"/>
        </w:rPr>
        <w:t xml:space="preserve">National Environmental Protection Council (1999). </w:t>
      </w:r>
      <w:r w:rsidRPr="005808ED">
        <w:rPr>
          <w:rFonts w:asciiTheme="majorBidi" w:hAnsiTheme="majorBidi" w:cstheme="majorBidi"/>
          <w:i/>
          <w:lang w:val="fr-FR"/>
        </w:rPr>
        <w:t>NEPM Schedule B (1) - Guideline on Investigation Levels for Soil and Groundwater</w:t>
      </w:r>
      <w:r w:rsidRPr="005808ED">
        <w:rPr>
          <w:rFonts w:asciiTheme="majorBidi" w:hAnsiTheme="majorBidi" w:cstheme="majorBidi"/>
          <w:lang w:val="fr-FR"/>
        </w:rPr>
        <w:t>. Available at http://www.nepc.gov.au/system/files/resources/93ae0e77-e697-e494-656f-afaaf9fb4277/files/schedule-b1-guideline-investigation-levels-soil-and-groundwater-sep10.pdf.</w:t>
      </w:r>
      <w:r w:rsidRPr="005808ED" w:rsidDel="00860510">
        <w:rPr>
          <w:lang w:val="fr-FR"/>
        </w:rPr>
        <w:t xml:space="preserve"> </w:t>
      </w:r>
    </w:p>
    <w:p w14:paraId="7D93199A"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lang w:val="fr-FR"/>
        </w:rPr>
      </w:pPr>
      <w:r w:rsidRPr="005808ED">
        <w:rPr>
          <w:lang w:val="fr-FR"/>
        </w:rPr>
        <w:t xml:space="preserve">United Nations Environment Programme (UNEP) (2013). </w:t>
      </w:r>
      <w:r w:rsidRPr="005808ED">
        <w:rPr>
          <w:i/>
          <w:lang w:val="fr-FR"/>
        </w:rPr>
        <w:t>Global Mercury Assessment 2013: Sources, Emissions, Releases and Environmental Transport</w:t>
      </w:r>
      <w:r w:rsidRPr="005808ED">
        <w:rPr>
          <w:lang w:val="fr-FR"/>
        </w:rPr>
        <w:t>. Geneva, UNEP Chemicals Branch. Available at http://wedocs.unep.org/handle/20.500.11822/7984.</w:t>
      </w:r>
    </w:p>
    <w:p w14:paraId="0F4A2268"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r w:rsidRPr="005808ED">
        <w:rPr>
          <w:rFonts w:asciiTheme="majorBidi" w:hAnsiTheme="majorBidi" w:cstheme="majorBidi"/>
          <w:lang w:val="fr-FR"/>
        </w:rPr>
        <w:t xml:space="preserve">United Nations Environment Programme (UNEP) (2015). </w:t>
      </w:r>
      <w:r w:rsidRPr="005808ED">
        <w:rPr>
          <w:rFonts w:asciiTheme="majorBidi" w:hAnsiTheme="majorBidi" w:cstheme="majorBidi"/>
          <w:i/>
          <w:lang w:val="fr-FR"/>
        </w:rPr>
        <w:t>Technical guidelines on the environmentally sound management of wastes consisting of, containing or contaminated with mercury or mercury compounds</w:t>
      </w:r>
      <w:r w:rsidRPr="005808ED">
        <w:rPr>
          <w:rFonts w:asciiTheme="majorBidi" w:hAnsiTheme="majorBidi" w:cstheme="majorBidi"/>
          <w:lang w:val="fr-FR"/>
        </w:rPr>
        <w:t xml:space="preserve">. UNEP/CHW.12/5/Add.8/Rev.1. Available at </w:t>
      </w:r>
      <w:hyperlink r:id="rId22" w:history="1">
        <w:r w:rsidRPr="005808ED">
          <w:rPr>
            <w:rStyle w:val="Hyperlink"/>
            <w:rFonts w:asciiTheme="majorBidi" w:hAnsiTheme="majorBidi" w:cstheme="majorBidi"/>
          </w:rPr>
          <w:t>http://www.basel.int/TheConvention/ConferenceoftheParties/Meetings/COP12/tabid/4248/mctl/ViewDetails/EventModID/8051/EventID/542/xmid/13027/Default.aspx</w:t>
        </w:r>
      </w:hyperlink>
      <w:r w:rsidRPr="005808ED">
        <w:rPr>
          <w:rFonts w:asciiTheme="majorBidi" w:hAnsiTheme="majorBidi" w:cstheme="majorBidi"/>
          <w:lang w:val="fr-FR"/>
        </w:rPr>
        <w:t>.</w:t>
      </w:r>
    </w:p>
    <w:p w14:paraId="2A16B431"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r w:rsidRPr="005808ED">
        <w:rPr>
          <w:rFonts w:asciiTheme="majorBidi" w:hAnsiTheme="majorBidi" w:cstheme="majorBidi"/>
          <w:lang w:val="fr-FR"/>
        </w:rPr>
        <w:t>United States Department of Health and Human Services (US DHHS), Agency for Toxic Substances and Disease Registry. ToxFAQs™ for metallic mercury (website). Available at https://www.atsdr.cdc.gov/toxfaqs/tf.asp?id=1195&amp;tid=24.</w:t>
      </w:r>
    </w:p>
    <w:p w14:paraId="440B8F6C"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Style w:val="Hyperlink"/>
          <w:rFonts w:asciiTheme="majorBidi" w:hAnsiTheme="majorBidi" w:cstheme="majorBidi"/>
        </w:rPr>
      </w:pPr>
      <w:r w:rsidRPr="005808ED">
        <w:rPr>
          <w:lang w:val="fr-FR" w:eastAsia="ja-JP"/>
        </w:rPr>
        <w:t>United States Environment Protection Agency (</w:t>
      </w:r>
      <w:r w:rsidRPr="005808ED">
        <w:rPr>
          <w:rFonts w:asciiTheme="majorBidi" w:hAnsiTheme="majorBidi" w:cstheme="majorBidi"/>
          <w:lang w:val="fr-FR"/>
        </w:rPr>
        <w:t xml:space="preserve">US EPA) (2007). </w:t>
      </w:r>
      <w:r w:rsidRPr="005808ED">
        <w:rPr>
          <w:rFonts w:asciiTheme="majorBidi" w:hAnsiTheme="majorBidi" w:cstheme="majorBidi"/>
          <w:i/>
          <w:lang w:val="fr-FR"/>
        </w:rPr>
        <w:t>Treatment Technologies for Mercury in Soil, Waste, and Water</w:t>
      </w:r>
      <w:r w:rsidRPr="005808ED">
        <w:rPr>
          <w:rFonts w:asciiTheme="majorBidi" w:hAnsiTheme="majorBidi" w:cstheme="majorBidi"/>
          <w:lang w:val="fr-FR"/>
        </w:rPr>
        <w:t xml:space="preserve">. Washington. Available at </w:t>
      </w:r>
      <w:hyperlink r:id="rId23" w:history="1">
        <w:r w:rsidRPr="005808ED">
          <w:rPr>
            <w:rStyle w:val="Hyperlink"/>
            <w:rFonts w:asciiTheme="majorBidi" w:hAnsiTheme="majorBidi" w:cstheme="majorBidi"/>
          </w:rPr>
          <w:t>https://clu-in.org/download/remed/542r07003.pdf</w:t>
        </w:r>
      </w:hyperlink>
      <w:r w:rsidRPr="005808ED">
        <w:rPr>
          <w:rStyle w:val="Hyperlink"/>
          <w:rFonts w:asciiTheme="majorBidi" w:hAnsiTheme="majorBidi" w:cstheme="majorBidi"/>
        </w:rPr>
        <w:t>.</w:t>
      </w:r>
    </w:p>
    <w:p w14:paraId="0A89F0FD"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r w:rsidRPr="005808ED">
        <w:rPr>
          <w:lang w:val="fr-FR" w:eastAsia="ja-JP"/>
        </w:rPr>
        <w:t>United States Environment Protection Agency (</w:t>
      </w:r>
      <w:r w:rsidRPr="005808ED">
        <w:rPr>
          <w:rFonts w:asciiTheme="majorBidi" w:hAnsiTheme="majorBidi" w:cstheme="majorBidi"/>
          <w:lang w:val="fr-FR"/>
        </w:rPr>
        <w:t xml:space="preserve">US EPA) (2010) </w:t>
      </w:r>
      <w:r w:rsidRPr="005808ED">
        <w:rPr>
          <w:rFonts w:asciiTheme="majorBidi" w:hAnsiTheme="majorBidi" w:cstheme="majorBidi"/>
          <w:i/>
          <w:lang w:val="fr-FR"/>
        </w:rPr>
        <w:t>Phytotechnologies for site cleanup</w:t>
      </w:r>
      <w:r w:rsidRPr="005808ED">
        <w:rPr>
          <w:rFonts w:asciiTheme="majorBidi" w:hAnsiTheme="majorBidi" w:cstheme="majorBidi"/>
          <w:lang w:val="fr-FR"/>
        </w:rPr>
        <w:t xml:space="preserve">. </w:t>
      </w:r>
      <w:r w:rsidRPr="005808ED">
        <w:rPr>
          <w:lang w:val="fr-FR"/>
        </w:rPr>
        <w:t xml:space="preserve">EPA 542-F-10-009. Available at </w:t>
      </w:r>
      <w:hyperlink r:id="rId24" w:history="1">
        <w:r w:rsidRPr="005808ED">
          <w:rPr>
            <w:rStyle w:val="Hyperlink"/>
            <w:rFonts w:asciiTheme="majorBidi" w:hAnsiTheme="majorBidi" w:cstheme="majorBidi"/>
          </w:rPr>
          <w:t>https://clu-in.org/download/remed/phytotechnologies-factsheet.pdf</w:t>
        </w:r>
      </w:hyperlink>
      <w:r w:rsidRPr="005808ED">
        <w:rPr>
          <w:rStyle w:val="Hyperlink"/>
          <w:rFonts w:asciiTheme="majorBidi" w:hAnsiTheme="majorBidi" w:cstheme="majorBidi"/>
        </w:rPr>
        <w:t>.</w:t>
      </w:r>
    </w:p>
    <w:p w14:paraId="00248509" w14:textId="77777777"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Style w:val="Hyperlink"/>
          <w:rFonts w:asciiTheme="majorBidi" w:hAnsiTheme="majorBidi" w:cstheme="majorBidi"/>
        </w:rPr>
      </w:pPr>
      <w:r w:rsidRPr="005808ED">
        <w:rPr>
          <w:rFonts w:asciiTheme="majorBidi" w:hAnsiTheme="majorBidi" w:cstheme="majorBidi"/>
          <w:lang w:val="fr-FR"/>
        </w:rPr>
        <w:t xml:space="preserve">World Health Organization (WHO) (2017). “Mercury and health” (website). Available at </w:t>
      </w:r>
      <w:hyperlink r:id="rId25" w:history="1">
        <w:r w:rsidRPr="005808ED">
          <w:rPr>
            <w:rStyle w:val="Hyperlink"/>
            <w:rFonts w:asciiTheme="majorBidi" w:hAnsiTheme="majorBidi" w:cstheme="majorBidi"/>
          </w:rPr>
          <w:t>http://www.who.int/mediacentre/factsheets/fs361/en/</w:t>
        </w:r>
      </w:hyperlink>
      <w:r w:rsidRPr="005808ED">
        <w:rPr>
          <w:rStyle w:val="Hyperlink"/>
          <w:rFonts w:asciiTheme="majorBidi" w:hAnsiTheme="majorBidi" w:cstheme="majorBidi"/>
        </w:rPr>
        <w:t>.</w:t>
      </w:r>
    </w:p>
    <w:p w14:paraId="77CA72BF" w14:textId="039113DE" w:rsidR="007F65B6" w:rsidRPr="005808ED" w:rsidRDefault="007F65B6" w:rsidP="007F65B6">
      <w:pPr>
        <w:pStyle w:val="Normal-pool"/>
        <w:tabs>
          <w:tab w:val="clear" w:pos="1247"/>
          <w:tab w:val="clear" w:pos="1814"/>
          <w:tab w:val="clear" w:pos="2381"/>
          <w:tab w:val="clear" w:pos="2948"/>
          <w:tab w:val="clear" w:pos="3515"/>
          <w:tab w:val="clear" w:pos="4082"/>
          <w:tab w:val="left" w:pos="624"/>
        </w:tabs>
        <w:spacing w:after="80"/>
        <w:ind w:left="1247"/>
        <w:rPr>
          <w:rFonts w:asciiTheme="majorBidi" w:hAnsiTheme="majorBidi" w:cstheme="majorBidi"/>
          <w:lang w:val="fr-FR"/>
        </w:rPr>
      </w:pPr>
      <w:r w:rsidRPr="005808ED">
        <w:rPr>
          <w:lang w:val="fr-FR"/>
        </w:rPr>
        <w:t>World Health Organization. Regional Office for Europe (WHO/EURO) (2013). Contaminated Sites and Health. Available at http://www.euro.who.int/__data/assets/pdf_file/0003/186240/e96843e.pdf?ua=1.</w:t>
      </w:r>
      <w:r w:rsidRPr="005808ED">
        <w:rPr>
          <w:lang w:val="fr-FR"/>
        </w:rPr>
        <w:br w:type="page"/>
      </w:r>
    </w:p>
    <w:p w14:paraId="3B1AC7FC" w14:textId="55196CF3" w:rsidR="00F51980" w:rsidRPr="005808ED" w:rsidRDefault="003974C1" w:rsidP="003974C1">
      <w:pPr>
        <w:pStyle w:val="ZZAnxheader"/>
        <w:rPr>
          <w:lang w:val="fr-FR"/>
        </w:rPr>
      </w:pPr>
      <w:bookmarkStart w:id="45" w:name="_Toc527017914"/>
      <w:r w:rsidRPr="005808ED">
        <w:rPr>
          <w:lang w:val="fr-FR"/>
        </w:rPr>
        <w:t>Appendice </w:t>
      </w:r>
      <w:r w:rsidR="00F51980" w:rsidRPr="005808ED">
        <w:rPr>
          <w:lang w:val="fr-FR"/>
        </w:rPr>
        <w:t>I</w:t>
      </w:r>
      <w:bookmarkEnd w:id="45"/>
    </w:p>
    <w:p w14:paraId="0D76D954" w14:textId="77777777" w:rsidR="00F51980" w:rsidRPr="005808ED" w:rsidRDefault="00F51980" w:rsidP="003974C1">
      <w:pPr>
        <w:pStyle w:val="ZZAnxtitle"/>
        <w:rPr>
          <w:lang w:val="fr-FR"/>
        </w:rPr>
      </w:pPr>
      <w:bookmarkStart w:id="46" w:name="_Toc527017915"/>
      <w:r w:rsidRPr="005808ED">
        <w:rPr>
          <w:lang w:val="fr-FR"/>
        </w:rPr>
        <w:t>Informations techniques supplémentaires</w:t>
      </w:r>
      <w:bookmarkEnd w:id="46"/>
    </w:p>
    <w:p w14:paraId="237C29A2" w14:textId="3BBC560E" w:rsidR="00F51980" w:rsidRPr="005808ED" w:rsidRDefault="00F51980" w:rsidP="00F51980">
      <w:pPr>
        <w:pStyle w:val="Normal-pool"/>
        <w:tabs>
          <w:tab w:val="clear" w:pos="1247"/>
          <w:tab w:val="clear" w:pos="1814"/>
          <w:tab w:val="clear" w:pos="2381"/>
          <w:tab w:val="clear" w:pos="2948"/>
          <w:tab w:val="clear" w:pos="3515"/>
          <w:tab w:val="clear" w:pos="4082"/>
          <w:tab w:val="left" w:pos="624"/>
        </w:tabs>
        <w:spacing w:after="120"/>
        <w:ind w:left="1247"/>
        <w:rPr>
          <w:lang w:val="fr-FR"/>
        </w:rPr>
      </w:pPr>
      <w:r w:rsidRPr="005808ED">
        <w:rPr>
          <w:lang w:val="fr-FR"/>
        </w:rPr>
        <w:t>Les orientations sur la gestion des sites contaminés ont été élaborées dans le cadre du processus de gestion des sites contaminés et des solutions possibles à cette fin, conformément à l</w:t>
      </w:r>
      <w:r w:rsidR="00B3097B" w:rsidRPr="005808ED">
        <w:rPr>
          <w:lang w:val="fr-FR"/>
        </w:rPr>
        <w:t>’</w:t>
      </w:r>
      <w:r w:rsidR="003974C1" w:rsidRPr="005808ED">
        <w:rPr>
          <w:lang w:val="fr-FR"/>
        </w:rPr>
        <w:t>article </w:t>
      </w:r>
      <w:r w:rsidRPr="005808ED">
        <w:rPr>
          <w:lang w:val="fr-FR"/>
        </w:rPr>
        <w:t xml:space="preserve">12 de la Convention de Minamata sur le mercure. Des informations techniques supplémentaires existent pour nombre des questions abordées dans les orientations qui seraient utiles </w:t>
      </w:r>
      <w:r w:rsidR="00F5533D" w:rsidRPr="005808ED">
        <w:rPr>
          <w:lang w:val="fr-FR"/>
        </w:rPr>
        <w:t>dans l’objectif d’élaborer</w:t>
      </w:r>
      <w:r w:rsidRPr="005808ED">
        <w:rPr>
          <w:lang w:val="fr-FR"/>
        </w:rPr>
        <w:t xml:space="preserve"> des plans d</w:t>
      </w:r>
      <w:r w:rsidR="00B3097B" w:rsidRPr="005808ED">
        <w:rPr>
          <w:lang w:val="fr-FR"/>
        </w:rPr>
        <w:t>’</w:t>
      </w:r>
      <w:r w:rsidRPr="005808ED">
        <w:rPr>
          <w:lang w:val="fr-FR"/>
        </w:rPr>
        <w:t xml:space="preserve">action ou </w:t>
      </w:r>
      <w:r w:rsidR="00F5533D" w:rsidRPr="005808ED">
        <w:rPr>
          <w:lang w:val="fr-FR"/>
        </w:rPr>
        <w:t>d’</w:t>
      </w:r>
      <w:r w:rsidRPr="005808ED">
        <w:rPr>
          <w:lang w:val="fr-FR"/>
        </w:rPr>
        <w:t>entrepren</w:t>
      </w:r>
      <w:r w:rsidR="00F5533D" w:rsidRPr="005808ED">
        <w:rPr>
          <w:lang w:val="fr-FR"/>
        </w:rPr>
        <w:t>dre</w:t>
      </w:r>
      <w:r w:rsidRPr="005808ED">
        <w:rPr>
          <w:lang w:val="fr-FR"/>
        </w:rPr>
        <w:t xml:space="preserve"> des activités de gestion. </w:t>
      </w:r>
    </w:p>
    <w:p w14:paraId="6D55F594" w14:textId="4F244E8D" w:rsidR="00F51980" w:rsidRPr="005808ED" w:rsidRDefault="00F51980" w:rsidP="00F51980">
      <w:pPr>
        <w:pStyle w:val="Normal-pool"/>
        <w:tabs>
          <w:tab w:val="clear" w:pos="1247"/>
          <w:tab w:val="clear" w:pos="1814"/>
          <w:tab w:val="clear" w:pos="2381"/>
          <w:tab w:val="clear" w:pos="2948"/>
          <w:tab w:val="clear" w:pos="3515"/>
          <w:tab w:val="clear" w:pos="4082"/>
          <w:tab w:val="left" w:pos="624"/>
        </w:tabs>
        <w:spacing w:after="120"/>
        <w:ind w:left="1247"/>
        <w:rPr>
          <w:lang w:val="fr-FR"/>
        </w:rPr>
      </w:pPr>
      <w:r w:rsidRPr="005808ED">
        <w:rPr>
          <w:lang w:val="fr-FR"/>
        </w:rPr>
        <w:t>Les liens figurant dans la liste de ressources ci-dessous sont reproduits tels qu</w:t>
      </w:r>
      <w:r w:rsidR="00B3097B" w:rsidRPr="005808ED">
        <w:rPr>
          <w:lang w:val="fr-FR"/>
        </w:rPr>
        <w:t>’</w:t>
      </w:r>
      <w:r w:rsidRPr="005808ED">
        <w:rPr>
          <w:lang w:val="fr-FR"/>
        </w:rPr>
        <w:t xml:space="preserve">ils ont été communiqués par les parties prenantes et sont fournis à titre informatif. La liste pourra être mise à jour sans décision de la Conférence des Parties. </w:t>
      </w:r>
    </w:p>
    <w:p w14:paraId="15BB24C8" w14:textId="6AAE1B96" w:rsidR="00F51980" w:rsidRPr="005808ED" w:rsidRDefault="00F51980" w:rsidP="003974C1">
      <w:pPr>
        <w:pStyle w:val="CH2"/>
        <w:ind w:firstLine="13"/>
        <w:rPr>
          <w:lang w:val="fr-FR"/>
        </w:rPr>
      </w:pPr>
      <w:bookmarkStart w:id="47" w:name="_Toc526346232"/>
      <w:bookmarkStart w:id="48" w:name="_Toc527017916"/>
      <w:r w:rsidRPr="005808ED">
        <w:rPr>
          <w:bCs/>
          <w:lang w:val="fr-FR"/>
        </w:rPr>
        <w:t>Canada</w:t>
      </w:r>
      <w:bookmarkStart w:id="49" w:name="_Toc524355418"/>
      <w:bookmarkEnd w:id="47"/>
      <w:bookmarkEnd w:id="48"/>
      <w:bookmarkEnd w:id="49"/>
    </w:p>
    <w:p w14:paraId="477EC36E" w14:textId="5B5C0435" w:rsidR="00F51980" w:rsidRPr="005808ED" w:rsidRDefault="00F51980" w:rsidP="00F51980">
      <w:pPr>
        <w:pStyle w:val="Normal-pool"/>
        <w:tabs>
          <w:tab w:val="clear" w:pos="1247"/>
          <w:tab w:val="clear" w:pos="1814"/>
          <w:tab w:val="clear" w:pos="2381"/>
          <w:tab w:val="clear" w:pos="2948"/>
          <w:tab w:val="clear" w:pos="3515"/>
          <w:tab w:val="clear" w:pos="4082"/>
          <w:tab w:val="left" w:pos="624"/>
        </w:tabs>
        <w:spacing w:after="120"/>
        <w:ind w:left="1247"/>
        <w:rPr>
          <w:lang w:val="fr-FR"/>
        </w:rPr>
      </w:pPr>
      <w:r w:rsidRPr="005808ED">
        <w:rPr>
          <w:lang w:val="fr-FR"/>
        </w:rPr>
        <w:t>Santé Canada a élaboré des orientations sur la santé de l</w:t>
      </w:r>
      <w:r w:rsidR="00B3097B" w:rsidRPr="005808ED">
        <w:rPr>
          <w:lang w:val="fr-FR"/>
        </w:rPr>
        <w:t>’</w:t>
      </w:r>
      <w:r w:rsidRPr="005808ED">
        <w:rPr>
          <w:lang w:val="fr-FR"/>
        </w:rPr>
        <w:t>environnement du milieu de travail qui peuvent être consultées à l</w:t>
      </w:r>
      <w:r w:rsidR="00B3097B" w:rsidRPr="005808ED">
        <w:rPr>
          <w:lang w:val="fr-FR"/>
        </w:rPr>
        <w:t>’</w:t>
      </w:r>
      <w:r w:rsidRPr="005808ED">
        <w:rPr>
          <w:lang w:val="fr-FR"/>
        </w:rPr>
        <w:t>adresse suivante</w:t>
      </w:r>
      <w:r w:rsidR="0097152B" w:rsidRPr="005808ED">
        <w:rPr>
          <w:lang w:val="fr-FR"/>
        </w:rPr>
        <w:t> :</w:t>
      </w:r>
      <w:r w:rsidRPr="005808ED">
        <w:rPr>
          <w:lang w:val="fr-FR"/>
        </w:rPr>
        <w:t xml:space="preserve"> </w:t>
      </w:r>
      <w:hyperlink r:id="rId26" w:history="1">
        <w:r w:rsidR="00240790" w:rsidRPr="005808ED">
          <w:rPr>
            <w:rStyle w:val="Hyperlink"/>
          </w:rPr>
          <w:t>https://www.canada.ca/fr/sante-canada/services/sante-environnement-milieu-travail/lieux-contamines/documents-orientation.html</w:t>
        </w:r>
      </w:hyperlink>
      <w:r w:rsidRPr="005808ED">
        <w:rPr>
          <w:lang w:val="fr-FR"/>
        </w:rPr>
        <w:t>.</w:t>
      </w:r>
    </w:p>
    <w:p w14:paraId="651C2455" w14:textId="4834B6FA" w:rsidR="00F51980" w:rsidRPr="005808ED" w:rsidRDefault="00F51980" w:rsidP="00F51980">
      <w:pPr>
        <w:pStyle w:val="Normal-pool"/>
        <w:tabs>
          <w:tab w:val="clear" w:pos="1247"/>
          <w:tab w:val="clear" w:pos="1814"/>
          <w:tab w:val="clear" w:pos="2381"/>
          <w:tab w:val="clear" w:pos="2948"/>
          <w:tab w:val="clear" w:pos="3515"/>
          <w:tab w:val="clear" w:pos="4082"/>
          <w:tab w:val="left" w:pos="624"/>
        </w:tabs>
        <w:spacing w:after="120"/>
        <w:ind w:left="1247"/>
        <w:rPr>
          <w:lang w:val="fr-FR"/>
        </w:rPr>
      </w:pPr>
      <w:r w:rsidRPr="005808ED">
        <w:rPr>
          <w:lang w:val="fr-FR"/>
        </w:rPr>
        <w:t>Des informations relatives aux effets du mercure sur la santé sont accessibles sur le site Web de Santé Canada à l</w:t>
      </w:r>
      <w:r w:rsidR="00B3097B" w:rsidRPr="005808ED">
        <w:rPr>
          <w:lang w:val="fr-FR"/>
        </w:rPr>
        <w:t>’</w:t>
      </w:r>
      <w:r w:rsidRPr="005808ED">
        <w:rPr>
          <w:lang w:val="fr-FR"/>
        </w:rPr>
        <w:t>adresse suivante</w:t>
      </w:r>
      <w:r w:rsidR="0097152B" w:rsidRPr="005808ED">
        <w:rPr>
          <w:lang w:val="fr-FR"/>
        </w:rPr>
        <w:t> :</w:t>
      </w:r>
      <w:r w:rsidRPr="005808ED">
        <w:rPr>
          <w:lang w:val="fr-FR"/>
        </w:rPr>
        <w:t xml:space="preserve"> </w:t>
      </w:r>
      <w:hyperlink r:id="rId27" w:history="1">
        <w:r w:rsidR="00240790" w:rsidRPr="005808ED">
          <w:rPr>
            <w:rStyle w:val="Hyperlink"/>
          </w:rPr>
          <w:t>https://www.canada.ca/fr/sante-canada/services/vie-saine/votre-sante-vous/environnement/mercure-sante-humaine.html</w:t>
        </w:r>
      </w:hyperlink>
      <w:r w:rsidR="00240790" w:rsidRPr="005808ED">
        <w:rPr>
          <w:lang w:val="fr-FR"/>
        </w:rPr>
        <w:t>.</w:t>
      </w:r>
    </w:p>
    <w:p w14:paraId="03AAB4C3" w14:textId="1357A922" w:rsidR="00F51980" w:rsidRPr="005808ED" w:rsidRDefault="00F51980" w:rsidP="00F51980">
      <w:pPr>
        <w:pStyle w:val="Normal-pool"/>
        <w:tabs>
          <w:tab w:val="clear" w:pos="1247"/>
          <w:tab w:val="clear" w:pos="1814"/>
          <w:tab w:val="clear" w:pos="2381"/>
          <w:tab w:val="clear" w:pos="2948"/>
          <w:tab w:val="clear" w:pos="3515"/>
          <w:tab w:val="clear" w:pos="4082"/>
          <w:tab w:val="left" w:pos="624"/>
        </w:tabs>
        <w:spacing w:after="120"/>
        <w:ind w:left="1247"/>
        <w:rPr>
          <w:lang w:val="fr-FR"/>
        </w:rPr>
      </w:pPr>
      <w:r w:rsidRPr="005808ED">
        <w:rPr>
          <w:lang w:val="fr-FR"/>
        </w:rPr>
        <w:t>Des informations techniques relatives aux recommandations pour l</w:t>
      </w:r>
      <w:r w:rsidR="00B3097B" w:rsidRPr="005808ED">
        <w:rPr>
          <w:lang w:val="fr-FR"/>
        </w:rPr>
        <w:t>’</w:t>
      </w:r>
      <w:r w:rsidRPr="005808ED">
        <w:rPr>
          <w:lang w:val="fr-FR"/>
        </w:rPr>
        <w:t>eau potable sont disponibles à l</w:t>
      </w:r>
      <w:r w:rsidR="00B3097B" w:rsidRPr="005808ED">
        <w:rPr>
          <w:lang w:val="fr-FR"/>
        </w:rPr>
        <w:t>’</w:t>
      </w:r>
      <w:r w:rsidRPr="005808ED">
        <w:rPr>
          <w:lang w:val="fr-FR"/>
        </w:rPr>
        <w:t>adresse suivante</w:t>
      </w:r>
      <w:r w:rsidR="0097152B" w:rsidRPr="005808ED">
        <w:rPr>
          <w:lang w:val="fr-FR"/>
        </w:rPr>
        <w:t> :</w:t>
      </w:r>
      <w:r w:rsidRPr="005808ED">
        <w:rPr>
          <w:lang w:val="fr-FR"/>
        </w:rPr>
        <w:t xml:space="preserve"> </w:t>
      </w:r>
      <w:hyperlink r:id="rId28" w:history="1">
        <w:r w:rsidR="00240790" w:rsidRPr="005808ED">
          <w:rPr>
            <w:rStyle w:val="Hyperlink"/>
          </w:rPr>
          <w:t>https://www.canada.ca/fr/sante-canada/services/publications/vie-saine/recommandations-pour-qualite-eau-potable-canada-document-technique-mercure.html</w:t>
        </w:r>
      </w:hyperlink>
      <w:r w:rsidR="00240790" w:rsidRPr="005808ED">
        <w:rPr>
          <w:lang w:val="fr-FR"/>
        </w:rPr>
        <w:t>.</w:t>
      </w:r>
    </w:p>
    <w:p w14:paraId="46E55530" w14:textId="77777777" w:rsidR="00F51980" w:rsidRPr="005808ED" w:rsidRDefault="00F51980" w:rsidP="00F51980">
      <w:pPr>
        <w:rPr>
          <w:lang w:val="fr-FR"/>
        </w:rPr>
      </w:pPr>
      <w:r w:rsidRPr="005808ED">
        <w:rPr>
          <w:lang w:val="fr-FR"/>
        </w:rPr>
        <w:br w:type="page"/>
      </w:r>
    </w:p>
    <w:p w14:paraId="6701DCB0" w14:textId="77777777" w:rsidR="00F51980" w:rsidRPr="005808ED" w:rsidRDefault="00F51980" w:rsidP="003974C1">
      <w:pPr>
        <w:pStyle w:val="ZZAnxheader"/>
        <w:rPr>
          <w:lang w:val="fr-FR"/>
        </w:rPr>
      </w:pPr>
      <w:bookmarkStart w:id="50" w:name="_Toc527017917"/>
      <w:r w:rsidRPr="005808ED">
        <w:rPr>
          <w:lang w:val="fr-FR"/>
        </w:rPr>
        <w:t>Appendice II</w:t>
      </w:r>
      <w:bookmarkEnd w:id="50"/>
    </w:p>
    <w:p w14:paraId="4D7C4C5D" w14:textId="77777777" w:rsidR="00F51980" w:rsidRPr="005808ED" w:rsidRDefault="00F51980" w:rsidP="003974C1">
      <w:pPr>
        <w:pStyle w:val="ZZAnxtitle"/>
        <w:rPr>
          <w:lang w:val="fr-FR"/>
        </w:rPr>
      </w:pPr>
      <w:bookmarkStart w:id="51" w:name="_Toc527017918"/>
      <w:r w:rsidRPr="005808ED">
        <w:rPr>
          <w:lang w:val="fr-FR"/>
        </w:rPr>
        <w:t>Cadre et arbre de décision initial pour la gestion des sites contaminés</w:t>
      </w:r>
      <w:bookmarkEnd w:id="51"/>
    </w:p>
    <w:p w14:paraId="348A725D" w14:textId="25C503D7" w:rsidR="00F51980" w:rsidRPr="005808ED" w:rsidRDefault="00F51980" w:rsidP="00F51980">
      <w:pPr>
        <w:pStyle w:val="Normal-pool"/>
        <w:tabs>
          <w:tab w:val="clear" w:pos="1247"/>
          <w:tab w:val="clear" w:pos="1814"/>
          <w:tab w:val="clear" w:pos="2381"/>
          <w:tab w:val="clear" w:pos="2948"/>
          <w:tab w:val="clear" w:pos="3515"/>
          <w:tab w:val="clear" w:pos="4082"/>
          <w:tab w:val="left" w:pos="624"/>
        </w:tabs>
        <w:spacing w:after="120"/>
        <w:ind w:left="1247"/>
        <w:rPr>
          <w:i/>
          <w:lang w:val="fr-FR"/>
        </w:rPr>
      </w:pPr>
      <w:r w:rsidRPr="005808ED">
        <w:rPr>
          <w:i/>
          <w:iCs/>
          <w:lang w:val="fr-FR"/>
        </w:rPr>
        <w:t>À élaborer à l</w:t>
      </w:r>
      <w:r w:rsidR="00B3097B" w:rsidRPr="005808ED">
        <w:rPr>
          <w:i/>
          <w:iCs/>
          <w:lang w:val="fr-FR"/>
        </w:rPr>
        <w:t>’</w:t>
      </w:r>
      <w:r w:rsidRPr="005808ED">
        <w:rPr>
          <w:i/>
          <w:iCs/>
          <w:lang w:val="fr-FR"/>
        </w:rPr>
        <w:t>issue de la deuxième</w:t>
      </w:r>
      <w:r w:rsidR="003974C1" w:rsidRPr="005808ED">
        <w:rPr>
          <w:i/>
          <w:iCs/>
          <w:lang w:val="fr-FR"/>
        </w:rPr>
        <w:t> </w:t>
      </w:r>
      <w:r w:rsidRPr="005808ED">
        <w:rPr>
          <w:i/>
          <w:iCs/>
          <w:lang w:val="fr-FR"/>
        </w:rPr>
        <w:t>réunion de la Conférence des Parties à la Convention de</w:t>
      </w:r>
      <w:r w:rsidR="000F4CA6" w:rsidRPr="005808ED">
        <w:rPr>
          <w:i/>
          <w:iCs/>
          <w:lang w:val="fr-FR"/>
        </w:rPr>
        <w:t> </w:t>
      </w:r>
      <w:r w:rsidRPr="005808ED">
        <w:rPr>
          <w:i/>
          <w:iCs/>
          <w:lang w:val="fr-FR"/>
        </w:rPr>
        <w:t>Minamata sur le mercure.</w:t>
      </w:r>
      <w:r w:rsidRPr="005808ED">
        <w:rPr>
          <w:lang w:val="fr-FR"/>
        </w:rPr>
        <w:t xml:space="preserve"> </w:t>
      </w:r>
    </w:p>
    <w:p w14:paraId="3E5226D0" w14:textId="77777777" w:rsidR="00F252EE" w:rsidRPr="005808ED" w:rsidRDefault="00F252EE" w:rsidP="00F51980">
      <w:pPr>
        <w:pStyle w:val="Normal-pool"/>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520198" w:rsidRPr="005808ED" w14:paraId="1BEEC2E8" w14:textId="77777777" w:rsidTr="00F51980">
        <w:tc>
          <w:tcPr>
            <w:tcW w:w="1942" w:type="dxa"/>
          </w:tcPr>
          <w:p w14:paraId="70A7C8E9" w14:textId="77777777" w:rsidR="00520198" w:rsidRPr="005808ED" w:rsidRDefault="00520198" w:rsidP="00F51980">
            <w:pPr>
              <w:pStyle w:val="Normal-pool"/>
              <w:spacing w:before="520"/>
              <w:rPr>
                <w:lang w:val="fr-FR"/>
              </w:rPr>
            </w:pPr>
          </w:p>
        </w:tc>
        <w:tc>
          <w:tcPr>
            <w:tcW w:w="1942" w:type="dxa"/>
          </w:tcPr>
          <w:p w14:paraId="6FD37A31" w14:textId="77777777" w:rsidR="00520198" w:rsidRPr="005808ED" w:rsidRDefault="00520198" w:rsidP="00F51980">
            <w:pPr>
              <w:pStyle w:val="Normal-pool"/>
              <w:spacing w:before="520"/>
              <w:rPr>
                <w:lang w:val="fr-FR"/>
              </w:rPr>
            </w:pPr>
          </w:p>
        </w:tc>
        <w:tc>
          <w:tcPr>
            <w:tcW w:w="1942" w:type="dxa"/>
            <w:tcBorders>
              <w:bottom w:val="single" w:sz="4" w:space="0" w:color="auto"/>
            </w:tcBorders>
          </w:tcPr>
          <w:p w14:paraId="1F03AB34" w14:textId="77777777" w:rsidR="00520198" w:rsidRPr="005808ED" w:rsidRDefault="00520198" w:rsidP="00F51980">
            <w:pPr>
              <w:pStyle w:val="Normal-pool"/>
              <w:spacing w:before="520"/>
              <w:rPr>
                <w:lang w:val="fr-FR"/>
              </w:rPr>
            </w:pPr>
          </w:p>
        </w:tc>
        <w:tc>
          <w:tcPr>
            <w:tcW w:w="1943" w:type="dxa"/>
          </w:tcPr>
          <w:p w14:paraId="6ACBB80A" w14:textId="77777777" w:rsidR="00520198" w:rsidRPr="005808ED" w:rsidRDefault="00520198" w:rsidP="00F51980">
            <w:pPr>
              <w:pStyle w:val="Normal-pool"/>
              <w:spacing w:before="520"/>
              <w:rPr>
                <w:lang w:val="fr-FR"/>
              </w:rPr>
            </w:pPr>
          </w:p>
        </w:tc>
        <w:tc>
          <w:tcPr>
            <w:tcW w:w="1943" w:type="dxa"/>
          </w:tcPr>
          <w:p w14:paraId="246042C8" w14:textId="77777777" w:rsidR="00520198" w:rsidRPr="005808ED" w:rsidRDefault="00520198" w:rsidP="00F51980">
            <w:pPr>
              <w:pStyle w:val="Normal-pool"/>
              <w:spacing w:before="520"/>
              <w:rPr>
                <w:lang w:val="fr-FR"/>
              </w:rPr>
            </w:pPr>
          </w:p>
        </w:tc>
      </w:tr>
    </w:tbl>
    <w:p w14:paraId="31B8065D" w14:textId="77777777" w:rsidR="00F252EE" w:rsidRPr="005808ED" w:rsidRDefault="00F252EE" w:rsidP="00F51980">
      <w:pPr>
        <w:pStyle w:val="Normal-pool"/>
        <w:rPr>
          <w:lang w:val="fr-FR"/>
        </w:rPr>
      </w:pPr>
    </w:p>
    <w:p w14:paraId="7BD8ED95" w14:textId="77777777" w:rsidR="00E2652F" w:rsidRPr="005808ED" w:rsidRDefault="00E2652F">
      <w:pPr>
        <w:pStyle w:val="Normal-pool"/>
        <w:rPr>
          <w:lang w:val="fr-FR"/>
        </w:rPr>
      </w:pPr>
    </w:p>
    <w:sectPr w:rsidR="00E2652F" w:rsidRPr="005808ED" w:rsidSect="00E429A9">
      <w:headerReference w:type="even" r:id="rId29"/>
      <w:headerReference w:type="default" r:id="rId30"/>
      <w:headerReference w:type="first" r:id="rId31"/>
      <w:footerReference w:type="first" r:id="rId3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395FD" w14:textId="77777777" w:rsidR="00FA6C22" w:rsidRDefault="00FA6C22">
      <w:r>
        <w:separator/>
      </w:r>
    </w:p>
  </w:endnote>
  <w:endnote w:type="continuationSeparator" w:id="0">
    <w:p w14:paraId="3C6025EF" w14:textId="77777777" w:rsidR="00FA6C22" w:rsidRDefault="00FA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BAB3" w14:textId="286E3D68" w:rsidR="00FA6C22" w:rsidRDefault="00FA6C22">
    <w:pPr>
      <w:pStyle w:val="Footer"/>
    </w:pPr>
    <w:r>
      <w:rPr>
        <w:rStyle w:val="PageNumber"/>
      </w:rPr>
      <w:fldChar w:fldCharType="begin"/>
    </w:r>
    <w:r>
      <w:rPr>
        <w:rStyle w:val="PageNumber"/>
      </w:rPr>
      <w:instrText xml:space="preserve"> PAGE </w:instrText>
    </w:r>
    <w:r>
      <w:rPr>
        <w:rStyle w:val="PageNumber"/>
      </w:rPr>
      <w:fldChar w:fldCharType="separate"/>
    </w:r>
    <w:r w:rsidR="0080393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8160" w14:textId="227C8B7F" w:rsidR="00FA6C22" w:rsidRDefault="00FA6C2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03936">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0E47" w14:textId="5EF7535F" w:rsidR="00FA6C22" w:rsidRPr="00582B27" w:rsidRDefault="00FA6C22">
    <w:pPr>
      <w:pStyle w:val="Footer"/>
      <w:rPr>
        <w:sz w:val="20"/>
      </w:rPr>
    </w:pPr>
    <w:r>
      <w:rPr>
        <w:sz w:val="20"/>
      </w:rPr>
      <w:t>K1801935</w:t>
    </w:r>
    <w:r w:rsidRPr="00582B27">
      <w:rPr>
        <w:sz w:val="20"/>
      </w:rPr>
      <w:tab/>
      <w:t>1</w:t>
    </w:r>
    <w:r>
      <w:rPr>
        <w:sz w:val="20"/>
      </w:rPr>
      <w:t>110</w:t>
    </w:r>
    <w:r w:rsidRPr="00582B27">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685898"/>
      <w:docPartObj>
        <w:docPartGallery w:val="Page Numbers (Bottom of Page)"/>
        <w:docPartUnique/>
      </w:docPartObj>
    </w:sdtPr>
    <w:sdtEndPr>
      <w:rPr>
        <w:b/>
        <w:noProof/>
      </w:rPr>
    </w:sdtEndPr>
    <w:sdtContent>
      <w:p w14:paraId="7D9F5F11" w14:textId="7D936A53" w:rsidR="00FA6C22" w:rsidRPr="00F51980" w:rsidRDefault="00FA6C22" w:rsidP="00F51980">
        <w:pPr>
          <w:pStyle w:val="Footer"/>
          <w:jc w:val="right"/>
          <w:rPr>
            <w:b/>
          </w:rPr>
        </w:pPr>
        <w:r w:rsidRPr="00F51980">
          <w:rPr>
            <w:b/>
          </w:rPr>
          <w:fldChar w:fldCharType="begin"/>
        </w:r>
        <w:r w:rsidRPr="00F51980">
          <w:rPr>
            <w:b/>
          </w:rPr>
          <w:instrText xml:space="preserve"> PAGE   \* MERGEFORMAT </w:instrText>
        </w:r>
        <w:r w:rsidRPr="00F51980">
          <w:rPr>
            <w:b/>
          </w:rPr>
          <w:fldChar w:fldCharType="separate"/>
        </w:r>
        <w:r w:rsidR="00803936">
          <w:rPr>
            <w:b/>
            <w:noProof/>
          </w:rPr>
          <w:t>3</w:t>
        </w:r>
        <w:r w:rsidRPr="00F51980">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4FD0E" w14:textId="77777777" w:rsidR="00FA6C22" w:rsidRDefault="00FA6C22" w:rsidP="00E2652F">
      <w:pPr>
        <w:spacing w:before="60"/>
        <w:ind w:left="624"/>
      </w:pPr>
      <w:r>
        <w:separator/>
      </w:r>
    </w:p>
  </w:footnote>
  <w:footnote w:type="continuationSeparator" w:id="0">
    <w:p w14:paraId="6672699C" w14:textId="77777777" w:rsidR="00FA6C22" w:rsidRDefault="00FA6C22">
      <w:r>
        <w:continuationSeparator/>
      </w:r>
    </w:p>
  </w:footnote>
  <w:footnote w:id="1">
    <w:p w14:paraId="1BC59CD2" w14:textId="7C71ED24" w:rsidR="00FA6C22" w:rsidRPr="001118BA" w:rsidRDefault="00FA6C22" w:rsidP="00E54866">
      <w:pPr>
        <w:tabs>
          <w:tab w:val="left" w:pos="624"/>
        </w:tabs>
        <w:spacing w:before="20" w:after="40"/>
        <w:ind w:left="1247"/>
        <w:rPr>
          <w:sz w:val="18"/>
          <w:szCs w:val="18"/>
        </w:rPr>
      </w:pPr>
      <w:r w:rsidRPr="00FE5E14">
        <w:rPr>
          <w:sz w:val="18"/>
          <w:szCs w:val="18"/>
          <w:lang w:val="fr-FR"/>
        </w:rPr>
        <w:t>* UNEP/MC/COP.2/1.</w:t>
      </w:r>
    </w:p>
  </w:footnote>
  <w:footnote w:id="2">
    <w:p w14:paraId="071DDA51" w14:textId="24F56DEC" w:rsidR="00FA6C22" w:rsidRPr="00F51980" w:rsidRDefault="00FA6C22" w:rsidP="00520198">
      <w:pPr>
        <w:pStyle w:val="FootnoteText"/>
        <w:tabs>
          <w:tab w:val="clear" w:pos="1247"/>
        </w:tabs>
        <w:rPr>
          <w:szCs w:val="18"/>
        </w:rPr>
      </w:pPr>
      <w:r w:rsidRPr="00F51980">
        <w:rPr>
          <w:rStyle w:val="FootnoteReference"/>
          <w:sz w:val="18"/>
        </w:rPr>
        <w:footnoteRef/>
      </w:r>
      <w:r>
        <w:t xml:space="preserve"> Voir, par exemple, le Western Australian Contaminated Sites Act 2003, Part 2, Division 1, sect.11 (3) du Gouvernement d’Australie-Occidentale, disponible à l’adresse suivante (en anglais uniquement) : </w:t>
      </w:r>
      <w:hyperlink r:id="rId1" w:history="1">
        <w:r w:rsidRPr="00D27B4A">
          <w:rPr>
            <w:rStyle w:val="Hyperlink"/>
            <w:sz w:val="18"/>
          </w:rPr>
          <w:t>https://www.legislation.wa.gov.au</w:t>
        </w:r>
      </w:hyperlink>
      <w:r>
        <w:t>.</w:t>
      </w:r>
    </w:p>
  </w:footnote>
  <w:footnote w:id="3">
    <w:p w14:paraId="1F4D077B" w14:textId="1AD9EA8C" w:rsidR="00FA6C22" w:rsidRPr="00825F66" w:rsidRDefault="00FA6C22" w:rsidP="00F51980">
      <w:pPr>
        <w:pStyle w:val="CommentText"/>
        <w:spacing w:before="20" w:after="40"/>
        <w:ind w:left="1247"/>
        <w:rPr>
          <w:sz w:val="18"/>
          <w:szCs w:val="18"/>
          <w:lang w:val="fr-FR"/>
        </w:rPr>
      </w:pPr>
      <w:r w:rsidRPr="00AB4DCF">
        <w:rPr>
          <w:rStyle w:val="FootnoteReference"/>
          <w:sz w:val="18"/>
          <w:lang w:val="fr-FR"/>
        </w:rPr>
        <w:footnoteRef/>
      </w:r>
      <w:r>
        <w:rPr>
          <w:lang w:val="fr-FR"/>
        </w:rPr>
        <w:t xml:space="preserve"> </w:t>
      </w:r>
      <w:r w:rsidRPr="00825F66">
        <w:rPr>
          <w:sz w:val="18"/>
          <w:szCs w:val="18"/>
          <w:lang w:val="fr-FR"/>
        </w:rPr>
        <w:t>L’institution Santé Canada a également conçu un outil pour l’élaboration systématique d’un modèle conceptuel des sites. La Division des lieux contaminés de Santé Canada met l’outil à disposition sur demande adressée par le biais du formulaire accessible ici : https://www.canada.ca/fr/sante-canada/organisation/contactez-nous/division-lieux-contamines.html.</w:t>
      </w:r>
    </w:p>
  </w:footnote>
  <w:footnote w:id="4">
    <w:p w14:paraId="6924BA0B" w14:textId="0EF79919" w:rsidR="00FA6C22" w:rsidRPr="00F51980" w:rsidRDefault="00FA6C22" w:rsidP="00AB4DCF">
      <w:pPr>
        <w:pStyle w:val="FootnoteText"/>
        <w:tabs>
          <w:tab w:val="clear" w:pos="1247"/>
        </w:tabs>
        <w:rPr>
          <w:szCs w:val="18"/>
        </w:rPr>
      </w:pPr>
      <w:r w:rsidRPr="00F51980">
        <w:rPr>
          <w:rStyle w:val="FootnoteReference"/>
          <w:sz w:val="18"/>
        </w:rPr>
        <w:footnoteRef/>
      </w:r>
      <w:r>
        <w:t xml:space="preserve"> Voir par exemple https://www.epa.gov/risk/regional-screening-levels-rsls-generic-tables (en anglais uniquement).</w:t>
      </w:r>
    </w:p>
  </w:footnote>
  <w:footnote w:id="5">
    <w:p w14:paraId="41023953" w14:textId="544F8AD0" w:rsidR="00FA6C22" w:rsidRPr="00F51980" w:rsidRDefault="00FA6C22" w:rsidP="00975ED3">
      <w:pPr>
        <w:pStyle w:val="FootnoteText"/>
        <w:tabs>
          <w:tab w:val="clear" w:pos="1247"/>
        </w:tabs>
        <w:rPr>
          <w:szCs w:val="18"/>
        </w:rPr>
      </w:pPr>
      <w:r w:rsidRPr="00F51980">
        <w:rPr>
          <w:rStyle w:val="FootnoteReference"/>
          <w:sz w:val="18"/>
        </w:rPr>
        <w:footnoteRef/>
      </w:r>
      <w:r>
        <w:t xml:space="preserve"> Voir par exemple le lien suivant : </w:t>
      </w:r>
      <w:hyperlink r:id="rId2" w:history="1">
        <w:r w:rsidRPr="00D27B4A">
          <w:rPr>
            <w:rStyle w:val="Hyperlink"/>
            <w:sz w:val="18"/>
          </w:rPr>
          <w:t>https://www.epa.gov/superfund/superfund-community-involvement-tools-and-resources</w:t>
        </w:r>
      </w:hyperlink>
      <w:r>
        <w:t xml:space="preserve"> (en anglais uniquement).</w:t>
      </w:r>
    </w:p>
  </w:footnote>
  <w:footnote w:id="6">
    <w:p w14:paraId="0D5DEC43" w14:textId="5A7C2469" w:rsidR="00FA6C22" w:rsidRPr="00A309BF" w:rsidRDefault="00FA6C22">
      <w:pPr>
        <w:pStyle w:val="FootnoteText"/>
        <w:rPr>
          <w:sz w:val="16"/>
          <w:szCs w:val="16"/>
        </w:rPr>
      </w:pPr>
      <w:r>
        <w:rPr>
          <w:rStyle w:val="FootnoteReference"/>
        </w:rPr>
        <w:footnoteRef/>
      </w:r>
      <w:r>
        <w:t xml:space="preserve"> </w:t>
      </w:r>
      <w:r w:rsidRPr="00A309BF">
        <w:rPr>
          <w:sz w:val="16"/>
          <w:szCs w:val="16"/>
        </w:rPr>
        <w:t>http://www.mercuryconvention.org/Portals/11/documents/forms%20and%20guidance/English/BATBEP_introduction.pdf.</w:t>
      </w:r>
    </w:p>
  </w:footnote>
  <w:footnote w:id="7">
    <w:p w14:paraId="673D8846" w14:textId="52FA997A" w:rsidR="00FA6C22" w:rsidRPr="00A309BF" w:rsidRDefault="00FA6C22" w:rsidP="0055545E">
      <w:pPr>
        <w:pStyle w:val="FootnoteText"/>
        <w:rPr>
          <w:sz w:val="16"/>
          <w:szCs w:val="16"/>
          <w:lang w:val="en-US"/>
        </w:rPr>
      </w:pPr>
      <w:r>
        <w:rPr>
          <w:rStyle w:val="FootnoteReference"/>
        </w:rPr>
        <w:footnoteRef/>
      </w:r>
      <w:r w:rsidRPr="00906D96">
        <w:rPr>
          <w:lang w:val="en-US"/>
        </w:rPr>
        <w:t xml:space="preserve"> </w:t>
      </w:r>
      <w:r w:rsidRPr="00A309BF">
        <w:rPr>
          <w:sz w:val="16"/>
          <w:szCs w:val="16"/>
          <w:lang w:val="en-US"/>
        </w:rPr>
        <w:t>CLARINET – Contaminated Land Rehabilitation Network for Environmental Technologies (https://www.commonforum.eu/references_clarinet.asp) et CARACAS – Concerted Action for Risk Assessment for Contaminated Sites in Europe (</w:t>
      </w:r>
      <w:hyperlink r:id="rId3" w:history="1">
        <w:r w:rsidRPr="00A309BF">
          <w:rPr>
            <w:rStyle w:val="Hyperlink"/>
            <w:sz w:val="16"/>
            <w:szCs w:val="16"/>
            <w:lang w:val="en-US"/>
          </w:rPr>
          <w:t>https://www.commonforum.eu/references_caracas.asp</w:t>
        </w:r>
      </w:hyperlink>
      <w:r w:rsidRPr="00A309BF">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FCC5" w14:textId="57B81403" w:rsidR="00FA6C22" w:rsidRPr="00CA5CA9" w:rsidRDefault="00FA6C22"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ECCB" w14:textId="4BE4A622" w:rsidR="00FA6C22" w:rsidRPr="00CA5CA9" w:rsidRDefault="00FA6C2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69DC" w14:textId="1DFB960C" w:rsidR="00FA6C22" w:rsidRPr="00AB4DCF" w:rsidRDefault="00FA6C22" w:rsidP="00F51980">
    <w:pPr>
      <w:pStyle w:val="Header"/>
      <w:pBdr>
        <w:bottom w:val="none" w:sz="0" w:space="0" w:color="auto"/>
      </w:pBdr>
      <w:jc w:val="right"/>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EA33" w14:textId="5AB31CCC" w:rsidR="00FA6C22" w:rsidRDefault="00FA6C22">
    <w:pPr>
      <w:pStyle w:val="Heade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4ADA" w14:textId="2464A9A2" w:rsidR="00FA6C22" w:rsidRDefault="00FA6C22" w:rsidP="0067260F">
    <w:pPr>
      <w:pStyle w:val="Header"/>
      <w:jc w:val="right"/>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5ADB" w14:textId="1DC64789" w:rsidR="00FA6C22" w:rsidRDefault="00FA6C22" w:rsidP="0067260F">
    <w:pPr>
      <w:pStyle w:val="Header"/>
      <w:jc w:val="right"/>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AE4"/>
    <w:multiLevelType w:val="hybridMultilevel"/>
    <w:tmpl w:val="E54AC2BC"/>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04420B23"/>
    <w:multiLevelType w:val="hybridMultilevel"/>
    <w:tmpl w:val="1A103CF8"/>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 w15:restartNumberingAfterBreak="0">
    <w:nsid w:val="108C7D43"/>
    <w:multiLevelType w:val="hybridMultilevel"/>
    <w:tmpl w:val="52BC747A"/>
    <w:lvl w:ilvl="0" w:tplc="06C068FE">
      <w:start w:val="1"/>
      <w:numFmt w:val="decimal"/>
      <w:lvlText w:val="%1."/>
      <w:lvlJc w:val="left"/>
      <w:pPr>
        <w:ind w:left="1920" w:hanging="360"/>
      </w:pPr>
      <w:rPr>
        <w:i w:val="0"/>
        <w:iCs w:val="0"/>
        <w:sz w:val="20"/>
        <w:szCs w:val="2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15:restartNumberingAfterBreak="0">
    <w:nsid w:val="185B7F38"/>
    <w:multiLevelType w:val="hybridMultilevel"/>
    <w:tmpl w:val="EDC2B1B4"/>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 w15:restartNumberingAfterBreak="0">
    <w:nsid w:val="19CA0FB5"/>
    <w:multiLevelType w:val="hybridMultilevel"/>
    <w:tmpl w:val="8292853A"/>
    <w:lvl w:ilvl="0" w:tplc="7E1A289E">
      <w:start w:val="33"/>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1E085EE2"/>
    <w:multiLevelType w:val="hybridMultilevel"/>
    <w:tmpl w:val="872E735C"/>
    <w:lvl w:ilvl="0" w:tplc="FC62D3A0">
      <w:start w:val="1"/>
      <w:numFmt w:val="decimal"/>
      <w:lvlText w:val="%1."/>
      <w:lvlJc w:val="left"/>
      <w:pPr>
        <w:ind w:left="1817" w:hanging="570"/>
      </w:pPr>
      <w:rPr>
        <w:rFonts w:hint="default"/>
        <w:i/>
      </w:rPr>
    </w:lvl>
    <w:lvl w:ilvl="1" w:tplc="0F7674F2">
      <w:start w:val="1"/>
      <w:numFmt w:val="lowerLetter"/>
      <w:lvlText w:val="(%2)"/>
      <w:lvlJc w:val="left"/>
      <w:pPr>
        <w:ind w:left="2327" w:hanging="360"/>
      </w:pPr>
      <w:rPr>
        <w:rFonts w:ascii="Times New Roman" w:hAnsi="Times New Roman"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7" w15:restartNumberingAfterBreak="0">
    <w:nsid w:val="1F634655"/>
    <w:multiLevelType w:val="hybridMultilevel"/>
    <w:tmpl w:val="3076A02E"/>
    <w:lvl w:ilvl="0" w:tplc="FC62D3A0">
      <w:start w:val="1"/>
      <w:numFmt w:val="decimal"/>
      <w:lvlText w:val="%1."/>
      <w:lvlJc w:val="left"/>
      <w:pPr>
        <w:ind w:left="1817" w:hanging="570"/>
      </w:pPr>
      <w:rPr>
        <w:rFonts w:hint="default"/>
        <w:i/>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8" w15:restartNumberingAfterBreak="0">
    <w:nsid w:val="1FE4137B"/>
    <w:multiLevelType w:val="hybridMultilevel"/>
    <w:tmpl w:val="CE2E3100"/>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9" w15:restartNumberingAfterBreak="0">
    <w:nsid w:val="201C7F90"/>
    <w:multiLevelType w:val="hybridMultilevel"/>
    <w:tmpl w:val="A1BC2F74"/>
    <w:lvl w:ilvl="0" w:tplc="005ABD78">
      <w:start w:val="1"/>
      <w:numFmt w:val="decimal"/>
      <w:pStyle w:val="Normalnumber"/>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15:restartNumberingAfterBreak="0">
    <w:nsid w:val="21090D12"/>
    <w:multiLevelType w:val="hybridMultilevel"/>
    <w:tmpl w:val="B0ECF8C2"/>
    <w:lvl w:ilvl="0" w:tplc="EE68D482">
      <w:start w:val="1"/>
      <w:numFmt w:val="decimal"/>
      <w:lvlText w:val="%1."/>
      <w:lvlJc w:val="left"/>
      <w:pPr>
        <w:ind w:left="2162" w:hanging="720"/>
      </w:pPr>
      <w:rPr>
        <w:rFonts w:hint="default"/>
      </w:rPr>
    </w:lvl>
    <w:lvl w:ilvl="1" w:tplc="B032D95A">
      <w:start w:val="1"/>
      <w:numFmt w:val="lowerLetter"/>
      <w:lvlText w:val="%2)"/>
      <w:lvlJc w:val="left"/>
      <w:pPr>
        <w:ind w:left="2522"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1" w15:restartNumberingAfterBreak="0">
    <w:nsid w:val="21EF0853"/>
    <w:multiLevelType w:val="hybridMultilevel"/>
    <w:tmpl w:val="715AE860"/>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2" w15:restartNumberingAfterBreak="0">
    <w:nsid w:val="251C5798"/>
    <w:multiLevelType w:val="hybridMultilevel"/>
    <w:tmpl w:val="097E68EE"/>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4AE617F2"/>
    <w:multiLevelType w:val="hybridMultilevel"/>
    <w:tmpl w:val="A71C56EC"/>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A4D89"/>
    <w:multiLevelType w:val="hybridMultilevel"/>
    <w:tmpl w:val="B2923E8A"/>
    <w:lvl w:ilvl="0" w:tplc="7E1A289E">
      <w:start w:val="33"/>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6" w15:restartNumberingAfterBreak="0">
    <w:nsid w:val="4E747F45"/>
    <w:multiLevelType w:val="hybridMultilevel"/>
    <w:tmpl w:val="7CA2B58A"/>
    <w:lvl w:ilvl="0" w:tplc="EE68D482">
      <w:start w:val="1"/>
      <w:numFmt w:val="decimal"/>
      <w:lvlText w:val="%1."/>
      <w:lvlJc w:val="left"/>
      <w:pPr>
        <w:ind w:left="2162" w:hanging="720"/>
      </w:pPr>
      <w:rPr>
        <w:rFonts w:hint="default"/>
      </w:rPr>
    </w:lvl>
    <w:lvl w:ilvl="1" w:tplc="04090019">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7" w15:restartNumberingAfterBreak="0">
    <w:nsid w:val="4FC04293"/>
    <w:multiLevelType w:val="hybridMultilevel"/>
    <w:tmpl w:val="9A52B35E"/>
    <w:lvl w:ilvl="0" w:tplc="01AA33D6">
      <w:start w:val="1"/>
      <w:numFmt w:val="decimal"/>
      <w:lvlText w:val="%1."/>
      <w:lvlJc w:val="left"/>
      <w:pPr>
        <w:ind w:left="1920" w:hanging="360"/>
      </w:pPr>
      <w:rPr>
        <w:i w:val="0"/>
        <w:iCs w:val="0"/>
      </w:rPr>
    </w:lvl>
    <w:lvl w:ilvl="1" w:tplc="10090001">
      <w:start w:val="1"/>
      <w:numFmt w:val="bullet"/>
      <w:lvlText w:val=""/>
      <w:lvlJc w:val="left"/>
      <w:pPr>
        <w:ind w:left="2687" w:hanging="360"/>
      </w:pPr>
      <w:rPr>
        <w:rFonts w:ascii="Symbol" w:hAnsi="Symbol"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8"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59281BC3"/>
    <w:multiLevelType w:val="hybridMultilevel"/>
    <w:tmpl w:val="48D20530"/>
    <w:lvl w:ilvl="0" w:tplc="B096E204">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0"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6BA20185"/>
    <w:multiLevelType w:val="hybridMultilevel"/>
    <w:tmpl w:val="B5EE0280"/>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2" w15:restartNumberingAfterBreak="0">
    <w:nsid w:val="762C4D5C"/>
    <w:multiLevelType w:val="hybridMultilevel"/>
    <w:tmpl w:val="145A34A4"/>
    <w:lvl w:ilvl="0" w:tplc="276248C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44140"/>
    <w:multiLevelType w:val="hybridMultilevel"/>
    <w:tmpl w:val="659A4362"/>
    <w:lvl w:ilvl="0" w:tplc="01AA33D6">
      <w:start w:val="1"/>
      <w:numFmt w:val="decimal"/>
      <w:lvlText w:val="%1."/>
      <w:lvlJc w:val="left"/>
      <w:pPr>
        <w:ind w:left="1920" w:hanging="360"/>
      </w:pPr>
      <w:rPr>
        <w:i w:val="0"/>
        <w:iCs w:val="0"/>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4" w15:restartNumberingAfterBreak="0">
    <w:nsid w:val="781F7FD1"/>
    <w:multiLevelType w:val="hybridMultilevel"/>
    <w:tmpl w:val="5BCAD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13"/>
  </w:num>
  <w:num w:numId="4">
    <w:abstractNumId w:val="18"/>
  </w:num>
  <w:num w:numId="5">
    <w:abstractNumId w:val="9"/>
    <w:lvlOverride w:ilvl="0">
      <w:lvl w:ilvl="0" w:tplc="005ABD78">
        <w:start w:val="1"/>
        <w:numFmt w:val="decimal"/>
        <w:pStyle w:val="Normalnumber"/>
        <w:lvlText w:val="%1."/>
        <w:lvlJc w:val="left"/>
        <w:pPr>
          <w:ind w:left="2591" w:hanging="360"/>
        </w:pPr>
      </w:lvl>
    </w:lvlOverride>
  </w:num>
  <w:num w:numId="6">
    <w:abstractNumId w:val="7"/>
  </w:num>
  <w:num w:numId="7">
    <w:abstractNumId w:val="18"/>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20"/>
  </w:num>
  <w:num w:numId="9">
    <w:abstractNumId w:val="18"/>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19"/>
  </w:num>
  <w:num w:numId="11">
    <w:abstractNumId w:val="16"/>
  </w:num>
  <w:num w:numId="12">
    <w:abstractNumId w:val="2"/>
  </w:num>
  <w:num w:numId="13">
    <w:abstractNumId w:val="4"/>
  </w:num>
  <w:num w:numId="14">
    <w:abstractNumId w:val="6"/>
  </w:num>
  <w:num w:numId="15">
    <w:abstractNumId w:val="15"/>
  </w:num>
  <w:num w:numId="16">
    <w:abstractNumId w:val="11"/>
  </w:num>
  <w:num w:numId="17">
    <w:abstractNumId w:val="21"/>
  </w:num>
  <w:num w:numId="18">
    <w:abstractNumId w:val="0"/>
  </w:num>
  <w:num w:numId="19">
    <w:abstractNumId w:val="12"/>
  </w:num>
  <w:num w:numId="20">
    <w:abstractNumId w:val="23"/>
  </w:num>
  <w:num w:numId="21">
    <w:abstractNumId w:val="8"/>
  </w:num>
  <w:num w:numId="22">
    <w:abstractNumId w:val="10"/>
  </w:num>
  <w:num w:numId="23">
    <w:abstractNumId w:val="1"/>
  </w:num>
  <w:num w:numId="24">
    <w:abstractNumId w:val="3"/>
  </w:num>
  <w:num w:numId="25">
    <w:abstractNumId w:val="17"/>
  </w:num>
  <w:num w:numId="26">
    <w:abstractNumId w:val="14"/>
    <w:lvlOverride w:ilvl="0">
      <w:lvl w:ilvl="0" w:tplc="B032D95A">
        <w:start w:val="1"/>
        <w:numFmt w:val="lowerLetter"/>
        <w:lvlText w:val="%1)"/>
        <w:lvlJc w:val="left"/>
        <w:pPr>
          <w:ind w:left="720" w:hanging="360"/>
        </w:pPr>
        <w:rPr>
          <w:rFonts w:hint="default"/>
        </w:rPr>
      </w:lvl>
    </w:lvlOverride>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9"/>
  </w:num>
  <w:num w:numId="81">
    <w:abstractNumId w:val="9"/>
  </w:num>
  <w:num w:numId="82">
    <w:abstractNumId w:val="9"/>
  </w:num>
  <w:num w:numId="83">
    <w:abstractNumId w:val="9"/>
  </w:num>
  <w:num w:numId="84">
    <w:abstractNumId w:val="9"/>
  </w:num>
  <w:num w:numId="85">
    <w:abstractNumId w:val="9"/>
  </w:num>
  <w:num w:numId="86">
    <w:abstractNumId w:val="9"/>
  </w:num>
  <w:num w:numId="87">
    <w:abstractNumId w:val="9"/>
  </w:num>
  <w:num w:numId="88">
    <w:abstractNumId w:val="9"/>
  </w:num>
  <w:num w:numId="89">
    <w:abstractNumId w:val="9"/>
  </w:num>
  <w:num w:numId="90">
    <w:abstractNumId w:val="9"/>
  </w:num>
  <w:num w:numId="91">
    <w:abstractNumId w:val="9"/>
  </w:num>
  <w:num w:numId="92">
    <w:abstractNumId w:val="9"/>
  </w:num>
  <w:num w:numId="93">
    <w:abstractNumId w:val="9"/>
  </w:num>
  <w:num w:numId="94">
    <w:abstractNumId w:val="9"/>
  </w:num>
  <w:num w:numId="95">
    <w:abstractNumId w:val="9"/>
  </w:num>
  <w:num w:numId="96">
    <w:abstractNumId w:val="9"/>
  </w:num>
  <w:num w:numId="97">
    <w:abstractNumId w:val="9"/>
  </w:num>
  <w:num w:numId="98">
    <w:abstractNumId w:val="9"/>
  </w:num>
  <w:num w:numId="99">
    <w:abstractNumId w:val="9"/>
  </w:num>
  <w:num w:numId="100">
    <w:abstractNumId w:val="9"/>
  </w:num>
  <w:num w:numId="101">
    <w:abstractNumId w:val="9"/>
  </w:num>
  <w:num w:numId="102">
    <w:abstractNumId w:val="9"/>
  </w:num>
  <w:num w:numId="103">
    <w:abstractNumId w:val="9"/>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9"/>
  </w:num>
  <w:num w:numId="112">
    <w:abstractNumId w:val="9"/>
  </w:num>
  <w:num w:numId="113">
    <w:abstractNumId w:val="9"/>
  </w:num>
  <w:num w:numId="114">
    <w:abstractNumId w:val="9"/>
  </w:num>
  <w:num w:numId="115">
    <w:abstractNumId w:val="9"/>
  </w:num>
  <w:num w:numId="116">
    <w:abstractNumId w:val="9"/>
  </w:num>
  <w:num w:numId="117">
    <w:abstractNumId w:val="9"/>
  </w:num>
  <w:num w:numId="118">
    <w:abstractNumId w:val="9"/>
  </w:num>
  <w:num w:numId="119">
    <w:abstractNumId w:val="9"/>
  </w:num>
  <w:num w:numId="120">
    <w:abstractNumId w:val="9"/>
  </w:num>
  <w:num w:numId="121">
    <w:abstractNumId w:val="9"/>
  </w:num>
  <w:num w:numId="122">
    <w:abstractNumId w:val="9"/>
  </w:num>
  <w:num w:numId="123">
    <w:abstractNumId w:val="9"/>
  </w:num>
  <w:num w:numId="124">
    <w:abstractNumId w:val="9"/>
  </w:num>
  <w:num w:numId="125">
    <w:abstractNumId w:val="14"/>
  </w:num>
  <w:num w:numId="126">
    <w:abstractNumId w:val="24"/>
  </w:num>
  <w:num w:numId="127">
    <w:abstractNumId w:val="22"/>
  </w:num>
  <w:num w:numId="128">
    <w:abstractNumId w:val="9"/>
    <w:lvlOverride w:ilvl="0">
      <w:lvl w:ilvl="0" w:tplc="005ABD78">
        <w:start w:val="1"/>
        <w:numFmt w:val="decimal"/>
        <w:pStyle w:val="Normalnumber"/>
        <w:lvlText w:val="%1."/>
        <w:lvlJc w:val="left"/>
        <w:pPr>
          <w:ind w:left="2591" w:hanging="360"/>
        </w:pPr>
      </w:lvl>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AU" w:vendorID="64" w:dllVersion="0" w:nlCheck="1" w:checkStyle="1"/>
  <w:activeWritingStyle w:appName="MSWord" w:lang="fr-FR"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748"/>
    <w:rsid w:val="000024A3"/>
    <w:rsid w:val="000024AA"/>
    <w:rsid w:val="000057BB"/>
    <w:rsid w:val="000077AD"/>
    <w:rsid w:val="000101CC"/>
    <w:rsid w:val="00011A16"/>
    <w:rsid w:val="00011B5D"/>
    <w:rsid w:val="000125C2"/>
    <w:rsid w:val="000146A0"/>
    <w:rsid w:val="000149E6"/>
    <w:rsid w:val="00014CF3"/>
    <w:rsid w:val="000158B4"/>
    <w:rsid w:val="00023DA9"/>
    <w:rsid w:val="000247B0"/>
    <w:rsid w:val="00025BA5"/>
    <w:rsid w:val="00026997"/>
    <w:rsid w:val="00026A08"/>
    <w:rsid w:val="00032E4E"/>
    <w:rsid w:val="00033E0B"/>
    <w:rsid w:val="00035ED3"/>
    <w:rsid w:val="00035EDE"/>
    <w:rsid w:val="000418A7"/>
    <w:rsid w:val="000474D2"/>
    <w:rsid w:val="000509B4"/>
    <w:rsid w:val="00056F50"/>
    <w:rsid w:val="00057430"/>
    <w:rsid w:val="0006035B"/>
    <w:rsid w:val="0006096F"/>
    <w:rsid w:val="00062299"/>
    <w:rsid w:val="000649C5"/>
    <w:rsid w:val="00071886"/>
    <w:rsid w:val="00072CA3"/>
    <w:rsid w:val="000736D2"/>
    <w:rsid w:val="00074030"/>
    <w:rsid w:val="000742BC"/>
    <w:rsid w:val="00076243"/>
    <w:rsid w:val="00076CC6"/>
    <w:rsid w:val="00082A0C"/>
    <w:rsid w:val="00082C2F"/>
    <w:rsid w:val="00083504"/>
    <w:rsid w:val="00094ED7"/>
    <w:rsid w:val="0009640C"/>
    <w:rsid w:val="000A7C87"/>
    <w:rsid w:val="000B0923"/>
    <w:rsid w:val="000B1B38"/>
    <w:rsid w:val="000B22A2"/>
    <w:rsid w:val="000B38FD"/>
    <w:rsid w:val="000B541B"/>
    <w:rsid w:val="000B73F9"/>
    <w:rsid w:val="000C210F"/>
    <w:rsid w:val="000C2A52"/>
    <w:rsid w:val="000C2A88"/>
    <w:rsid w:val="000C2F3D"/>
    <w:rsid w:val="000C3080"/>
    <w:rsid w:val="000C52D7"/>
    <w:rsid w:val="000D240B"/>
    <w:rsid w:val="000D33C0"/>
    <w:rsid w:val="000D387D"/>
    <w:rsid w:val="000D4CF6"/>
    <w:rsid w:val="000D675F"/>
    <w:rsid w:val="000D6941"/>
    <w:rsid w:val="000E17E9"/>
    <w:rsid w:val="000E65DC"/>
    <w:rsid w:val="000F38EF"/>
    <w:rsid w:val="000F3DCD"/>
    <w:rsid w:val="000F4829"/>
    <w:rsid w:val="000F4CA6"/>
    <w:rsid w:val="000F6B21"/>
    <w:rsid w:val="00102EFB"/>
    <w:rsid w:val="001118BA"/>
    <w:rsid w:val="00111FA1"/>
    <w:rsid w:val="00113D37"/>
    <w:rsid w:val="001202E3"/>
    <w:rsid w:val="00123699"/>
    <w:rsid w:val="001241FB"/>
    <w:rsid w:val="001276F5"/>
    <w:rsid w:val="0013059D"/>
    <w:rsid w:val="00131FCE"/>
    <w:rsid w:val="00134F31"/>
    <w:rsid w:val="00136187"/>
    <w:rsid w:val="001374A0"/>
    <w:rsid w:val="00141A55"/>
    <w:rsid w:val="00142010"/>
    <w:rsid w:val="0014293F"/>
    <w:rsid w:val="00143650"/>
    <w:rsid w:val="0014397D"/>
    <w:rsid w:val="001446A3"/>
    <w:rsid w:val="00146E90"/>
    <w:rsid w:val="00147ABC"/>
    <w:rsid w:val="00152B6B"/>
    <w:rsid w:val="00152C44"/>
    <w:rsid w:val="00155395"/>
    <w:rsid w:val="00155A2F"/>
    <w:rsid w:val="00156B6B"/>
    <w:rsid w:val="00160D74"/>
    <w:rsid w:val="001646EA"/>
    <w:rsid w:val="00165CAB"/>
    <w:rsid w:val="00167D02"/>
    <w:rsid w:val="001728B5"/>
    <w:rsid w:val="001759D8"/>
    <w:rsid w:val="001763F6"/>
    <w:rsid w:val="00177D7F"/>
    <w:rsid w:val="00180A97"/>
    <w:rsid w:val="00180C3F"/>
    <w:rsid w:val="00181EC8"/>
    <w:rsid w:val="00182A25"/>
    <w:rsid w:val="00184349"/>
    <w:rsid w:val="001853EA"/>
    <w:rsid w:val="00186383"/>
    <w:rsid w:val="00191418"/>
    <w:rsid w:val="00195F33"/>
    <w:rsid w:val="00196BF6"/>
    <w:rsid w:val="001A3DCD"/>
    <w:rsid w:val="001A47E5"/>
    <w:rsid w:val="001A4A73"/>
    <w:rsid w:val="001A57EF"/>
    <w:rsid w:val="001B0F6B"/>
    <w:rsid w:val="001B1617"/>
    <w:rsid w:val="001B403C"/>
    <w:rsid w:val="001B504B"/>
    <w:rsid w:val="001B5077"/>
    <w:rsid w:val="001B6F98"/>
    <w:rsid w:val="001C191A"/>
    <w:rsid w:val="001D2FB5"/>
    <w:rsid w:val="001D3874"/>
    <w:rsid w:val="001D7E75"/>
    <w:rsid w:val="001E0D73"/>
    <w:rsid w:val="001E45BD"/>
    <w:rsid w:val="001E5528"/>
    <w:rsid w:val="001E56D2"/>
    <w:rsid w:val="001E6F10"/>
    <w:rsid w:val="001E7899"/>
    <w:rsid w:val="001E7D56"/>
    <w:rsid w:val="001F46E1"/>
    <w:rsid w:val="001F5186"/>
    <w:rsid w:val="001F683A"/>
    <w:rsid w:val="001F75DE"/>
    <w:rsid w:val="00200D58"/>
    <w:rsid w:val="002011C1"/>
    <w:rsid w:val="002013BE"/>
    <w:rsid w:val="00201EDC"/>
    <w:rsid w:val="0020513E"/>
    <w:rsid w:val="002063A4"/>
    <w:rsid w:val="0020672B"/>
    <w:rsid w:val="0021145B"/>
    <w:rsid w:val="0021302D"/>
    <w:rsid w:val="0021580E"/>
    <w:rsid w:val="00216755"/>
    <w:rsid w:val="00220C23"/>
    <w:rsid w:val="002247F6"/>
    <w:rsid w:val="00225E21"/>
    <w:rsid w:val="00225E44"/>
    <w:rsid w:val="002329D2"/>
    <w:rsid w:val="00234E78"/>
    <w:rsid w:val="00240790"/>
    <w:rsid w:val="00243D36"/>
    <w:rsid w:val="00245B8F"/>
    <w:rsid w:val="00246151"/>
    <w:rsid w:val="00247707"/>
    <w:rsid w:val="00252456"/>
    <w:rsid w:val="00252DD4"/>
    <w:rsid w:val="0026018E"/>
    <w:rsid w:val="00264219"/>
    <w:rsid w:val="002770E1"/>
    <w:rsid w:val="00280D6A"/>
    <w:rsid w:val="00286740"/>
    <w:rsid w:val="00287D78"/>
    <w:rsid w:val="00290163"/>
    <w:rsid w:val="00291719"/>
    <w:rsid w:val="00291EAE"/>
    <w:rsid w:val="002929D8"/>
    <w:rsid w:val="002A237D"/>
    <w:rsid w:val="002A38C5"/>
    <w:rsid w:val="002A3DE1"/>
    <w:rsid w:val="002A4C53"/>
    <w:rsid w:val="002B0672"/>
    <w:rsid w:val="002B247F"/>
    <w:rsid w:val="002B50D4"/>
    <w:rsid w:val="002B58BF"/>
    <w:rsid w:val="002C0BE8"/>
    <w:rsid w:val="002C145D"/>
    <w:rsid w:val="002C2C3E"/>
    <w:rsid w:val="002C533E"/>
    <w:rsid w:val="002D027F"/>
    <w:rsid w:val="002D3E15"/>
    <w:rsid w:val="002D7A85"/>
    <w:rsid w:val="002D7B60"/>
    <w:rsid w:val="002E484C"/>
    <w:rsid w:val="002E69DC"/>
    <w:rsid w:val="002F049C"/>
    <w:rsid w:val="002F329B"/>
    <w:rsid w:val="002F4761"/>
    <w:rsid w:val="002F5C79"/>
    <w:rsid w:val="002F673C"/>
    <w:rsid w:val="002F68EE"/>
    <w:rsid w:val="002F7127"/>
    <w:rsid w:val="00301201"/>
    <w:rsid w:val="003019E2"/>
    <w:rsid w:val="00301F71"/>
    <w:rsid w:val="00310BEB"/>
    <w:rsid w:val="0031413F"/>
    <w:rsid w:val="003141E2"/>
    <w:rsid w:val="00314854"/>
    <w:rsid w:val="003148BB"/>
    <w:rsid w:val="00315CBA"/>
    <w:rsid w:val="00317976"/>
    <w:rsid w:val="00320F2F"/>
    <w:rsid w:val="0032457E"/>
    <w:rsid w:val="00325D38"/>
    <w:rsid w:val="00327F2C"/>
    <w:rsid w:val="00335735"/>
    <w:rsid w:val="0033744B"/>
    <w:rsid w:val="0034126E"/>
    <w:rsid w:val="00343750"/>
    <w:rsid w:val="00350EF3"/>
    <w:rsid w:val="0035277E"/>
    <w:rsid w:val="00355EA9"/>
    <w:rsid w:val="00355FAF"/>
    <w:rsid w:val="003578DE"/>
    <w:rsid w:val="00361688"/>
    <w:rsid w:val="00361FAF"/>
    <w:rsid w:val="0036598C"/>
    <w:rsid w:val="00366A69"/>
    <w:rsid w:val="00367FD2"/>
    <w:rsid w:val="00371146"/>
    <w:rsid w:val="00371A19"/>
    <w:rsid w:val="00374605"/>
    <w:rsid w:val="00380921"/>
    <w:rsid w:val="00380A7F"/>
    <w:rsid w:val="00381AAA"/>
    <w:rsid w:val="003877D5"/>
    <w:rsid w:val="003922EC"/>
    <w:rsid w:val="003929B8"/>
    <w:rsid w:val="00393432"/>
    <w:rsid w:val="00396257"/>
    <w:rsid w:val="003974C1"/>
    <w:rsid w:val="00397EB8"/>
    <w:rsid w:val="003A4FD0"/>
    <w:rsid w:val="003A5B89"/>
    <w:rsid w:val="003A69D1"/>
    <w:rsid w:val="003A6A4A"/>
    <w:rsid w:val="003A7705"/>
    <w:rsid w:val="003A77F1"/>
    <w:rsid w:val="003B1545"/>
    <w:rsid w:val="003C3219"/>
    <w:rsid w:val="003C409D"/>
    <w:rsid w:val="003C4544"/>
    <w:rsid w:val="003C5583"/>
    <w:rsid w:val="003C5BA6"/>
    <w:rsid w:val="003C74CF"/>
    <w:rsid w:val="003D0213"/>
    <w:rsid w:val="003D3752"/>
    <w:rsid w:val="003D7F95"/>
    <w:rsid w:val="003E1381"/>
    <w:rsid w:val="003E20F5"/>
    <w:rsid w:val="003E35DA"/>
    <w:rsid w:val="003E455D"/>
    <w:rsid w:val="003E7095"/>
    <w:rsid w:val="003F0E85"/>
    <w:rsid w:val="003F4D71"/>
    <w:rsid w:val="003F5EA4"/>
    <w:rsid w:val="0040318D"/>
    <w:rsid w:val="00410C55"/>
    <w:rsid w:val="00413539"/>
    <w:rsid w:val="00414A12"/>
    <w:rsid w:val="00415631"/>
    <w:rsid w:val="004156DC"/>
    <w:rsid w:val="00415CB5"/>
    <w:rsid w:val="00416854"/>
    <w:rsid w:val="00417725"/>
    <w:rsid w:val="0042266F"/>
    <w:rsid w:val="00423C21"/>
    <w:rsid w:val="00427FCB"/>
    <w:rsid w:val="00434321"/>
    <w:rsid w:val="0043782B"/>
    <w:rsid w:val="00437E3B"/>
    <w:rsid w:val="00437F26"/>
    <w:rsid w:val="00444097"/>
    <w:rsid w:val="00445487"/>
    <w:rsid w:val="00447E0D"/>
    <w:rsid w:val="0045314A"/>
    <w:rsid w:val="00453EA8"/>
    <w:rsid w:val="004544B4"/>
    <w:rsid w:val="00454627"/>
    <w:rsid w:val="00454769"/>
    <w:rsid w:val="004603A9"/>
    <w:rsid w:val="0046132F"/>
    <w:rsid w:val="00463C5B"/>
    <w:rsid w:val="00466991"/>
    <w:rsid w:val="0047033B"/>
    <w:rsid w:val="0047064C"/>
    <w:rsid w:val="004724D3"/>
    <w:rsid w:val="00475FC6"/>
    <w:rsid w:val="004760AE"/>
    <w:rsid w:val="00480343"/>
    <w:rsid w:val="004822B7"/>
    <w:rsid w:val="00482C5F"/>
    <w:rsid w:val="0048449A"/>
    <w:rsid w:val="0049469E"/>
    <w:rsid w:val="00494D6C"/>
    <w:rsid w:val="00497AE4"/>
    <w:rsid w:val="004A1567"/>
    <w:rsid w:val="004A2217"/>
    <w:rsid w:val="004A24F9"/>
    <w:rsid w:val="004A37DD"/>
    <w:rsid w:val="004A42E1"/>
    <w:rsid w:val="004A72D0"/>
    <w:rsid w:val="004B0075"/>
    <w:rsid w:val="004B0927"/>
    <w:rsid w:val="004B162C"/>
    <w:rsid w:val="004B2ABE"/>
    <w:rsid w:val="004C06AB"/>
    <w:rsid w:val="004C3DBE"/>
    <w:rsid w:val="004C5C96"/>
    <w:rsid w:val="004D06A4"/>
    <w:rsid w:val="004D4CCA"/>
    <w:rsid w:val="004E40FC"/>
    <w:rsid w:val="004E63A4"/>
    <w:rsid w:val="004E7613"/>
    <w:rsid w:val="004F02E7"/>
    <w:rsid w:val="004F1A81"/>
    <w:rsid w:val="004F2261"/>
    <w:rsid w:val="004F3E7B"/>
    <w:rsid w:val="004F5D88"/>
    <w:rsid w:val="00501354"/>
    <w:rsid w:val="005034E9"/>
    <w:rsid w:val="005050D2"/>
    <w:rsid w:val="00505603"/>
    <w:rsid w:val="0051212F"/>
    <w:rsid w:val="00520198"/>
    <w:rsid w:val="00520496"/>
    <w:rsid w:val="005218D9"/>
    <w:rsid w:val="00536186"/>
    <w:rsid w:val="00544CBB"/>
    <w:rsid w:val="00544CDD"/>
    <w:rsid w:val="00550634"/>
    <w:rsid w:val="00551B65"/>
    <w:rsid w:val="005524DC"/>
    <w:rsid w:val="0055540C"/>
    <w:rsid w:val="0055545E"/>
    <w:rsid w:val="005557F5"/>
    <w:rsid w:val="00556704"/>
    <w:rsid w:val="00560A8F"/>
    <w:rsid w:val="00560C66"/>
    <w:rsid w:val="00562BF7"/>
    <w:rsid w:val="005632F9"/>
    <w:rsid w:val="005656D7"/>
    <w:rsid w:val="0057042B"/>
    <w:rsid w:val="00572F24"/>
    <w:rsid w:val="0057315F"/>
    <w:rsid w:val="00576104"/>
    <w:rsid w:val="005763B1"/>
    <w:rsid w:val="005808ED"/>
    <w:rsid w:val="00582B27"/>
    <w:rsid w:val="00586418"/>
    <w:rsid w:val="00587542"/>
    <w:rsid w:val="00590993"/>
    <w:rsid w:val="00592B21"/>
    <w:rsid w:val="00597A17"/>
    <w:rsid w:val="005A111B"/>
    <w:rsid w:val="005B2DF4"/>
    <w:rsid w:val="005B44BF"/>
    <w:rsid w:val="005B4DC0"/>
    <w:rsid w:val="005B5AAC"/>
    <w:rsid w:val="005C67C8"/>
    <w:rsid w:val="005D0249"/>
    <w:rsid w:val="005D18FA"/>
    <w:rsid w:val="005D4020"/>
    <w:rsid w:val="005D4FD4"/>
    <w:rsid w:val="005D5712"/>
    <w:rsid w:val="005D61FE"/>
    <w:rsid w:val="005D6E8C"/>
    <w:rsid w:val="005E1491"/>
    <w:rsid w:val="005E3004"/>
    <w:rsid w:val="005E63BE"/>
    <w:rsid w:val="005F100C"/>
    <w:rsid w:val="005F1DE2"/>
    <w:rsid w:val="005F2AF3"/>
    <w:rsid w:val="005F68DA"/>
    <w:rsid w:val="005F7419"/>
    <w:rsid w:val="00601BC9"/>
    <w:rsid w:val="0060253A"/>
    <w:rsid w:val="0060773B"/>
    <w:rsid w:val="00607EAD"/>
    <w:rsid w:val="006111FE"/>
    <w:rsid w:val="00613C1D"/>
    <w:rsid w:val="00613FD6"/>
    <w:rsid w:val="006157B5"/>
    <w:rsid w:val="00617224"/>
    <w:rsid w:val="006220E7"/>
    <w:rsid w:val="00624A0D"/>
    <w:rsid w:val="00626FC6"/>
    <w:rsid w:val="006303B4"/>
    <w:rsid w:val="00630ADC"/>
    <w:rsid w:val="00633D3D"/>
    <w:rsid w:val="006358B1"/>
    <w:rsid w:val="00641703"/>
    <w:rsid w:val="00642E86"/>
    <w:rsid w:val="006431A6"/>
    <w:rsid w:val="00643E3A"/>
    <w:rsid w:val="00645857"/>
    <w:rsid w:val="006459F6"/>
    <w:rsid w:val="006501AD"/>
    <w:rsid w:val="00651BFA"/>
    <w:rsid w:val="00651EC6"/>
    <w:rsid w:val="00654475"/>
    <w:rsid w:val="00656BB7"/>
    <w:rsid w:val="00656DF0"/>
    <w:rsid w:val="0065722D"/>
    <w:rsid w:val="00661073"/>
    <w:rsid w:val="00665A4B"/>
    <w:rsid w:val="006663B8"/>
    <w:rsid w:val="00670FAE"/>
    <w:rsid w:val="0067260F"/>
    <w:rsid w:val="00680013"/>
    <w:rsid w:val="006803C8"/>
    <w:rsid w:val="006829B9"/>
    <w:rsid w:val="00687F1D"/>
    <w:rsid w:val="00692277"/>
    <w:rsid w:val="00692E2A"/>
    <w:rsid w:val="0069496A"/>
    <w:rsid w:val="00694B1D"/>
    <w:rsid w:val="00696C1C"/>
    <w:rsid w:val="006A1B88"/>
    <w:rsid w:val="006A552D"/>
    <w:rsid w:val="006A5C08"/>
    <w:rsid w:val="006A76F2"/>
    <w:rsid w:val="006A7F19"/>
    <w:rsid w:val="006B59A2"/>
    <w:rsid w:val="006B70F2"/>
    <w:rsid w:val="006B7D29"/>
    <w:rsid w:val="006C42EB"/>
    <w:rsid w:val="006C54C8"/>
    <w:rsid w:val="006D19D4"/>
    <w:rsid w:val="006D27CD"/>
    <w:rsid w:val="006D3300"/>
    <w:rsid w:val="006D4D70"/>
    <w:rsid w:val="006D51CD"/>
    <w:rsid w:val="006D5644"/>
    <w:rsid w:val="006D7EFB"/>
    <w:rsid w:val="006E0E27"/>
    <w:rsid w:val="006E3149"/>
    <w:rsid w:val="006E6672"/>
    <w:rsid w:val="006E6722"/>
    <w:rsid w:val="006F0B6A"/>
    <w:rsid w:val="006F1A1B"/>
    <w:rsid w:val="006F26C2"/>
    <w:rsid w:val="006F7AFF"/>
    <w:rsid w:val="007027B9"/>
    <w:rsid w:val="00705848"/>
    <w:rsid w:val="007066B5"/>
    <w:rsid w:val="00714036"/>
    <w:rsid w:val="007145DA"/>
    <w:rsid w:val="00715E88"/>
    <w:rsid w:val="00716D8B"/>
    <w:rsid w:val="0072469B"/>
    <w:rsid w:val="007260E0"/>
    <w:rsid w:val="00734CAA"/>
    <w:rsid w:val="00734FC6"/>
    <w:rsid w:val="00736373"/>
    <w:rsid w:val="00740EE2"/>
    <w:rsid w:val="00741960"/>
    <w:rsid w:val="00742680"/>
    <w:rsid w:val="007447A2"/>
    <w:rsid w:val="00747A1E"/>
    <w:rsid w:val="00751272"/>
    <w:rsid w:val="0075418E"/>
    <w:rsid w:val="0075533C"/>
    <w:rsid w:val="007555FC"/>
    <w:rsid w:val="00755A18"/>
    <w:rsid w:val="00757581"/>
    <w:rsid w:val="007602F5"/>
    <w:rsid w:val="00760A95"/>
    <w:rsid w:val="00760D36"/>
    <w:rsid w:val="007611A0"/>
    <w:rsid w:val="0076408B"/>
    <w:rsid w:val="0077064B"/>
    <w:rsid w:val="00771DA2"/>
    <w:rsid w:val="00772574"/>
    <w:rsid w:val="00773395"/>
    <w:rsid w:val="00773E54"/>
    <w:rsid w:val="00776D61"/>
    <w:rsid w:val="00780C36"/>
    <w:rsid w:val="00785BA3"/>
    <w:rsid w:val="00787688"/>
    <w:rsid w:val="00792778"/>
    <w:rsid w:val="007935E6"/>
    <w:rsid w:val="00794D55"/>
    <w:rsid w:val="007956AC"/>
    <w:rsid w:val="00796D3F"/>
    <w:rsid w:val="00796FAE"/>
    <w:rsid w:val="007A1683"/>
    <w:rsid w:val="007A4A1A"/>
    <w:rsid w:val="007A5598"/>
    <w:rsid w:val="007A5C12"/>
    <w:rsid w:val="007A7CB0"/>
    <w:rsid w:val="007B68A3"/>
    <w:rsid w:val="007C2541"/>
    <w:rsid w:val="007C4412"/>
    <w:rsid w:val="007C7857"/>
    <w:rsid w:val="007C7A01"/>
    <w:rsid w:val="007D4819"/>
    <w:rsid w:val="007D66A8"/>
    <w:rsid w:val="007E003F"/>
    <w:rsid w:val="007E05A9"/>
    <w:rsid w:val="007E4EF4"/>
    <w:rsid w:val="007E5208"/>
    <w:rsid w:val="007F0CF8"/>
    <w:rsid w:val="007F5E06"/>
    <w:rsid w:val="007F5E1B"/>
    <w:rsid w:val="007F610D"/>
    <w:rsid w:val="007F62CB"/>
    <w:rsid w:val="007F65B6"/>
    <w:rsid w:val="0080242F"/>
    <w:rsid w:val="00803936"/>
    <w:rsid w:val="0080441C"/>
    <w:rsid w:val="008058B1"/>
    <w:rsid w:val="008074B0"/>
    <w:rsid w:val="00812A94"/>
    <w:rsid w:val="008142EC"/>
    <w:rsid w:val="008164F2"/>
    <w:rsid w:val="00821395"/>
    <w:rsid w:val="00825F66"/>
    <w:rsid w:val="008275D7"/>
    <w:rsid w:val="00830E26"/>
    <w:rsid w:val="00834368"/>
    <w:rsid w:val="0083441A"/>
    <w:rsid w:val="008359E9"/>
    <w:rsid w:val="0083744A"/>
    <w:rsid w:val="00837857"/>
    <w:rsid w:val="00840E5C"/>
    <w:rsid w:val="00843576"/>
    <w:rsid w:val="00843B64"/>
    <w:rsid w:val="00843CAC"/>
    <w:rsid w:val="00845261"/>
    <w:rsid w:val="008478FC"/>
    <w:rsid w:val="00847FFB"/>
    <w:rsid w:val="008508B8"/>
    <w:rsid w:val="00851499"/>
    <w:rsid w:val="00851C51"/>
    <w:rsid w:val="008538F7"/>
    <w:rsid w:val="00860510"/>
    <w:rsid w:val="00861C78"/>
    <w:rsid w:val="00862034"/>
    <w:rsid w:val="00864BAB"/>
    <w:rsid w:val="00866410"/>
    <w:rsid w:val="00867BFF"/>
    <w:rsid w:val="00871542"/>
    <w:rsid w:val="00872BF6"/>
    <w:rsid w:val="0088249E"/>
    <w:rsid w:val="0088480A"/>
    <w:rsid w:val="0088757A"/>
    <w:rsid w:val="00887A6F"/>
    <w:rsid w:val="00893AD0"/>
    <w:rsid w:val="0089431B"/>
    <w:rsid w:val="00895668"/>
    <w:rsid w:val="008957DD"/>
    <w:rsid w:val="00896A25"/>
    <w:rsid w:val="00897D98"/>
    <w:rsid w:val="00897DDB"/>
    <w:rsid w:val="008A3388"/>
    <w:rsid w:val="008A4876"/>
    <w:rsid w:val="008A6DF2"/>
    <w:rsid w:val="008A7807"/>
    <w:rsid w:val="008B0A34"/>
    <w:rsid w:val="008B248A"/>
    <w:rsid w:val="008B4CC9"/>
    <w:rsid w:val="008C0B15"/>
    <w:rsid w:val="008D0710"/>
    <w:rsid w:val="008D2BC4"/>
    <w:rsid w:val="008D75E4"/>
    <w:rsid w:val="008D7C99"/>
    <w:rsid w:val="008E0FCB"/>
    <w:rsid w:val="008E7545"/>
    <w:rsid w:val="008E7672"/>
    <w:rsid w:val="008F32EB"/>
    <w:rsid w:val="008F6DFE"/>
    <w:rsid w:val="00902642"/>
    <w:rsid w:val="00903ADA"/>
    <w:rsid w:val="0090529F"/>
    <w:rsid w:val="00906D96"/>
    <w:rsid w:val="00907D51"/>
    <w:rsid w:val="00910727"/>
    <w:rsid w:val="009116DA"/>
    <w:rsid w:val="00912822"/>
    <w:rsid w:val="00915634"/>
    <w:rsid w:val="00915947"/>
    <w:rsid w:val="00916FC8"/>
    <w:rsid w:val="0092178C"/>
    <w:rsid w:val="00926234"/>
    <w:rsid w:val="0092720C"/>
    <w:rsid w:val="00930B88"/>
    <w:rsid w:val="00934723"/>
    <w:rsid w:val="00935376"/>
    <w:rsid w:val="00940DCC"/>
    <w:rsid w:val="009415AC"/>
    <w:rsid w:val="0094179A"/>
    <w:rsid w:val="009434CB"/>
    <w:rsid w:val="00943572"/>
    <w:rsid w:val="0094459E"/>
    <w:rsid w:val="00944DBC"/>
    <w:rsid w:val="00950977"/>
    <w:rsid w:val="00951A7B"/>
    <w:rsid w:val="00955512"/>
    <w:rsid w:val="00956093"/>
    <w:rsid w:val="009564A6"/>
    <w:rsid w:val="00957EF8"/>
    <w:rsid w:val="009649EA"/>
    <w:rsid w:val="00966A53"/>
    <w:rsid w:val="00967621"/>
    <w:rsid w:val="00967E6A"/>
    <w:rsid w:val="009704C0"/>
    <w:rsid w:val="0097152B"/>
    <w:rsid w:val="00975ED3"/>
    <w:rsid w:val="00983FFF"/>
    <w:rsid w:val="009907B9"/>
    <w:rsid w:val="00990918"/>
    <w:rsid w:val="00994578"/>
    <w:rsid w:val="00995217"/>
    <w:rsid w:val="009A0D54"/>
    <w:rsid w:val="009A3A83"/>
    <w:rsid w:val="009A6D1B"/>
    <w:rsid w:val="009B23A5"/>
    <w:rsid w:val="009B3916"/>
    <w:rsid w:val="009B41AE"/>
    <w:rsid w:val="009B4A0F"/>
    <w:rsid w:val="009B64E0"/>
    <w:rsid w:val="009C11D2"/>
    <w:rsid w:val="009C617C"/>
    <w:rsid w:val="009C6C70"/>
    <w:rsid w:val="009C7B0A"/>
    <w:rsid w:val="009D0B63"/>
    <w:rsid w:val="009D24D2"/>
    <w:rsid w:val="009D5CB8"/>
    <w:rsid w:val="009E1714"/>
    <w:rsid w:val="009E307E"/>
    <w:rsid w:val="009E603E"/>
    <w:rsid w:val="009E72AB"/>
    <w:rsid w:val="009E7A7C"/>
    <w:rsid w:val="009F1419"/>
    <w:rsid w:val="00A01889"/>
    <w:rsid w:val="00A030E7"/>
    <w:rsid w:val="00A05DD7"/>
    <w:rsid w:val="00A07870"/>
    <w:rsid w:val="00A07C54"/>
    <w:rsid w:val="00A07F19"/>
    <w:rsid w:val="00A10FEB"/>
    <w:rsid w:val="00A124BB"/>
    <w:rsid w:val="00A1348D"/>
    <w:rsid w:val="00A13C99"/>
    <w:rsid w:val="00A143FB"/>
    <w:rsid w:val="00A232EE"/>
    <w:rsid w:val="00A23EDB"/>
    <w:rsid w:val="00A25D07"/>
    <w:rsid w:val="00A309BF"/>
    <w:rsid w:val="00A3347D"/>
    <w:rsid w:val="00A352D7"/>
    <w:rsid w:val="00A37F83"/>
    <w:rsid w:val="00A40348"/>
    <w:rsid w:val="00A4175F"/>
    <w:rsid w:val="00A44411"/>
    <w:rsid w:val="00A460F4"/>
    <w:rsid w:val="00A469FA"/>
    <w:rsid w:val="00A46A9A"/>
    <w:rsid w:val="00A47A6E"/>
    <w:rsid w:val="00A50F64"/>
    <w:rsid w:val="00A53662"/>
    <w:rsid w:val="00A5375F"/>
    <w:rsid w:val="00A55B01"/>
    <w:rsid w:val="00A56B5B"/>
    <w:rsid w:val="00A603FF"/>
    <w:rsid w:val="00A619B6"/>
    <w:rsid w:val="00A62F61"/>
    <w:rsid w:val="00A6343B"/>
    <w:rsid w:val="00A648CA"/>
    <w:rsid w:val="00A657DD"/>
    <w:rsid w:val="00A66313"/>
    <w:rsid w:val="00A666A6"/>
    <w:rsid w:val="00A675FD"/>
    <w:rsid w:val="00A70C35"/>
    <w:rsid w:val="00A70FCB"/>
    <w:rsid w:val="00A72437"/>
    <w:rsid w:val="00A73993"/>
    <w:rsid w:val="00A73D1D"/>
    <w:rsid w:val="00A8048B"/>
    <w:rsid w:val="00A80611"/>
    <w:rsid w:val="00A85810"/>
    <w:rsid w:val="00A85E6B"/>
    <w:rsid w:val="00A85F06"/>
    <w:rsid w:val="00A9159B"/>
    <w:rsid w:val="00A923CB"/>
    <w:rsid w:val="00A9643E"/>
    <w:rsid w:val="00AA03E4"/>
    <w:rsid w:val="00AA1051"/>
    <w:rsid w:val="00AA5BF4"/>
    <w:rsid w:val="00AA71DC"/>
    <w:rsid w:val="00AB2199"/>
    <w:rsid w:val="00AB2AB0"/>
    <w:rsid w:val="00AB4DCF"/>
    <w:rsid w:val="00AB5340"/>
    <w:rsid w:val="00AB6CC5"/>
    <w:rsid w:val="00AB7B52"/>
    <w:rsid w:val="00AB7DAA"/>
    <w:rsid w:val="00AC0A89"/>
    <w:rsid w:val="00AC2F05"/>
    <w:rsid w:val="00AC7C96"/>
    <w:rsid w:val="00AD3593"/>
    <w:rsid w:val="00AE0812"/>
    <w:rsid w:val="00AE237D"/>
    <w:rsid w:val="00AE4647"/>
    <w:rsid w:val="00AE4B69"/>
    <w:rsid w:val="00AE502A"/>
    <w:rsid w:val="00AE6714"/>
    <w:rsid w:val="00AF0010"/>
    <w:rsid w:val="00AF1AA8"/>
    <w:rsid w:val="00AF2C1F"/>
    <w:rsid w:val="00AF7C07"/>
    <w:rsid w:val="00B04297"/>
    <w:rsid w:val="00B06C64"/>
    <w:rsid w:val="00B07D8E"/>
    <w:rsid w:val="00B11CAC"/>
    <w:rsid w:val="00B15A29"/>
    <w:rsid w:val="00B17527"/>
    <w:rsid w:val="00B17606"/>
    <w:rsid w:val="00B22C93"/>
    <w:rsid w:val="00B27589"/>
    <w:rsid w:val="00B3097B"/>
    <w:rsid w:val="00B35595"/>
    <w:rsid w:val="00B36853"/>
    <w:rsid w:val="00B37305"/>
    <w:rsid w:val="00B373A3"/>
    <w:rsid w:val="00B405B7"/>
    <w:rsid w:val="00B40708"/>
    <w:rsid w:val="00B43AA7"/>
    <w:rsid w:val="00B452B9"/>
    <w:rsid w:val="00B468C0"/>
    <w:rsid w:val="00B50FE9"/>
    <w:rsid w:val="00B51C43"/>
    <w:rsid w:val="00B52222"/>
    <w:rsid w:val="00B531DA"/>
    <w:rsid w:val="00B54895"/>
    <w:rsid w:val="00B54C8C"/>
    <w:rsid w:val="00B54FE7"/>
    <w:rsid w:val="00B575FB"/>
    <w:rsid w:val="00B647C6"/>
    <w:rsid w:val="00B655F9"/>
    <w:rsid w:val="00B6577F"/>
    <w:rsid w:val="00B664C9"/>
    <w:rsid w:val="00B66901"/>
    <w:rsid w:val="00B66F60"/>
    <w:rsid w:val="00B71E6D"/>
    <w:rsid w:val="00B72070"/>
    <w:rsid w:val="00B7262D"/>
    <w:rsid w:val="00B76BA2"/>
    <w:rsid w:val="00B779E1"/>
    <w:rsid w:val="00B81E3A"/>
    <w:rsid w:val="00B82283"/>
    <w:rsid w:val="00B83353"/>
    <w:rsid w:val="00B85CFB"/>
    <w:rsid w:val="00B8643B"/>
    <w:rsid w:val="00B86B50"/>
    <w:rsid w:val="00B914E9"/>
    <w:rsid w:val="00B91EE1"/>
    <w:rsid w:val="00B94602"/>
    <w:rsid w:val="00BA0090"/>
    <w:rsid w:val="00BA00BA"/>
    <w:rsid w:val="00BA1A67"/>
    <w:rsid w:val="00BA2FA4"/>
    <w:rsid w:val="00BA6A80"/>
    <w:rsid w:val="00BA6E1D"/>
    <w:rsid w:val="00BB2A2F"/>
    <w:rsid w:val="00BB44E9"/>
    <w:rsid w:val="00BB4ABB"/>
    <w:rsid w:val="00BB53AF"/>
    <w:rsid w:val="00BC6111"/>
    <w:rsid w:val="00BC62BA"/>
    <w:rsid w:val="00BD6CE0"/>
    <w:rsid w:val="00BE0F6D"/>
    <w:rsid w:val="00BE12BB"/>
    <w:rsid w:val="00BE5B5F"/>
    <w:rsid w:val="00BE68F8"/>
    <w:rsid w:val="00BE7993"/>
    <w:rsid w:val="00BF2288"/>
    <w:rsid w:val="00BF40CE"/>
    <w:rsid w:val="00BF4963"/>
    <w:rsid w:val="00C11971"/>
    <w:rsid w:val="00C179DE"/>
    <w:rsid w:val="00C26F55"/>
    <w:rsid w:val="00C3078A"/>
    <w:rsid w:val="00C30C63"/>
    <w:rsid w:val="00C30FF3"/>
    <w:rsid w:val="00C33DB7"/>
    <w:rsid w:val="00C34D5C"/>
    <w:rsid w:val="00C3505F"/>
    <w:rsid w:val="00C352CD"/>
    <w:rsid w:val="00C36B8B"/>
    <w:rsid w:val="00C415C1"/>
    <w:rsid w:val="00C42A7A"/>
    <w:rsid w:val="00C476DE"/>
    <w:rsid w:val="00C47DBF"/>
    <w:rsid w:val="00C54FB6"/>
    <w:rsid w:val="00C552FF"/>
    <w:rsid w:val="00C558DA"/>
    <w:rsid w:val="00C55AF3"/>
    <w:rsid w:val="00C57702"/>
    <w:rsid w:val="00C621F2"/>
    <w:rsid w:val="00C754E3"/>
    <w:rsid w:val="00C771A9"/>
    <w:rsid w:val="00C82943"/>
    <w:rsid w:val="00C84759"/>
    <w:rsid w:val="00C93096"/>
    <w:rsid w:val="00C949BB"/>
    <w:rsid w:val="00C97309"/>
    <w:rsid w:val="00CA4DFE"/>
    <w:rsid w:val="00CA4F2A"/>
    <w:rsid w:val="00CA5CA9"/>
    <w:rsid w:val="00CA6C7F"/>
    <w:rsid w:val="00CB007D"/>
    <w:rsid w:val="00CB60CA"/>
    <w:rsid w:val="00CC0FC7"/>
    <w:rsid w:val="00CC10A6"/>
    <w:rsid w:val="00CC39BE"/>
    <w:rsid w:val="00CC3FD1"/>
    <w:rsid w:val="00CC75F1"/>
    <w:rsid w:val="00CD0518"/>
    <w:rsid w:val="00CD5EB8"/>
    <w:rsid w:val="00CD6FE7"/>
    <w:rsid w:val="00CD7044"/>
    <w:rsid w:val="00CE08B9"/>
    <w:rsid w:val="00CE1E2F"/>
    <w:rsid w:val="00CE3157"/>
    <w:rsid w:val="00CE3515"/>
    <w:rsid w:val="00CE3773"/>
    <w:rsid w:val="00CE4245"/>
    <w:rsid w:val="00CE4844"/>
    <w:rsid w:val="00CE524C"/>
    <w:rsid w:val="00CF141F"/>
    <w:rsid w:val="00CF1439"/>
    <w:rsid w:val="00CF3B91"/>
    <w:rsid w:val="00CF4777"/>
    <w:rsid w:val="00CF5BF0"/>
    <w:rsid w:val="00CF6298"/>
    <w:rsid w:val="00CF65C8"/>
    <w:rsid w:val="00D013F5"/>
    <w:rsid w:val="00D01401"/>
    <w:rsid w:val="00D022D0"/>
    <w:rsid w:val="00D0382D"/>
    <w:rsid w:val="00D05E3F"/>
    <w:rsid w:val="00D067BB"/>
    <w:rsid w:val="00D12084"/>
    <w:rsid w:val="00D12788"/>
    <w:rsid w:val="00D1352A"/>
    <w:rsid w:val="00D150D2"/>
    <w:rsid w:val="00D15D8E"/>
    <w:rsid w:val="00D1638E"/>
    <w:rsid w:val="00D169AF"/>
    <w:rsid w:val="00D200EF"/>
    <w:rsid w:val="00D25175"/>
    <w:rsid w:val="00D25249"/>
    <w:rsid w:val="00D26854"/>
    <w:rsid w:val="00D27DAD"/>
    <w:rsid w:val="00D33492"/>
    <w:rsid w:val="00D36C41"/>
    <w:rsid w:val="00D3796C"/>
    <w:rsid w:val="00D411AA"/>
    <w:rsid w:val="00D44172"/>
    <w:rsid w:val="00D4576E"/>
    <w:rsid w:val="00D47BE3"/>
    <w:rsid w:val="00D51E56"/>
    <w:rsid w:val="00D521DC"/>
    <w:rsid w:val="00D53CBE"/>
    <w:rsid w:val="00D60331"/>
    <w:rsid w:val="00D63B8C"/>
    <w:rsid w:val="00D716BE"/>
    <w:rsid w:val="00D739CC"/>
    <w:rsid w:val="00D75807"/>
    <w:rsid w:val="00D806F9"/>
    <w:rsid w:val="00D8093D"/>
    <w:rsid w:val="00D8108C"/>
    <w:rsid w:val="00D82E64"/>
    <w:rsid w:val="00D842AE"/>
    <w:rsid w:val="00D863E0"/>
    <w:rsid w:val="00D90683"/>
    <w:rsid w:val="00D91A6C"/>
    <w:rsid w:val="00D9211C"/>
    <w:rsid w:val="00D92DE0"/>
    <w:rsid w:val="00D92FEF"/>
    <w:rsid w:val="00D931F9"/>
    <w:rsid w:val="00D93A0F"/>
    <w:rsid w:val="00D93ADB"/>
    <w:rsid w:val="00D95233"/>
    <w:rsid w:val="00DA08B7"/>
    <w:rsid w:val="00DA1BCA"/>
    <w:rsid w:val="00DA2038"/>
    <w:rsid w:val="00DA2784"/>
    <w:rsid w:val="00DA3663"/>
    <w:rsid w:val="00DA6A8D"/>
    <w:rsid w:val="00DC1792"/>
    <w:rsid w:val="00DC274A"/>
    <w:rsid w:val="00DC46FF"/>
    <w:rsid w:val="00DC5254"/>
    <w:rsid w:val="00DC569D"/>
    <w:rsid w:val="00DC5CBA"/>
    <w:rsid w:val="00DD16E8"/>
    <w:rsid w:val="00DD1A4F"/>
    <w:rsid w:val="00DD28F9"/>
    <w:rsid w:val="00DD3107"/>
    <w:rsid w:val="00DD7150"/>
    <w:rsid w:val="00DD72FA"/>
    <w:rsid w:val="00DD7C2C"/>
    <w:rsid w:val="00DE1385"/>
    <w:rsid w:val="00DE5BDA"/>
    <w:rsid w:val="00DE5C13"/>
    <w:rsid w:val="00DF433C"/>
    <w:rsid w:val="00DF519F"/>
    <w:rsid w:val="00DF5E7F"/>
    <w:rsid w:val="00DF76BF"/>
    <w:rsid w:val="00E0035A"/>
    <w:rsid w:val="00E06797"/>
    <w:rsid w:val="00E1265B"/>
    <w:rsid w:val="00E12E09"/>
    <w:rsid w:val="00E13B48"/>
    <w:rsid w:val="00E13C29"/>
    <w:rsid w:val="00E1404F"/>
    <w:rsid w:val="00E143D1"/>
    <w:rsid w:val="00E17E15"/>
    <w:rsid w:val="00E211F3"/>
    <w:rsid w:val="00E21C83"/>
    <w:rsid w:val="00E24347"/>
    <w:rsid w:val="00E24ADA"/>
    <w:rsid w:val="00E2652F"/>
    <w:rsid w:val="00E2715E"/>
    <w:rsid w:val="00E327DF"/>
    <w:rsid w:val="00E32F59"/>
    <w:rsid w:val="00E34630"/>
    <w:rsid w:val="00E3463A"/>
    <w:rsid w:val="00E350C7"/>
    <w:rsid w:val="00E35AF7"/>
    <w:rsid w:val="00E37EFB"/>
    <w:rsid w:val="00E41908"/>
    <w:rsid w:val="00E429A9"/>
    <w:rsid w:val="00E4407E"/>
    <w:rsid w:val="00E44F6B"/>
    <w:rsid w:val="00E46D9A"/>
    <w:rsid w:val="00E50FBD"/>
    <w:rsid w:val="00E52758"/>
    <w:rsid w:val="00E529CB"/>
    <w:rsid w:val="00E54866"/>
    <w:rsid w:val="00E565FF"/>
    <w:rsid w:val="00E64120"/>
    <w:rsid w:val="00E64B56"/>
    <w:rsid w:val="00E65388"/>
    <w:rsid w:val="00E66AF1"/>
    <w:rsid w:val="00E7268B"/>
    <w:rsid w:val="00E73310"/>
    <w:rsid w:val="00E743AA"/>
    <w:rsid w:val="00E74A75"/>
    <w:rsid w:val="00E7506F"/>
    <w:rsid w:val="00E755E0"/>
    <w:rsid w:val="00E7741D"/>
    <w:rsid w:val="00E808CD"/>
    <w:rsid w:val="00E82E5A"/>
    <w:rsid w:val="00E8348F"/>
    <w:rsid w:val="00E85B7D"/>
    <w:rsid w:val="00E9121B"/>
    <w:rsid w:val="00E922B7"/>
    <w:rsid w:val="00E9302E"/>
    <w:rsid w:val="00E960C1"/>
    <w:rsid w:val="00E967CA"/>
    <w:rsid w:val="00E976AB"/>
    <w:rsid w:val="00EA005D"/>
    <w:rsid w:val="00EA0AE2"/>
    <w:rsid w:val="00EA39E5"/>
    <w:rsid w:val="00EA57A3"/>
    <w:rsid w:val="00EB5F59"/>
    <w:rsid w:val="00EC111E"/>
    <w:rsid w:val="00EC2813"/>
    <w:rsid w:val="00EC2BA8"/>
    <w:rsid w:val="00EC5A46"/>
    <w:rsid w:val="00EC63E2"/>
    <w:rsid w:val="00ED0225"/>
    <w:rsid w:val="00ED1435"/>
    <w:rsid w:val="00ED2C9F"/>
    <w:rsid w:val="00ED366A"/>
    <w:rsid w:val="00ED5DEB"/>
    <w:rsid w:val="00ED5FC0"/>
    <w:rsid w:val="00ED6BB7"/>
    <w:rsid w:val="00EE451F"/>
    <w:rsid w:val="00EE7388"/>
    <w:rsid w:val="00EF22B3"/>
    <w:rsid w:val="00F03B69"/>
    <w:rsid w:val="00F07A50"/>
    <w:rsid w:val="00F113AF"/>
    <w:rsid w:val="00F113DA"/>
    <w:rsid w:val="00F15578"/>
    <w:rsid w:val="00F17467"/>
    <w:rsid w:val="00F17673"/>
    <w:rsid w:val="00F17741"/>
    <w:rsid w:val="00F17B76"/>
    <w:rsid w:val="00F23D44"/>
    <w:rsid w:val="00F23E7F"/>
    <w:rsid w:val="00F252EE"/>
    <w:rsid w:val="00F266FC"/>
    <w:rsid w:val="00F3037A"/>
    <w:rsid w:val="00F32A79"/>
    <w:rsid w:val="00F3465A"/>
    <w:rsid w:val="00F37202"/>
    <w:rsid w:val="00F37DC8"/>
    <w:rsid w:val="00F439B3"/>
    <w:rsid w:val="00F51980"/>
    <w:rsid w:val="00F520F6"/>
    <w:rsid w:val="00F52624"/>
    <w:rsid w:val="00F5533D"/>
    <w:rsid w:val="00F5685C"/>
    <w:rsid w:val="00F62CD1"/>
    <w:rsid w:val="00F650C3"/>
    <w:rsid w:val="00F65D85"/>
    <w:rsid w:val="00F6700B"/>
    <w:rsid w:val="00F71377"/>
    <w:rsid w:val="00F7137B"/>
    <w:rsid w:val="00F750CC"/>
    <w:rsid w:val="00F755F1"/>
    <w:rsid w:val="00F776A0"/>
    <w:rsid w:val="00F8091E"/>
    <w:rsid w:val="00F81514"/>
    <w:rsid w:val="00F81F2E"/>
    <w:rsid w:val="00F8615C"/>
    <w:rsid w:val="00F969E5"/>
    <w:rsid w:val="00FA4972"/>
    <w:rsid w:val="00FA5418"/>
    <w:rsid w:val="00FA6BB0"/>
    <w:rsid w:val="00FA6C22"/>
    <w:rsid w:val="00FB0A74"/>
    <w:rsid w:val="00FB2DBD"/>
    <w:rsid w:val="00FB3AC0"/>
    <w:rsid w:val="00FB455F"/>
    <w:rsid w:val="00FB4AEA"/>
    <w:rsid w:val="00FB7920"/>
    <w:rsid w:val="00FC3315"/>
    <w:rsid w:val="00FC3401"/>
    <w:rsid w:val="00FC57B8"/>
    <w:rsid w:val="00FD48DF"/>
    <w:rsid w:val="00FD5860"/>
    <w:rsid w:val="00FD61C3"/>
    <w:rsid w:val="00FE352D"/>
    <w:rsid w:val="00FE40EB"/>
    <w:rsid w:val="00FE4C2A"/>
    <w:rsid w:val="00FE4D02"/>
    <w:rsid w:val="00FE5E14"/>
    <w:rsid w:val="00FE68B2"/>
    <w:rsid w:val="00FE7D62"/>
    <w:rsid w:val="00FF0DA0"/>
    <w:rsid w:val="00FF1246"/>
    <w:rsid w:val="00FF3448"/>
    <w:rsid w:val="00FF35BF"/>
    <w:rsid w:val="00FF3819"/>
    <w:rsid w:val="00FF6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620DF1"/>
  <w15:docId w15:val="{E48BF1FB-B6E6-440D-BC80-BD6A6D8D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245B8F"/>
    <w:pPr>
      <w:numPr>
        <w:numId w:val="5"/>
      </w:numPr>
      <w:tabs>
        <w:tab w:val="clear" w:pos="1247"/>
        <w:tab w:val="clear" w:pos="1814"/>
        <w:tab w:val="clear" w:pos="2381"/>
        <w:tab w:val="clear" w:pos="2948"/>
        <w:tab w:val="clear" w:pos="3515"/>
        <w:tab w:val="clear" w:pos="4082"/>
        <w:tab w:val="left" w:pos="624"/>
      </w:tabs>
      <w:suppressAutoHyphens/>
      <w:autoSpaceDN w:val="0"/>
      <w:spacing w:after="120"/>
      <w:textAlignment w:val="baseline"/>
    </w:pPr>
    <w:rPr>
      <w:bCs/>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DefaultParagraphFont"/>
    <w:uiPriority w:val="99"/>
    <w:semiHidden/>
    <w:unhideWhenUsed/>
    <w:rsid w:val="00956093"/>
    <w:rPr>
      <w:color w:val="808080"/>
      <w:shd w:val="clear" w:color="auto" w:fill="E6E6E6"/>
    </w:rPr>
  </w:style>
  <w:style w:type="character" w:customStyle="1" w:styleId="NormalnumberChar">
    <w:name w:val="Normal_number Char"/>
    <w:link w:val="Normalnumber"/>
    <w:locked/>
    <w:rsid w:val="00245B8F"/>
    <w:rPr>
      <w:bCs/>
      <w:lang w:eastAsia="en-US"/>
    </w:rPr>
  </w:style>
  <w:style w:type="paragraph" w:styleId="TOCHeading">
    <w:name w:val="TOC Heading"/>
    <w:basedOn w:val="Heading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customStyle="1" w:styleId="Articleheading">
    <w:name w:val="Article heading"/>
    <w:basedOn w:val="Normal"/>
    <w:next w:val="Subtitle"/>
    <w:rsid w:val="000C2F3D"/>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0C2F3D"/>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0C2F3D"/>
    <w:rPr>
      <w:rFonts w:ascii="Cambria" w:eastAsia="SimSun" w:hAnsi="Cambria"/>
      <w:sz w:val="24"/>
      <w:szCs w:val="24"/>
      <w:lang w:eastAsia="en-US"/>
    </w:rPr>
  </w:style>
  <w:style w:type="character" w:customStyle="1" w:styleId="Inget">
    <w:name w:val="Inget"/>
    <w:rsid w:val="000C2F3D"/>
  </w:style>
  <w:style w:type="character" w:customStyle="1" w:styleId="Hyperlink0">
    <w:name w:val="Hyperlink.0"/>
    <w:rsid w:val="000C2F3D"/>
    <w:rPr>
      <w:rFonts w:cs="Times New Roman"/>
      <w:lang w:val="en-US" w:eastAsia="x-none"/>
    </w:rPr>
  </w:style>
  <w:style w:type="character" w:customStyle="1" w:styleId="apple-converted-space">
    <w:name w:val="apple-converted-space"/>
    <w:basedOn w:val="DefaultParagraphFont"/>
    <w:rsid w:val="000C2F3D"/>
  </w:style>
  <w:style w:type="character" w:customStyle="1" w:styleId="FooterChar">
    <w:name w:val="Footer Char"/>
    <w:basedOn w:val="DefaultParagraphFont"/>
    <w:link w:val="Footer"/>
    <w:uiPriority w:val="99"/>
    <w:rsid w:val="000C2F3D"/>
    <w:rPr>
      <w:sz w:val="18"/>
      <w:lang w:eastAsia="en-US"/>
    </w:rPr>
  </w:style>
  <w:style w:type="paragraph" w:customStyle="1" w:styleId="Default">
    <w:name w:val="Default"/>
    <w:rsid w:val="00F252EE"/>
    <w:pPr>
      <w:autoSpaceDE w:val="0"/>
      <w:autoSpaceDN w:val="0"/>
      <w:adjustRightInd w:val="0"/>
    </w:pPr>
    <w:rPr>
      <w:rFonts w:ascii="Arial" w:eastAsiaTheme="minorEastAsia" w:hAnsi="Arial" w:cs="Arial"/>
      <w:color w:val="000000"/>
      <w:sz w:val="24"/>
      <w:szCs w:val="24"/>
      <w:lang w:val="en-US"/>
    </w:rPr>
  </w:style>
  <w:style w:type="character" w:customStyle="1" w:styleId="UnresolvedMention2">
    <w:name w:val="Unresolved Mention2"/>
    <w:basedOn w:val="DefaultParagraphFont"/>
    <w:uiPriority w:val="99"/>
    <w:semiHidden/>
    <w:unhideWhenUsed/>
    <w:rsid w:val="00A46A9A"/>
    <w:rPr>
      <w:color w:val="808080"/>
      <w:shd w:val="clear" w:color="auto" w:fill="E6E6E6"/>
    </w:rPr>
  </w:style>
  <w:style w:type="character" w:customStyle="1" w:styleId="UnresolvedMention3">
    <w:name w:val="Unresolved Mention3"/>
    <w:basedOn w:val="DefaultParagraphFont"/>
    <w:uiPriority w:val="99"/>
    <w:semiHidden/>
    <w:unhideWhenUsed/>
    <w:rsid w:val="003D0213"/>
    <w:rPr>
      <w:color w:val="605E5C"/>
      <w:shd w:val="clear" w:color="auto" w:fill="E1DFDD"/>
    </w:rPr>
  </w:style>
  <w:style w:type="paragraph" w:customStyle="1" w:styleId="std">
    <w:name w:val="std"/>
    <w:basedOn w:val="Normal"/>
    <w:rsid w:val="00642E86"/>
    <w:pPr>
      <w:tabs>
        <w:tab w:val="clear" w:pos="1247"/>
        <w:tab w:val="clear" w:pos="1814"/>
        <w:tab w:val="clear" w:pos="2381"/>
        <w:tab w:val="clear" w:pos="2948"/>
        <w:tab w:val="clear" w:pos="3515"/>
      </w:tabs>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843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930965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62516624">
      <w:bodyDiv w:val="1"/>
      <w:marLeft w:val="0"/>
      <w:marRight w:val="0"/>
      <w:marTop w:val="0"/>
      <w:marBottom w:val="0"/>
      <w:divBdr>
        <w:top w:val="none" w:sz="0" w:space="0" w:color="auto"/>
        <w:left w:val="none" w:sz="0" w:space="0" w:color="auto"/>
        <w:bottom w:val="none" w:sz="0" w:space="0" w:color="auto"/>
        <w:right w:val="none" w:sz="0" w:space="0" w:color="auto"/>
      </w:divBdr>
    </w:div>
    <w:div w:id="1596330111">
      <w:bodyDiv w:val="1"/>
      <w:marLeft w:val="0"/>
      <w:marRight w:val="0"/>
      <w:marTop w:val="0"/>
      <w:marBottom w:val="0"/>
      <w:divBdr>
        <w:top w:val="none" w:sz="0" w:space="0" w:color="auto"/>
        <w:left w:val="none" w:sz="0" w:space="0" w:color="auto"/>
        <w:bottom w:val="none" w:sz="0" w:space="0" w:color="auto"/>
        <w:right w:val="none" w:sz="0" w:space="0" w:color="auto"/>
      </w:divBdr>
    </w:div>
    <w:div w:id="19320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www.iccl.ch/" TargetMode="External"/><Relationship Id="rId26" Type="http://schemas.openxmlformats.org/officeDocument/2006/relationships/hyperlink" Target="https://www.canada.ca/fr/sante-canada/services/sante-environnement-milieu-travail/lieux-contamines/documents-orientation.html" TargetMode="External"/><Relationship Id="rId3" Type="http://schemas.openxmlformats.org/officeDocument/2006/relationships/styles" Target="styles.xml"/><Relationship Id="rId21" Type="http://schemas.openxmlformats.org/officeDocument/2006/relationships/hyperlink" Target="https://link.springer.com/journal/11356/22/11/page/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www.who.int/mediacentre/factsheets/fs361/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commonforum.eu/Documents/SoilDirectiveAlternative/20111212_text_proposal_SFD_CF_final2.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lu-in.org/download/remed/phytotechnologies-factsheet.pdf"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clu-in.org/download/remed/542r07003.pdf" TargetMode="External"/><Relationship Id="rId28" Type="http://schemas.openxmlformats.org/officeDocument/2006/relationships/hyperlink" Target="https://www.canada.ca/fr/sante-canada/services/publications/vie-saine/recommandations-pour-qualite-eau-potable-canada-document-technique-mercure.html" TargetMode="External"/><Relationship Id="rId10" Type="http://schemas.openxmlformats.org/officeDocument/2006/relationships/image" Target="media/image2.png"/><Relationship Id="rId19" Type="http://schemas.openxmlformats.org/officeDocument/2006/relationships/hyperlink" Target="https://www.commonforum.e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basel.int/TheConvention/ConferenceoftheParties/Meetings/COP12/tabid/4248/mctl/ViewDetails/EventModID/8051/EventID/542/xmid/13027/Default.aspx" TargetMode="External"/><Relationship Id="rId27" Type="http://schemas.openxmlformats.org/officeDocument/2006/relationships/hyperlink" Target="https://www.canada.ca/fr/sante-canada/services/vie-saine/votre-sante-vous/environnement/mercure-sante-humaine.html" TargetMode="Externa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commonforum.eu/references_caracas.asp" TargetMode="External"/><Relationship Id="rId2" Type="http://schemas.openxmlformats.org/officeDocument/2006/relationships/hyperlink" Target="https://www.epa.gov/superfund/superfund-community-involvement-tools-and-resources" TargetMode="External"/><Relationship Id="rId1" Type="http://schemas.openxmlformats.org/officeDocument/2006/relationships/hyperlink" Target="https://www.legislation.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A8FC-F4D4-47FD-B232-36461C36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12848</Words>
  <Characters>73239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2018-10-11T11:34:00Z</cp:lastPrinted>
  <dcterms:created xsi:type="dcterms:W3CDTF">2018-10-12T07:50:00Z</dcterms:created>
  <dcterms:modified xsi:type="dcterms:W3CDTF">2018-10-12T07:50:00Z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10/3/2018 2:53:24 PM</vt:lpwstr>
  </property>
  <property fmtid="{D5CDD505-2E9C-101B-9397-08002B2CF9AE}" pid="5" name="OriginalDocID">
    <vt:lpwstr>0cbcd0c9-20f1-4330-8408-57336831d2ae</vt:lpwstr>
  </property>
</Properties>
</file>