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0"/>
        <w:gridCol w:w="4714"/>
        <w:gridCol w:w="3385"/>
      </w:tblGrid>
      <w:tr w:rsidR="00032E4E" w:rsidRPr="00E84EB9" w14:paraId="4B9F0F9B" w14:textId="77777777" w:rsidTr="00CB007D">
        <w:trPr>
          <w:cantSplit/>
          <w:trHeight w:val="850"/>
          <w:jc w:val="right"/>
        </w:trPr>
        <w:tc>
          <w:tcPr>
            <w:tcW w:w="1550" w:type="dxa"/>
          </w:tcPr>
          <w:p w14:paraId="2A9B9F9D" w14:textId="31800C31" w:rsidR="00032E4E" w:rsidRPr="00E84EB9" w:rsidRDefault="00032E4E" w:rsidP="00023DA9">
            <w:pPr>
              <w:rPr>
                <w:rFonts w:ascii="Univers" w:hAnsi="Univers"/>
                <w:b/>
                <w:sz w:val="27"/>
                <w:szCs w:val="27"/>
                <w:lang w:val="fr-FR"/>
              </w:rPr>
            </w:pPr>
            <w:bookmarkStart w:id="0" w:name="_GoBack"/>
            <w:bookmarkEnd w:id="0"/>
            <w:r w:rsidRPr="00E84EB9">
              <w:rPr>
                <w:rFonts w:ascii="Arial" w:hAnsi="Arial" w:cs="Arial"/>
                <w:b/>
                <w:sz w:val="27"/>
                <w:szCs w:val="27"/>
                <w:lang w:val="fr-FR"/>
              </w:rPr>
              <w:t>NATIONS UNIES</w:t>
            </w:r>
          </w:p>
        </w:tc>
        <w:tc>
          <w:tcPr>
            <w:tcW w:w="4751" w:type="dxa"/>
          </w:tcPr>
          <w:p w14:paraId="2F47229A" w14:textId="77777777" w:rsidR="00032E4E" w:rsidRPr="00E84EB9" w:rsidRDefault="00032E4E" w:rsidP="00023DA9">
            <w:pPr>
              <w:rPr>
                <w:rFonts w:ascii="Univers" w:hAnsi="Univers"/>
                <w:b/>
                <w:sz w:val="27"/>
                <w:szCs w:val="27"/>
                <w:lang w:val="fr-FR"/>
              </w:rPr>
            </w:pPr>
          </w:p>
        </w:tc>
        <w:tc>
          <w:tcPr>
            <w:tcW w:w="3411" w:type="dxa"/>
          </w:tcPr>
          <w:p w14:paraId="57073C3F" w14:textId="77777777" w:rsidR="00032E4E" w:rsidRPr="00E84EB9" w:rsidRDefault="00787688" w:rsidP="00023DA9">
            <w:pPr>
              <w:jc w:val="right"/>
              <w:rPr>
                <w:rFonts w:ascii="Arial" w:hAnsi="Arial" w:cs="Arial"/>
                <w:b/>
                <w:sz w:val="64"/>
                <w:szCs w:val="64"/>
                <w:lang w:val="fr-FR"/>
              </w:rPr>
            </w:pPr>
            <w:r w:rsidRPr="00E84EB9">
              <w:rPr>
                <w:rFonts w:ascii="Arial" w:hAnsi="Arial" w:cs="Arial"/>
                <w:b/>
                <w:sz w:val="64"/>
                <w:szCs w:val="64"/>
                <w:lang w:val="fr-FR"/>
              </w:rPr>
              <w:t>MC</w:t>
            </w:r>
          </w:p>
        </w:tc>
      </w:tr>
      <w:tr w:rsidR="00032E4E" w:rsidRPr="00E84EB9" w14:paraId="0DEAC680" w14:textId="77777777" w:rsidTr="00CB007D">
        <w:trPr>
          <w:cantSplit/>
          <w:trHeight w:val="281"/>
          <w:jc w:val="right"/>
        </w:trPr>
        <w:tc>
          <w:tcPr>
            <w:tcW w:w="1550" w:type="dxa"/>
            <w:tcBorders>
              <w:bottom w:val="single" w:sz="4" w:space="0" w:color="auto"/>
            </w:tcBorders>
          </w:tcPr>
          <w:p w14:paraId="30269B88" w14:textId="77777777" w:rsidR="00032E4E" w:rsidRPr="00E84EB9" w:rsidRDefault="00032E4E" w:rsidP="00023DA9">
            <w:pPr>
              <w:rPr>
                <w:sz w:val="18"/>
                <w:szCs w:val="18"/>
                <w:lang w:val="fr-FR"/>
              </w:rPr>
            </w:pPr>
          </w:p>
        </w:tc>
        <w:tc>
          <w:tcPr>
            <w:tcW w:w="4751" w:type="dxa"/>
            <w:tcBorders>
              <w:bottom w:val="single" w:sz="4" w:space="0" w:color="auto"/>
            </w:tcBorders>
          </w:tcPr>
          <w:p w14:paraId="54296B4D" w14:textId="77777777" w:rsidR="00032E4E" w:rsidRPr="00E84EB9" w:rsidRDefault="00032E4E" w:rsidP="00023DA9">
            <w:pPr>
              <w:rPr>
                <w:rFonts w:ascii="Univers" w:hAnsi="Univers"/>
                <w:b/>
                <w:sz w:val="18"/>
                <w:szCs w:val="18"/>
                <w:lang w:val="fr-FR"/>
              </w:rPr>
            </w:pPr>
          </w:p>
        </w:tc>
        <w:tc>
          <w:tcPr>
            <w:tcW w:w="3411" w:type="dxa"/>
            <w:tcBorders>
              <w:bottom w:val="single" w:sz="4" w:space="0" w:color="auto"/>
            </w:tcBorders>
          </w:tcPr>
          <w:p w14:paraId="540639F8" w14:textId="154539DD" w:rsidR="00032E4E" w:rsidRPr="00E84EB9" w:rsidRDefault="00032E4E" w:rsidP="00434321">
            <w:pPr>
              <w:rPr>
                <w:sz w:val="18"/>
                <w:szCs w:val="18"/>
                <w:lang w:val="fr-FR"/>
              </w:rPr>
            </w:pPr>
            <w:r w:rsidRPr="00E84EB9">
              <w:rPr>
                <w:b/>
                <w:sz w:val="28"/>
                <w:szCs w:val="28"/>
                <w:lang w:val="fr-FR"/>
              </w:rPr>
              <w:t>UNEP</w:t>
            </w:r>
            <w:r w:rsidRPr="00E84EB9">
              <w:rPr>
                <w:lang w:val="fr-FR"/>
              </w:rPr>
              <w:t>/MC/COP.2/5</w:t>
            </w:r>
            <w:bookmarkStart w:id="1" w:name="OLE_LINK1"/>
            <w:bookmarkStart w:id="2" w:name="OLE_LINK2"/>
            <w:bookmarkEnd w:id="1"/>
            <w:bookmarkEnd w:id="2"/>
          </w:p>
        </w:tc>
      </w:tr>
      <w:bookmarkStart w:id="3" w:name="_MON_1021710482"/>
      <w:bookmarkEnd w:id="3"/>
      <w:bookmarkStart w:id="4" w:name="_MON_1021710510"/>
      <w:bookmarkEnd w:id="4"/>
      <w:tr w:rsidR="00032E4E" w:rsidRPr="00D23400"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E84EB9" w:rsidRDefault="003E20F5" w:rsidP="00023DA9">
            <w:pPr>
              <w:rPr>
                <w:lang w:val="fr-FR"/>
              </w:rPr>
            </w:pPr>
            <w:r w:rsidRPr="00E84EB9">
              <w:rPr>
                <w:lang w:val="fr-FR"/>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8" o:title=""/>
                </v:shape>
                <o:OLEObject Type="Embed" ProgID="Word.Picture.8" ShapeID="_x0000_i1025" DrawAspect="Content" ObjectID="_1601739108" r:id="rId9"/>
              </w:object>
            </w:r>
            <w:r w:rsidR="00011A16" w:rsidRPr="00E84EB9">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7C4F576E" w:rsidR="00032E4E" w:rsidRPr="00E84EB9" w:rsidRDefault="00032E4E" w:rsidP="00023DA9">
            <w:pPr>
              <w:spacing w:before="1200"/>
              <w:rPr>
                <w:rFonts w:ascii="Arial" w:hAnsi="Arial" w:cs="Arial"/>
                <w:b/>
                <w:sz w:val="28"/>
                <w:lang w:val="fr-FR"/>
              </w:rPr>
            </w:pPr>
            <w:r w:rsidRPr="00E84EB9">
              <w:rPr>
                <w:rFonts w:ascii="Arial" w:hAnsi="Arial" w:cs="Arial"/>
                <w:b/>
                <w:sz w:val="32"/>
                <w:szCs w:val="32"/>
                <w:lang w:val="fr-FR"/>
              </w:rPr>
              <w:t>Programme des Nations Unies pour l</w:t>
            </w:r>
            <w:r w:rsidR="006C05FA">
              <w:rPr>
                <w:rFonts w:ascii="Arial" w:hAnsi="Arial" w:cs="Arial"/>
                <w:b/>
                <w:sz w:val="32"/>
                <w:szCs w:val="32"/>
                <w:lang w:val="fr-FR"/>
              </w:rPr>
              <w:t>’</w:t>
            </w:r>
            <w:r w:rsidRPr="00E84EB9">
              <w:rPr>
                <w:rFonts w:ascii="Arial" w:hAnsi="Arial" w:cs="Arial"/>
                <w:b/>
                <w:sz w:val="32"/>
                <w:szCs w:val="32"/>
                <w:lang w:val="fr-FR"/>
              </w:rPr>
              <w:t>environnement</w:t>
            </w:r>
          </w:p>
        </w:tc>
        <w:tc>
          <w:tcPr>
            <w:tcW w:w="3411" w:type="dxa"/>
            <w:tcBorders>
              <w:top w:val="single" w:sz="4" w:space="0" w:color="auto"/>
              <w:bottom w:val="single" w:sz="24" w:space="0" w:color="auto"/>
            </w:tcBorders>
          </w:tcPr>
          <w:p w14:paraId="052226F2" w14:textId="7472B8D0" w:rsidR="00211E4A" w:rsidRPr="00E84EB9" w:rsidRDefault="00032E4E" w:rsidP="00410A37">
            <w:pPr>
              <w:rPr>
                <w:lang w:val="fr-FR"/>
              </w:rPr>
            </w:pPr>
            <w:proofErr w:type="spellStart"/>
            <w:r w:rsidRPr="00E84EB9">
              <w:rPr>
                <w:lang w:val="fr-FR"/>
              </w:rPr>
              <w:t>Distr</w:t>
            </w:r>
            <w:proofErr w:type="spellEnd"/>
            <w:r w:rsidRPr="00E84EB9">
              <w:rPr>
                <w:lang w:val="fr-FR"/>
              </w:rPr>
              <w:t>.</w:t>
            </w:r>
            <w:r w:rsidR="00CB7271">
              <w:rPr>
                <w:lang w:val="fr-FR"/>
              </w:rPr>
              <w:t> </w:t>
            </w:r>
            <w:proofErr w:type="gramStart"/>
            <w:r w:rsidR="00211E4A" w:rsidRPr="00E84EB9">
              <w:rPr>
                <w:lang w:val="fr-FR"/>
              </w:rPr>
              <w:t>générale</w:t>
            </w:r>
            <w:proofErr w:type="gramEnd"/>
          </w:p>
          <w:p w14:paraId="722F44F8" w14:textId="024BB4C7" w:rsidR="00032E4E" w:rsidRPr="00E84EB9" w:rsidRDefault="00211E4A" w:rsidP="00410A37">
            <w:pPr>
              <w:rPr>
                <w:lang w:val="fr-FR"/>
              </w:rPr>
            </w:pPr>
            <w:r w:rsidRPr="00E84EB9">
              <w:rPr>
                <w:lang w:val="fr-FR"/>
              </w:rPr>
              <w:t>1 </w:t>
            </w:r>
            <w:r w:rsidR="00032E4E" w:rsidRPr="00E84EB9">
              <w:rPr>
                <w:lang w:val="fr-FR"/>
              </w:rPr>
              <w:t>août 2018</w:t>
            </w:r>
          </w:p>
          <w:p w14:paraId="7B3B1DED" w14:textId="77777777" w:rsidR="00410A37" w:rsidRPr="00E84EB9" w:rsidRDefault="00410A37" w:rsidP="00410A37">
            <w:pPr>
              <w:rPr>
                <w:lang w:val="fr-FR"/>
              </w:rPr>
            </w:pPr>
          </w:p>
          <w:p w14:paraId="1CD4AD61" w14:textId="77777777" w:rsidR="00211E4A" w:rsidRPr="00E84EB9" w:rsidRDefault="00211E4A" w:rsidP="00410A37">
            <w:pPr>
              <w:rPr>
                <w:lang w:val="fr-FR"/>
              </w:rPr>
            </w:pPr>
            <w:r w:rsidRPr="00E84EB9">
              <w:rPr>
                <w:lang w:val="fr-FR"/>
              </w:rPr>
              <w:t>Français</w:t>
            </w:r>
          </w:p>
          <w:p w14:paraId="1A75CF9D" w14:textId="34A96CB6" w:rsidR="00032E4E" w:rsidRPr="00E84EB9" w:rsidRDefault="00410A37" w:rsidP="00410A37">
            <w:pPr>
              <w:rPr>
                <w:lang w:val="fr-FR"/>
              </w:rPr>
            </w:pPr>
            <w:r w:rsidRPr="00E84EB9">
              <w:rPr>
                <w:lang w:val="fr-FR"/>
              </w:rPr>
              <w:t>Original </w:t>
            </w:r>
            <w:r w:rsidR="00032E4E" w:rsidRPr="00E84EB9">
              <w:rPr>
                <w:lang w:val="fr-FR"/>
              </w:rPr>
              <w:t>: anglais</w:t>
            </w:r>
          </w:p>
        </w:tc>
      </w:tr>
    </w:tbl>
    <w:p w14:paraId="570C21FE" w14:textId="059565EB" w:rsidR="000E7204" w:rsidRPr="00E84EB9" w:rsidRDefault="00CB007D" w:rsidP="00E976AB">
      <w:pPr>
        <w:pStyle w:val="AATitle"/>
        <w:keepNext w:val="0"/>
        <w:keepLines w:val="0"/>
        <w:rPr>
          <w:bCs/>
          <w:lang w:val="fr-FR"/>
        </w:rPr>
      </w:pPr>
      <w:r w:rsidRPr="00E84EB9">
        <w:rPr>
          <w:bCs/>
          <w:lang w:val="fr-FR"/>
        </w:rPr>
        <w:t xml:space="preserve">Conférence </w:t>
      </w:r>
      <w:r w:rsidR="00713534" w:rsidRPr="00E84EB9">
        <w:rPr>
          <w:bCs/>
          <w:lang w:val="fr-FR"/>
        </w:rPr>
        <w:t xml:space="preserve">des </w:t>
      </w:r>
      <w:r w:rsidR="00A32A5F" w:rsidRPr="00E84EB9">
        <w:rPr>
          <w:bCs/>
          <w:lang w:val="fr-FR"/>
        </w:rPr>
        <w:t>Partie</w:t>
      </w:r>
      <w:r w:rsidR="00713534" w:rsidRPr="00E84EB9">
        <w:rPr>
          <w:bCs/>
          <w:lang w:val="fr-FR"/>
        </w:rPr>
        <w:t xml:space="preserve">s </w:t>
      </w:r>
      <w:r w:rsidRPr="00E84EB9">
        <w:rPr>
          <w:bCs/>
          <w:lang w:val="fr-FR"/>
        </w:rPr>
        <w:t xml:space="preserve">à la </w:t>
      </w:r>
    </w:p>
    <w:p w14:paraId="0A4BFFDA" w14:textId="0780FA00" w:rsidR="00E976AB" w:rsidRPr="00E84EB9" w:rsidRDefault="00CB007D" w:rsidP="00E976AB">
      <w:pPr>
        <w:pStyle w:val="AATitle"/>
        <w:keepNext w:val="0"/>
        <w:keepLines w:val="0"/>
        <w:rPr>
          <w:lang w:val="fr-FR"/>
        </w:rPr>
      </w:pPr>
      <w:r w:rsidRPr="00E84EB9">
        <w:rPr>
          <w:bCs/>
          <w:lang w:val="fr-FR"/>
        </w:rPr>
        <w:t>Convention de Minamata sur le mercure</w:t>
      </w:r>
    </w:p>
    <w:p w14:paraId="26A6CAA0" w14:textId="77194A37" w:rsidR="00E976AB" w:rsidRPr="00E84EB9" w:rsidRDefault="00434321" w:rsidP="00E976AB">
      <w:pPr>
        <w:pStyle w:val="AATitle"/>
        <w:keepNext w:val="0"/>
        <w:keepLines w:val="0"/>
        <w:rPr>
          <w:lang w:val="fr-FR"/>
        </w:rPr>
      </w:pPr>
      <w:r w:rsidRPr="00E84EB9">
        <w:rPr>
          <w:bCs/>
          <w:lang w:val="fr-FR"/>
        </w:rPr>
        <w:t>Deuxième réunion</w:t>
      </w:r>
    </w:p>
    <w:p w14:paraId="67B82F12" w14:textId="5FAC9BBA" w:rsidR="00787688" w:rsidRPr="00E84EB9" w:rsidRDefault="00CB7271" w:rsidP="00434321">
      <w:pPr>
        <w:pStyle w:val="AATitle"/>
        <w:rPr>
          <w:b w:val="0"/>
          <w:lang w:val="fr-FR"/>
        </w:rPr>
      </w:pPr>
      <w:r>
        <w:rPr>
          <w:b w:val="0"/>
          <w:lang w:val="fr-FR"/>
        </w:rPr>
        <w:t>Genève, 19-23 novembre </w:t>
      </w:r>
      <w:r w:rsidR="00787688" w:rsidRPr="00E84EB9">
        <w:rPr>
          <w:b w:val="0"/>
          <w:lang w:val="fr-FR"/>
        </w:rPr>
        <w:t>2018</w:t>
      </w:r>
    </w:p>
    <w:p w14:paraId="41CF4448" w14:textId="69E8B84A" w:rsidR="00F15578" w:rsidRPr="00E84EB9" w:rsidRDefault="001069D3" w:rsidP="00F15578">
      <w:pPr>
        <w:pStyle w:val="AATitle"/>
        <w:keepNext w:val="0"/>
        <w:keepLines w:val="0"/>
        <w:rPr>
          <w:b w:val="0"/>
          <w:lang w:val="fr-FR"/>
        </w:rPr>
      </w:pPr>
      <w:r w:rsidRPr="00E84EB9">
        <w:rPr>
          <w:b w:val="0"/>
          <w:lang w:val="fr-FR"/>
        </w:rPr>
        <w:t>Point 5 </w:t>
      </w:r>
      <w:r w:rsidR="00E54866" w:rsidRPr="00E84EB9">
        <w:rPr>
          <w:b w:val="0"/>
          <w:lang w:val="fr-FR"/>
        </w:rPr>
        <w:t>b) de l</w:t>
      </w:r>
      <w:r w:rsidR="006C05FA">
        <w:rPr>
          <w:b w:val="0"/>
          <w:lang w:val="fr-FR"/>
        </w:rPr>
        <w:t>’</w:t>
      </w:r>
      <w:r w:rsidR="00E54866" w:rsidRPr="00E84EB9">
        <w:rPr>
          <w:b w:val="0"/>
          <w:lang w:val="fr-FR"/>
        </w:rPr>
        <w:t>ordre du jour provisoire</w:t>
      </w:r>
      <w:r w:rsidR="00E54866" w:rsidRPr="00E84EB9">
        <w:rPr>
          <w:b w:val="0"/>
          <w:lang w:val="fr-FR"/>
        </w:rPr>
        <w:footnoteReference w:customMarkFollows="1" w:id="1"/>
        <w:t>*</w:t>
      </w:r>
    </w:p>
    <w:p w14:paraId="2D8757BE" w14:textId="4183C1F0" w:rsidR="00F15578" w:rsidRPr="00E84EB9" w:rsidRDefault="00035ED3" w:rsidP="0029471C">
      <w:pPr>
        <w:pStyle w:val="AATitle2"/>
        <w:rPr>
          <w:lang w:val="fr-FR"/>
        </w:rPr>
      </w:pPr>
      <w:r w:rsidRPr="00E84EB9">
        <w:rPr>
          <w:bCs/>
          <w:lang w:val="fr-FR"/>
        </w:rPr>
        <w:t>Questions pour examen ou suite à donne</w:t>
      </w:r>
      <w:r w:rsidR="000E7204" w:rsidRPr="00E84EB9">
        <w:rPr>
          <w:bCs/>
          <w:lang w:val="fr-FR"/>
        </w:rPr>
        <w:t xml:space="preserve">r par la Conférence des </w:t>
      </w:r>
      <w:r w:rsidR="00A32A5F" w:rsidRPr="00E84EB9">
        <w:rPr>
          <w:bCs/>
          <w:lang w:val="fr-FR"/>
        </w:rPr>
        <w:t>Partie</w:t>
      </w:r>
      <w:r w:rsidR="000E7204" w:rsidRPr="00E84EB9">
        <w:rPr>
          <w:bCs/>
          <w:lang w:val="fr-FR"/>
        </w:rPr>
        <w:t>s </w:t>
      </w:r>
      <w:r w:rsidRPr="00E84EB9">
        <w:rPr>
          <w:bCs/>
          <w:lang w:val="fr-FR"/>
        </w:rPr>
        <w:t>: stockage provisoire écologiquement rationnel du mercure, à l</w:t>
      </w:r>
      <w:r w:rsidR="006C05FA">
        <w:rPr>
          <w:bCs/>
          <w:lang w:val="fr-FR"/>
        </w:rPr>
        <w:t>’</w:t>
      </w:r>
      <w:r w:rsidRPr="00E84EB9">
        <w:rPr>
          <w:bCs/>
          <w:lang w:val="fr-FR"/>
        </w:rPr>
        <w:t>exclusion des déchets de mercure</w:t>
      </w:r>
    </w:p>
    <w:p w14:paraId="7D489C3D" w14:textId="23C41FE0" w:rsidR="00CD0518" w:rsidRPr="00E84EB9" w:rsidRDefault="00024C21" w:rsidP="0029471C">
      <w:pPr>
        <w:pStyle w:val="BBTitle"/>
        <w:rPr>
          <w:lang w:val="fr-FR"/>
        </w:rPr>
      </w:pPr>
      <w:r>
        <w:rPr>
          <w:bCs/>
          <w:lang w:val="fr-FR"/>
        </w:rPr>
        <w:t xml:space="preserve">Directives </w:t>
      </w:r>
      <w:r w:rsidR="0092355B">
        <w:rPr>
          <w:bCs/>
          <w:lang w:val="fr-FR"/>
        </w:rPr>
        <w:t>pour</w:t>
      </w:r>
      <w:r>
        <w:rPr>
          <w:bCs/>
          <w:lang w:val="fr-FR"/>
        </w:rPr>
        <w:t xml:space="preserve"> le</w:t>
      </w:r>
      <w:r w:rsidR="00CD0518" w:rsidRPr="00E84EB9">
        <w:rPr>
          <w:bCs/>
          <w:lang w:val="fr-FR"/>
        </w:rPr>
        <w:t xml:space="preserve"> stockage provisoire écologiquement rationnel du mercure</w:t>
      </w:r>
      <w:r w:rsidR="00783CEE" w:rsidRPr="00E84EB9">
        <w:rPr>
          <w:bCs/>
          <w:lang w:val="fr-FR"/>
        </w:rPr>
        <w:t>,</w:t>
      </w:r>
      <w:r w:rsidR="00CD0518" w:rsidRPr="00E84EB9">
        <w:rPr>
          <w:bCs/>
          <w:lang w:val="fr-FR"/>
        </w:rPr>
        <w:t xml:space="preserve"> à l</w:t>
      </w:r>
      <w:r w:rsidR="006C05FA">
        <w:rPr>
          <w:bCs/>
          <w:lang w:val="fr-FR"/>
        </w:rPr>
        <w:t>’</w:t>
      </w:r>
      <w:r w:rsidR="00CD0518" w:rsidRPr="00E84EB9">
        <w:rPr>
          <w:bCs/>
          <w:lang w:val="fr-FR"/>
        </w:rPr>
        <w:t>exclusion des déchets de mercure</w:t>
      </w:r>
    </w:p>
    <w:p w14:paraId="7C2F3AEF" w14:textId="0D8FF41C" w:rsidR="001F683A" w:rsidRPr="00E84EB9" w:rsidRDefault="00F20536" w:rsidP="00F20536">
      <w:pPr>
        <w:pStyle w:val="CH2"/>
        <w:rPr>
          <w:lang w:val="fr-FR"/>
        </w:rPr>
      </w:pPr>
      <w:r w:rsidRPr="00E84EB9">
        <w:rPr>
          <w:lang w:val="fr-FR"/>
        </w:rPr>
        <w:tab/>
      </w:r>
      <w:r w:rsidRPr="00E84EB9">
        <w:rPr>
          <w:lang w:val="fr-FR"/>
        </w:rPr>
        <w:tab/>
      </w:r>
      <w:bookmarkStart w:id="5" w:name="_Toc527548230"/>
      <w:r w:rsidRPr="00E84EB9">
        <w:rPr>
          <w:bCs/>
          <w:lang w:val="fr-FR"/>
        </w:rPr>
        <w:t>Note du secrétariat</w:t>
      </w:r>
      <w:bookmarkStart w:id="6" w:name="_Toc524009400"/>
      <w:bookmarkEnd w:id="5"/>
      <w:bookmarkEnd w:id="6"/>
    </w:p>
    <w:p w14:paraId="402856AB" w14:textId="54A9653C" w:rsidR="00CD0518" w:rsidRPr="00E84EB9" w:rsidRDefault="00480343" w:rsidP="00A108C4">
      <w:pPr>
        <w:pStyle w:val="Normalnumber"/>
        <w:ind w:left="1247" w:firstLine="0"/>
        <w:rPr>
          <w:iCs/>
          <w:lang w:val="fr-FR"/>
        </w:rPr>
      </w:pPr>
      <w:r w:rsidRPr="00E84EB9">
        <w:rPr>
          <w:lang w:val="fr-FR"/>
        </w:rPr>
        <w:t xml:space="preserve">À sa première réunion, la Conférence des </w:t>
      </w:r>
      <w:r w:rsidR="00A32A5F" w:rsidRPr="00E84EB9">
        <w:rPr>
          <w:lang w:val="fr-FR"/>
        </w:rPr>
        <w:t>Partie</w:t>
      </w:r>
      <w:r w:rsidRPr="00E84EB9">
        <w:rPr>
          <w:lang w:val="fr-FR"/>
        </w:rPr>
        <w:t>s à la Convention de Minamata sur le mercure s</w:t>
      </w:r>
      <w:r w:rsidR="006C05FA">
        <w:rPr>
          <w:lang w:val="fr-FR"/>
        </w:rPr>
        <w:t>’</w:t>
      </w:r>
      <w:r w:rsidRPr="00E84EB9">
        <w:rPr>
          <w:lang w:val="fr-FR"/>
        </w:rPr>
        <w:t>est penchée sur l</w:t>
      </w:r>
      <w:r w:rsidR="006C05FA">
        <w:rPr>
          <w:lang w:val="fr-FR"/>
        </w:rPr>
        <w:t>’</w:t>
      </w:r>
      <w:r w:rsidRPr="00E84EB9">
        <w:rPr>
          <w:lang w:val="fr-FR"/>
        </w:rPr>
        <w:t xml:space="preserve">élaboration de </w:t>
      </w:r>
      <w:r w:rsidR="00024C21">
        <w:rPr>
          <w:lang w:val="fr-FR"/>
        </w:rPr>
        <w:t>directives concernant le</w:t>
      </w:r>
      <w:r w:rsidRPr="00E84EB9">
        <w:rPr>
          <w:lang w:val="fr-FR"/>
        </w:rPr>
        <w:t xml:space="preserve"> stockage provisoire écologiquement rationnel du mercure, à l</w:t>
      </w:r>
      <w:r w:rsidR="006C05FA">
        <w:rPr>
          <w:lang w:val="fr-FR"/>
        </w:rPr>
        <w:t>’</w:t>
      </w:r>
      <w:r w:rsidRPr="00E84EB9">
        <w:rPr>
          <w:lang w:val="fr-FR"/>
        </w:rPr>
        <w:t xml:space="preserve">exclusion des déchets de mercure, comme </w:t>
      </w:r>
      <w:r w:rsidR="00024C21">
        <w:rPr>
          <w:lang w:val="fr-FR"/>
        </w:rPr>
        <w:t>demandé a</w:t>
      </w:r>
      <w:r w:rsidR="00E332FE" w:rsidRPr="00E84EB9">
        <w:rPr>
          <w:lang w:val="fr-FR"/>
        </w:rPr>
        <w:t>u paragraphe 3 de l</w:t>
      </w:r>
      <w:r w:rsidR="006C05FA">
        <w:rPr>
          <w:lang w:val="fr-FR"/>
        </w:rPr>
        <w:t>’</w:t>
      </w:r>
      <w:r w:rsidR="00E332FE" w:rsidRPr="00E84EB9">
        <w:rPr>
          <w:lang w:val="fr-FR"/>
        </w:rPr>
        <w:t>article </w:t>
      </w:r>
      <w:r w:rsidRPr="00E84EB9">
        <w:rPr>
          <w:lang w:val="fr-FR"/>
        </w:rPr>
        <w:t>10 de la Convention. Dans sa décis</w:t>
      </w:r>
      <w:r w:rsidR="00D23400">
        <w:rPr>
          <w:lang w:val="fr-FR"/>
        </w:rPr>
        <w:t>ion </w:t>
      </w:r>
      <w:r w:rsidRPr="00E84EB9">
        <w:rPr>
          <w:lang w:val="fr-FR"/>
        </w:rPr>
        <w:t xml:space="preserve">MC-1/18, la Conférence des </w:t>
      </w:r>
      <w:r w:rsidR="00A32A5F" w:rsidRPr="00E84EB9">
        <w:rPr>
          <w:lang w:val="fr-FR"/>
        </w:rPr>
        <w:t>Partie</w:t>
      </w:r>
      <w:r w:rsidRPr="00E84EB9">
        <w:rPr>
          <w:lang w:val="fr-FR"/>
        </w:rPr>
        <w:t xml:space="preserve">s a prié le secrétariat de </w:t>
      </w:r>
      <w:r w:rsidR="00024C21">
        <w:rPr>
          <w:lang w:val="fr-FR"/>
        </w:rPr>
        <w:t>procéder à une nouvelle révision du</w:t>
      </w:r>
      <w:r w:rsidR="00AE3C85" w:rsidRPr="00E84EB9">
        <w:rPr>
          <w:lang w:val="fr-FR"/>
        </w:rPr>
        <w:t xml:space="preserve"> </w:t>
      </w:r>
      <w:r w:rsidRPr="00E84EB9">
        <w:rPr>
          <w:lang w:val="fr-FR"/>
        </w:rPr>
        <w:t>p</w:t>
      </w:r>
      <w:r w:rsidR="00AE3C85" w:rsidRPr="00E84EB9">
        <w:rPr>
          <w:lang w:val="fr-FR"/>
        </w:rPr>
        <w:t>rojet de directives présenté à s</w:t>
      </w:r>
      <w:r w:rsidRPr="00E84EB9">
        <w:rPr>
          <w:lang w:val="fr-FR"/>
        </w:rPr>
        <w:t xml:space="preserve">a première réunion en </w:t>
      </w:r>
      <w:r w:rsidR="00024C21">
        <w:rPr>
          <w:lang w:val="fr-FR"/>
        </w:rPr>
        <w:t>sollicitant</w:t>
      </w:r>
      <w:r w:rsidRPr="00E84EB9">
        <w:rPr>
          <w:lang w:val="fr-FR"/>
        </w:rPr>
        <w:t xml:space="preserve"> des contributions techniques d</w:t>
      </w:r>
      <w:r w:rsidR="006C05FA">
        <w:rPr>
          <w:lang w:val="fr-FR"/>
        </w:rPr>
        <w:t>’</w:t>
      </w:r>
      <w:r w:rsidRPr="00E84EB9">
        <w:rPr>
          <w:lang w:val="fr-FR"/>
        </w:rPr>
        <w:t xml:space="preserve">experts compétents, </w:t>
      </w:r>
      <w:r w:rsidR="0092355B">
        <w:rPr>
          <w:lang w:val="fr-FR"/>
        </w:rPr>
        <w:t>de</w:t>
      </w:r>
      <w:r w:rsidR="003D50A9" w:rsidRPr="00E84EB9">
        <w:rPr>
          <w:lang w:val="fr-FR"/>
        </w:rPr>
        <w:t xml:space="preserve"> </w:t>
      </w:r>
      <w:r w:rsidRPr="00E84EB9">
        <w:rPr>
          <w:lang w:val="fr-FR"/>
        </w:rPr>
        <w:t>mo</w:t>
      </w:r>
      <w:r w:rsidR="003D50A9" w:rsidRPr="00E84EB9">
        <w:rPr>
          <w:lang w:val="fr-FR"/>
        </w:rPr>
        <w:t>difi</w:t>
      </w:r>
      <w:r w:rsidR="0092355B">
        <w:rPr>
          <w:lang w:val="fr-FR"/>
        </w:rPr>
        <w:t>er</w:t>
      </w:r>
      <w:r w:rsidRPr="00E84EB9">
        <w:rPr>
          <w:lang w:val="fr-FR"/>
        </w:rPr>
        <w:t xml:space="preserve"> les directives</w:t>
      </w:r>
      <w:r w:rsidR="0092355B">
        <w:rPr>
          <w:lang w:val="fr-FR"/>
        </w:rPr>
        <w:t>,</w:t>
      </w:r>
      <w:r w:rsidRPr="00E84EB9">
        <w:rPr>
          <w:lang w:val="fr-FR"/>
        </w:rPr>
        <w:t xml:space="preserve"> </w:t>
      </w:r>
      <w:r w:rsidR="0092355B">
        <w:rPr>
          <w:lang w:val="fr-FR"/>
        </w:rPr>
        <w:t>de</w:t>
      </w:r>
      <w:r w:rsidRPr="00E84EB9">
        <w:rPr>
          <w:lang w:val="fr-FR"/>
        </w:rPr>
        <w:t xml:space="preserve"> </w:t>
      </w:r>
      <w:r w:rsidR="003D50A9" w:rsidRPr="00E84EB9">
        <w:rPr>
          <w:lang w:val="fr-FR"/>
        </w:rPr>
        <w:t>publi</w:t>
      </w:r>
      <w:r w:rsidR="0092355B">
        <w:rPr>
          <w:lang w:val="fr-FR"/>
        </w:rPr>
        <w:t>er le</w:t>
      </w:r>
      <w:r w:rsidRPr="00E84EB9">
        <w:rPr>
          <w:lang w:val="fr-FR"/>
        </w:rPr>
        <w:t xml:space="preserve"> projet </w:t>
      </w:r>
      <w:r w:rsidR="0092355B">
        <w:rPr>
          <w:lang w:val="fr-FR"/>
        </w:rPr>
        <w:t xml:space="preserve">révisé </w:t>
      </w:r>
      <w:r w:rsidRPr="00E84EB9">
        <w:rPr>
          <w:lang w:val="fr-FR"/>
        </w:rPr>
        <w:t>sur le site W</w:t>
      </w:r>
      <w:r w:rsidR="003D50A9" w:rsidRPr="00E84EB9">
        <w:rPr>
          <w:lang w:val="fr-FR"/>
        </w:rPr>
        <w:t>eb de la Convention de Minamata</w:t>
      </w:r>
      <w:r w:rsidRPr="00E84EB9">
        <w:rPr>
          <w:lang w:val="fr-FR"/>
        </w:rPr>
        <w:t xml:space="preserve"> pour observations par les experts, les signataires et les autres </w:t>
      </w:r>
      <w:r w:rsidR="00024C21">
        <w:rPr>
          <w:lang w:val="fr-FR"/>
        </w:rPr>
        <w:t>p</w:t>
      </w:r>
      <w:r w:rsidR="00A32A5F" w:rsidRPr="00E84EB9">
        <w:rPr>
          <w:lang w:val="fr-FR"/>
        </w:rPr>
        <w:t>artie</w:t>
      </w:r>
      <w:r w:rsidRPr="00E84EB9">
        <w:rPr>
          <w:lang w:val="fr-FR"/>
        </w:rPr>
        <w:t xml:space="preserve">s prenantes, et </w:t>
      </w:r>
      <w:r w:rsidR="0092355B">
        <w:rPr>
          <w:lang w:val="fr-FR"/>
        </w:rPr>
        <w:t>d’en</w:t>
      </w:r>
      <w:r w:rsidR="003D50A9" w:rsidRPr="00E84EB9">
        <w:rPr>
          <w:lang w:val="fr-FR"/>
        </w:rPr>
        <w:t xml:space="preserve"> poursuiv</w:t>
      </w:r>
      <w:r w:rsidR="0092355B">
        <w:rPr>
          <w:lang w:val="fr-FR"/>
        </w:rPr>
        <w:t>re</w:t>
      </w:r>
      <w:r w:rsidR="00AE3C85" w:rsidRPr="00E84EB9">
        <w:rPr>
          <w:lang w:val="fr-FR"/>
        </w:rPr>
        <w:t xml:space="preserve"> l</w:t>
      </w:r>
      <w:r w:rsidR="0092355B">
        <w:rPr>
          <w:lang w:val="fr-FR"/>
        </w:rPr>
        <w:t>a</w:t>
      </w:r>
      <w:r w:rsidR="00AE3C85" w:rsidRPr="00E84EB9">
        <w:rPr>
          <w:lang w:val="fr-FR"/>
        </w:rPr>
        <w:t xml:space="preserve"> révision </w:t>
      </w:r>
      <w:r w:rsidRPr="00E84EB9">
        <w:rPr>
          <w:lang w:val="fr-FR"/>
        </w:rPr>
        <w:t>sur la base des</w:t>
      </w:r>
      <w:r w:rsidR="00E332FE" w:rsidRPr="00E84EB9">
        <w:rPr>
          <w:lang w:val="fr-FR"/>
        </w:rPr>
        <w:t xml:space="preserve"> contributions reçues.</w:t>
      </w:r>
    </w:p>
    <w:p w14:paraId="32264C05" w14:textId="6E70D853" w:rsidR="00CD0518" w:rsidRPr="00E84EB9" w:rsidRDefault="00CD0518" w:rsidP="00CC5A25">
      <w:pPr>
        <w:pStyle w:val="Normalnumber"/>
        <w:ind w:left="1247" w:firstLine="0"/>
        <w:rPr>
          <w:lang w:val="fr-FR"/>
        </w:rPr>
      </w:pPr>
      <w:r w:rsidRPr="00E84EB9">
        <w:rPr>
          <w:lang w:val="fr-FR"/>
        </w:rPr>
        <w:t>Le secrétariat a entrepris la révision demandée et présente l</w:t>
      </w:r>
      <w:r w:rsidR="0092355B">
        <w:rPr>
          <w:lang w:val="fr-FR"/>
        </w:rPr>
        <w:t>e</w:t>
      </w:r>
      <w:r w:rsidRPr="00E84EB9">
        <w:rPr>
          <w:lang w:val="fr-FR"/>
        </w:rPr>
        <w:t xml:space="preserve"> projet </w:t>
      </w:r>
      <w:r w:rsidR="0092355B">
        <w:rPr>
          <w:lang w:val="fr-FR"/>
        </w:rPr>
        <w:t xml:space="preserve">révisé </w:t>
      </w:r>
      <w:r w:rsidRPr="00E84EB9">
        <w:rPr>
          <w:lang w:val="fr-FR"/>
        </w:rPr>
        <w:t xml:space="preserve">de directives à la Conférence des </w:t>
      </w:r>
      <w:r w:rsidR="00A32A5F" w:rsidRPr="00E84EB9">
        <w:rPr>
          <w:lang w:val="fr-FR"/>
        </w:rPr>
        <w:t>Partie</w:t>
      </w:r>
      <w:r w:rsidRPr="00E84EB9">
        <w:rPr>
          <w:lang w:val="fr-FR"/>
        </w:rPr>
        <w:t>s</w:t>
      </w:r>
      <w:r w:rsidR="00024C21">
        <w:rPr>
          <w:lang w:val="fr-FR"/>
        </w:rPr>
        <w:t>,</w:t>
      </w:r>
      <w:r w:rsidRPr="00E84EB9">
        <w:rPr>
          <w:lang w:val="fr-FR"/>
        </w:rPr>
        <w:t xml:space="preserve"> pour examen</w:t>
      </w:r>
      <w:r w:rsidR="005C22EF">
        <w:rPr>
          <w:lang w:val="fr-FR"/>
        </w:rPr>
        <w:t xml:space="preserve"> plus poussé</w:t>
      </w:r>
      <w:r w:rsidRPr="00E84EB9">
        <w:rPr>
          <w:lang w:val="fr-FR"/>
        </w:rPr>
        <w:t xml:space="preserve"> et adoption éventuelle. Un projet de décision à ce sujet </w:t>
      </w:r>
      <w:r w:rsidR="00024C21">
        <w:rPr>
          <w:lang w:val="fr-FR"/>
        </w:rPr>
        <w:t>figure dans l’</w:t>
      </w:r>
      <w:r w:rsidRPr="00E84EB9">
        <w:rPr>
          <w:lang w:val="fr-FR"/>
        </w:rPr>
        <w:t>annex</w:t>
      </w:r>
      <w:r w:rsidR="00F96B6D" w:rsidRPr="00E84EB9">
        <w:rPr>
          <w:lang w:val="fr-FR"/>
        </w:rPr>
        <w:t>e </w:t>
      </w:r>
      <w:r w:rsidRPr="00E84EB9">
        <w:rPr>
          <w:lang w:val="fr-FR"/>
        </w:rPr>
        <w:t xml:space="preserve">I à la présente note, et le projet révisé de </w:t>
      </w:r>
      <w:r w:rsidR="00F96B6D" w:rsidRPr="00E84EB9">
        <w:rPr>
          <w:lang w:val="fr-FR"/>
        </w:rPr>
        <w:t>directives figure en annexe II.</w:t>
      </w:r>
    </w:p>
    <w:p w14:paraId="5531262D" w14:textId="4DC69E98" w:rsidR="00480343" w:rsidRPr="00E84EB9" w:rsidRDefault="00776099" w:rsidP="00E26D27">
      <w:pPr>
        <w:pStyle w:val="CH2"/>
        <w:rPr>
          <w:lang w:val="fr-FR"/>
        </w:rPr>
      </w:pPr>
      <w:r w:rsidRPr="00E84EB9">
        <w:rPr>
          <w:lang w:val="fr-FR"/>
        </w:rPr>
        <w:tab/>
      </w:r>
      <w:r w:rsidRPr="00E84EB9">
        <w:rPr>
          <w:lang w:val="fr-FR"/>
        </w:rPr>
        <w:tab/>
      </w:r>
      <w:bookmarkStart w:id="7" w:name="_Toc527548231"/>
      <w:r w:rsidRPr="00E84EB9">
        <w:rPr>
          <w:bCs/>
          <w:lang w:val="fr-FR"/>
        </w:rPr>
        <w:t xml:space="preserve">Mesures que pourrait prendre la Conférence des </w:t>
      </w:r>
      <w:r w:rsidR="00A32A5F" w:rsidRPr="00E84EB9">
        <w:rPr>
          <w:bCs/>
          <w:lang w:val="fr-FR"/>
        </w:rPr>
        <w:t>Partie</w:t>
      </w:r>
      <w:r w:rsidRPr="00E84EB9">
        <w:rPr>
          <w:bCs/>
          <w:lang w:val="fr-FR"/>
        </w:rPr>
        <w:t>s</w:t>
      </w:r>
      <w:bookmarkStart w:id="8" w:name="_Toc524009401"/>
      <w:bookmarkEnd w:id="7"/>
      <w:bookmarkEnd w:id="8"/>
    </w:p>
    <w:p w14:paraId="59925D6B" w14:textId="03086A78" w:rsidR="00480343" w:rsidRPr="00E84EB9" w:rsidRDefault="000B0923" w:rsidP="00CC5A25">
      <w:pPr>
        <w:pStyle w:val="Normalnumber"/>
        <w:ind w:left="1247" w:firstLine="0"/>
        <w:rPr>
          <w:lang w:val="fr-FR"/>
        </w:rPr>
      </w:pPr>
      <w:r w:rsidRPr="00E84EB9">
        <w:rPr>
          <w:lang w:val="fr-FR"/>
        </w:rPr>
        <w:t xml:space="preserve">La Conférence des </w:t>
      </w:r>
      <w:r w:rsidR="00A32A5F" w:rsidRPr="00E84EB9">
        <w:rPr>
          <w:lang w:val="fr-FR"/>
        </w:rPr>
        <w:t>Partie</w:t>
      </w:r>
      <w:r w:rsidRPr="00E84EB9">
        <w:rPr>
          <w:lang w:val="fr-FR"/>
        </w:rPr>
        <w:t>s souhaitera peut-être examiner l</w:t>
      </w:r>
      <w:r w:rsidR="0092355B">
        <w:rPr>
          <w:lang w:val="fr-FR"/>
        </w:rPr>
        <w:t>e</w:t>
      </w:r>
      <w:r w:rsidRPr="00E84EB9">
        <w:rPr>
          <w:lang w:val="fr-FR"/>
        </w:rPr>
        <w:t xml:space="preserve"> projet </w:t>
      </w:r>
      <w:r w:rsidR="0092355B">
        <w:rPr>
          <w:lang w:val="fr-FR"/>
        </w:rPr>
        <w:t xml:space="preserve">révisé </w:t>
      </w:r>
      <w:r w:rsidRPr="00E84EB9">
        <w:rPr>
          <w:lang w:val="fr-FR"/>
        </w:rPr>
        <w:t xml:space="preserve">de directives </w:t>
      </w:r>
      <w:r w:rsidR="0092355B">
        <w:rPr>
          <w:lang w:val="fr-FR"/>
        </w:rPr>
        <w:t>pour</w:t>
      </w:r>
      <w:r w:rsidR="00F14B07">
        <w:rPr>
          <w:lang w:val="fr-FR"/>
        </w:rPr>
        <w:t xml:space="preserve"> </w:t>
      </w:r>
      <w:r w:rsidRPr="00E84EB9">
        <w:rPr>
          <w:lang w:val="fr-FR"/>
        </w:rPr>
        <w:t>le stockage provisoire écologiquement rationnel du mercure, à l</w:t>
      </w:r>
      <w:r w:rsidR="006C05FA">
        <w:rPr>
          <w:lang w:val="fr-FR"/>
        </w:rPr>
        <w:t>’</w:t>
      </w:r>
      <w:r w:rsidRPr="00E84EB9">
        <w:rPr>
          <w:lang w:val="fr-FR"/>
        </w:rPr>
        <w:t xml:space="preserve">exception des déchets de mercure, et </w:t>
      </w:r>
      <w:r w:rsidR="00024C21">
        <w:rPr>
          <w:lang w:val="fr-FR"/>
        </w:rPr>
        <w:t xml:space="preserve">les </w:t>
      </w:r>
      <w:r w:rsidRPr="00E84EB9">
        <w:rPr>
          <w:lang w:val="fr-FR"/>
        </w:rPr>
        <w:t xml:space="preserve">adopter </w:t>
      </w:r>
      <w:r w:rsidR="00024C21">
        <w:rPr>
          <w:lang w:val="fr-FR"/>
        </w:rPr>
        <w:t>aux fins d’utilisation</w:t>
      </w:r>
      <w:r w:rsidR="00F96B6D" w:rsidRPr="00E84EB9">
        <w:rPr>
          <w:lang w:val="fr-FR"/>
        </w:rPr>
        <w:t>.</w:t>
      </w:r>
    </w:p>
    <w:p w14:paraId="7C1EADF3" w14:textId="77777777" w:rsidR="00F20536" w:rsidRPr="00E84EB9" w:rsidRDefault="00480343" w:rsidP="00F20536">
      <w:pPr>
        <w:pStyle w:val="Normal-pool"/>
        <w:rPr>
          <w:lang w:val="fr-FR"/>
        </w:rPr>
        <w:sectPr w:rsidR="00F20536" w:rsidRPr="00E84EB9" w:rsidSect="00D2340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849" w:bottom="1418" w:left="1418" w:header="539" w:footer="975" w:gutter="0"/>
          <w:cols w:space="539"/>
          <w:titlePg/>
          <w:docGrid w:linePitch="360"/>
        </w:sectPr>
      </w:pPr>
      <w:r w:rsidRPr="00E84EB9">
        <w:rPr>
          <w:lang w:val="fr-FR"/>
        </w:rPr>
        <w:br w:type="page"/>
      </w:r>
    </w:p>
    <w:p w14:paraId="0B416F60" w14:textId="50496BFD" w:rsidR="00480343" w:rsidRPr="00E84EB9" w:rsidRDefault="00F96B6D" w:rsidP="00F20536">
      <w:pPr>
        <w:pStyle w:val="ZZAnxheader"/>
        <w:rPr>
          <w:lang w:val="fr-FR"/>
        </w:rPr>
      </w:pPr>
      <w:r w:rsidRPr="00E84EB9">
        <w:rPr>
          <w:lang w:val="fr-FR"/>
        </w:rPr>
        <w:lastRenderedPageBreak/>
        <w:t>Annexe </w:t>
      </w:r>
      <w:r w:rsidR="00480343" w:rsidRPr="00E84EB9">
        <w:rPr>
          <w:lang w:val="fr-FR"/>
        </w:rPr>
        <w:t>I</w:t>
      </w:r>
    </w:p>
    <w:p w14:paraId="157805DB" w14:textId="03BA3B3D" w:rsidR="00480343" w:rsidRPr="00E84EB9" w:rsidRDefault="00D23400" w:rsidP="00F20536">
      <w:pPr>
        <w:pStyle w:val="ZZAnxtitle"/>
        <w:rPr>
          <w:lang w:val="fr-FR"/>
        </w:rPr>
      </w:pPr>
      <w:r>
        <w:rPr>
          <w:lang w:val="fr-FR"/>
        </w:rPr>
        <w:t>Projet de décision </w:t>
      </w:r>
      <w:r w:rsidR="00F96B6D" w:rsidRPr="00E84EB9">
        <w:rPr>
          <w:lang w:val="fr-FR"/>
        </w:rPr>
        <w:t>MC-2/ [XX] </w:t>
      </w:r>
      <w:r w:rsidR="00480343" w:rsidRPr="00E84EB9">
        <w:rPr>
          <w:lang w:val="fr-FR"/>
        </w:rPr>
        <w:t>: stockage provisoire écologiquement rationnel du mercure, à l</w:t>
      </w:r>
      <w:r w:rsidR="006C05FA">
        <w:rPr>
          <w:lang w:val="fr-FR"/>
        </w:rPr>
        <w:t>’</w:t>
      </w:r>
      <w:r w:rsidR="00480343" w:rsidRPr="00E84EB9">
        <w:rPr>
          <w:lang w:val="fr-FR"/>
        </w:rPr>
        <w:t>e</w:t>
      </w:r>
      <w:r w:rsidR="00F96B6D" w:rsidRPr="00E84EB9">
        <w:rPr>
          <w:lang w:val="fr-FR"/>
        </w:rPr>
        <w:t>xclusion des déchets de mercure</w:t>
      </w:r>
    </w:p>
    <w:p w14:paraId="4E309DC6" w14:textId="677F8038" w:rsidR="000C2F3D" w:rsidRPr="00E84EB9" w:rsidRDefault="000C2F3D" w:rsidP="00C12B8E">
      <w:pPr>
        <w:pStyle w:val="NormalNonumber"/>
        <w:tabs>
          <w:tab w:val="clear" w:pos="1247"/>
          <w:tab w:val="clear" w:pos="1814"/>
          <w:tab w:val="clear" w:pos="2381"/>
          <w:tab w:val="clear" w:pos="2948"/>
          <w:tab w:val="clear" w:pos="3515"/>
          <w:tab w:val="clear" w:pos="4082"/>
          <w:tab w:val="left" w:pos="624"/>
        </w:tabs>
        <w:ind w:firstLine="624"/>
        <w:rPr>
          <w:i/>
          <w:lang w:val="fr-FR"/>
        </w:rPr>
      </w:pPr>
      <w:r w:rsidRPr="00E84EB9">
        <w:rPr>
          <w:i/>
          <w:iCs/>
          <w:lang w:val="fr-FR"/>
        </w:rPr>
        <w:t xml:space="preserve">La Conférence des </w:t>
      </w:r>
      <w:r w:rsidR="00A32A5F" w:rsidRPr="00E84EB9">
        <w:rPr>
          <w:i/>
          <w:iCs/>
          <w:lang w:val="fr-FR"/>
        </w:rPr>
        <w:t>Partie</w:t>
      </w:r>
      <w:r w:rsidRPr="00E84EB9">
        <w:rPr>
          <w:i/>
          <w:iCs/>
          <w:lang w:val="fr-FR"/>
        </w:rPr>
        <w:t>s,</w:t>
      </w:r>
    </w:p>
    <w:p w14:paraId="3A219271" w14:textId="1054FEA9" w:rsidR="000C2F3D" w:rsidRPr="00E84EB9" w:rsidRDefault="000C2F3D" w:rsidP="00C12B8E">
      <w:pPr>
        <w:pStyle w:val="NormalNonumber"/>
        <w:tabs>
          <w:tab w:val="clear" w:pos="1247"/>
          <w:tab w:val="clear" w:pos="1814"/>
          <w:tab w:val="clear" w:pos="2381"/>
          <w:tab w:val="clear" w:pos="2948"/>
          <w:tab w:val="clear" w:pos="3515"/>
          <w:tab w:val="clear" w:pos="4082"/>
          <w:tab w:val="left" w:pos="624"/>
        </w:tabs>
        <w:ind w:firstLine="624"/>
        <w:rPr>
          <w:lang w:val="fr-FR"/>
        </w:rPr>
      </w:pPr>
      <w:r w:rsidRPr="00E84EB9">
        <w:rPr>
          <w:i/>
          <w:iCs/>
          <w:lang w:val="fr-FR"/>
        </w:rPr>
        <w:t>Consciente</w:t>
      </w:r>
      <w:r w:rsidRPr="00E84EB9">
        <w:rPr>
          <w:lang w:val="fr-FR"/>
        </w:rPr>
        <w:t xml:space="preserve"> de la nécessité d</w:t>
      </w:r>
      <w:r w:rsidR="006C05FA">
        <w:rPr>
          <w:lang w:val="fr-FR"/>
        </w:rPr>
        <w:t>’</w:t>
      </w:r>
      <w:r w:rsidRPr="00E84EB9">
        <w:rPr>
          <w:lang w:val="fr-FR"/>
        </w:rPr>
        <w:t xml:space="preserve">aider les </w:t>
      </w:r>
      <w:r w:rsidR="00A32A5F" w:rsidRPr="00E84EB9">
        <w:rPr>
          <w:lang w:val="fr-FR"/>
        </w:rPr>
        <w:t>Partie</w:t>
      </w:r>
      <w:r w:rsidRPr="00E84EB9">
        <w:rPr>
          <w:lang w:val="fr-FR"/>
        </w:rPr>
        <w:t xml:space="preserve">s </w:t>
      </w:r>
      <w:r w:rsidR="00F14B07">
        <w:rPr>
          <w:lang w:val="fr-FR"/>
        </w:rPr>
        <w:t xml:space="preserve">à assurer le </w:t>
      </w:r>
      <w:r w:rsidRPr="00E84EB9">
        <w:rPr>
          <w:lang w:val="fr-FR"/>
        </w:rPr>
        <w:t>stockage provisoire écologiquement rationnel du merc</w:t>
      </w:r>
      <w:r w:rsidR="00F96B6D" w:rsidRPr="00E84EB9">
        <w:rPr>
          <w:lang w:val="fr-FR"/>
        </w:rPr>
        <w:t>ure,</w:t>
      </w:r>
      <w:r w:rsidRPr="00E84EB9">
        <w:rPr>
          <w:lang w:val="fr-FR"/>
        </w:rPr>
        <w:t xml:space="preserve"> à l</w:t>
      </w:r>
      <w:r w:rsidR="006C05FA">
        <w:rPr>
          <w:lang w:val="fr-FR"/>
        </w:rPr>
        <w:t>’</w:t>
      </w:r>
      <w:r w:rsidRPr="00E84EB9">
        <w:rPr>
          <w:lang w:val="fr-FR"/>
        </w:rPr>
        <w:t>e</w:t>
      </w:r>
      <w:r w:rsidR="00F96B6D" w:rsidRPr="00E84EB9">
        <w:rPr>
          <w:lang w:val="fr-FR"/>
        </w:rPr>
        <w:t>xclusion des déchets de mercure,</w:t>
      </w:r>
      <w:r w:rsidRPr="00E84EB9">
        <w:rPr>
          <w:lang w:val="fr-FR"/>
        </w:rPr>
        <w:t xml:space="preserve"> </w:t>
      </w:r>
      <w:r w:rsidR="0092355B">
        <w:rPr>
          <w:lang w:val="fr-FR"/>
        </w:rPr>
        <w:t>en leur fournissant</w:t>
      </w:r>
      <w:r w:rsidR="0091045C" w:rsidRPr="00E84EB9">
        <w:rPr>
          <w:lang w:val="fr-FR"/>
        </w:rPr>
        <w:t xml:space="preserve"> </w:t>
      </w:r>
      <w:r w:rsidRPr="00E84EB9">
        <w:rPr>
          <w:lang w:val="fr-FR"/>
        </w:rPr>
        <w:t>de</w:t>
      </w:r>
      <w:r w:rsidR="0092355B">
        <w:rPr>
          <w:lang w:val="fr-FR"/>
        </w:rPr>
        <w:t>s</w:t>
      </w:r>
      <w:r w:rsidRPr="00E84EB9">
        <w:rPr>
          <w:lang w:val="fr-FR"/>
        </w:rPr>
        <w:t xml:space="preserve"> directives,</w:t>
      </w:r>
    </w:p>
    <w:p w14:paraId="35247D38" w14:textId="6F8ED452" w:rsidR="00480343" w:rsidRPr="00E84EB9" w:rsidRDefault="000C2F3D" w:rsidP="00C12B8E">
      <w:pPr>
        <w:pStyle w:val="Normalnumber"/>
        <w:numPr>
          <w:ilvl w:val="0"/>
          <w:numId w:val="9"/>
        </w:numPr>
        <w:ind w:left="1247" w:firstLine="624"/>
        <w:rPr>
          <w:lang w:val="fr-FR"/>
        </w:rPr>
      </w:pPr>
      <w:r w:rsidRPr="00E84EB9">
        <w:rPr>
          <w:i/>
          <w:iCs/>
          <w:lang w:val="fr-FR"/>
        </w:rPr>
        <w:t xml:space="preserve">Adopte </w:t>
      </w:r>
      <w:r w:rsidRPr="00E84EB9">
        <w:rPr>
          <w:lang w:val="fr-FR"/>
        </w:rPr>
        <w:t xml:space="preserve">les </w:t>
      </w:r>
      <w:r w:rsidR="00024C21">
        <w:rPr>
          <w:lang w:val="fr-FR"/>
        </w:rPr>
        <w:t xml:space="preserve">directives </w:t>
      </w:r>
      <w:r w:rsidR="0092355B">
        <w:rPr>
          <w:lang w:val="fr-FR"/>
        </w:rPr>
        <w:t>pour</w:t>
      </w:r>
      <w:r w:rsidR="00F14B07">
        <w:rPr>
          <w:lang w:val="fr-FR"/>
        </w:rPr>
        <w:t xml:space="preserve"> </w:t>
      </w:r>
      <w:r w:rsidR="00024C21">
        <w:rPr>
          <w:lang w:val="fr-FR"/>
        </w:rPr>
        <w:t>le</w:t>
      </w:r>
      <w:r w:rsidR="00986F7D" w:rsidRPr="00E84EB9">
        <w:rPr>
          <w:lang w:val="fr-FR"/>
        </w:rPr>
        <w:t xml:space="preserve"> </w:t>
      </w:r>
      <w:r w:rsidRPr="00E84EB9">
        <w:rPr>
          <w:lang w:val="fr-FR"/>
        </w:rPr>
        <w:t>stockage provisoire écologiquement rationnel du mercure, à l</w:t>
      </w:r>
      <w:r w:rsidR="006C05FA">
        <w:rPr>
          <w:lang w:val="fr-FR"/>
        </w:rPr>
        <w:t>’</w:t>
      </w:r>
      <w:r w:rsidRPr="00E84EB9">
        <w:rPr>
          <w:lang w:val="fr-FR"/>
        </w:rPr>
        <w:t xml:space="preserve">exclusion des déchets de mercure, et engage les </w:t>
      </w:r>
      <w:r w:rsidR="00A32A5F" w:rsidRPr="00E84EB9">
        <w:rPr>
          <w:lang w:val="fr-FR"/>
        </w:rPr>
        <w:t>Partie</w:t>
      </w:r>
      <w:r w:rsidRPr="00E84EB9">
        <w:rPr>
          <w:lang w:val="fr-FR"/>
        </w:rPr>
        <w:t>s à la Convention de Minamata sur le merc</w:t>
      </w:r>
      <w:r w:rsidR="00F96B6D" w:rsidRPr="00E84EB9">
        <w:rPr>
          <w:lang w:val="fr-FR"/>
        </w:rPr>
        <w:t>ure à en tenir compte lorsqu</w:t>
      </w:r>
      <w:r w:rsidR="006C05FA">
        <w:rPr>
          <w:lang w:val="fr-FR"/>
        </w:rPr>
        <w:t>’</w:t>
      </w:r>
      <w:r w:rsidR="00F96B6D" w:rsidRPr="00E84EB9">
        <w:rPr>
          <w:lang w:val="fr-FR"/>
        </w:rPr>
        <w:t>elles</w:t>
      </w:r>
      <w:r w:rsidRPr="00E84EB9">
        <w:rPr>
          <w:lang w:val="fr-FR"/>
        </w:rPr>
        <w:t xml:space="preserve"> s</w:t>
      </w:r>
      <w:r w:rsidR="006C05FA">
        <w:rPr>
          <w:lang w:val="fr-FR"/>
        </w:rPr>
        <w:t>’</w:t>
      </w:r>
      <w:r w:rsidRPr="00E84EB9">
        <w:rPr>
          <w:lang w:val="fr-FR"/>
        </w:rPr>
        <w:t xml:space="preserve">acquittent de leur obligation de prendre des mesures pour </w:t>
      </w:r>
      <w:r w:rsidR="00986F7D" w:rsidRPr="00E84EB9">
        <w:rPr>
          <w:lang w:val="fr-FR"/>
        </w:rPr>
        <w:t xml:space="preserve">veiller à ce </w:t>
      </w:r>
      <w:r w:rsidRPr="00E84EB9">
        <w:rPr>
          <w:lang w:val="fr-FR"/>
        </w:rPr>
        <w:t xml:space="preserve">que le stockage provisoire du mercure et des composés du mercure destinés à une utilisation permise à une </w:t>
      </w:r>
      <w:r w:rsidR="00A32A5F" w:rsidRPr="00E84EB9">
        <w:rPr>
          <w:lang w:val="fr-FR"/>
        </w:rPr>
        <w:t>Partie</w:t>
      </w:r>
      <w:r w:rsidRPr="00E84EB9">
        <w:rPr>
          <w:lang w:val="fr-FR"/>
        </w:rPr>
        <w:t xml:space="preserve"> dans le cadre de la Convention </w:t>
      </w:r>
      <w:r w:rsidR="00F96B6D" w:rsidRPr="00E84EB9">
        <w:rPr>
          <w:lang w:val="fr-FR"/>
        </w:rPr>
        <w:t xml:space="preserve">soit effectué </w:t>
      </w:r>
      <w:r w:rsidRPr="00E84EB9">
        <w:rPr>
          <w:lang w:val="fr-FR"/>
        </w:rPr>
        <w:t>d</w:t>
      </w:r>
      <w:r w:rsidR="006C05FA">
        <w:rPr>
          <w:lang w:val="fr-FR"/>
        </w:rPr>
        <w:t>’</w:t>
      </w:r>
      <w:r w:rsidRPr="00E84EB9">
        <w:rPr>
          <w:lang w:val="fr-FR"/>
        </w:rPr>
        <w:t>une man</w:t>
      </w:r>
      <w:r w:rsidR="00F96B6D" w:rsidRPr="00E84EB9">
        <w:rPr>
          <w:lang w:val="fr-FR"/>
        </w:rPr>
        <w:t>ière écologiquement rationnelle </w:t>
      </w:r>
      <w:r w:rsidRPr="00E84EB9">
        <w:rPr>
          <w:lang w:val="fr-FR"/>
        </w:rPr>
        <w:t>;</w:t>
      </w:r>
    </w:p>
    <w:p w14:paraId="5066BBDE" w14:textId="2D416FEA" w:rsidR="000C2F3D" w:rsidRPr="00E84EB9" w:rsidRDefault="000C2F3D" w:rsidP="00404952">
      <w:pPr>
        <w:pStyle w:val="Normalnumber"/>
        <w:numPr>
          <w:ilvl w:val="0"/>
          <w:numId w:val="9"/>
        </w:numPr>
        <w:ind w:left="1247" w:firstLine="624"/>
        <w:rPr>
          <w:lang w:val="fr-FR"/>
        </w:rPr>
      </w:pPr>
      <w:r w:rsidRPr="00E84EB9">
        <w:rPr>
          <w:i/>
          <w:iCs/>
          <w:lang w:val="fr-FR"/>
        </w:rPr>
        <w:t>Note</w:t>
      </w:r>
      <w:r w:rsidR="00986F7D" w:rsidRPr="00E84EB9">
        <w:rPr>
          <w:lang w:val="fr-FR"/>
        </w:rPr>
        <w:t xml:space="preserve"> qu</w:t>
      </w:r>
      <w:r w:rsidR="006C05FA">
        <w:rPr>
          <w:lang w:val="fr-FR"/>
        </w:rPr>
        <w:t>’</w:t>
      </w:r>
      <w:r w:rsidR="00986F7D" w:rsidRPr="00E84EB9">
        <w:rPr>
          <w:lang w:val="fr-FR"/>
        </w:rPr>
        <w:t>il sera peut-être nécessaire de réviser c</w:t>
      </w:r>
      <w:r w:rsidRPr="00E84EB9">
        <w:rPr>
          <w:lang w:val="fr-FR"/>
        </w:rPr>
        <w:t xml:space="preserve">es directives </w:t>
      </w:r>
      <w:r w:rsidR="00F96B6D" w:rsidRPr="00E84EB9">
        <w:rPr>
          <w:lang w:val="fr-FR"/>
        </w:rPr>
        <w:t xml:space="preserve">afin de </w:t>
      </w:r>
      <w:r w:rsidRPr="00E84EB9">
        <w:rPr>
          <w:lang w:val="fr-FR"/>
        </w:rPr>
        <w:t>garantir qu</w:t>
      </w:r>
      <w:r w:rsidR="006C05FA">
        <w:rPr>
          <w:lang w:val="fr-FR"/>
        </w:rPr>
        <w:t>’</w:t>
      </w:r>
      <w:r w:rsidRPr="00E84EB9">
        <w:rPr>
          <w:lang w:val="fr-FR"/>
        </w:rPr>
        <w:t>elle</w:t>
      </w:r>
      <w:r w:rsidR="00F96B6D" w:rsidRPr="00E84EB9">
        <w:rPr>
          <w:lang w:val="fr-FR"/>
        </w:rPr>
        <w:t xml:space="preserve">s continuent de </w:t>
      </w:r>
      <w:r w:rsidR="00986F7D" w:rsidRPr="00E84EB9">
        <w:rPr>
          <w:lang w:val="fr-FR"/>
        </w:rPr>
        <w:t xml:space="preserve">tenir compte </w:t>
      </w:r>
      <w:r w:rsidR="00F96B6D" w:rsidRPr="00E84EB9">
        <w:rPr>
          <w:lang w:val="fr-FR"/>
        </w:rPr>
        <w:t>des</w:t>
      </w:r>
      <w:r w:rsidRPr="00E84EB9">
        <w:rPr>
          <w:lang w:val="fr-FR"/>
        </w:rPr>
        <w:t xml:space="preserve"> </w:t>
      </w:r>
      <w:r w:rsidR="00F14B07">
        <w:rPr>
          <w:lang w:val="fr-FR"/>
        </w:rPr>
        <w:t xml:space="preserve">meilleures </w:t>
      </w:r>
      <w:r w:rsidRPr="00E84EB9">
        <w:rPr>
          <w:lang w:val="fr-FR"/>
        </w:rPr>
        <w:t>pratiques.</w:t>
      </w:r>
    </w:p>
    <w:p w14:paraId="4350A8BD" w14:textId="5411F738" w:rsidR="00DA6A8D" w:rsidRPr="00E84EB9" w:rsidRDefault="00DA6A8D">
      <w:pPr>
        <w:tabs>
          <w:tab w:val="clear" w:pos="1247"/>
          <w:tab w:val="clear" w:pos="1814"/>
          <w:tab w:val="clear" w:pos="2381"/>
          <w:tab w:val="clear" w:pos="2948"/>
          <w:tab w:val="clear" w:pos="3515"/>
        </w:tabs>
        <w:rPr>
          <w:lang w:val="fr-FR"/>
        </w:rPr>
        <w:sectPr w:rsidR="00DA6A8D" w:rsidRPr="00E84EB9" w:rsidSect="00F20536">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14:paraId="325E8270" w14:textId="337ADF8F" w:rsidR="005F2AF3" w:rsidRPr="00E84EB9" w:rsidRDefault="00F96B6D" w:rsidP="00625917">
      <w:pPr>
        <w:pStyle w:val="ZZAnxheader"/>
        <w:rPr>
          <w:lang w:val="fr-FR"/>
        </w:rPr>
      </w:pPr>
      <w:r w:rsidRPr="00E84EB9">
        <w:rPr>
          <w:lang w:val="fr-FR"/>
        </w:rPr>
        <w:lastRenderedPageBreak/>
        <w:t>Annexe </w:t>
      </w:r>
      <w:r w:rsidR="000C2F3D" w:rsidRPr="00E84EB9">
        <w:rPr>
          <w:lang w:val="fr-FR"/>
        </w:rPr>
        <w:t>II</w:t>
      </w:r>
    </w:p>
    <w:p w14:paraId="79E7BC56" w14:textId="03E06F46" w:rsidR="00865D2C" w:rsidRPr="00E84EB9" w:rsidRDefault="00F14B07" w:rsidP="000C2F3D">
      <w:pPr>
        <w:pStyle w:val="ZZAnxtitle"/>
        <w:spacing w:after="240"/>
        <w:rPr>
          <w:lang w:val="fr-FR"/>
        </w:rPr>
      </w:pPr>
      <w:r>
        <w:rPr>
          <w:lang w:val="fr-FR"/>
        </w:rPr>
        <w:t>P</w:t>
      </w:r>
      <w:r w:rsidR="00033E82" w:rsidRPr="00E84EB9">
        <w:rPr>
          <w:lang w:val="fr-FR"/>
        </w:rPr>
        <w:t xml:space="preserve">rojet </w:t>
      </w:r>
      <w:r>
        <w:rPr>
          <w:lang w:val="fr-FR"/>
        </w:rPr>
        <w:t xml:space="preserve">révisé </w:t>
      </w:r>
      <w:r w:rsidR="00033E82" w:rsidRPr="00E84EB9">
        <w:rPr>
          <w:lang w:val="fr-FR"/>
        </w:rPr>
        <w:t xml:space="preserve">de </w:t>
      </w:r>
      <w:r w:rsidR="00024C21">
        <w:rPr>
          <w:lang w:val="fr-FR"/>
        </w:rPr>
        <w:t xml:space="preserve">directives </w:t>
      </w:r>
      <w:r w:rsidR="0092355B">
        <w:rPr>
          <w:lang w:val="fr-FR"/>
        </w:rPr>
        <w:t xml:space="preserve">pour </w:t>
      </w:r>
      <w:r w:rsidR="00024C21">
        <w:rPr>
          <w:lang w:val="fr-FR"/>
        </w:rPr>
        <w:t>le</w:t>
      </w:r>
      <w:r w:rsidR="00033E82" w:rsidRPr="00E84EB9">
        <w:rPr>
          <w:lang w:val="fr-FR"/>
        </w:rPr>
        <w:t xml:space="preserve"> stockage provisoire écologiquement rationnel du mercure, à l</w:t>
      </w:r>
      <w:r w:rsidR="006C05FA">
        <w:rPr>
          <w:lang w:val="fr-FR"/>
        </w:rPr>
        <w:t>’</w:t>
      </w:r>
      <w:r w:rsidR="00033E82" w:rsidRPr="00E84EB9">
        <w:rPr>
          <w:lang w:val="fr-FR"/>
        </w:rPr>
        <w:t>exclusion des déchets de mercure</w:t>
      </w:r>
    </w:p>
    <w:p w14:paraId="43A97D81" w14:textId="77777777" w:rsidR="0063541A" w:rsidRDefault="00865D2C" w:rsidP="00865D2C">
      <w:pPr>
        <w:pStyle w:val="CH2"/>
        <w:rPr>
          <w:noProof/>
        </w:rPr>
      </w:pPr>
      <w:r w:rsidRPr="00E84EB9">
        <w:rPr>
          <w:lang w:val="fr-FR"/>
        </w:rPr>
        <w:tab/>
      </w:r>
      <w:r w:rsidRPr="00E84EB9">
        <w:rPr>
          <w:lang w:val="fr-FR"/>
        </w:rPr>
        <w:tab/>
      </w:r>
      <w:bookmarkStart w:id="9" w:name="_Toc527548232"/>
      <w:r w:rsidRPr="00E84EB9">
        <w:rPr>
          <w:bCs/>
          <w:lang w:val="fr-FR"/>
        </w:rPr>
        <w:t>Table des matières</w:t>
      </w:r>
      <w:bookmarkEnd w:id="9"/>
      <w:r w:rsidR="000C2F3D" w:rsidRPr="00E84EB9">
        <w:rPr>
          <w:lang w:val="fr-FR"/>
        </w:rPr>
        <w:fldChar w:fldCharType="begin"/>
      </w:r>
      <w:r w:rsidR="000C2F3D" w:rsidRPr="00E84EB9">
        <w:rPr>
          <w:lang w:val="fr-FR"/>
        </w:rPr>
        <w:instrText xml:space="preserve"> TOC \h \z \t "CH1,1,CH2,2" </w:instrText>
      </w:r>
      <w:r w:rsidR="000C2F3D" w:rsidRPr="00E84EB9">
        <w:rPr>
          <w:lang w:val="fr-FR"/>
        </w:rPr>
        <w:fldChar w:fldCharType="separate"/>
      </w:r>
    </w:p>
    <w:p w14:paraId="58409108" w14:textId="5B93A0E2" w:rsidR="0063541A" w:rsidRDefault="0070160D">
      <w:pPr>
        <w:pStyle w:val="TM2"/>
        <w:rPr>
          <w:rFonts w:asciiTheme="minorHAnsi" w:eastAsiaTheme="minorEastAsia" w:hAnsiTheme="minorHAnsi" w:cstheme="minorBidi"/>
          <w:noProof/>
          <w:sz w:val="22"/>
          <w:szCs w:val="22"/>
          <w:lang w:eastAsia="fr-FR"/>
        </w:rPr>
      </w:pPr>
      <w:hyperlink w:anchor="_Toc527548230" w:history="1">
        <w:r w:rsidR="0063541A" w:rsidRPr="0071126C">
          <w:rPr>
            <w:rStyle w:val="Lienhypertexte"/>
            <w:noProof/>
          </w:rPr>
          <w:t>Note du secrétariat</w:t>
        </w:r>
        <w:r w:rsidR="0063541A">
          <w:rPr>
            <w:noProof/>
            <w:webHidden/>
          </w:rPr>
          <w:tab/>
        </w:r>
        <w:r w:rsidR="0063541A">
          <w:rPr>
            <w:noProof/>
            <w:webHidden/>
          </w:rPr>
          <w:fldChar w:fldCharType="begin"/>
        </w:r>
        <w:r w:rsidR="0063541A">
          <w:rPr>
            <w:noProof/>
            <w:webHidden/>
          </w:rPr>
          <w:instrText xml:space="preserve"> PAGEREF _Toc527548230 \h </w:instrText>
        </w:r>
        <w:r w:rsidR="0063541A">
          <w:rPr>
            <w:noProof/>
            <w:webHidden/>
          </w:rPr>
        </w:r>
        <w:r w:rsidR="0063541A">
          <w:rPr>
            <w:noProof/>
            <w:webHidden/>
          </w:rPr>
          <w:fldChar w:fldCharType="separate"/>
        </w:r>
        <w:r w:rsidR="00E25BF5">
          <w:rPr>
            <w:noProof/>
            <w:webHidden/>
          </w:rPr>
          <w:t>1</w:t>
        </w:r>
        <w:r w:rsidR="0063541A">
          <w:rPr>
            <w:noProof/>
            <w:webHidden/>
          </w:rPr>
          <w:fldChar w:fldCharType="end"/>
        </w:r>
      </w:hyperlink>
    </w:p>
    <w:p w14:paraId="4008D193" w14:textId="6288728F" w:rsidR="0063541A" w:rsidRDefault="0070160D">
      <w:pPr>
        <w:pStyle w:val="TM2"/>
        <w:rPr>
          <w:rFonts w:asciiTheme="minorHAnsi" w:eastAsiaTheme="minorEastAsia" w:hAnsiTheme="minorHAnsi" w:cstheme="minorBidi"/>
          <w:noProof/>
          <w:sz w:val="22"/>
          <w:szCs w:val="22"/>
          <w:lang w:eastAsia="fr-FR"/>
        </w:rPr>
      </w:pPr>
      <w:hyperlink w:anchor="_Toc527548231" w:history="1">
        <w:r w:rsidR="0063541A" w:rsidRPr="0071126C">
          <w:rPr>
            <w:rStyle w:val="Lienhypertexte"/>
            <w:noProof/>
          </w:rPr>
          <w:t>Mesures que pourrait prendre la Conférence des Parties</w:t>
        </w:r>
        <w:r w:rsidR="0063541A">
          <w:rPr>
            <w:noProof/>
            <w:webHidden/>
          </w:rPr>
          <w:tab/>
        </w:r>
        <w:r w:rsidR="0063541A">
          <w:rPr>
            <w:noProof/>
            <w:webHidden/>
          </w:rPr>
          <w:fldChar w:fldCharType="begin"/>
        </w:r>
        <w:r w:rsidR="0063541A">
          <w:rPr>
            <w:noProof/>
            <w:webHidden/>
          </w:rPr>
          <w:instrText xml:space="preserve"> PAGEREF _Toc527548231 \h </w:instrText>
        </w:r>
        <w:r w:rsidR="0063541A">
          <w:rPr>
            <w:noProof/>
            <w:webHidden/>
          </w:rPr>
        </w:r>
        <w:r w:rsidR="0063541A">
          <w:rPr>
            <w:noProof/>
            <w:webHidden/>
          </w:rPr>
          <w:fldChar w:fldCharType="separate"/>
        </w:r>
        <w:r w:rsidR="00E25BF5">
          <w:rPr>
            <w:noProof/>
            <w:webHidden/>
          </w:rPr>
          <w:t>1</w:t>
        </w:r>
        <w:r w:rsidR="0063541A">
          <w:rPr>
            <w:noProof/>
            <w:webHidden/>
          </w:rPr>
          <w:fldChar w:fldCharType="end"/>
        </w:r>
      </w:hyperlink>
    </w:p>
    <w:p w14:paraId="2D5CBCEF" w14:textId="37F25BD6" w:rsidR="0063541A" w:rsidRDefault="0070160D">
      <w:pPr>
        <w:pStyle w:val="TM2"/>
        <w:rPr>
          <w:rFonts w:asciiTheme="minorHAnsi" w:eastAsiaTheme="minorEastAsia" w:hAnsiTheme="minorHAnsi" w:cstheme="minorBidi"/>
          <w:noProof/>
          <w:sz w:val="22"/>
          <w:szCs w:val="22"/>
          <w:lang w:eastAsia="fr-FR"/>
        </w:rPr>
      </w:pPr>
      <w:hyperlink w:anchor="_Toc527548232" w:history="1">
        <w:r w:rsidR="0063541A" w:rsidRPr="0071126C">
          <w:rPr>
            <w:rStyle w:val="Lienhypertexte"/>
            <w:noProof/>
          </w:rPr>
          <w:t>Table des matières</w:t>
        </w:r>
        <w:r w:rsidR="0063541A">
          <w:rPr>
            <w:noProof/>
            <w:webHidden/>
          </w:rPr>
          <w:tab/>
        </w:r>
        <w:r w:rsidR="0063541A">
          <w:rPr>
            <w:noProof/>
            <w:webHidden/>
          </w:rPr>
          <w:fldChar w:fldCharType="begin"/>
        </w:r>
        <w:r w:rsidR="0063541A">
          <w:rPr>
            <w:noProof/>
            <w:webHidden/>
          </w:rPr>
          <w:instrText xml:space="preserve"> PAGEREF _Toc527548232 \h </w:instrText>
        </w:r>
        <w:r w:rsidR="0063541A">
          <w:rPr>
            <w:noProof/>
            <w:webHidden/>
          </w:rPr>
        </w:r>
        <w:r w:rsidR="0063541A">
          <w:rPr>
            <w:noProof/>
            <w:webHidden/>
          </w:rPr>
          <w:fldChar w:fldCharType="separate"/>
        </w:r>
        <w:r w:rsidR="00E25BF5">
          <w:rPr>
            <w:noProof/>
            <w:webHidden/>
          </w:rPr>
          <w:t>3</w:t>
        </w:r>
        <w:r w:rsidR="0063541A">
          <w:rPr>
            <w:noProof/>
            <w:webHidden/>
          </w:rPr>
          <w:fldChar w:fldCharType="end"/>
        </w:r>
      </w:hyperlink>
    </w:p>
    <w:p w14:paraId="59C8F011" w14:textId="6264F39B" w:rsidR="0063541A" w:rsidRDefault="0070160D">
      <w:pPr>
        <w:pStyle w:val="TM2"/>
        <w:rPr>
          <w:rFonts w:asciiTheme="minorHAnsi" w:eastAsiaTheme="minorEastAsia" w:hAnsiTheme="minorHAnsi" w:cstheme="minorBidi"/>
          <w:noProof/>
          <w:sz w:val="22"/>
          <w:szCs w:val="22"/>
          <w:lang w:eastAsia="fr-FR"/>
        </w:rPr>
      </w:pPr>
      <w:hyperlink w:anchor="_Toc527548233" w:history="1">
        <w:r w:rsidR="0063541A" w:rsidRPr="0071126C">
          <w:rPr>
            <w:rStyle w:val="Lienhypertexte"/>
            <w:noProof/>
          </w:rPr>
          <w:t>I.</w:t>
        </w:r>
        <w:r w:rsidR="0063541A">
          <w:rPr>
            <w:rFonts w:asciiTheme="minorHAnsi" w:eastAsiaTheme="minorEastAsia" w:hAnsiTheme="minorHAnsi" w:cstheme="minorBidi"/>
            <w:noProof/>
            <w:sz w:val="22"/>
            <w:szCs w:val="22"/>
            <w:lang w:eastAsia="fr-FR"/>
          </w:rPr>
          <w:tab/>
        </w:r>
        <w:r w:rsidR="0063541A" w:rsidRPr="0071126C">
          <w:rPr>
            <w:rStyle w:val="Lienhypertexte"/>
            <w:noProof/>
          </w:rPr>
          <w:t>Introduction</w:t>
        </w:r>
        <w:r w:rsidR="0063541A">
          <w:rPr>
            <w:noProof/>
            <w:webHidden/>
          </w:rPr>
          <w:tab/>
        </w:r>
        <w:r w:rsidR="0063541A">
          <w:rPr>
            <w:noProof/>
            <w:webHidden/>
          </w:rPr>
          <w:fldChar w:fldCharType="begin"/>
        </w:r>
        <w:r w:rsidR="0063541A">
          <w:rPr>
            <w:noProof/>
            <w:webHidden/>
          </w:rPr>
          <w:instrText xml:space="preserve"> PAGEREF _Toc527548233 \h </w:instrText>
        </w:r>
        <w:r w:rsidR="0063541A">
          <w:rPr>
            <w:noProof/>
            <w:webHidden/>
          </w:rPr>
        </w:r>
        <w:r w:rsidR="0063541A">
          <w:rPr>
            <w:noProof/>
            <w:webHidden/>
          </w:rPr>
          <w:fldChar w:fldCharType="separate"/>
        </w:r>
        <w:r w:rsidR="00E25BF5">
          <w:rPr>
            <w:noProof/>
            <w:webHidden/>
          </w:rPr>
          <w:t>4</w:t>
        </w:r>
        <w:r w:rsidR="0063541A">
          <w:rPr>
            <w:noProof/>
            <w:webHidden/>
          </w:rPr>
          <w:fldChar w:fldCharType="end"/>
        </w:r>
      </w:hyperlink>
    </w:p>
    <w:p w14:paraId="0CAEB4D0" w14:textId="684B2CEA" w:rsidR="0063541A" w:rsidRDefault="0070160D">
      <w:pPr>
        <w:pStyle w:val="TM1"/>
        <w:rPr>
          <w:rFonts w:asciiTheme="minorHAnsi" w:eastAsiaTheme="minorEastAsia" w:hAnsiTheme="minorHAnsi" w:cstheme="minorBidi"/>
          <w:bCs w:val="0"/>
          <w:noProof/>
          <w:sz w:val="22"/>
          <w:szCs w:val="22"/>
          <w:lang w:eastAsia="fr-FR"/>
        </w:rPr>
      </w:pPr>
      <w:hyperlink w:anchor="_Toc527548234" w:history="1">
        <w:r w:rsidR="0063541A" w:rsidRPr="0071126C">
          <w:rPr>
            <w:rStyle w:val="Lienhypertexte"/>
            <w:noProof/>
          </w:rPr>
          <w:t>II.</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Champ d’application des directives</w:t>
        </w:r>
        <w:r w:rsidR="0063541A">
          <w:rPr>
            <w:noProof/>
            <w:webHidden/>
          </w:rPr>
          <w:tab/>
        </w:r>
        <w:r w:rsidR="0063541A">
          <w:rPr>
            <w:noProof/>
            <w:webHidden/>
          </w:rPr>
          <w:fldChar w:fldCharType="begin"/>
        </w:r>
        <w:r w:rsidR="0063541A">
          <w:rPr>
            <w:noProof/>
            <w:webHidden/>
          </w:rPr>
          <w:instrText xml:space="preserve"> PAGEREF _Toc527548234 \h </w:instrText>
        </w:r>
        <w:r w:rsidR="0063541A">
          <w:rPr>
            <w:noProof/>
            <w:webHidden/>
          </w:rPr>
        </w:r>
        <w:r w:rsidR="0063541A">
          <w:rPr>
            <w:noProof/>
            <w:webHidden/>
          </w:rPr>
          <w:fldChar w:fldCharType="separate"/>
        </w:r>
        <w:r w:rsidR="00E25BF5">
          <w:rPr>
            <w:noProof/>
            <w:webHidden/>
          </w:rPr>
          <w:t>4</w:t>
        </w:r>
        <w:r w:rsidR="0063541A">
          <w:rPr>
            <w:noProof/>
            <w:webHidden/>
          </w:rPr>
          <w:fldChar w:fldCharType="end"/>
        </w:r>
      </w:hyperlink>
    </w:p>
    <w:p w14:paraId="255B53F9" w14:textId="50F22C10" w:rsidR="0063541A" w:rsidRDefault="0070160D">
      <w:pPr>
        <w:pStyle w:val="TM1"/>
        <w:rPr>
          <w:rFonts w:asciiTheme="minorHAnsi" w:eastAsiaTheme="minorEastAsia" w:hAnsiTheme="minorHAnsi" w:cstheme="minorBidi"/>
          <w:bCs w:val="0"/>
          <w:noProof/>
          <w:sz w:val="22"/>
          <w:szCs w:val="22"/>
          <w:lang w:eastAsia="fr-FR"/>
        </w:rPr>
      </w:pPr>
      <w:hyperlink w:anchor="_Toc527548235" w:history="1">
        <w:r w:rsidR="0063541A" w:rsidRPr="0071126C">
          <w:rPr>
            <w:rStyle w:val="Lienhypertexte"/>
            <w:noProof/>
          </w:rPr>
          <w:t>III.</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Gestion générale</w:t>
        </w:r>
        <w:r w:rsidR="0063541A">
          <w:rPr>
            <w:noProof/>
            <w:webHidden/>
          </w:rPr>
          <w:tab/>
        </w:r>
        <w:r w:rsidR="0063541A">
          <w:rPr>
            <w:noProof/>
            <w:webHidden/>
          </w:rPr>
          <w:fldChar w:fldCharType="begin"/>
        </w:r>
        <w:r w:rsidR="0063541A">
          <w:rPr>
            <w:noProof/>
            <w:webHidden/>
          </w:rPr>
          <w:instrText xml:space="preserve"> PAGEREF _Toc527548235 \h </w:instrText>
        </w:r>
        <w:r w:rsidR="0063541A">
          <w:rPr>
            <w:noProof/>
            <w:webHidden/>
          </w:rPr>
        </w:r>
        <w:r w:rsidR="0063541A">
          <w:rPr>
            <w:noProof/>
            <w:webHidden/>
          </w:rPr>
          <w:fldChar w:fldCharType="separate"/>
        </w:r>
        <w:r w:rsidR="00E25BF5">
          <w:rPr>
            <w:noProof/>
            <w:webHidden/>
          </w:rPr>
          <w:t>6</w:t>
        </w:r>
        <w:r w:rsidR="0063541A">
          <w:rPr>
            <w:noProof/>
            <w:webHidden/>
          </w:rPr>
          <w:fldChar w:fldCharType="end"/>
        </w:r>
      </w:hyperlink>
    </w:p>
    <w:p w14:paraId="3BB14B14" w14:textId="5DDB7C29" w:rsidR="0063541A" w:rsidRDefault="0070160D">
      <w:pPr>
        <w:pStyle w:val="TM1"/>
        <w:rPr>
          <w:rFonts w:asciiTheme="minorHAnsi" w:eastAsiaTheme="minorEastAsia" w:hAnsiTheme="minorHAnsi" w:cstheme="minorBidi"/>
          <w:bCs w:val="0"/>
          <w:noProof/>
          <w:sz w:val="22"/>
          <w:szCs w:val="22"/>
          <w:lang w:eastAsia="fr-FR"/>
        </w:rPr>
      </w:pPr>
      <w:hyperlink w:anchor="_Toc527548236" w:history="1">
        <w:r w:rsidR="0063541A" w:rsidRPr="0071126C">
          <w:rPr>
            <w:rStyle w:val="Lienhypertexte"/>
            <w:noProof/>
          </w:rPr>
          <w:t>IV.</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Stockage provisoire écologiquement rationnel</w:t>
        </w:r>
        <w:r w:rsidR="0063541A">
          <w:rPr>
            <w:noProof/>
            <w:webHidden/>
          </w:rPr>
          <w:tab/>
        </w:r>
        <w:r w:rsidR="0063541A">
          <w:rPr>
            <w:noProof/>
            <w:webHidden/>
          </w:rPr>
          <w:fldChar w:fldCharType="begin"/>
        </w:r>
        <w:r w:rsidR="0063541A">
          <w:rPr>
            <w:noProof/>
            <w:webHidden/>
          </w:rPr>
          <w:instrText xml:space="preserve"> PAGEREF _Toc527548236 \h </w:instrText>
        </w:r>
        <w:r w:rsidR="0063541A">
          <w:rPr>
            <w:noProof/>
            <w:webHidden/>
          </w:rPr>
        </w:r>
        <w:r w:rsidR="0063541A">
          <w:rPr>
            <w:noProof/>
            <w:webHidden/>
          </w:rPr>
          <w:fldChar w:fldCharType="separate"/>
        </w:r>
        <w:r w:rsidR="00E25BF5">
          <w:rPr>
            <w:noProof/>
            <w:webHidden/>
          </w:rPr>
          <w:t>7</w:t>
        </w:r>
        <w:r w:rsidR="0063541A">
          <w:rPr>
            <w:noProof/>
            <w:webHidden/>
          </w:rPr>
          <w:fldChar w:fldCharType="end"/>
        </w:r>
      </w:hyperlink>
    </w:p>
    <w:p w14:paraId="1B9A0D05" w14:textId="04474D17" w:rsidR="0063541A" w:rsidRDefault="0070160D">
      <w:pPr>
        <w:pStyle w:val="TM2"/>
        <w:rPr>
          <w:rFonts w:asciiTheme="minorHAnsi" w:eastAsiaTheme="minorEastAsia" w:hAnsiTheme="minorHAnsi" w:cstheme="minorBidi"/>
          <w:noProof/>
          <w:sz w:val="22"/>
          <w:szCs w:val="22"/>
          <w:lang w:eastAsia="fr-FR"/>
        </w:rPr>
      </w:pPr>
      <w:hyperlink w:anchor="_Toc527548237" w:history="1">
        <w:r w:rsidR="0063541A" w:rsidRPr="0071126C">
          <w:rPr>
            <w:rStyle w:val="Lienhypertexte"/>
            <w:noProof/>
          </w:rPr>
          <w:t>A.</w:t>
        </w:r>
        <w:r w:rsidR="0063541A">
          <w:rPr>
            <w:rFonts w:asciiTheme="minorHAnsi" w:eastAsiaTheme="minorEastAsia" w:hAnsiTheme="minorHAnsi" w:cstheme="minorBidi"/>
            <w:noProof/>
            <w:sz w:val="22"/>
            <w:szCs w:val="22"/>
            <w:lang w:eastAsia="fr-FR"/>
          </w:rPr>
          <w:tab/>
        </w:r>
        <w:r w:rsidR="0063541A" w:rsidRPr="0071126C">
          <w:rPr>
            <w:rStyle w:val="Lienhypertexte"/>
            <w:noProof/>
          </w:rPr>
          <w:t>Emplacement</w:t>
        </w:r>
        <w:r w:rsidR="0063541A">
          <w:rPr>
            <w:noProof/>
            <w:webHidden/>
          </w:rPr>
          <w:tab/>
        </w:r>
        <w:r w:rsidR="0063541A">
          <w:rPr>
            <w:noProof/>
            <w:webHidden/>
          </w:rPr>
          <w:fldChar w:fldCharType="begin"/>
        </w:r>
        <w:r w:rsidR="0063541A">
          <w:rPr>
            <w:noProof/>
            <w:webHidden/>
          </w:rPr>
          <w:instrText xml:space="preserve"> PAGEREF _Toc527548237 \h </w:instrText>
        </w:r>
        <w:r w:rsidR="0063541A">
          <w:rPr>
            <w:noProof/>
            <w:webHidden/>
          </w:rPr>
        </w:r>
        <w:r w:rsidR="0063541A">
          <w:rPr>
            <w:noProof/>
            <w:webHidden/>
          </w:rPr>
          <w:fldChar w:fldCharType="separate"/>
        </w:r>
        <w:r w:rsidR="00E25BF5">
          <w:rPr>
            <w:noProof/>
            <w:webHidden/>
          </w:rPr>
          <w:t>7</w:t>
        </w:r>
        <w:r w:rsidR="0063541A">
          <w:rPr>
            <w:noProof/>
            <w:webHidden/>
          </w:rPr>
          <w:fldChar w:fldCharType="end"/>
        </w:r>
      </w:hyperlink>
    </w:p>
    <w:p w14:paraId="7FF2289E" w14:textId="4A1D0EE0" w:rsidR="0063541A" w:rsidRDefault="0070160D">
      <w:pPr>
        <w:pStyle w:val="TM2"/>
        <w:rPr>
          <w:rFonts w:asciiTheme="minorHAnsi" w:eastAsiaTheme="minorEastAsia" w:hAnsiTheme="minorHAnsi" w:cstheme="minorBidi"/>
          <w:noProof/>
          <w:sz w:val="22"/>
          <w:szCs w:val="22"/>
          <w:lang w:eastAsia="fr-FR"/>
        </w:rPr>
      </w:pPr>
      <w:hyperlink w:anchor="_Toc527548238" w:history="1">
        <w:r w:rsidR="0063541A" w:rsidRPr="0071126C">
          <w:rPr>
            <w:rStyle w:val="Lienhypertexte"/>
            <w:noProof/>
          </w:rPr>
          <w:t>B.</w:t>
        </w:r>
        <w:r w:rsidR="0063541A">
          <w:rPr>
            <w:rFonts w:asciiTheme="minorHAnsi" w:eastAsiaTheme="minorEastAsia" w:hAnsiTheme="minorHAnsi" w:cstheme="minorBidi"/>
            <w:noProof/>
            <w:sz w:val="22"/>
            <w:szCs w:val="22"/>
            <w:lang w:eastAsia="fr-FR"/>
          </w:rPr>
          <w:tab/>
        </w:r>
        <w:r w:rsidR="0063541A" w:rsidRPr="0071126C">
          <w:rPr>
            <w:rStyle w:val="Lienhypertexte"/>
            <w:noProof/>
          </w:rPr>
          <w:t>Construction d’installations de stockage provisoire, notamment mise en place de barrières</w:t>
        </w:r>
        <w:r w:rsidR="0063541A">
          <w:rPr>
            <w:noProof/>
            <w:webHidden/>
          </w:rPr>
          <w:tab/>
        </w:r>
        <w:r w:rsidR="0063541A">
          <w:rPr>
            <w:noProof/>
            <w:webHidden/>
          </w:rPr>
          <w:fldChar w:fldCharType="begin"/>
        </w:r>
        <w:r w:rsidR="0063541A">
          <w:rPr>
            <w:noProof/>
            <w:webHidden/>
          </w:rPr>
          <w:instrText xml:space="preserve"> PAGEREF _Toc527548238 \h </w:instrText>
        </w:r>
        <w:r w:rsidR="0063541A">
          <w:rPr>
            <w:noProof/>
            <w:webHidden/>
          </w:rPr>
        </w:r>
        <w:r w:rsidR="0063541A">
          <w:rPr>
            <w:noProof/>
            <w:webHidden/>
          </w:rPr>
          <w:fldChar w:fldCharType="separate"/>
        </w:r>
        <w:r w:rsidR="00E25BF5">
          <w:rPr>
            <w:noProof/>
            <w:webHidden/>
          </w:rPr>
          <w:t>8</w:t>
        </w:r>
        <w:r w:rsidR="0063541A">
          <w:rPr>
            <w:noProof/>
            <w:webHidden/>
          </w:rPr>
          <w:fldChar w:fldCharType="end"/>
        </w:r>
      </w:hyperlink>
    </w:p>
    <w:p w14:paraId="080D3142" w14:textId="764D1D64" w:rsidR="0063541A" w:rsidRDefault="0070160D">
      <w:pPr>
        <w:pStyle w:val="TM2"/>
        <w:rPr>
          <w:rFonts w:asciiTheme="minorHAnsi" w:eastAsiaTheme="minorEastAsia" w:hAnsiTheme="minorHAnsi" w:cstheme="minorBidi"/>
          <w:noProof/>
          <w:sz w:val="22"/>
          <w:szCs w:val="22"/>
          <w:lang w:eastAsia="fr-FR"/>
        </w:rPr>
      </w:pPr>
      <w:hyperlink w:anchor="_Toc527548239" w:history="1">
        <w:r w:rsidR="0063541A" w:rsidRPr="0071126C">
          <w:rPr>
            <w:rStyle w:val="Lienhypertexte"/>
            <w:noProof/>
          </w:rPr>
          <w:t>C.</w:t>
        </w:r>
        <w:r w:rsidR="0063541A">
          <w:rPr>
            <w:rFonts w:asciiTheme="minorHAnsi" w:eastAsiaTheme="minorEastAsia" w:hAnsiTheme="minorHAnsi" w:cstheme="minorBidi"/>
            <w:noProof/>
            <w:sz w:val="22"/>
            <w:szCs w:val="22"/>
            <w:lang w:eastAsia="fr-FR"/>
          </w:rPr>
          <w:tab/>
        </w:r>
        <w:r w:rsidR="0063541A" w:rsidRPr="0071126C">
          <w:rPr>
            <w:rStyle w:val="Lienhypertexte"/>
            <w:noProof/>
          </w:rPr>
          <w:t>Conteneurs à utiliser pour le stockage du mercure, y compris conteneurs secondaires</w:t>
        </w:r>
        <w:r w:rsidR="0063541A">
          <w:rPr>
            <w:noProof/>
            <w:webHidden/>
          </w:rPr>
          <w:tab/>
        </w:r>
        <w:r w:rsidR="0063541A">
          <w:rPr>
            <w:noProof/>
            <w:webHidden/>
          </w:rPr>
          <w:fldChar w:fldCharType="begin"/>
        </w:r>
        <w:r w:rsidR="0063541A">
          <w:rPr>
            <w:noProof/>
            <w:webHidden/>
          </w:rPr>
          <w:instrText xml:space="preserve"> PAGEREF _Toc527548239 \h </w:instrText>
        </w:r>
        <w:r w:rsidR="0063541A">
          <w:rPr>
            <w:noProof/>
            <w:webHidden/>
          </w:rPr>
        </w:r>
        <w:r w:rsidR="0063541A">
          <w:rPr>
            <w:noProof/>
            <w:webHidden/>
          </w:rPr>
          <w:fldChar w:fldCharType="separate"/>
        </w:r>
        <w:r w:rsidR="00E25BF5">
          <w:rPr>
            <w:noProof/>
            <w:webHidden/>
          </w:rPr>
          <w:t>9</w:t>
        </w:r>
        <w:r w:rsidR="0063541A">
          <w:rPr>
            <w:noProof/>
            <w:webHidden/>
          </w:rPr>
          <w:fldChar w:fldCharType="end"/>
        </w:r>
      </w:hyperlink>
    </w:p>
    <w:p w14:paraId="7D276E31" w14:textId="0BB4B1AE" w:rsidR="0063541A" w:rsidRDefault="0070160D">
      <w:pPr>
        <w:pStyle w:val="TM2"/>
        <w:rPr>
          <w:rFonts w:asciiTheme="minorHAnsi" w:eastAsiaTheme="minorEastAsia" w:hAnsiTheme="minorHAnsi" w:cstheme="minorBidi"/>
          <w:noProof/>
          <w:sz w:val="22"/>
          <w:szCs w:val="22"/>
          <w:lang w:eastAsia="fr-FR"/>
        </w:rPr>
      </w:pPr>
      <w:hyperlink w:anchor="_Toc527548240" w:history="1">
        <w:r w:rsidR="0063541A" w:rsidRPr="0071126C">
          <w:rPr>
            <w:rStyle w:val="Lienhypertexte"/>
            <w:noProof/>
          </w:rPr>
          <w:t>D.</w:t>
        </w:r>
        <w:r w:rsidR="0063541A">
          <w:rPr>
            <w:rFonts w:asciiTheme="minorHAnsi" w:eastAsiaTheme="minorEastAsia" w:hAnsiTheme="minorHAnsi" w:cstheme="minorBidi"/>
            <w:noProof/>
            <w:sz w:val="22"/>
            <w:szCs w:val="22"/>
            <w:lang w:eastAsia="fr-FR"/>
          </w:rPr>
          <w:tab/>
        </w:r>
        <w:r w:rsidR="0063541A" w:rsidRPr="0071126C">
          <w:rPr>
            <w:rStyle w:val="Lienhypertexte"/>
            <w:noProof/>
          </w:rPr>
          <w:t>Mouvements du mercure et des composés du mercure</w:t>
        </w:r>
        <w:r w:rsidR="0063541A">
          <w:rPr>
            <w:noProof/>
            <w:webHidden/>
          </w:rPr>
          <w:tab/>
        </w:r>
        <w:r w:rsidR="0063541A">
          <w:rPr>
            <w:noProof/>
            <w:webHidden/>
          </w:rPr>
          <w:fldChar w:fldCharType="begin"/>
        </w:r>
        <w:r w:rsidR="0063541A">
          <w:rPr>
            <w:noProof/>
            <w:webHidden/>
          </w:rPr>
          <w:instrText xml:space="preserve"> PAGEREF _Toc527548240 \h </w:instrText>
        </w:r>
        <w:r w:rsidR="0063541A">
          <w:rPr>
            <w:noProof/>
            <w:webHidden/>
          </w:rPr>
        </w:r>
        <w:r w:rsidR="0063541A">
          <w:rPr>
            <w:noProof/>
            <w:webHidden/>
          </w:rPr>
          <w:fldChar w:fldCharType="separate"/>
        </w:r>
        <w:r w:rsidR="00E25BF5">
          <w:rPr>
            <w:noProof/>
            <w:webHidden/>
          </w:rPr>
          <w:t>10</w:t>
        </w:r>
        <w:r w:rsidR="0063541A">
          <w:rPr>
            <w:noProof/>
            <w:webHidden/>
          </w:rPr>
          <w:fldChar w:fldCharType="end"/>
        </w:r>
      </w:hyperlink>
    </w:p>
    <w:p w14:paraId="6CBB36FF" w14:textId="601339C6" w:rsidR="0063541A" w:rsidRDefault="0070160D">
      <w:pPr>
        <w:pStyle w:val="TM2"/>
        <w:rPr>
          <w:rFonts w:asciiTheme="minorHAnsi" w:eastAsiaTheme="minorEastAsia" w:hAnsiTheme="minorHAnsi" w:cstheme="minorBidi"/>
          <w:noProof/>
          <w:sz w:val="22"/>
          <w:szCs w:val="22"/>
          <w:lang w:eastAsia="fr-FR"/>
        </w:rPr>
      </w:pPr>
      <w:hyperlink w:anchor="_Toc527548241" w:history="1">
        <w:r w:rsidR="0063541A" w:rsidRPr="0071126C">
          <w:rPr>
            <w:rStyle w:val="Lienhypertexte"/>
            <w:noProof/>
          </w:rPr>
          <w:t>E.</w:t>
        </w:r>
        <w:r w:rsidR="0063541A">
          <w:rPr>
            <w:rFonts w:asciiTheme="minorHAnsi" w:eastAsiaTheme="minorEastAsia" w:hAnsiTheme="minorHAnsi" w:cstheme="minorBidi"/>
            <w:noProof/>
            <w:sz w:val="22"/>
            <w:szCs w:val="22"/>
            <w:lang w:eastAsia="fr-FR"/>
          </w:rPr>
          <w:tab/>
        </w:r>
        <w:r w:rsidR="0063541A" w:rsidRPr="0071126C">
          <w:rPr>
            <w:rStyle w:val="Lienhypertexte"/>
            <w:noProof/>
          </w:rPr>
          <w:t>Éducation et formation du personnel</w:t>
        </w:r>
        <w:r w:rsidR="0063541A">
          <w:rPr>
            <w:noProof/>
            <w:webHidden/>
          </w:rPr>
          <w:tab/>
        </w:r>
        <w:r w:rsidR="0063541A">
          <w:rPr>
            <w:noProof/>
            <w:webHidden/>
          </w:rPr>
          <w:fldChar w:fldCharType="begin"/>
        </w:r>
        <w:r w:rsidR="0063541A">
          <w:rPr>
            <w:noProof/>
            <w:webHidden/>
          </w:rPr>
          <w:instrText xml:space="preserve"> PAGEREF _Toc527548241 \h </w:instrText>
        </w:r>
        <w:r w:rsidR="0063541A">
          <w:rPr>
            <w:noProof/>
            <w:webHidden/>
          </w:rPr>
        </w:r>
        <w:r w:rsidR="0063541A">
          <w:rPr>
            <w:noProof/>
            <w:webHidden/>
          </w:rPr>
          <w:fldChar w:fldCharType="separate"/>
        </w:r>
        <w:r w:rsidR="00E25BF5">
          <w:rPr>
            <w:noProof/>
            <w:webHidden/>
          </w:rPr>
          <w:t>11</w:t>
        </w:r>
        <w:r w:rsidR="0063541A">
          <w:rPr>
            <w:noProof/>
            <w:webHidden/>
          </w:rPr>
          <w:fldChar w:fldCharType="end"/>
        </w:r>
      </w:hyperlink>
    </w:p>
    <w:p w14:paraId="6539D5BC" w14:textId="70454C36" w:rsidR="0063541A" w:rsidRDefault="0070160D">
      <w:pPr>
        <w:pStyle w:val="TM2"/>
        <w:rPr>
          <w:rFonts w:asciiTheme="minorHAnsi" w:eastAsiaTheme="minorEastAsia" w:hAnsiTheme="minorHAnsi" w:cstheme="minorBidi"/>
          <w:noProof/>
          <w:sz w:val="22"/>
          <w:szCs w:val="22"/>
          <w:lang w:eastAsia="fr-FR"/>
        </w:rPr>
      </w:pPr>
      <w:hyperlink w:anchor="_Toc527548242" w:history="1">
        <w:r w:rsidR="0063541A" w:rsidRPr="0071126C">
          <w:rPr>
            <w:rStyle w:val="Lienhypertexte"/>
            <w:noProof/>
          </w:rPr>
          <w:t>F.</w:t>
        </w:r>
        <w:r w:rsidR="0063541A">
          <w:rPr>
            <w:rFonts w:asciiTheme="minorHAnsi" w:eastAsiaTheme="minorEastAsia" w:hAnsiTheme="minorHAnsi" w:cstheme="minorBidi"/>
            <w:noProof/>
            <w:sz w:val="22"/>
            <w:szCs w:val="22"/>
            <w:lang w:eastAsia="fr-FR"/>
          </w:rPr>
          <w:tab/>
        </w:r>
        <w:r w:rsidR="0063541A" w:rsidRPr="0071126C">
          <w:rPr>
            <w:rStyle w:val="Lienhypertexte"/>
            <w:noProof/>
          </w:rPr>
          <w:t>Calendrier des réparations, des tests et de l’entretien</w:t>
        </w:r>
        <w:r w:rsidR="0063541A">
          <w:rPr>
            <w:noProof/>
            <w:webHidden/>
          </w:rPr>
          <w:tab/>
        </w:r>
        <w:r w:rsidR="0063541A">
          <w:rPr>
            <w:noProof/>
            <w:webHidden/>
          </w:rPr>
          <w:fldChar w:fldCharType="begin"/>
        </w:r>
        <w:r w:rsidR="0063541A">
          <w:rPr>
            <w:noProof/>
            <w:webHidden/>
          </w:rPr>
          <w:instrText xml:space="preserve"> PAGEREF _Toc527548242 \h </w:instrText>
        </w:r>
        <w:r w:rsidR="0063541A">
          <w:rPr>
            <w:noProof/>
            <w:webHidden/>
          </w:rPr>
        </w:r>
        <w:r w:rsidR="0063541A">
          <w:rPr>
            <w:noProof/>
            <w:webHidden/>
          </w:rPr>
          <w:fldChar w:fldCharType="separate"/>
        </w:r>
        <w:r w:rsidR="00E25BF5">
          <w:rPr>
            <w:noProof/>
            <w:webHidden/>
          </w:rPr>
          <w:t>12</w:t>
        </w:r>
        <w:r w:rsidR="0063541A">
          <w:rPr>
            <w:noProof/>
            <w:webHidden/>
          </w:rPr>
          <w:fldChar w:fldCharType="end"/>
        </w:r>
      </w:hyperlink>
    </w:p>
    <w:p w14:paraId="76C98C4C" w14:textId="13A814F0" w:rsidR="0063541A" w:rsidRDefault="0070160D">
      <w:pPr>
        <w:pStyle w:val="TM2"/>
        <w:rPr>
          <w:rFonts w:asciiTheme="minorHAnsi" w:eastAsiaTheme="minorEastAsia" w:hAnsiTheme="minorHAnsi" w:cstheme="minorBidi"/>
          <w:noProof/>
          <w:sz w:val="22"/>
          <w:szCs w:val="22"/>
          <w:lang w:eastAsia="fr-FR"/>
        </w:rPr>
      </w:pPr>
      <w:hyperlink w:anchor="_Toc527548243" w:history="1">
        <w:r w:rsidR="0063541A" w:rsidRPr="0071126C">
          <w:rPr>
            <w:rStyle w:val="Lienhypertexte"/>
            <w:noProof/>
          </w:rPr>
          <w:t>G.</w:t>
        </w:r>
        <w:r w:rsidR="0063541A">
          <w:rPr>
            <w:rFonts w:asciiTheme="minorHAnsi" w:eastAsiaTheme="minorEastAsia" w:hAnsiTheme="minorHAnsi" w:cstheme="minorBidi"/>
            <w:noProof/>
            <w:sz w:val="22"/>
            <w:szCs w:val="22"/>
            <w:lang w:eastAsia="fr-FR"/>
          </w:rPr>
          <w:tab/>
        </w:r>
        <w:r w:rsidR="0063541A" w:rsidRPr="0071126C">
          <w:rPr>
            <w:rStyle w:val="Lienhypertexte"/>
            <w:noProof/>
          </w:rPr>
          <w:t>Mesures d’urgence, notamment équipements de protection individuelle</w:t>
        </w:r>
        <w:r w:rsidR="0063541A">
          <w:rPr>
            <w:noProof/>
            <w:webHidden/>
          </w:rPr>
          <w:tab/>
        </w:r>
        <w:r w:rsidR="0063541A">
          <w:rPr>
            <w:noProof/>
            <w:webHidden/>
          </w:rPr>
          <w:fldChar w:fldCharType="begin"/>
        </w:r>
        <w:r w:rsidR="0063541A">
          <w:rPr>
            <w:noProof/>
            <w:webHidden/>
          </w:rPr>
          <w:instrText xml:space="preserve"> PAGEREF _Toc527548243 \h </w:instrText>
        </w:r>
        <w:r w:rsidR="0063541A">
          <w:rPr>
            <w:noProof/>
            <w:webHidden/>
          </w:rPr>
        </w:r>
        <w:r w:rsidR="0063541A">
          <w:rPr>
            <w:noProof/>
            <w:webHidden/>
          </w:rPr>
          <w:fldChar w:fldCharType="separate"/>
        </w:r>
        <w:r w:rsidR="00E25BF5">
          <w:rPr>
            <w:noProof/>
            <w:webHidden/>
          </w:rPr>
          <w:t>12</w:t>
        </w:r>
        <w:r w:rsidR="0063541A">
          <w:rPr>
            <w:noProof/>
            <w:webHidden/>
          </w:rPr>
          <w:fldChar w:fldCharType="end"/>
        </w:r>
      </w:hyperlink>
    </w:p>
    <w:p w14:paraId="2D183B3E" w14:textId="2769DA52" w:rsidR="0063541A" w:rsidRDefault="0070160D">
      <w:pPr>
        <w:pStyle w:val="TM1"/>
        <w:rPr>
          <w:rFonts w:asciiTheme="minorHAnsi" w:eastAsiaTheme="minorEastAsia" w:hAnsiTheme="minorHAnsi" w:cstheme="minorBidi"/>
          <w:bCs w:val="0"/>
          <w:noProof/>
          <w:sz w:val="22"/>
          <w:szCs w:val="22"/>
          <w:lang w:eastAsia="fr-FR"/>
        </w:rPr>
      </w:pPr>
      <w:hyperlink w:anchor="_Toc527548244" w:history="1">
        <w:r w:rsidR="0063541A" w:rsidRPr="0071126C">
          <w:rPr>
            <w:rStyle w:val="Lienhypertexte"/>
            <w:noProof/>
          </w:rPr>
          <w:t>V.</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Orientations générales concernant la santé et la sécurité</w:t>
        </w:r>
        <w:r w:rsidR="0063541A">
          <w:rPr>
            <w:noProof/>
            <w:webHidden/>
          </w:rPr>
          <w:tab/>
        </w:r>
        <w:r w:rsidR="0063541A">
          <w:rPr>
            <w:noProof/>
            <w:webHidden/>
          </w:rPr>
          <w:fldChar w:fldCharType="begin"/>
        </w:r>
        <w:r w:rsidR="0063541A">
          <w:rPr>
            <w:noProof/>
            <w:webHidden/>
          </w:rPr>
          <w:instrText xml:space="preserve"> PAGEREF _Toc527548244 \h </w:instrText>
        </w:r>
        <w:r w:rsidR="0063541A">
          <w:rPr>
            <w:noProof/>
            <w:webHidden/>
          </w:rPr>
        </w:r>
        <w:r w:rsidR="0063541A">
          <w:rPr>
            <w:noProof/>
            <w:webHidden/>
          </w:rPr>
          <w:fldChar w:fldCharType="separate"/>
        </w:r>
        <w:r w:rsidR="00E25BF5">
          <w:rPr>
            <w:noProof/>
            <w:webHidden/>
          </w:rPr>
          <w:t>14</w:t>
        </w:r>
        <w:r w:rsidR="0063541A">
          <w:rPr>
            <w:noProof/>
            <w:webHidden/>
          </w:rPr>
          <w:fldChar w:fldCharType="end"/>
        </w:r>
      </w:hyperlink>
    </w:p>
    <w:p w14:paraId="15A58847" w14:textId="673CF012" w:rsidR="0063541A" w:rsidRDefault="0070160D">
      <w:pPr>
        <w:pStyle w:val="TM2"/>
        <w:rPr>
          <w:rFonts w:asciiTheme="minorHAnsi" w:eastAsiaTheme="minorEastAsia" w:hAnsiTheme="minorHAnsi" w:cstheme="minorBidi"/>
          <w:noProof/>
          <w:sz w:val="22"/>
          <w:szCs w:val="22"/>
          <w:lang w:eastAsia="fr-FR"/>
        </w:rPr>
      </w:pPr>
      <w:hyperlink w:anchor="_Toc527548245" w:history="1">
        <w:r w:rsidR="0063541A" w:rsidRPr="0071126C">
          <w:rPr>
            <w:rStyle w:val="Lienhypertexte"/>
            <w:noProof/>
          </w:rPr>
          <w:t>A.</w:t>
        </w:r>
        <w:r w:rsidR="0063541A">
          <w:rPr>
            <w:rFonts w:asciiTheme="minorHAnsi" w:eastAsiaTheme="minorEastAsia" w:hAnsiTheme="minorHAnsi" w:cstheme="minorBidi"/>
            <w:noProof/>
            <w:sz w:val="22"/>
            <w:szCs w:val="22"/>
            <w:lang w:eastAsia="fr-FR"/>
          </w:rPr>
          <w:tab/>
        </w:r>
        <w:r w:rsidR="0063541A" w:rsidRPr="0071126C">
          <w:rPr>
            <w:rStyle w:val="Lienhypertexte"/>
            <w:noProof/>
          </w:rPr>
          <w:t>Santé et sécurité publiques</w:t>
        </w:r>
        <w:r w:rsidR="0063541A">
          <w:rPr>
            <w:noProof/>
            <w:webHidden/>
          </w:rPr>
          <w:tab/>
        </w:r>
        <w:r w:rsidR="0063541A">
          <w:rPr>
            <w:noProof/>
            <w:webHidden/>
          </w:rPr>
          <w:fldChar w:fldCharType="begin"/>
        </w:r>
        <w:r w:rsidR="0063541A">
          <w:rPr>
            <w:noProof/>
            <w:webHidden/>
          </w:rPr>
          <w:instrText xml:space="preserve"> PAGEREF _Toc527548245 \h </w:instrText>
        </w:r>
        <w:r w:rsidR="0063541A">
          <w:rPr>
            <w:noProof/>
            <w:webHidden/>
          </w:rPr>
        </w:r>
        <w:r w:rsidR="0063541A">
          <w:rPr>
            <w:noProof/>
            <w:webHidden/>
          </w:rPr>
          <w:fldChar w:fldCharType="separate"/>
        </w:r>
        <w:r w:rsidR="00E25BF5">
          <w:rPr>
            <w:noProof/>
            <w:webHidden/>
          </w:rPr>
          <w:t>14</w:t>
        </w:r>
        <w:r w:rsidR="0063541A">
          <w:rPr>
            <w:noProof/>
            <w:webHidden/>
          </w:rPr>
          <w:fldChar w:fldCharType="end"/>
        </w:r>
      </w:hyperlink>
    </w:p>
    <w:p w14:paraId="0A69BB9A" w14:textId="5DED203D" w:rsidR="0063541A" w:rsidRDefault="0070160D">
      <w:pPr>
        <w:pStyle w:val="TM2"/>
        <w:rPr>
          <w:rFonts w:asciiTheme="minorHAnsi" w:eastAsiaTheme="minorEastAsia" w:hAnsiTheme="minorHAnsi" w:cstheme="minorBidi"/>
          <w:noProof/>
          <w:sz w:val="22"/>
          <w:szCs w:val="22"/>
          <w:lang w:eastAsia="fr-FR"/>
        </w:rPr>
      </w:pPr>
      <w:hyperlink w:anchor="_Toc527548246" w:history="1">
        <w:r w:rsidR="0063541A" w:rsidRPr="0071126C">
          <w:rPr>
            <w:rStyle w:val="Lienhypertexte"/>
            <w:noProof/>
          </w:rPr>
          <w:t>B.</w:t>
        </w:r>
        <w:r w:rsidR="0063541A">
          <w:rPr>
            <w:rFonts w:asciiTheme="minorHAnsi" w:eastAsiaTheme="minorEastAsia" w:hAnsiTheme="minorHAnsi" w:cstheme="minorBidi"/>
            <w:noProof/>
            <w:sz w:val="22"/>
            <w:szCs w:val="22"/>
            <w:lang w:eastAsia="fr-FR"/>
          </w:rPr>
          <w:tab/>
        </w:r>
        <w:r w:rsidR="0063541A" w:rsidRPr="0071126C">
          <w:rPr>
            <w:rStyle w:val="Lienhypertexte"/>
            <w:noProof/>
          </w:rPr>
          <w:t>Santé et sécurité des travailleurs</w:t>
        </w:r>
        <w:r w:rsidR="0063541A">
          <w:rPr>
            <w:noProof/>
            <w:webHidden/>
          </w:rPr>
          <w:tab/>
        </w:r>
        <w:r w:rsidR="0063541A">
          <w:rPr>
            <w:noProof/>
            <w:webHidden/>
          </w:rPr>
          <w:fldChar w:fldCharType="begin"/>
        </w:r>
        <w:r w:rsidR="0063541A">
          <w:rPr>
            <w:noProof/>
            <w:webHidden/>
          </w:rPr>
          <w:instrText xml:space="preserve"> PAGEREF _Toc527548246 \h </w:instrText>
        </w:r>
        <w:r w:rsidR="0063541A">
          <w:rPr>
            <w:noProof/>
            <w:webHidden/>
          </w:rPr>
        </w:r>
        <w:r w:rsidR="0063541A">
          <w:rPr>
            <w:noProof/>
            <w:webHidden/>
          </w:rPr>
          <w:fldChar w:fldCharType="separate"/>
        </w:r>
        <w:r w:rsidR="00E25BF5">
          <w:rPr>
            <w:noProof/>
            <w:webHidden/>
          </w:rPr>
          <w:t>15</w:t>
        </w:r>
        <w:r w:rsidR="0063541A">
          <w:rPr>
            <w:noProof/>
            <w:webHidden/>
          </w:rPr>
          <w:fldChar w:fldCharType="end"/>
        </w:r>
      </w:hyperlink>
    </w:p>
    <w:p w14:paraId="154EB214" w14:textId="6A8B5E1F" w:rsidR="0063541A" w:rsidRDefault="0070160D">
      <w:pPr>
        <w:pStyle w:val="TM1"/>
        <w:rPr>
          <w:rFonts w:asciiTheme="minorHAnsi" w:eastAsiaTheme="minorEastAsia" w:hAnsiTheme="minorHAnsi" w:cstheme="minorBidi"/>
          <w:bCs w:val="0"/>
          <w:noProof/>
          <w:sz w:val="22"/>
          <w:szCs w:val="22"/>
          <w:lang w:eastAsia="fr-FR"/>
        </w:rPr>
      </w:pPr>
      <w:hyperlink w:anchor="_Toc527548247" w:history="1">
        <w:r w:rsidR="0063541A" w:rsidRPr="0071126C">
          <w:rPr>
            <w:rStyle w:val="Lienhypertexte"/>
            <w:noProof/>
          </w:rPr>
          <w:t>VI.</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Communication sur les risques</w:t>
        </w:r>
        <w:r w:rsidR="0063541A">
          <w:rPr>
            <w:noProof/>
            <w:webHidden/>
          </w:rPr>
          <w:tab/>
        </w:r>
        <w:r w:rsidR="0063541A">
          <w:rPr>
            <w:noProof/>
            <w:webHidden/>
          </w:rPr>
          <w:fldChar w:fldCharType="begin"/>
        </w:r>
        <w:r w:rsidR="0063541A">
          <w:rPr>
            <w:noProof/>
            <w:webHidden/>
          </w:rPr>
          <w:instrText xml:space="preserve"> PAGEREF _Toc527548247 \h </w:instrText>
        </w:r>
        <w:r w:rsidR="0063541A">
          <w:rPr>
            <w:noProof/>
            <w:webHidden/>
          </w:rPr>
        </w:r>
        <w:r w:rsidR="0063541A">
          <w:rPr>
            <w:noProof/>
            <w:webHidden/>
          </w:rPr>
          <w:fldChar w:fldCharType="separate"/>
        </w:r>
        <w:r w:rsidR="00E25BF5">
          <w:rPr>
            <w:noProof/>
            <w:webHidden/>
          </w:rPr>
          <w:t>15</w:t>
        </w:r>
        <w:r w:rsidR="0063541A">
          <w:rPr>
            <w:noProof/>
            <w:webHidden/>
          </w:rPr>
          <w:fldChar w:fldCharType="end"/>
        </w:r>
      </w:hyperlink>
    </w:p>
    <w:p w14:paraId="07126669" w14:textId="382C9BB4" w:rsidR="0063541A" w:rsidRDefault="0070160D">
      <w:pPr>
        <w:pStyle w:val="TM1"/>
        <w:rPr>
          <w:rFonts w:asciiTheme="minorHAnsi" w:eastAsiaTheme="minorEastAsia" w:hAnsiTheme="minorHAnsi" w:cstheme="minorBidi"/>
          <w:bCs w:val="0"/>
          <w:noProof/>
          <w:sz w:val="22"/>
          <w:szCs w:val="22"/>
          <w:lang w:eastAsia="fr-FR"/>
        </w:rPr>
      </w:pPr>
      <w:hyperlink w:anchor="_Toc527548248" w:history="1">
        <w:r w:rsidR="0063541A" w:rsidRPr="0071126C">
          <w:rPr>
            <w:rStyle w:val="Lienhypertexte"/>
            <w:noProof/>
          </w:rPr>
          <w:t>VII.</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Fermeture d’une installation</w:t>
        </w:r>
        <w:r w:rsidR="0063541A">
          <w:rPr>
            <w:noProof/>
            <w:webHidden/>
          </w:rPr>
          <w:tab/>
        </w:r>
        <w:r w:rsidR="0063541A">
          <w:rPr>
            <w:noProof/>
            <w:webHidden/>
          </w:rPr>
          <w:fldChar w:fldCharType="begin"/>
        </w:r>
        <w:r w:rsidR="0063541A">
          <w:rPr>
            <w:noProof/>
            <w:webHidden/>
          </w:rPr>
          <w:instrText xml:space="preserve"> PAGEREF _Toc527548248 \h </w:instrText>
        </w:r>
        <w:r w:rsidR="0063541A">
          <w:rPr>
            <w:noProof/>
            <w:webHidden/>
          </w:rPr>
        </w:r>
        <w:r w:rsidR="0063541A">
          <w:rPr>
            <w:noProof/>
            <w:webHidden/>
          </w:rPr>
          <w:fldChar w:fldCharType="separate"/>
        </w:r>
        <w:r w:rsidR="00E25BF5">
          <w:rPr>
            <w:noProof/>
            <w:webHidden/>
          </w:rPr>
          <w:t>16</w:t>
        </w:r>
        <w:r w:rsidR="0063541A">
          <w:rPr>
            <w:noProof/>
            <w:webHidden/>
          </w:rPr>
          <w:fldChar w:fldCharType="end"/>
        </w:r>
      </w:hyperlink>
    </w:p>
    <w:p w14:paraId="67EF8603" w14:textId="0E7C9851" w:rsidR="0063541A" w:rsidRDefault="0070160D">
      <w:pPr>
        <w:pStyle w:val="TM1"/>
        <w:rPr>
          <w:rFonts w:asciiTheme="minorHAnsi" w:eastAsiaTheme="minorEastAsia" w:hAnsiTheme="minorHAnsi" w:cstheme="minorBidi"/>
          <w:bCs w:val="0"/>
          <w:noProof/>
          <w:sz w:val="22"/>
          <w:szCs w:val="22"/>
          <w:lang w:eastAsia="fr-FR"/>
        </w:rPr>
      </w:pPr>
      <w:hyperlink w:anchor="_Toc527548249" w:history="1">
        <w:r w:rsidR="0063541A" w:rsidRPr="0071126C">
          <w:rPr>
            <w:rStyle w:val="Lienhypertexte"/>
            <w:noProof/>
          </w:rPr>
          <w:t>VIII.</w:t>
        </w:r>
        <w:r w:rsidR="0063541A">
          <w:rPr>
            <w:rFonts w:asciiTheme="minorHAnsi" w:eastAsiaTheme="minorEastAsia" w:hAnsiTheme="minorHAnsi" w:cstheme="minorBidi"/>
            <w:bCs w:val="0"/>
            <w:noProof/>
            <w:sz w:val="22"/>
            <w:szCs w:val="22"/>
            <w:lang w:eastAsia="fr-FR"/>
          </w:rPr>
          <w:tab/>
        </w:r>
        <w:r w:rsidR="0063541A" w:rsidRPr="0071126C">
          <w:rPr>
            <w:rStyle w:val="Lienhypertexte"/>
            <w:noProof/>
          </w:rPr>
          <w:t>Informations concernant le transport de mercure et de composés du mercure</w:t>
        </w:r>
        <w:r w:rsidR="0063541A">
          <w:rPr>
            <w:noProof/>
            <w:webHidden/>
          </w:rPr>
          <w:tab/>
        </w:r>
        <w:r w:rsidR="0063541A">
          <w:rPr>
            <w:noProof/>
            <w:webHidden/>
          </w:rPr>
          <w:fldChar w:fldCharType="begin"/>
        </w:r>
        <w:r w:rsidR="0063541A">
          <w:rPr>
            <w:noProof/>
            <w:webHidden/>
          </w:rPr>
          <w:instrText xml:space="preserve"> PAGEREF _Toc527548249 \h </w:instrText>
        </w:r>
        <w:r w:rsidR="0063541A">
          <w:rPr>
            <w:noProof/>
            <w:webHidden/>
          </w:rPr>
        </w:r>
        <w:r w:rsidR="0063541A">
          <w:rPr>
            <w:noProof/>
            <w:webHidden/>
          </w:rPr>
          <w:fldChar w:fldCharType="separate"/>
        </w:r>
        <w:r w:rsidR="00E25BF5">
          <w:rPr>
            <w:noProof/>
            <w:webHidden/>
          </w:rPr>
          <w:t>16</w:t>
        </w:r>
        <w:r w:rsidR="0063541A">
          <w:rPr>
            <w:noProof/>
            <w:webHidden/>
          </w:rPr>
          <w:fldChar w:fldCharType="end"/>
        </w:r>
      </w:hyperlink>
    </w:p>
    <w:p w14:paraId="6AF4FFF2" w14:textId="6A7F9D7F" w:rsidR="0063541A" w:rsidRDefault="0070160D">
      <w:pPr>
        <w:pStyle w:val="TM1"/>
        <w:rPr>
          <w:rFonts w:asciiTheme="minorHAnsi" w:eastAsiaTheme="minorEastAsia" w:hAnsiTheme="minorHAnsi" w:cstheme="minorBidi"/>
          <w:bCs w:val="0"/>
          <w:noProof/>
          <w:sz w:val="22"/>
          <w:szCs w:val="22"/>
          <w:lang w:eastAsia="fr-FR"/>
        </w:rPr>
      </w:pPr>
      <w:hyperlink w:anchor="_Toc527548250" w:history="1">
        <w:r w:rsidR="0063541A" w:rsidRPr="0071126C">
          <w:rPr>
            <w:rStyle w:val="Lienhypertexte"/>
            <w:noProof/>
          </w:rPr>
          <w:t>Bibliographie et autres ressources</w:t>
        </w:r>
        <w:r w:rsidR="0063541A">
          <w:rPr>
            <w:noProof/>
            <w:webHidden/>
          </w:rPr>
          <w:tab/>
        </w:r>
        <w:r w:rsidR="0063541A">
          <w:rPr>
            <w:noProof/>
            <w:webHidden/>
          </w:rPr>
          <w:fldChar w:fldCharType="begin"/>
        </w:r>
        <w:r w:rsidR="0063541A">
          <w:rPr>
            <w:noProof/>
            <w:webHidden/>
          </w:rPr>
          <w:instrText xml:space="preserve"> PAGEREF _Toc527548250 \h </w:instrText>
        </w:r>
        <w:r w:rsidR="0063541A">
          <w:rPr>
            <w:noProof/>
            <w:webHidden/>
          </w:rPr>
        </w:r>
        <w:r w:rsidR="0063541A">
          <w:rPr>
            <w:noProof/>
            <w:webHidden/>
          </w:rPr>
          <w:fldChar w:fldCharType="separate"/>
        </w:r>
        <w:r w:rsidR="00E25BF5">
          <w:rPr>
            <w:noProof/>
            <w:webHidden/>
          </w:rPr>
          <w:t>18</w:t>
        </w:r>
        <w:r w:rsidR="0063541A">
          <w:rPr>
            <w:noProof/>
            <w:webHidden/>
          </w:rPr>
          <w:fldChar w:fldCharType="end"/>
        </w:r>
      </w:hyperlink>
    </w:p>
    <w:p w14:paraId="1419230B" w14:textId="7D4FB200" w:rsidR="000C2F3D" w:rsidRPr="00E84EB9" w:rsidRDefault="000C2F3D" w:rsidP="00485612">
      <w:pPr>
        <w:pStyle w:val="Normal-pool"/>
        <w:rPr>
          <w:lang w:val="fr-FR"/>
        </w:rPr>
      </w:pPr>
      <w:r w:rsidRPr="00E84EB9">
        <w:rPr>
          <w:b/>
          <w:lang w:val="fr-FR"/>
        </w:rPr>
        <w:fldChar w:fldCharType="end"/>
      </w:r>
      <w:r w:rsidRPr="00E84EB9">
        <w:rPr>
          <w:lang w:val="fr-FR"/>
        </w:rPr>
        <w:br w:type="page"/>
      </w:r>
    </w:p>
    <w:p w14:paraId="77995794" w14:textId="44CBAE7D" w:rsidR="00785420" w:rsidRPr="00785420" w:rsidRDefault="00785420" w:rsidP="00785420">
      <w:pPr>
        <w:pStyle w:val="CH2"/>
        <w:rPr>
          <w:sz w:val="28"/>
          <w:szCs w:val="28"/>
          <w:lang w:val="fr-FR"/>
        </w:rPr>
      </w:pPr>
      <w:bookmarkStart w:id="10" w:name="_Toc520380776"/>
      <w:r>
        <w:lastRenderedPageBreak/>
        <w:tab/>
      </w:r>
      <w:bookmarkStart w:id="11" w:name="_Toc527548233"/>
      <w:r w:rsidRPr="00785420">
        <w:rPr>
          <w:sz w:val="28"/>
          <w:szCs w:val="28"/>
        </w:rPr>
        <w:t>I.</w:t>
      </w:r>
      <w:r w:rsidRPr="00785420">
        <w:rPr>
          <w:sz w:val="28"/>
          <w:szCs w:val="28"/>
        </w:rPr>
        <w:tab/>
        <w:t>Introduction</w:t>
      </w:r>
      <w:bookmarkEnd w:id="11"/>
    </w:p>
    <w:p w14:paraId="52758837" w14:textId="3BAC3561" w:rsidR="00A95CAB" w:rsidRPr="00E84EB9" w:rsidRDefault="00A95CAB" w:rsidP="00C12B8E">
      <w:pPr>
        <w:pStyle w:val="Normalnumber"/>
        <w:numPr>
          <w:ilvl w:val="0"/>
          <w:numId w:val="5"/>
        </w:numPr>
        <w:ind w:left="1247" w:firstLine="0"/>
        <w:rPr>
          <w:lang w:val="fr-FR"/>
        </w:rPr>
      </w:pPr>
      <w:r w:rsidRPr="00E84EB9">
        <w:rPr>
          <w:lang w:val="fr-FR"/>
        </w:rPr>
        <w:t>La Convention de Minamata sur le mercure est un instrument mondial juridiquement contraignant qui a pour objectif de protéger la santé humaine et l</w:t>
      </w:r>
      <w:r w:rsidR="006C05FA">
        <w:rPr>
          <w:lang w:val="fr-FR"/>
        </w:rPr>
        <w:t>’</w:t>
      </w:r>
      <w:r w:rsidRPr="00E84EB9">
        <w:rPr>
          <w:lang w:val="fr-FR"/>
        </w:rPr>
        <w:t xml:space="preserve">environnement des émissions et des rejets anthropiques de mercure et de composés du mercure. </w:t>
      </w:r>
      <w:r w:rsidR="005660A8" w:rsidRPr="00E84EB9">
        <w:rPr>
          <w:lang w:val="fr-FR"/>
        </w:rPr>
        <w:t xml:space="preserve">Elle </w:t>
      </w:r>
      <w:r w:rsidR="007D0BD4" w:rsidRPr="00B43873">
        <w:rPr>
          <w:lang w:val="fr-FR"/>
        </w:rPr>
        <w:t xml:space="preserve">prévoit des obligations concernant les émissions et les rejets de mercure </w:t>
      </w:r>
      <w:r w:rsidR="007D0BD4">
        <w:rPr>
          <w:lang w:val="fr-FR"/>
        </w:rPr>
        <w:t xml:space="preserve">et </w:t>
      </w:r>
      <w:r w:rsidR="00062C33">
        <w:rPr>
          <w:lang w:val="fr-FR"/>
        </w:rPr>
        <w:t xml:space="preserve">de </w:t>
      </w:r>
      <w:r w:rsidR="007D0BD4">
        <w:rPr>
          <w:lang w:val="fr-FR"/>
        </w:rPr>
        <w:t xml:space="preserve">composés du mercure </w:t>
      </w:r>
      <w:r w:rsidR="00062C33">
        <w:rPr>
          <w:lang w:val="fr-FR"/>
        </w:rPr>
        <w:t xml:space="preserve">produits </w:t>
      </w:r>
      <w:r w:rsidR="007D0BD4" w:rsidRPr="00B43873">
        <w:rPr>
          <w:lang w:val="fr-FR"/>
        </w:rPr>
        <w:t xml:space="preserve">à </w:t>
      </w:r>
      <w:r w:rsidR="007D0BD4" w:rsidRPr="00E84EB9">
        <w:rPr>
          <w:lang w:val="fr-FR"/>
        </w:rPr>
        <w:t>toutes les étapes du cycle de vie</w:t>
      </w:r>
      <w:r w:rsidR="001B70E6">
        <w:rPr>
          <w:lang w:val="fr-FR"/>
        </w:rPr>
        <w:t xml:space="preserve"> </w:t>
      </w:r>
      <w:r w:rsidR="00062C33">
        <w:rPr>
          <w:lang w:val="fr-FR"/>
        </w:rPr>
        <w:t>de cette substance</w:t>
      </w:r>
      <w:r w:rsidR="007D0BD4" w:rsidRPr="00B43873">
        <w:rPr>
          <w:lang w:val="fr-FR"/>
        </w:rPr>
        <w:t xml:space="preserve"> (approvisionnement, commerce, utilisation, déchets et sites contaminés)</w:t>
      </w:r>
      <w:r w:rsidRPr="00E84EB9">
        <w:rPr>
          <w:lang w:val="fr-FR"/>
        </w:rPr>
        <w:t xml:space="preserve">. </w:t>
      </w:r>
      <w:r w:rsidR="00D23400">
        <w:rPr>
          <w:lang w:val="fr-FR"/>
        </w:rPr>
        <w:t>Des </w:t>
      </w:r>
      <w:r w:rsidRPr="00E84EB9">
        <w:rPr>
          <w:lang w:val="fr-FR"/>
        </w:rPr>
        <w:t xml:space="preserve">obligations </w:t>
      </w:r>
      <w:r w:rsidR="007D0BD4">
        <w:rPr>
          <w:lang w:val="fr-FR"/>
        </w:rPr>
        <w:t>précis</w:t>
      </w:r>
      <w:r w:rsidRPr="00E84EB9">
        <w:rPr>
          <w:lang w:val="fr-FR"/>
        </w:rPr>
        <w:t xml:space="preserve">es </w:t>
      </w:r>
      <w:r w:rsidR="007D0BD4">
        <w:rPr>
          <w:lang w:val="fr-FR"/>
        </w:rPr>
        <w:t xml:space="preserve">concernant le </w:t>
      </w:r>
      <w:r w:rsidRPr="00E84EB9">
        <w:rPr>
          <w:lang w:val="fr-FR"/>
        </w:rPr>
        <w:t>stockage provisoire écologiquement rationnel du mercure et des composés du mercure</w:t>
      </w:r>
      <w:r w:rsidR="00783CEE" w:rsidRPr="00E84EB9">
        <w:rPr>
          <w:lang w:val="fr-FR"/>
        </w:rPr>
        <w:t>,</w:t>
      </w:r>
      <w:r w:rsidRPr="00E84EB9">
        <w:rPr>
          <w:lang w:val="fr-FR"/>
        </w:rPr>
        <w:t xml:space="preserve"> à l</w:t>
      </w:r>
      <w:r w:rsidR="006C05FA">
        <w:rPr>
          <w:lang w:val="fr-FR"/>
        </w:rPr>
        <w:t>’</w:t>
      </w:r>
      <w:r w:rsidRPr="00E84EB9">
        <w:rPr>
          <w:lang w:val="fr-FR"/>
        </w:rPr>
        <w:t>exclusion des déchets de me</w:t>
      </w:r>
      <w:r w:rsidR="005660A8" w:rsidRPr="00E84EB9">
        <w:rPr>
          <w:lang w:val="fr-FR"/>
        </w:rPr>
        <w:t>rcure</w:t>
      </w:r>
      <w:r w:rsidR="00684344" w:rsidRPr="00E84EB9">
        <w:rPr>
          <w:lang w:val="fr-FR"/>
        </w:rPr>
        <w:t>,</w:t>
      </w:r>
      <w:r w:rsidR="005660A8" w:rsidRPr="00E84EB9">
        <w:rPr>
          <w:lang w:val="fr-FR"/>
        </w:rPr>
        <w:t xml:space="preserve"> sont </w:t>
      </w:r>
      <w:r w:rsidR="007D0BD4">
        <w:rPr>
          <w:lang w:val="fr-FR"/>
        </w:rPr>
        <w:t>énonc</w:t>
      </w:r>
      <w:r w:rsidR="002A643B">
        <w:rPr>
          <w:lang w:val="fr-FR"/>
        </w:rPr>
        <w:t xml:space="preserve">ées </w:t>
      </w:r>
      <w:r w:rsidR="005660A8" w:rsidRPr="00E84EB9">
        <w:rPr>
          <w:lang w:val="fr-FR"/>
        </w:rPr>
        <w:t>à l</w:t>
      </w:r>
      <w:r w:rsidR="006C05FA">
        <w:rPr>
          <w:lang w:val="fr-FR"/>
        </w:rPr>
        <w:t>’</w:t>
      </w:r>
      <w:r w:rsidR="005660A8" w:rsidRPr="00E84EB9">
        <w:rPr>
          <w:lang w:val="fr-FR"/>
        </w:rPr>
        <w:t>article </w:t>
      </w:r>
      <w:r w:rsidRPr="00E84EB9">
        <w:rPr>
          <w:lang w:val="fr-FR"/>
        </w:rPr>
        <w:t xml:space="preserve">10 de la Convention. </w:t>
      </w:r>
      <w:r w:rsidR="00684344" w:rsidRPr="00E84EB9">
        <w:rPr>
          <w:lang w:val="fr-FR"/>
        </w:rPr>
        <w:t xml:space="preserve">Elles </w:t>
      </w:r>
      <w:r w:rsidRPr="00E84EB9">
        <w:rPr>
          <w:lang w:val="fr-FR"/>
        </w:rPr>
        <w:t xml:space="preserve">diffèrent </w:t>
      </w:r>
      <w:r w:rsidR="005660A8" w:rsidRPr="00E84EB9">
        <w:rPr>
          <w:lang w:val="fr-FR"/>
        </w:rPr>
        <w:t xml:space="preserve">de celles </w:t>
      </w:r>
      <w:r w:rsidRPr="00E84EB9">
        <w:rPr>
          <w:lang w:val="fr-FR"/>
        </w:rPr>
        <w:t>relatives à la gestion écologiquement rationnelle des déchets de mercure</w:t>
      </w:r>
      <w:r w:rsidR="005660A8" w:rsidRPr="00E84EB9">
        <w:rPr>
          <w:lang w:val="fr-FR"/>
        </w:rPr>
        <w:t xml:space="preserve">, qui </w:t>
      </w:r>
      <w:r w:rsidR="00062C33">
        <w:rPr>
          <w:lang w:val="fr-FR"/>
        </w:rPr>
        <w:t>figurent dans</w:t>
      </w:r>
      <w:r w:rsidR="005660A8" w:rsidRPr="00E84EB9">
        <w:rPr>
          <w:lang w:val="fr-FR"/>
        </w:rPr>
        <w:t xml:space="preserve"> l</w:t>
      </w:r>
      <w:r w:rsidR="006C05FA">
        <w:rPr>
          <w:lang w:val="fr-FR"/>
        </w:rPr>
        <w:t>’</w:t>
      </w:r>
      <w:r w:rsidR="005660A8" w:rsidRPr="00E84EB9">
        <w:rPr>
          <w:lang w:val="fr-FR"/>
        </w:rPr>
        <w:t>article </w:t>
      </w:r>
      <w:r w:rsidR="00684344" w:rsidRPr="00E84EB9">
        <w:rPr>
          <w:lang w:val="fr-FR"/>
        </w:rPr>
        <w:t>11.</w:t>
      </w:r>
    </w:p>
    <w:p w14:paraId="01F7878B" w14:textId="2B8B9C69" w:rsidR="00A95CAB" w:rsidRPr="00E84EB9" w:rsidRDefault="00D30643" w:rsidP="00F474DD">
      <w:pPr>
        <w:pStyle w:val="Normalnumber"/>
        <w:numPr>
          <w:ilvl w:val="0"/>
          <w:numId w:val="5"/>
        </w:numPr>
        <w:ind w:left="1247" w:firstLine="0"/>
        <w:rPr>
          <w:lang w:val="fr-FR"/>
        </w:rPr>
      </w:pPr>
      <w:r w:rsidRPr="00E84EB9">
        <w:rPr>
          <w:lang w:val="fr-FR"/>
        </w:rPr>
        <w:t>L</w:t>
      </w:r>
      <w:r w:rsidR="006C05FA">
        <w:rPr>
          <w:lang w:val="fr-FR"/>
        </w:rPr>
        <w:t>’</w:t>
      </w:r>
      <w:r w:rsidRPr="00E84EB9">
        <w:rPr>
          <w:lang w:val="fr-FR"/>
        </w:rPr>
        <w:t>article </w:t>
      </w:r>
      <w:r w:rsidR="00852ED8" w:rsidRPr="00E84EB9">
        <w:rPr>
          <w:lang w:val="fr-FR"/>
        </w:rPr>
        <w:t xml:space="preserve">10 de la Convention dispose que la Conférence des </w:t>
      </w:r>
      <w:r w:rsidR="00A32A5F" w:rsidRPr="00E84EB9">
        <w:rPr>
          <w:lang w:val="fr-FR"/>
        </w:rPr>
        <w:t>Partie</w:t>
      </w:r>
      <w:r w:rsidR="00852ED8" w:rsidRPr="00E84EB9">
        <w:rPr>
          <w:lang w:val="fr-FR"/>
        </w:rPr>
        <w:t>s à la Convention de Minamata adopte des directives concernant le stockage provisoire écologiquement rationnel du mercure et des composés du mercure, en tenant compte de toute directive pertinente élaborée au titre de la Convention de Bâle sur le contrôle des mouvements transfrontières de déchets dangereux et de leur élimination et d</w:t>
      </w:r>
      <w:r w:rsidR="006C05FA">
        <w:rPr>
          <w:lang w:val="fr-FR"/>
        </w:rPr>
        <w:t>’</w:t>
      </w:r>
      <w:r w:rsidR="00852ED8" w:rsidRPr="00E84EB9">
        <w:rPr>
          <w:lang w:val="fr-FR"/>
        </w:rPr>
        <w:t xml:space="preserve">autres orientations pertinentes. </w:t>
      </w:r>
      <w:r w:rsidRPr="00E84EB9">
        <w:rPr>
          <w:lang w:val="fr-FR"/>
        </w:rPr>
        <w:t xml:space="preserve">Les présentes </w:t>
      </w:r>
      <w:r w:rsidR="00852ED8" w:rsidRPr="00E84EB9">
        <w:rPr>
          <w:lang w:val="fr-FR"/>
        </w:rPr>
        <w:t>directives on</w:t>
      </w:r>
      <w:r w:rsidRPr="00E84EB9">
        <w:rPr>
          <w:lang w:val="fr-FR"/>
        </w:rPr>
        <w:t>t été élaborées sur cette base.</w:t>
      </w:r>
    </w:p>
    <w:p w14:paraId="10177FA5" w14:textId="1E789CC8" w:rsidR="00A95CAB" w:rsidRPr="00E84EB9" w:rsidRDefault="002A643B" w:rsidP="00F474DD">
      <w:pPr>
        <w:pStyle w:val="Normalnumber"/>
        <w:numPr>
          <w:ilvl w:val="0"/>
          <w:numId w:val="5"/>
        </w:numPr>
        <w:ind w:left="1247" w:firstLine="0"/>
        <w:rPr>
          <w:lang w:val="fr-FR"/>
        </w:rPr>
      </w:pPr>
      <w:r>
        <w:rPr>
          <w:lang w:val="fr-FR"/>
        </w:rPr>
        <w:t>C</w:t>
      </w:r>
      <w:r w:rsidR="00603526" w:rsidRPr="00E84EB9">
        <w:rPr>
          <w:lang w:val="fr-FR"/>
        </w:rPr>
        <w:t xml:space="preserve">es </w:t>
      </w:r>
      <w:r w:rsidR="00A95CAB" w:rsidRPr="00E84EB9">
        <w:rPr>
          <w:lang w:val="fr-FR"/>
        </w:rPr>
        <w:t xml:space="preserve">directives </w:t>
      </w:r>
      <w:r w:rsidR="00D5725F" w:rsidRPr="00B43873">
        <w:rPr>
          <w:lang w:val="fr-FR"/>
        </w:rPr>
        <w:t>n’établissent pas d’obligations et n’ont pas pour objet d’</w:t>
      </w:r>
      <w:r w:rsidR="00D5725F">
        <w:rPr>
          <w:lang w:val="fr-FR"/>
        </w:rPr>
        <w:t xml:space="preserve">en </w:t>
      </w:r>
      <w:r w:rsidR="00D5725F" w:rsidRPr="00B43873">
        <w:rPr>
          <w:lang w:val="fr-FR"/>
        </w:rPr>
        <w:t xml:space="preserve">ajouter ou soustraire à celles </w:t>
      </w:r>
      <w:r w:rsidR="00A95CAB" w:rsidRPr="00E84EB9">
        <w:rPr>
          <w:lang w:val="fr-FR"/>
        </w:rPr>
        <w:t xml:space="preserve">incombant </w:t>
      </w:r>
      <w:r w:rsidR="00D5725F">
        <w:rPr>
          <w:lang w:val="fr-FR"/>
        </w:rPr>
        <w:t>aux</w:t>
      </w:r>
      <w:r w:rsidR="00A95CAB" w:rsidRPr="00E84EB9">
        <w:rPr>
          <w:lang w:val="fr-FR"/>
        </w:rPr>
        <w:t xml:space="preserve"> </w:t>
      </w:r>
      <w:r w:rsidR="00A32A5F" w:rsidRPr="00E84EB9">
        <w:rPr>
          <w:lang w:val="fr-FR"/>
        </w:rPr>
        <w:t>Partie</w:t>
      </w:r>
      <w:r w:rsidR="00D5725F">
        <w:rPr>
          <w:lang w:val="fr-FR"/>
        </w:rPr>
        <w:t>s</w:t>
      </w:r>
      <w:r w:rsidR="00A95CAB" w:rsidRPr="00E84EB9">
        <w:rPr>
          <w:lang w:val="fr-FR"/>
        </w:rPr>
        <w:t xml:space="preserve"> au titre de la Convention, en</w:t>
      </w:r>
      <w:r w:rsidR="00603526" w:rsidRPr="00E84EB9">
        <w:rPr>
          <w:lang w:val="fr-FR"/>
        </w:rPr>
        <w:t xml:space="preserve"> particulier </w:t>
      </w:r>
      <w:r w:rsidR="000E6266">
        <w:rPr>
          <w:lang w:val="fr-FR"/>
        </w:rPr>
        <w:t xml:space="preserve">son </w:t>
      </w:r>
      <w:r w:rsidR="00603526" w:rsidRPr="00E84EB9">
        <w:rPr>
          <w:lang w:val="fr-FR"/>
        </w:rPr>
        <w:t>article </w:t>
      </w:r>
      <w:r w:rsidR="00A95CAB" w:rsidRPr="00E84EB9">
        <w:rPr>
          <w:lang w:val="fr-FR"/>
        </w:rPr>
        <w:t xml:space="preserve">10. Néanmoins, les </w:t>
      </w:r>
      <w:r w:rsidR="00A32A5F" w:rsidRPr="00E84EB9">
        <w:rPr>
          <w:lang w:val="fr-FR"/>
        </w:rPr>
        <w:t>Partie</w:t>
      </w:r>
      <w:r w:rsidR="00A95CAB" w:rsidRPr="00E84EB9">
        <w:rPr>
          <w:lang w:val="fr-FR"/>
        </w:rPr>
        <w:t xml:space="preserve">s sont tenues </w:t>
      </w:r>
      <w:r>
        <w:rPr>
          <w:lang w:val="fr-FR"/>
        </w:rPr>
        <w:t xml:space="preserve">de prendre </w:t>
      </w:r>
      <w:r w:rsidR="00A95CAB" w:rsidRPr="00E84EB9">
        <w:rPr>
          <w:lang w:val="fr-FR"/>
        </w:rPr>
        <w:t xml:space="preserve">des mesures pour faire en sorte que le stockage provisoire du mercure et des composés du mercure soit effectué de manière écologiquement rationnelle et, ce faisant, de </w:t>
      </w:r>
      <w:r>
        <w:rPr>
          <w:lang w:val="fr-FR"/>
        </w:rPr>
        <w:t>tenir compte d</w:t>
      </w:r>
      <w:r w:rsidR="00684344" w:rsidRPr="00E84EB9">
        <w:rPr>
          <w:lang w:val="fr-FR"/>
        </w:rPr>
        <w:t xml:space="preserve">es </w:t>
      </w:r>
      <w:r w:rsidR="00A95CAB" w:rsidRPr="00E84EB9">
        <w:rPr>
          <w:lang w:val="fr-FR"/>
        </w:rPr>
        <w:t xml:space="preserve">directives adoptées par la Conférence des </w:t>
      </w:r>
      <w:r w:rsidR="00A32A5F" w:rsidRPr="00E84EB9">
        <w:rPr>
          <w:lang w:val="fr-FR"/>
        </w:rPr>
        <w:t>Partie</w:t>
      </w:r>
      <w:r w:rsidR="00A95CAB" w:rsidRPr="00E84EB9">
        <w:rPr>
          <w:lang w:val="fr-FR"/>
        </w:rPr>
        <w:t>s, ainsi</w:t>
      </w:r>
      <w:r w:rsidR="00603526" w:rsidRPr="00E84EB9">
        <w:rPr>
          <w:lang w:val="fr-FR"/>
        </w:rPr>
        <w:t xml:space="preserve"> que </w:t>
      </w:r>
      <w:r>
        <w:rPr>
          <w:lang w:val="fr-FR"/>
        </w:rPr>
        <w:t>d</w:t>
      </w:r>
      <w:r w:rsidR="00684344" w:rsidRPr="00E84EB9">
        <w:rPr>
          <w:lang w:val="fr-FR"/>
        </w:rPr>
        <w:t xml:space="preserve">es </w:t>
      </w:r>
      <w:r w:rsidR="00603526" w:rsidRPr="00E84EB9">
        <w:rPr>
          <w:lang w:val="fr-FR"/>
        </w:rPr>
        <w:t>exigences relatives au</w:t>
      </w:r>
      <w:r w:rsidR="00A95CAB" w:rsidRPr="00E84EB9">
        <w:rPr>
          <w:lang w:val="fr-FR"/>
        </w:rPr>
        <w:t xml:space="preserve"> stockage provisoire que la Conférence des </w:t>
      </w:r>
      <w:r w:rsidR="00A32A5F" w:rsidRPr="00E84EB9">
        <w:rPr>
          <w:lang w:val="fr-FR"/>
        </w:rPr>
        <w:t>Partie</w:t>
      </w:r>
      <w:r w:rsidR="00A95CAB" w:rsidRPr="00E84EB9">
        <w:rPr>
          <w:lang w:val="fr-FR"/>
        </w:rPr>
        <w:t>s pourrait décider d</w:t>
      </w:r>
      <w:r w:rsidR="006C05FA">
        <w:rPr>
          <w:lang w:val="fr-FR"/>
        </w:rPr>
        <w:t>’</w:t>
      </w:r>
      <w:r w:rsidR="00A95CAB" w:rsidRPr="00E84EB9">
        <w:rPr>
          <w:lang w:val="fr-FR"/>
        </w:rPr>
        <w:t>adopter et d</w:t>
      </w:r>
      <w:r w:rsidR="006C05FA">
        <w:rPr>
          <w:lang w:val="fr-FR"/>
        </w:rPr>
        <w:t>’</w:t>
      </w:r>
      <w:r w:rsidR="00A95CAB" w:rsidRPr="00E84EB9">
        <w:rPr>
          <w:lang w:val="fr-FR"/>
        </w:rPr>
        <w:t>annexer à la Conv</w:t>
      </w:r>
      <w:r w:rsidR="00603526" w:rsidRPr="00E84EB9">
        <w:rPr>
          <w:lang w:val="fr-FR"/>
        </w:rPr>
        <w:t>ention conformément à l</w:t>
      </w:r>
      <w:r w:rsidR="006C05FA">
        <w:rPr>
          <w:lang w:val="fr-FR"/>
        </w:rPr>
        <w:t>’</w:t>
      </w:r>
      <w:r w:rsidR="00603526" w:rsidRPr="00E84EB9">
        <w:rPr>
          <w:lang w:val="fr-FR"/>
        </w:rPr>
        <w:t>article </w:t>
      </w:r>
      <w:r w:rsidR="00A95CAB" w:rsidRPr="00E84EB9">
        <w:rPr>
          <w:lang w:val="fr-FR"/>
        </w:rPr>
        <w:t xml:space="preserve">27. Cela pourrait </w:t>
      </w:r>
      <w:r w:rsidR="00B50E03" w:rsidRPr="00E84EB9">
        <w:rPr>
          <w:lang w:val="fr-FR"/>
        </w:rPr>
        <w:t xml:space="preserve">supposer de recourir </w:t>
      </w:r>
      <w:r w:rsidR="00DE02FE" w:rsidRPr="00E84EB9">
        <w:rPr>
          <w:lang w:val="fr-FR"/>
        </w:rPr>
        <w:t xml:space="preserve">à </w:t>
      </w:r>
      <w:r w:rsidR="00A95CAB" w:rsidRPr="00E84EB9">
        <w:rPr>
          <w:lang w:val="fr-FR"/>
        </w:rPr>
        <w:t>de</w:t>
      </w:r>
      <w:r w:rsidR="00DE02FE" w:rsidRPr="00E84EB9">
        <w:rPr>
          <w:lang w:val="fr-FR"/>
        </w:rPr>
        <w:t>s</w:t>
      </w:r>
      <w:r w:rsidR="00A95CAB" w:rsidRPr="00E84EB9">
        <w:rPr>
          <w:lang w:val="fr-FR"/>
        </w:rPr>
        <w:t xml:space="preserve"> </w:t>
      </w:r>
      <w:r w:rsidR="00B50E03" w:rsidRPr="00E84EB9">
        <w:rPr>
          <w:lang w:val="fr-FR"/>
        </w:rPr>
        <w:t xml:space="preserve">mécanismes </w:t>
      </w:r>
      <w:r w:rsidR="00A95CAB" w:rsidRPr="00E84EB9">
        <w:rPr>
          <w:lang w:val="fr-FR"/>
        </w:rPr>
        <w:t>nationaux mis en place avant l</w:t>
      </w:r>
      <w:r w:rsidR="006C05FA">
        <w:rPr>
          <w:lang w:val="fr-FR"/>
        </w:rPr>
        <w:t>’</w:t>
      </w:r>
      <w:r w:rsidR="00A95CAB" w:rsidRPr="00E84EB9">
        <w:rPr>
          <w:lang w:val="fr-FR"/>
        </w:rPr>
        <w:t>adoption de</w:t>
      </w:r>
      <w:r w:rsidR="00E04EB3">
        <w:rPr>
          <w:lang w:val="fr-FR"/>
        </w:rPr>
        <w:t>s présent</w:t>
      </w:r>
      <w:r w:rsidR="00A95CAB" w:rsidRPr="00E84EB9">
        <w:rPr>
          <w:lang w:val="fr-FR"/>
        </w:rPr>
        <w:t xml:space="preserve">es directives qui, </w:t>
      </w:r>
      <w:r w:rsidR="00BF5697">
        <w:rPr>
          <w:lang w:val="fr-FR"/>
        </w:rPr>
        <w:t xml:space="preserve">dans l’environnement </w:t>
      </w:r>
      <w:r w:rsidR="00A95CAB" w:rsidRPr="00E84EB9">
        <w:rPr>
          <w:lang w:val="fr-FR"/>
        </w:rPr>
        <w:t>naturel et social d</w:t>
      </w:r>
      <w:r w:rsidR="006C05FA">
        <w:rPr>
          <w:lang w:val="fr-FR"/>
        </w:rPr>
        <w:t>’</w:t>
      </w:r>
      <w:r w:rsidR="00A95CAB" w:rsidRPr="00E84EB9">
        <w:rPr>
          <w:lang w:val="fr-FR"/>
        </w:rPr>
        <w:t xml:space="preserve">une </w:t>
      </w:r>
      <w:r w:rsidR="00A32A5F" w:rsidRPr="00E84EB9">
        <w:rPr>
          <w:lang w:val="fr-FR"/>
        </w:rPr>
        <w:t>Partie</w:t>
      </w:r>
      <w:r w:rsidR="00A95CAB" w:rsidRPr="00E84EB9">
        <w:rPr>
          <w:lang w:val="fr-FR"/>
        </w:rPr>
        <w:t xml:space="preserve">, </w:t>
      </w:r>
      <w:r w:rsidR="00BF5697">
        <w:rPr>
          <w:lang w:val="fr-FR"/>
        </w:rPr>
        <w:t>constitu</w:t>
      </w:r>
      <w:r w:rsidR="00A95CAB" w:rsidRPr="00E84EB9">
        <w:rPr>
          <w:lang w:val="fr-FR"/>
        </w:rPr>
        <w:t xml:space="preserve">ent un </w:t>
      </w:r>
      <w:r w:rsidR="00B50E03" w:rsidRPr="00E84EB9">
        <w:rPr>
          <w:lang w:val="fr-FR"/>
        </w:rPr>
        <w:t xml:space="preserve">dispositif </w:t>
      </w:r>
      <w:r w:rsidR="00A95CAB" w:rsidRPr="00E84EB9">
        <w:rPr>
          <w:lang w:val="fr-FR"/>
        </w:rPr>
        <w:t xml:space="preserve">équivalent ou </w:t>
      </w:r>
      <w:r w:rsidR="00B50E03" w:rsidRPr="00E84EB9">
        <w:rPr>
          <w:lang w:val="fr-FR"/>
        </w:rPr>
        <w:t xml:space="preserve">plus efficace </w:t>
      </w:r>
      <w:r w:rsidR="00A95CAB" w:rsidRPr="00E84EB9">
        <w:rPr>
          <w:lang w:val="fr-FR"/>
        </w:rPr>
        <w:t xml:space="preserve">pour le stockage provisoire écologiquement rationnel du mercure et des composés du mercure </w:t>
      </w:r>
      <w:r w:rsidR="00B50E03" w:rsidRPr="00E84EB9">
        <w:rPr>
          <w:lang w:val="fr-FR"/>
        </w:rPr>
        <w:t xml:space="preserve">auquel </w:t>
      </w:r>
      <w:r w:rsidR="00A95CAB" w:rsidRPr="00E84EB9">
        <w:rPr>
          <w:lang w:val="fr-FR"/>
        </w:rPr>
        <w:t xml:space="preserve">les clauses </w:t>
      </w:r>
      <w:r w:rsidR="00BF5697">
        <w:rPr>
          <w:lang w:val="fr-FR"/>
        </w:rPr>
        <w:t xml:space="preserve">individuelles </w:t>
      </w:r>
      <w:r w:rsidR="00A95CAB" w:rsidRPr="00E84EB9">
        <w:rPr>
          <w:lang w:val="fr-FR"/>
        </w:rPr>
        <w:t>de</w:t>
      </w:r>
      <w:r w:rsidR="00BF5697">
        <w:rPr>
          <w:lang w:val="fr-FR"/>
        </w:rPr>
        <w:t>s présentes</w:t>
      </w:r>
      <w:r w:rsidR="00A95CAB" w:rsidRPr="00E84EB9">
        <w:rPr>
          <w:lang w:val="fr-FR"/>
        </w:rPr>
        <w:t xml:space="preserve"> directives </w:t>
      </w:r>
      <w:r w:rsidR="002B7D95" w:rsidRPr="00E84EB9">
        <w:rPr>
          <w:lang w:val="fr-FR"/>
        </w:rPr>
        <w:t xml:space="preserve">peuvent </w:t>
      </w:r>
      <w:r w:rsidR="00A95CAB" w:rsidRPr="00E84EB9">
        <w:rPr>
          <w:lang w:val="fr-FR"/>
        </w:rPr>
        <w:t xml:space="preserve">être appliquées </w:t>
      </w:r>
      <w:r w:rsidR="00BF5697">
        <w:rPr>
          <w:lang w:val="fr-FR"/>
        </w:rPr>
        <w:t xml:space="preserve">tant </w:t>
      </w:r>
      <w:r w:rsidR="00A95CAB" w:rsidRPr="00E84EB9">
        <w:rPr>
          <w:lang w:val="fr-FR"/>
        </w:rPr>
        <w:t>qu</w:t>
      </w:r>
      <w:r w:rsidR="006C05FA">
        <w:rPr>
          <w:lang w:val="fr-FR"/>
        </w:rPr>
        <w:t>’</w:t>
      </w:r>
      <w:r w:rsidR="00A95CAB" w:rsidRPr="00E84EB9">
        <w:rPr>
          <w:lang w:val="fr-FR"/>
        </w:rPr>
        <w:t>elle</w:t>
      </w:r>
      <w:r w:rsidR="002B7D95" w:rsidRPr="00E84EB9">
        <w:rPr>
          <w:lang w:val="fr-FR"/>
        </w:rPr>
        <w:t>s sont réalistes et cohérentes.</w:t>
      </w:r>
    </w:p>
    <w:p w14:paraId="70888D7F" w14:textId="17FE907E" w:rsidR="00A95CAB" w:rsidRPr="00E84EB9" w:rsidRDefault="00CB5E63" w:rsidP="00C12B8E">
      <w:pPr>
        <w:pStyle w:val="CH1"/>
        <w:rPr>
          <w:lang w:val="fr-FR"/>
        </w:rPr>
      </w:pPr>
      <w:r>
        <w:rPr>
          <w:lang w:val="fr-FR"/>
        </w:rPr>
        <w:tab/>
      </w:r>
      <w:bookmarkStart w:id="12" w:name="_Toc527548234"/>
      <w:r w:rsidR="00A95CAB" w:rsidRPr="00E84EB9">
        <w:rPr>
          <w:lang w:val="fr-FR"/>
        </w:rPr>
        <w:t>II.</w:t>
      </w:r>
      <w:r w:rsidR="00A95CAB" w:rsidRPr="00E84EB9">
        <w:rPr>
          <w:lang w:val="fr-FR"/>
        </w:rPr>
        <w:tab/>
      </w:r>
      <w:r w:rsidR="00A95CAB" w:rsidRPr="00E84EB9">
        <w:rPr>
          <w:bCs/>
          <w:lang w:val="fr-FR"/>
        </w:rPr>
        <w:t>Champ d</w:t>
      </w:r>
      <w:r w:rsidR="006C05FA">
        <w:rPr>
          <w:bCs/>
          <w:lang w:val="fr-FR"/>
        </w:rPr>
        <w:t>’</w:t>
      </w:r>
      <w:r w:rsidR="00A95CAB" w:rsidRPr="00E84EB9">
        <w:rPr>
          <w:bCs/>
          <w:lang w:val="fr-FR"/>
        </w:rPr>
        <w:t>application des directives</w:t>
      </w:r>
      <w:bookmarkEnd w:id="12"/>
    </w:p>
    <w:p w14:paraId="41A92697" w14:textId="09A71334" w:rsidR="00A95CAB" w:rsidRPr="00E84EB9" w:rsidRDefault="00E77C34" w:rsidP="00F474DD">
      <w:pPr>
        <w:pStyle w:val="Normalnumber"/>
        <w:numPr>
          <w:ilvl w:val="0"/>
          <w:numId w:val="5"/>
        </w:numPr>
        <w:ind w:left="1247" w:firstLine="0"/>
        <w:rPr>
          <w:lang w:val="fr-FR"/>
        </w:rPr>
      </w:pPr>
      <w:r w:rsidRPr="00E84EB9">
        <w:rPr>
          <w:lang w:val="fr-FR"/>
        </w:rPr>
        <w:t xml:space="preserve">Les présentes </w:t>
      </w:r>
      <w:r w:rsidR="00A95CAB" w:rsidRPr="00E84EB9">
        <w:rPr>
          <w:lang w:val="fr-FR"/>
        </w:rPr>
        <w:t xml:space="preserve">directives </w:t>
      </w:r>
      <w:r w:rsidR="000E6266">
        <w:rPr>
          <w:lang w:val="fr-FR"/>
        </w:rPr>
        <w:t>fournissent aux</w:t>
      </w:r>
      <w:r w:rsidR="00A85B07">
        <w:rPr>
          <w:lang w:val="fr-FR"/>
        </w:rPr>
        <w:t xml:space="preserve"> Parties </w:t>
      </w:r>
      <w:r w:rsidR="000E6266">
        <w:rPr>
          <w:lang w:val="fr-FR"/>
        </w:rPr>
        <w:t>des orientations sur</w:t>
      </w:r>
      <w:r w:rsidR="00A95CAB" w:rsidRPr="00E84EB9">
        <w:rPr>
          <w:lang w:val="fr-FR"/>
        </w:rPr>
        <w:t xml:space="preserve"> le stockage provisoire écologiquement rationnel du mercure et des composés du mercure destinés à une utilisation permise </w:t>
      </w:r>
      <w:r w:rsidR="00A85B07">
        <w:rPr>
          <w:lang w:val="fr-FR"/>
        </w:rPr>
        <w:t>par</w:t>
      </w:r>
      <w:r w:rsidR="00A95CAB" w:rsidRPr="00E84EB9">
        <w:rPr>
          <w:lang w:val="fr-FR"/>
        </w:rPr>
        <w:t xml:space="preserve"> la Convention</w:t>
      </w:r>
      <w:r w:rsidR="000E6266">
        <w:rPr>
          <w:lang w:val="fr-FR"/>
        </w:rPr>
        <w:t>, qui</w:t>
      </w:r>
      <w:r w:rsidR="00A95CAB" w:rsidRPr="00E84EB9">
        <w:rPr>
          <w:lang w:val="fr-FR"/>
        </w:rPr>
        <w:t xml:space="preserve"> compl</w:t>
      </w:r>
      <w:r w:rsidR="00A85B07">
        <w:rPr>
          <w:lang w:val="fr-FR"/>
        </w:rPr>
        <w:t>ètent</w:t>
      </w:r>
      <w:r w:rsidR="00A95CAB" w:rsidRPr="00E84EB9">
        <w:rPr>
          <w:lang w:val="fr-FR"/>
        </w:rPr>
        <w:t xml:space="preserve"> les exigences relatives à la gestion écologiquement rationnelle des déchets de mercure. </w:t>
      </w:r>
      <w:r w:rsidR="00A85B07">
        <w:rPr>
          <w:lang w:val="fr-FR"/>
        </w:rPr>
        <w:t>L</w:t>
      </w:r>
      <w:r w:rsidR="00A95CAB" w:rsidRPr="00E84EB9">
        <w:rPr>
          <w:lang w:val="fr-FR"/>
        </w:rPr>
        <w:t>a Convention</w:t>
      </w:r>
      <w:r w:rsidR="00A85B07">
        <w:rPr>
          <w:lang w:val="fr-FR"/>
        </w:rPr>
        <w:t xml:space="preserve"> interdit</w:t>
      </w:r>
      <w:r w:rsidR="00A95CAB" w:rsidRPr="00E84EB9">
        <w:rPr>
          <w:lang w:val="fr-FR"/>
        </w:rPr>
        <w:t xml:space="preserve"> certaines utilisations du mercure et des composés du mercure </w:t>
      </w:r>
      <w:r w:rsidR="00A85B07">
        <w:rPr>
          <w:lang w:val="fr-FR"/>
        </w:rPr>
        <w:t xml:space="preserve">après </w:t>
      </w:r>
      <w:r w:rsidRPr="00E84EB9">
        <w:rPr>
          <w:lang w:val="fr-FR"/>
        </w:rPr>
        <w:t>une certaine date (</w:t>
      </w:r>
      <w:r w:rsidR="00A85B07">
        <w:rPr>
          <w:lang w:val="fr-FR"/>
        </w:rPr>
        <w:t xml:space="preserve">il en est </w:t>
      </w:r>
      <w:r w:rsidRPr="00E84EB9">
        <w:rPr>
          <w:lang w:val="fr-FR"/>
        </w:rPr>
        <w:t>a</w:t>
      </w:r>
      <w:r w:rsidR="00A95CAB" w:rsidRPr="00E84EB9">
        <w:rPr>
          <w:lang w:val="fr-FR"/>
        </w:rPr>
        <w:t xml:space="preserve">insi </w:t>
      </w:r>
      <w:r w:rsidR="00A85B07">
        <w:rPr>
          <w:lang w:val="fr-FR"/>
        </w:rPr>
        <w:t xml:space="preserve">de </w:t>
      </w:r>
      <w:r w:rsidR="00A95CAB" w:rsidRPr="00E84EB9">
        <w:rPr>
          <w:lang w:val="fr-FR"/>
        </w:rPr>
        <w:t>l</w:t>
      </w:r>
      <w:r w:rsidR="006C05FA">
        <w:rPr>
          <w:lang w:val="fr-FR"/>
        </w:rPr>
        <w:t>’</w:t>
      </w:r>
      <w:r w:rsidR="00A95CAB" w:rsidRPr="00E84EB9">
        <w:rPr>
          <w:lang w:val="fr-FR"/>
        </w:rPr>
        <w:t xml:space="preserve">utilisation de certains produits contenant du mercure ajouté </w:t>
      </w:r>
      <w:r w:rsidR="002A643B">
        <w:rPr>
          <w:lang w:val="fr-FR"/>
        </w:rPr>
        <w:t xml:space="preserve">après </w:t>
      </w:r>
      <w:r w:rsidR="00A85B07">
        <w:rPr>
          <w:lang w:val="fr-FR"/>
        </w:rPr>
        <w:t>leur</w:t>
      </w:r>
      <w:r w:rsidR="00A95CAB" w:rsidRPr="00E84EB9">
        <w:rPr>
          <w:lang w:val="fr-FR"/>
        </w:rPr>
        <w:t xml:space="preserve"> date d</w:t>
      </w:r>
      <w:r w:rsidR="006C05FA">
        <w:rPr>
          <w:lang w:val="fr-FR"/>
        </w:rPr>
        <w:t>’</w:t>
      </w:r>
      <w:r w:rsidR="00A95CAB" w:rsidRPr="00E84EB9">
        <w:rPr>
          <w:lang w:val="fr-FR"/>
        </w:rPr>
        <w:t>abando</w:t>
      </w:r>
      <w:r w:rsidRPr="00E84EB9">
        <w:rPr>
          <w:lang w:val="fr-FR"/>
        </w:rPr>
        <w:t xml:space="preserve">n définitif </w:t>
      </w:r>
      <w:r w:rsidR="007E152E">
        <w:rPr>
          <w:lang w:val="fr-FR"/>
        </w:rPr>
        <w:t>indiqu</w:t>
      </w:r>
      <w:r w:rsidRPr="00E84EB9">
        <w:rPr>
          <w:lang w:val="fr-FR"/>
        </w:rPr>
        <w:t xml:space="preserve">ée </w:t>
      </w:r>
      <w:r w:rsidR="00A85B07">
        <w:rPr>
          <w:lang w:val="fr-FR"/>
        </w:rPr>
        <w:t>dans l’A</w:t>
      </w:r>
      <w:r w:rsidRPr="00E84EB9">
        <w:rPr>
          <w:lang w:val="fr-FR"/>
        </w:rPr>
        <w:t xml:space="preserve">nnexe A </w:t>
      </w:r>
      <w:r w:rsidR="00A85B07">
        <w:rPr>
          <w:lang w:val="fr-FR"/>
        </w:rPr>
        <w:t>en application</w:t>
      </w:r>
      <w:r w:rsidRPr="00E84EB9">
        <w:rPr>
          <w:lang w:val="fr-FR"/>
        </w:rPr>
        <w:t xml:space="preserve"> de l</w:t>
      </w:r>
      <w:r w:rsidR="006C05FA">
        <w:rPr>
          <w:lang w:val="fr-FR"/>
        </w:rPr>
        <w:t>’</w:t>
      </w:r>
      <w:r w:rsidRPr="00E84EB9">
        <w:rPr>
          <w:lang w:val="fr-FR"/>
        </w:rPr>
        <w:t>article </w:t>
      </w:r>
      <w:r w:rsidR="00897A34" w:rsidRPr="00E84EB9">
        <w:rPr>
          <w:lang w:val="fr-FR"/>
        </w:rPr>
        <w:t>4 de la Convention</w:t>
      </w:r>
      <w:r w:rsidR="00A95CAB" w:rsidRPr="00E84EB9">
        <w:rPr>
          <w:lang w:val="fr-FR"/>
        </w:rPr>
        <w:t>)</w:t>
      </w:r>
      <w:r w:rsidR="00897A34" w:rsidRPr="00E84EB9">
        <w:rPr>
          <w:lang w:val="fr-FR"/>
        </w:rPr>
        <w:t>.</w:t>
      </w:r>
      <w:r w:rsidR="00A95CAB" w:rsidRPr="00E84EB9">
        <w:rPr>
          <w:lang w:val="fr-FR"/>
        </w:rPr>
        <w:t xml:space="preserve"> Toutes les utilisations d</w:t>
      </w:r>
      <w:r w:rsidR="007E152E">
        <w:rPr>
          <w:lang w:val="fr-FR"/>
        </w:rPr>
        <w:t>e</w:t>
      </w:r>
      <w:r w:rsidR="00A95CAB" w:rsidRPr="00E84EB9">
        <w:rPr>
          <w:lang w:val="fr-FR"/>
        </w:rPr>
        <w:t xml:space="preserve"> mercure et de composés du mercure qu</w:t>
      </w:r>
      <w:r w:rsidR="0064454B">
        <w:rPr>
          <w:lang w:val="fr-FR"/>
        </w:rPr>
        <w:t>e</w:t>
      </w:r>
      <w:r w:rsidR="003B58D8" w:rsidRPr="00E84EB9">
        <w:rPr>
          <w:lang w:val="fr-FR"/>
        </w:rPr>
        <w:t xml:space="preserve"> </w:t>
      </w:r>
      <w:r w:rsidR="00A95CAB" w:rsidRPr="00E84EB9">
        <w:rPr>
          <w:lang w:val="fr-FR"/>
        </w:rPr>
        <w:t xml:space="preserve">la Convention </w:t>
      </w:r>
      <w:r w:rsidR="0064454B">
        <w:rPr>
          <w:lang w:val="fr-FR"/>
        </w:rPr>
        <w:t xml:space="preserve">n’interdit pas spécifiquement </w:t>
      </w:r>
      <w:r w:rsidR="00A95CAB" w:rsidRPr="00E84EB9">
        <w:rPr>
          <w:lang w:val="fr-FR"/>
        </w:rPr>
        <w:t xml:space="preserve">sont considérées comme permises </w:t>
      </w:r>
      <w:r w:rsidR="007E152E">
        <w:rPr>
          <w:lang w:val="fr-FR"/>
        </w:rPr>
        <w:t>aux</w:t>
      </w:r>
      <w:r w:rsidR="00A95CAB" w:rsidRPr="00E84EB9">
        <w:rPr>
          <w:lang w:val="fr-FR"/>
        </w:rPr>
        <w:t xml:space="preserve"> </w:t>
      </w:r>
      <w:r w:rsidR="00A32A5F" w:rsidRPr="00E84EB9">
        <w:rPr>
          <w:lang w:val="fr-FR"/>
        </w:rPr>
        <w:t>Partie</w:t>
      </w:r>
      <w:r w:rsidR="007E152E">
        <w:rPr>
          <w:lang w:val="fr-FR"/>
        </w:rPr>
        <w:t>s</w:t>
      </w:r>
      <w:r w:rsidR="00312B3A">
        <w:rPr>
          <w:lang w:val="fr-FR"/>
        </w:rPr>
        <w:t xml:space="preserve"> à celle-ci</w:t>
      </w:r>
      <w:r w:rsidR="00A95CAB" w:rsidRPr="00E84EB9">
        <w:rPr>
          <w:lang w:val="fr-FR"/>
        </w:rPr>
        <w:t>. Par ailleurs, il p</w:t>
      </w:r>
      <w:r w:rsidR="003B58D8" w:rsidRPr="00E84EB9">
        <w:rPr>
          <w:lang w:val="fr-FR"/>
        </w:rPr>
        <w:t>eut être opportun d</w:t>
      </w:r>
      <w:r w:rsidR="006C05FA">
        <w:rPr>
          <w:lang w:val="fr-FR"/>
        </w:rPr>
        <w:t>’</w:t>
      </w:r>
      <w:r w:rsidR="003B58D8" w:rsidRPr="00E84EB9">
        <w:rPr>
          <w:lang w:val="fr-FR"/>
        </w:rPr>
        <w:t>identifier d</w:t>
      </w:r>
      <w:r w:rsidR="00A95CAB" w:rsidRPr="00E84EB9">
        <w:rPr>
          <w:lang w:val="fr-FR"/>
        </w:rPr>
        <w:t xml:space="preserve">es actions prioritaires dans le </w:t>
      </w:r>
      <w:r w:rsidR="003B58D8" w:rsidRPr="00E84EB9">
        <w:rPr>
          <w:lang w:val="fr-FR"/>
        </w:rPr>
        <w:t xml:space="preserve">cadre </w:t>
      </w:r>
      <w:r w:rsidR="00A95CAB" w:rsidRPr="00E84EB9">
        <w:rPr>
          <w:lang w:val="fr-FR"/>
        </w:rPr>
        <w:t xml:space="preserve">de ces directives, notamment si une </w:t>
      </w:r>
      <w:r w:rsidR="00A32A5F" w:rsidRPr="00E84EB9">
        <w:rPr>
          <w:lang w:val="fr-FR"/>
        </w:rPr>
        <w:t>Partie</w:t>
      </w:r>
      <w:r w:rsidR="00A95CAB" w:rsidRPr="00E84EB9">
        <w:rPr>
          <w:lang w:val="fr-FR"/>
        </w:rPr>
        <w:t xml:space="preserve"> estime que l</w:t>
      </w:r>
      <w:r w:rsidR="006C05FA">
        <w:rPr>
          <w:lang w:val="fr-FR"/>
        </w:rPr>
        <w:t>’</w:t>
      </w:r>
      <w:r w:rsidR="00A95CAB" w:rsidRPr="00E84EB9">
        <w:rPr>
          <w:lang w:val="fr-FR"/>
        </w:rPr>
        <w:t xml:space="preserve">extraction minière artisanale et à petite échelle et </w:t>
      </w:r>
      <w:r w:rsidR="007E152E">
        <w:rPr>
          <w:lang w:val="fr-FR"/>
        </w:rPr>
        <w:t>l</w:t>
      </w:r>
      <w:r w:rsidR="00A95CAB" w:rsidRPr="00E84EB9">
        <w:rPr>
          <w:lang w:val="fr-FR"/>
        </w:rPr>
        <w:t xml:space="preserve">a transformation </w:t>
      </w:r>
      <w:r w:rsidR="007E152E">
        <w:rPr>
          <w:lang w:val="fr-FR"/>
        </w:rPr>
        <w:t xml:space="preserve">d’or </w:t>
      </w:r>
      <w:r w:rsidR="00A95CAB" w:rsidRPr="00E84EB9">
        <w:rPr>
          <w:lang w:val="fr-FR"/>
        </w:rPr>
        <w:t xml:space="preserve">sur son territoire sont non négligeables. Les </w:t>
      </w:r>
      <w:r w:rsidR="00A32A5F" w:rsidRPr="00E84EB9">
        <w:rPr>
          <w:lang w:val="fr-FR"/>
        </w:rPr>
        <w:t>Partie</w:t>
      </w:r>
      <w:r w:rsidR="00A95CAB" w:rsidRPr="00E84EB9">
        <w:rPr>
          <w:lang w:val="fr-FR"/>
        </w:rPr>
        <w:t>s qui élaborent ou ont élaboré un plan d</w:t>
      </w:r>
      <w:r w:rsidR="006C05FA">
        <w:rPr>
          <w:lang w:val="fr-FR"/>
        </w:rPr>
        <w:t>’</w:t>
      </w:r>
      <w:r w:rsidR="00A95CAB" w:rsidRPr="00E84EB9">
        <w:rPr>
          <w:lang w:val="fr-FR"/>
        </w:rPr>
        <w:t xml:space="preserve">action national pour ce secteur, par exemple, peuvent souhaiter </w:t>
      </w:r>
      <w:r w:rsidR="003B58D8" w:rsidRPr="00E84EB9">
        <w:rPr>
          <w:lang w:val="fr-FR"/>
        </w:rPr>
        <w:t xml:space="preserve">hiérarchiser </w:t>
      </w:r>
      <w:r w:rsidR="00A95CAB" w:rsidRPr="00E84EB9">
        <w:rPr>
          <w:lang w:val="fr-FR"/>
        </w:rPr>
        <w:t xml:space="preserve">les sections de ces directives qui </w:t>
      </w:r>
      <w:r w:rsidR="00AB481C" w:rsidRPr="00E84EB9">
        <w:rPr>
          <w:lang w:val="fr-FR"/>
        </w:rPr>
        <w:t xml:space="preserve">favorisent </w:t>
      </w:r>
      <w:r w:rsidR="00A95CAB" w:rsidRPr="00E84EB9">
        <w:rPr>
          <w:lang w:val="fr-FR"/>
        </w:rPr>
        <w:t xml:space="preserve">la mise en </w:t>
      </w:r>
      <w:r w:rsidR="00E84EB9" w:rsidRPr="00E84EB9">
        <w:rPr>
          <w:lang w:val="fr-FR"/>
        </w:rPr>
        <w:t>œuvre</w:t>
      </w:r>
      <w:r w:rsidR="00A95CAB" w:rsidRPr="00E84EB9">
        <w:rPr>
          <w:lang w:val="fr-FR"/>
        </w:rPr>
        <w:t xml:space="preserve"> des</w:t>
      </w:r>
      <w:r w:rsidR="00F91C54" w:rsidRPr="00E84EB9">
        <w:rPr>
          <w:lang w:val="fr-FR"/>
        </w:rPr>
        <w:t xml:space="preserve"> mesures énoncées au paragraphe 1 de l</w:t>
      </w:r>
      <w:r w:rsidR="006C05FA">
        <w:rPr>
          <w:lang w:val="fr-FR"/>
        </w:rPr>
        <w:t>’</w:t>
      </w:r>
      <w:r w:rsidR="00F91C54" w:rsidRPr="00E84EB9">
        <w:rPr>
          <w:lang w:val="fr-FR"/>
        </w:rPr>
        <w:t>Annexe </w:t>
      </w:r>
      <w:r w:rsidR="00A95CAB" w:rsidRPr="00E84EB9">
        <w:rPr>
          <w:lang w:val="fr-FR"/>
        </w:rPr>
        <w:t xml:space="preserve">C de la Convention, en sus de </w:t>
      </w:r>
      <w:r w:rsidR="003B58D8" w:rsidRPr="00E84EB9">
        <w:rPr>
          <w:lang w:val="fr-FR"/>
        </w:rPr>
        <w:t xml:space="preserve">prendre </w:t>
      </w:r>
      <w:r w:rsidR="00A95CAB" w:rsidRPr="00E84EB9">
        <w:rPr>
          <w:lang w:val="fr-FR"/>
        </w:rPr>
        <w:t xml:space="preserve">en compte </w:t>
      </w:r>
      <w:r w:rsidR="003B58D8" w:rsidRPr="00E84EB9">
        <w:rPr>
          <w:lang w:val="fr-FR"/>
        </w:rPr>
        <w:t xml:space="preserve">les orientations </w:t>
      </w:r>
      <w:r w:rsidR="00A95CAB" w:rsidRPr="00E84EB9">
        <w:rPr>
          <w:lang w:val="fr-FR"/>
        </w:rPr>
        <w:t>relatives à l</w:t>
      </w:r>
      <w:r w:rsidR="006C05FA">
        <w:rPr>
          <w:lang w:val="fr-FR"/>
        </w:rPr>
        <w:t>’</w:t>
      </w:r>
      <w:r w:rsidR="00A95CAB" w:rsidRPr="00E84EB9">
        <w:rPr>
          <w:lang w:val="fr-FR"/>
        </w:rPr>
        <w:t>élaboration d</w:t>
      </w:r>
      <w:r w:rsidR="006C05FA">
        <w:rPr>
          <w:lang w:val="fr-FR"/>
        </w:rPr>
        <w:t>’</w:t>
      </w:r>
      <w:r w:rsidR="00A95CAB" w:rsidRPr="00E84EB9">
        <w:rPr>
          <w:lang w:val="fr-FR"/>
        </w:rPr>
        <w:t>un plan d</w:t>
      </w:r>
      <w:r w:rsidR="006C05FA">
        <w:rPr>
          <w:lang w:val="fr-FR"/>
        </w:rPr>
        <w:t>’</w:t>
      </w:r>
      <w:r w:rsidR="00A95CAB" w:rsidRPr="00E84EB9">
        <w:rPr>
          <w:lang w:val="fr-FR"/>
        </w:rPr>
        <w:t>action national visant à réduire et, là où il sera possible, à éliminer l</w:t>
      </w:r>
      <w:r w:rsidR="006C05FA">
        <w:rPr>
          <w:lang w:val="fr-FR"/>
        </w:rPr>
        <w:t>’</w:t>
      </w:r>
      <w:r w:rsidR="00A95CAB" w:rsidRPr="00E84EB9">
        <w:rPr>
          <w:lang w:val="fr-FR"/>
        </w:rPr>
        <w:t>utilisation du mercure dans l</w:t>
      </w:r>
      <w:r w:rsidR="006C05FA">
        <w:rPr>
          <w:lang w:val="fr-FR"/>
        </w:rPr>
        <w:t>’</w:t>
      </w:r>
      <w:r w:rsidR="00A95CAB" w:rsidRPr="00E84EB9">
        <w:rPr>
          <w:lang w:val="fr-FR"/>
        </w:rPr>
        <w:t>extraction artisanale et à petite échelle de l</w:t>
      </w:r>
      <w:r w:rsidR="006C05FA">
        <w:rPr>
          <w:lang w:val="fr-FR"/>
        </w:rPr>
        <w:t>’</w:t>
      </w:r>
      <w:r w:rsidR="00A95CAB" w:rsidRPr="00E84EB9">
        <w:rPr>
          <w:lang w:val="fr-FR"/>
        </w:rPr>
        <w:t>or, adopté</w:t>
      </w:r>
      <w:r w:rsidR="003B58D8" w:rsidRPr="00E84EB9">
        <w:rPr>
          <w:lang w:val="fr-FR"/>
        </w:rPr>
        <w:t>es</w:t>
      </w:r>
      <w:r w:rsidR="00A95CAB" w:rsidRPr="00E84EB9">
        <w:rPr>
          <w:lang w:val="fr-FR"/>
        </w:rPr>
        <w:t xml:space="preserve"> par la Conférence des </w:t>
      </w:r>
      <w:r w:rsidR="00A32A5F" w:rsidRPr="00E84EB9">
        <w:rPr>
          <w:lang w:val="fr-FR"/>
        </w:rPr>
        <w:t>Partie</w:t>
      </w:r>
      <w:r w:rsidR="00A95CAB" w:rsidRPr="00E84EB9">
        <w:rPr>
          <w:lang w:val="fr-FR"/>
        </w:rPr>
        <w:t xml:space="preserve">s à sa </w:t>
      </w:r>
      <w:r w:rsidR="00F91C54" w:rsidRPr="00E84EB9">
        <w:rPr>
          <w:lang w:val="fr-FR"/>
        </w:rPr>
        <w:t>première réunion (PNUE, 2017a).</w:t>
      </w:r>
    </w:p>
    <w:bookmarkEnd w:id="10"/>
    <w:p w14:paraId="2C876F50" w14:textId="001FD054" w:rsidR="000C2F3D" w:rsidRPr="00E84EB9" w:rsidRDefault="003B58D8" w:rsidP="00F474DD">
      <w:pPr>
        <w:pStyle w:val="Normalnumber"/>
        <w:numPr>
          <w:ilvl w:val="0"/>
          <w:numId w:val="5"/>
        </w:numPr>
        <w:ind w:left="1247" w:firstLine="0"/>
        <w:rPr>
          <w:lang w:val="fr-FR"/>
        </w:rPr>
      </w:pPr>
      <w:r w:rsidRPr="00E84EB9">
        <w:rPr>
          <w:lang w:val="fr-FR"/>
        </w:rPr>
        <w:t>Les présentes</w:t>
      </w:r>
      <w:r w:rsidR="000C2F3D" w:rsidRPr="00E84EB9">
        <w:rPr>
          <w:lang w:val="fr-FR"/>
        </w:rPr>
        <w:t xml:space="preserve"> directives </w:t>
      </w:r>
      <w:r w:rsidRPr="00E84EB9">
        <w:rPr>
          <w:lang w:val="fr-FR"/>
        </w:rPr>
        <w:t xml:space="preserve">ne portent </w:t>
      </w:r>
      <w:r w:rsidR="000C2F3D" w:rsidRPr="00E84EB9">
        <w:rPr>
          <w:lang w:val="fr-FR"/>
        </w:rPr>
        <w:t xml:space="preserve">pas </w:t>
      </w:r>
      <w:r w:rsidRPr="00E84EB9">
        <w:rPr>
          <w:lang w:val="fr-FR"/>
        </w:rPr>
        <w:t xml:space="preserve">sur </w:t>
      </w:r>
      <w:r w:rsidR="00802523" w:rsidRPr="00E84EB9">
        <w:rPr>
          <w:lang w:val="fr-FR"/>
        </w:rPr>
        <w:t>l</w:t>
      </w:r>
      <w:r w:rsidRPr="00E84EB9">
        <w:rPr>
          <w:lang w:val="fr-FR"/>
        </w:rPr>
        <w:t xml:space="preserve">es </w:t>
      </w:r>
      <w:r w:rsidR="00802523" w:rsidRPr="00E84EB9">
        <w:rPr>
          <w:lang w:val="fr-FR"/>
        </w:rPr>
        <w:t xml:space="preserve">modalités du </w:t>
      </w:r>
      <w:r w:rsidR="000C2F3D" w:rsidRPr="00E84EB9">
        <w:rPr>
          <w:lang w:val="fr-FR"/>
        </w:rPr>
        <w:t>stockage définitif ou permanent du mercure, sa stabilisation ou sa solidification</w:t>
      </w:r>
      <w:r w:rsidR="0064454B">
        <w:rPr>
          <w:lang w:val="fr-FR"/>
        </w:rPr>
        <w:t>, qui</w:t>
      </w:r>
      <w:r w:rsidR="00802523" w:rsidRPr="00E84EB9">
        <w:rPr>
          <w:lang w:val="fr-FR"/>
        </w:rPr>
        <w:t xml:space="preserve"> </w:t>
      </w:r>
      <w:r w:rsidR="000C2F3D" w:rsidRPr="00E84EB9">
        <w:rPr>
          <w:lang w:val="fr-FR"/>
        </w:rPr>
        <w:t xml:space="preserve">sont considérées comme relevant de la gestion écologiquement rationnelle des déchets de mercure et sont couvertes par les directives techniques </w:t>
      </w:r>
      <w:r w:rsidR="007E152E" w:rsidRPr="00E84EB9">
        <w:rPr>
          <w:lang w:val="fr-FR"/>
        </w:rPr>
        <w:t xml:space="preserve">de la Convention de Bâle </w:t>
      </w:r>
      <w:r w:rsidR="000C2F3D" w:rsidRPr="00E84EB9">
        <w:rPr>
          <w:lang w:val="fr-FR"/>
        </w:rPr>
        <w:t>pour la gestion écologiquement rationnelle des déchets constitués</w:t>
      </w:r>
      <w:r w:rsidR="001B3798">
        <w:rPr>
          <w:lang w:val="fr-FR"/>
        </w:rPr>
        <w:t xml:space="preserve"> de </w:t>
      </w:r>
      <w:r w:rsidR="001B3798" w:rsidRPr="00E84EB9">
        <w:rPr>
          <w:lang w:val="fr-FR"/>
        </w:rPr>
        <w:t>mercure ou de composés du mercure</w:t>
      </w:r>
      <w:r w:rsidR="00995BB3" w:rsidRPr="00E84EB9">
        <w:rPr>
          <w:lang w:val="fr-FR"/>
        </w:rPr>
        <w:t xml:space="preserve">, </w:t>
      </w:r>
      <w:r w:rsidR="001B3798">
        <w:rPr>
          <w:lang w:val="fr-FR"/>
        </w:rPr>
        <w:t xml:space="preserve">en </w:t>
      </w:r>
      <w:r w:rsidR="000C2F3D" w:rsidRPr="00E84EB9">
        <w:rPr>
          <w:lang w:val="fr-FR"/>
        </w:rPr>
        <w:t>contenant</w:t>
      </w:r>
      <w:r w:rsidR="00995BB3" w:rsidRPr="00E84EB9">
        <w:rPr>
          <w:lang w:val="fr-FR"/>
        </w:rPr>
        <w:t>, ou contaminés par</w:t>
      </w:r>
      <w:r w:rsidR="001B3798">
        <w:rPr>
          <w:lang w:val="fr-FR"/>
        </w:rPr>
        <w:t xml:space="preserve"> ces substances</w:t>
      </w:r>
      <w:r w:rsidR="000C2F3D" w:rsidRPr="00E84EB9">
        <w:rPr>
          <w:lang w:val="fr-FR"/>
        </w:rPr>
        <w:t xml:space="preserve"> (PNUE, </w:t>
      </w:r>
      <w:r w:rsidR="001962C1" w:rsidRPr="00E84EB9">
        <w:rPr>
          <w:lang w:val="fr-FR"/>
        </w:rPr>
        <w:t>2015). Il convient de noter que</w:t>
      </w:r>
      <w:r w:rsidR="000C2F3D" w:rsidRPr="00E84EB9">
        <w:rPr>
          <w:lang w:val="fr-FR"/>
        </w:rPr>
        <w:t xml:space="preserve"> </w:t>
      </w:r>
      <w:r w:rsidR="001962C1" w:rsidRPr="00E84EB9">
        <w:rPr>
          <w:lang w:val="fr-FR"/>
        </w:rPr>
        <w:t xml:space="preserve">bien que </w:t>
      </w:r>
      <w:r w:rsidR="000C2F3D" w:rsidRPr="00E84EB9">
        <w:rPr>
          <w:lang w:val="fr-FR"/>
        </w:rPr>
        <w:t xml:space="preserve">ces directives </w:t>
      </w:r>
      <w:r w:rsidR="001962C1" w:rsidRPr="00E84EB9">
        <w:rPr>
          <w:lang w:val="fr-FR"/>
        </w:rPr>
        <w:t xml:space="preserve">soient </w:t>
      </w:r>
      <w:r w:rsidR="000C2F3D" w:rsidRPr="00E84EB9">
        <w:rPr>
          <w:lang w:val="fr-FR"/>
        </w:rPr>
        <w:t xml:space="preserve">accessibles </w:t>
      </w:r>
      <w:r w:rsidR="001962C1" w:rsidRPr="00E84EB9">
        <w:rPr>
          <w:lang w:val="fr-FR"/>
        </w:rPr>
        <w:t>à tous</w:t>
      </w:r>
      <w:r w:rsidR="000C2F3D" w:rsidRPr="00E84EB9">
        <w:rPr>
          <w:lang w:val="fr-FR"/>
        </w:rPr>
        <w:t xml:space="preserve">, les </w:t>
      </w:r>
      <w:r w:rsidR="00A32A5F" w:rsidRPr="00E84EB9">
        <w:rPr>
          <w:lang w:val="fr-FR"/>
        </w:rPr>
        <w:t>Partie</w:t>
      </w:r>
      <w:r w:rsidR="000C2F3D" w:rsidRPr="00E84EB9">
        <w:rPr>
          <w:lang w:val="fr-FR"/>
        </w:rPr>
        <w:t xml:space="preserve">s à la Convention de Minamata ne sont pas </w:t>
      </w:r>
      <w:r w:rsidR="0064454B" w:rsidRPr="00E84EB9">
        <w:rPr>
          <w:lang w:val="fr-FR"/>
        </w:rPr>
        <w:t xml:space="preserve">toutes </w:t>
      </w:r>
      <w:r w:rsidR="00A32A5F" w:rsidRPr="00E84EB9">
        <w:rPr>
          <w:lang w:val="fr-FR"/>
        </w:rPr>
        <w:t>Partie</w:t>
      </w:r>
      <w:r w:rsidR="00995BB3" w:rsidRPr="00E84EB9">
        <w:rPr>
          <w:lang w:val="fr-FR"/>
        </w:rPr>
        <w:t>s à la Convention de Bâle.</w:t>
      </w:r>
    </w:p>
    <w:p w14:paraId="6B17065F" w14:textId="0CD165AE" w:rsidR="000C2F3D" w:rsidRPr="00E84EB9" w:rsidRDefault="00B07089" w:rsidP="00F474DD">
      <w:pPr>
        <w:pStyle w:val="Normalnumber"/>
        <w:numPr>
          <w:ilvl w:val="0"/>
          <w:numId w:val="5"/>
        </w:numPr>
        <w:ind w:left="1247" w:firstLine="0"/>
        <w:rPr>
          <w:lang w:val="fr-FR"/>
        </w:rPr>
      </w:pPr>
      <w:r w:rsidRPr="00E84EB9">
        <w:rPr>
          <w:lang w:val="fr-FR"/>
        </w:rPr>
        <w:t>L</w:t>
      </w:r>
      <w:r w:rsidR="006C05FA">
        <w:rPr>
          <w:lang w:val="fr-FR"/>
        </w:rPr>
        <w:t>’</w:t>
      </w:r>
      <w:r w:rsidRPr="00E84EB9">
        <w:rPr>
          <w:lang w:val="fr-FR"/>
        </w:rPr>
        <w:t>article </w:t>
      </w:r>
      <w:r w:rsidR="000C2F3D" w:rsidRPr="00E84EB9">
        <w:rPr>
          <w:lang w:val="fr-FR"/>
        </w:rPr>
        <w:t>10 de la Convention de Minamata s</w:t>
      </w:r>
      <w:r w:rsidR="006C05FA">
        <w:rPr>
          <w:lang w:val="fr-FR"/>
        </w:rPr>
        <w:t>’</w:t>
      </w:r>
      <w:r w:rsidR="000C2F3D" w:rsidRPr="00E84EB9">
        <w:rPr>
          <w:lang w:val="fr-FR"/>
        </w:rPr>
        <w:t>applique au stockage provisoire du mercure et des composés du mer</w:t>
      </w:r>
      <w:r w:rsidRPr="00E84EB9">
        <w:rPr>
          <w:lang w:val="fr-FR"/>
        </w:rPr>
        <w:t xml:space="preserve">cure </w:t>
      </w:r>
      <w:r w:rsidR="00312B3A">
        <w:rPr>
          <w:lang w:val="fr-FR"/>
        </w:rPr>
        <w:t>mentionnés dans</w:t>
      </w:r>
      <w:r w:rsidRPr="00E84EB9">
        <w:rPr>
          <w:lang w:val="fr-FR"/>
        </w:rPr>
        <w:t xml:space="preserve"> l</w:t>
      </w:r>
      <w:r w:rsidR="006C05FA">
        <w:rPr>
          <w:lang w:val="fr-FR"/>
        </w:rPr>
        <w:t>’</w:t>
      </w:r>
      <w:r w:rsidRPr="00E84EB9">
        <w:rPr>
          <w:lang w:val="fr-FR"/>
        </w:rPr>
        <w:t>article </w:t>
      </w:r>
      <w:r w:rsidR="000C2F3D" w:rsidRPr="00E84EB9">
        <w:rPr>
          <w:lang w:val="fr-FR"/>
        </w:rPr>
        <w:t xml:space="preserve">3 de la Convention qui ne </w:t>
      </w:r>
      <w:r w:rsidR="002921D2">
        <w:rPr>
          <w:lang w:val="fr-FR"/>
        </w:rPr>
        <w:t>cadr</w:t>
      </w:r>
      <w:r w:rsidR="000C2F3D" w:rsidRPr="00E84EB9">
        <w:rPr>
          <w:lang w:val="fr-FR"/>
        </w:rPr>
        <w:t>e</w:t>
      </w:r>
      <w:r w:rsidR="00A32C24" w:rsidRPr="00E84EB9">
        <w:rPr>
          <w:lang w:val="fr-FR"/>
        </w:rPr>
        <w:t>nt</w:t>
      </w:r>
      <w:r w:rsidR="000C2F3D" w:rsidRPr="00E84EB9">
        <w:rPr>
          <w:lang w:val="fr-FR"/>
        </w:rPr>
        <w:t xml:space="preserve"> pas </w:t>
      </w:r>
      <w:r w:rsidR="002921D2">
        <w:rPr>
          <w:lang w:val="fr-FR"/>
        </w:rPr>
        <w:t>avec</w:t>
      </w:r>
      <w:r w:rsidR="000C2F3D" w:rsidRPr="00E84EB9">
        <w:rPr>
          <w:lang w:val="fr-FR"/>
        </w:rPr>
        <w:t xml:space="preserve"> la définition des déchets</w:t>
      </w:r>
      <w:r w:rsidRPr="00E84EB9">
        <w:rPr>
          <w:lang w:val="fr-FR"/>
        </w:rPr>
        <w:t xml:space="preserve"> de mercure </w:t>
      </w:r>
      <w:r w:rsidR="002921D2">
        <w:rPr>
          <w:lang w:val="fr-FR"/>
        </w:rPr>
        <w:t>figurant dans</w:t>
      </w:r>
      <w:r w:rsidRPr="00E84EB9">
        <w:rPr>
          <w:lang w:val="fr-FR"/>
        </w:rPr>
        <w:t xml:space="preserve"> l</w:t>
      </w:r>
      <w:r w:rsidR="006C05FA">
        <w:rPr>
          <w:lang w:val="fr-FR"/>
        </w:rPr>
        <w:t>’</w:t>
      </w:r>
      <w:r w:rsidRPr="00E84EB9">
        <w:rPr>
          <w:lang w:val="fr-FR"/>
        </w:rPr>
        <w:t>article 11. L</w:t>
      </w:r>
      <w:r w:rsidR="006C05FA">
        <w:rPr>
          <w:lang w:val="fr-FR"/>
        </w:rPr>
        <w:t>’</w:t>
      </w:r>
      <w:r w:rsidRPr="00E84EB9">
        <w:rPr>
          <w:lang w:val="fr-FR"/>
        </w:rPr>
        <w:t xml:space="preserve">article 10 </w:t>
      </w:r>
      <w:r w:rsidR="00A8085B" w:rsidRPr="00E84EB9">
        <w:rPr>
          <w:lang w:val="fr-FR"/>
        </w:rPr>
        <w:t xml:space="preserve">porte </w:t>
      </w:r>
      <w:r w:rsidRPr="00E84EB9">
        <w:rPr>
          <w:lang w:val="fr-FR"/>
        </w:rPr>
        <w:t xml:space="preserve">ainsi </w:t>
      </w:r>
      <w:r w:rsidR="00A8085B" w:rsidRPr="00E84EB9">
        <w:rPr>
          <w:lang w:val="fr-FR"/>
        </w:rPr>
        <w:t xml:space="preserve">sur </w:t>
      </w:r>
      <w:r w:rsidR="00CB5E63">
        <w:rPr>
          <w:lang w:val="fr-FR"/>
        </w:rPr>
        <w:t xml:space="preserve">a) le mercure (élémentaire) ; </w:t>
      </w:r>
      <w:r w:rsidR="00A32C24" w:rsidRPr="00E84EB9">
        <w:rPr>
          <w:lang w:val="fr-FR"/>
        </w:rPr>
        <w:t>b) </w:t>
      </w:r>
      <w:r w:rsidR="000C2F3D" w:rsidRPr="00E84EB9">
        <w:rPr>
          <w:lang w:val="fr-FR"/>
        </w:rPr>
        <w:t>les mélanges de mercure avec d</w:t>
      </w:r>
      <w:r w:rsidR="006C05FA">
        <w:rPr>
          <w:lang w:val="fr-FR"/>
        </w:rPr>
        <w:t>’</w:t>
      </w:r>
      <w:r w:rsidR="000C2F3D" w:rsidRPr="00E84EB9">
        <w:rPr>
          <w:lang w:val="fr-FR"/>
        </w:rPr>
        <w:t xml:space="preserve">autres substances, y compris les alliages </w:t>
      </w:r>
      <w:r w:rsidR="00A32C24" w:rsidRPr="00E84EB9">
        <w:rPr>
          <w:lang w:val="fr-FR"/>
        </w:rPr>
        <w:t xml:space="preserve">de mercure, </w:t>
      </w:r>
      <w:r w:rsidR="000C2F3D" w:rsidRPr="00E84EB9">
        <w:rPr>
          <w:lang w:val="fr-FR"/>
        </w:rPr>
        <w:t>présentant une teneur en mercure d</w:t>
      </w:r>
      <w:r w:rsidR="006C05FA">
        <w:rPr>
          <w:lang w:val="fr-FR"/>
        </w:rPr>
        <w:t>’</w:t>
      </w:r>
      <w:r w:rsidR="000C2F3D" w:rsidRPr="00E84EB9">
        <w:rPr>
          <w:lang w:val="fr-FR"/>
        </w:rPr>
        <w:t xml:space="preserve">au moins 95 % </w:t>
      </w:r>
      <w:r w:rsidR="00CB5E63">
        <w:rPr>
          <w:lang w:val="fr-FR"/>
        </w:rPr>
        <w:t xml:space="preserve">en poids ; et </w:t>
      </w:r>
      <w:r w:rsidR="00A32C24" w:rsidRPr="00E84EB9">
        <w:rPr>
          <w:lang w:val="fr-FR"/>
        </w:rPr>
        <w:t>c) </w:t>
      </w:r>
      <w:r w:rsidR="000C2F3D" w:rsidRPr="00E84EB9">
        <w:rPr>
          <w:lang w:val="fr-FR"/>
        </w:rPr>
        <w:t>les composés d</w:t>
      </w:r>
      <w:r w:rsidR="002921D2">
        <w:rPr>
          <w:lang w:val="fr-FR"/>
        </w:rPr>
        <w:t>u</w:t>
      </w:r>
      <w:r w:rsidR="000C2F3D" w:rsidRPr="00E84EB9">
        <w:rPr>
          <w:lang w:val="fr-FR"/>
        </w:rPr>
        <w:t xml:space="preserve"> mercure</w:t>
      </w:r>
      <w:r w:rsidR="002921D2">
        <w:rPr>
          <w:lang w:val="fr-FR"/>
        </w:rPr>
        <w:t xml:space="preserve"> suivants :</w:t>
      </w:r>
      <w:r w:rsidR="000C2F3D" w:rsidRPr="00E84EB9">
        <w:rPr>
          <w:lang w:val="fr-FR"/>
        </w:rPr>
        <w:t xml:space="preserve"> chlorure de</w:t>
      </w:r>
      <w:r w:rsidR="00A32C24" w:rsidRPr="00E84EB9">
        <w:rPr>
          <w:lang w:val="fr-FR"/>
        </w:rPr>
        <w:t xml:space="preserve"> </w:t>
      </w:r>
      <w:r w:rsidR="000C2F3D" w:rsidRPr="00E84EB9">
        <w:rPr>
          <w:lang w:val="fr-FR"/>
        </w:rPr>
        <w:t>mercure (I) (ou calomel), oxyde de mercure (II), sulfate de mercure (II), nitrate de mercure (II), ci</w:t>
      </w:r>
      <w:r w:rsidR="00A32C24" w:rsidRPr="00E84EB9">
        <w:rPr>
          <w:lang w:val="fr-FR"/>
        </w:rPr>
        <w:t>nabre et sulfure de mercure.</w:t>
      </w:r>
    </w:p>
    <w:p w14:paraId="20863ABC" w14:textId="60C49BF1" w:rsidR="000C2F3D" w:rsidRPr="00E84EB9" w:rsidRDefault="000C2F3D" w:rsidP="00F474DD">
      <w:pPr>
        <w:pStyle w:val="Normalnumber"/>
        <w:numPr>
          <w:ilvl w:val="0"/>
          <w:numId w:val="5"/>
        </w:numPr>
        <w:ind w:left="1247" w:firstLine="0"/>
        <w:rPr>
          <w:lang w:val="fr-FR"/>
        </w:rPr>
      </w:pPr>
      <w:r w:rsidRPr="00E84EB9">
        <w:rPr>
          <w:lang w:val="fr-FR"/>
        </w:rPr>
        <w:lastRenderedPageBreak/>
        <w:t xml:space="preserve">En outre, étant donné que le mercure et les composés du mercure </w:t>
      </w:r>
      <w:r w:rsidR="002921D2">
        <w:rPr>
          <w:lang w:val="fr-FR"/>
        </w:rPr>
        <w:t>répondant à</w:t>
      </w:r>
      <w:r w:rsidRPr="00E84EB9">
        <w:rPr>
          <w:lang w:val="fr-FR"/>
        </w:rPr>
        <w:t xml:space="preserve"> la définition des déchets d</w:t>
      </w:r>
      <w:r w:rsidR="00A8085B" w:rsidRPr="00E84EB9">
        <w:rPr>
          <w:lang w:val="fr-FR"/>
        </w:rPr>
        <w:t xml:space="preserve">e mercure </w:t>
      </w:r>
      <w:r w:rsidR="002921D2">
        <w:rPr>
          <w:lang w:val="fr-FR"/>
        </w:rPr>
        <w:t>donnée dans</w:t>
      </w:r>
      <w:r w:rsidR="00A8085B" w:rsidRPr="00E84EB9">
        <w:rPr>
          <w:lang w:val="fr-FR"/>
        </w:rPr>
        <w:t xml:space="preserve"> l</w:t>
      </w:r>
      <w:r w:rsidR="006C05FA">
        <w:rPr>
          <w:lang w:val="fr-FR"/>
        </w:rPr>
        <w:t>’</w:t>
      </w:r>
      <w:r w:rsidR="00A8085B" w:rsidRPr="00E84EB9">
        <w:rPr>
          <w:lang w:val="fr-FR"/>
        </w:rPr>
        <w:t>article </w:t>
      </w:r>
      <w:r w:rsidRPr="00E84EB9">
        <w:rPr>
          <w:lang w:val="fr-FR"/>
        </w:rPr>
        <w:t xml:space="preserve">11 de la Convention ne </w:t>
      </w:r>
      <w:r w:rsidR="00A8085B" w:rsidRPr="00E84EB9">
        <w:rPr>
          <w:lang w:val="fr-FR"/>
        </w:rPr>
        <w:t>sont pas visés à l</w:t>
      </w:r>
      <w:r w:rsidR="006C05FA">
        <w:rPr>
          <w:lang w:val="fr-FR"/>
        </w:rPr>
        <w:t>’</w:t>
      </w:r>
      <w:r w:rsidR="00A8085B" w:rsidRPr="00E84EB9">
        <w:rPr>
          <w:lang w:val="fr-FR"/>
        </w:rPr>
        <w:t>article </w:t>
      </w:r>
      <w:r w:rsidRPr="00E84EB9">
        <w:rPr>
          <w:lang w:val="fr-FR"/>
        </w:rPr>
        <w:t xml:space="preserve">10, cet article ne </w:t>
      </w:r>
      <w:r w:rsidR="00A8085B" w:rsidRPr="00E84EB9">
        <w:rPr>
          <w:lang w:val="fr-FR"/>
        </w:rPr>
        <w:t>trait</w:t>
      </w:r>
      <w:r w:rsidR="00CB5E63">
        <w:rPr>
          <w:lang w:val="fr-FR"/>
        </w:rPr>
        <w:t xml:space="preserve">e pas des substances ni objets </w:t>
      </w:r>
      <w:r w:rsidR="00A8085B" w:rsidRPr="00E84EB9">
        <w:rPr>
          <w:lang w:val="fr-FR"/>
        </w:rPr>
        <w:t>a) </w:t>
      </w:r>
      <w:r w:rsidRPr="00E84EB9">
        <w:rPr>
          <w:lang w:val="fr-FR"/>
        </w:rPr>
        <w:t>constitués de me</w:t>
      </w:r>
      <w:r w:rsidR="00A8085B" w:rsidRPr="00E84EB9">
        <w:rPr>
          <w:lang w:val="fr-FR"/>
        </w:rPr>
        <w:t>rcure ou de composés du mercure </w:t>
      </w:r>
      <w:r w:rsidRPr="00E84EB9">
        <w:rPr>
          <w:lang w:val="fr-FR"/>
        </w:rPr>
        <w:t>;</w:t>
      </w:r>
      <w:r w:rsidR="00A8085B" w:rsidRPr="00E84EB9">
        <w:rPr>
          <w:lang w:val="fr-FR"/>
        </w:rPr>
        <w:t xml:space="preserve"> b) </w:t>
      </w:r>
      <w:r w:rsidRPr="00E84EB9">
        <w:rPr>
          <w:lang w:val="fr-FR"/>
        </w:rPr>
        <w:t>contenant du mer</w:t>
      </w:r>
      <w:r w:rsidR="00A8085B" w:rsidRPr="00E84EB9">
        <w:rPr>
          <w:lang w:val="fr-FR"/>
        </w:rPr>
        <w:t>cure o</w:t>
      </w:r>
      <w:r w:rsidR="00CB5E63">
        <w:rPr>
          <w:lang w:val="fr-FR"/>
        </w:rPr>
        <w:t xml:space="preserve">u des composés du mercure ; ou </w:t>
      </w:r>
      <w:r w:rsidR="00A8085B" w:rsidRPr="00E84EB9">
        <w:rPr>
          <w:lang w:val="fr-FR"/>
        </w:rPr>
        <w:t>c) </w:t>
      </w:r>
      <w:r w:rsidRPr="00E84EB9">
        <w:rPr>
          <w:lang w:val="fr-FR"/>
        </w:rPr>
        <w:t xml:space="preserve">contaminés par du mercure ou des composés du mercure en quantité supérieure aux seuils pertinents définis par la Conférence des </w:t>
      </w:r>
      <w:r w:rsidR="00A32A5F" w:rsidRPr="00E84EB9">
        <w:rPr>
          <w:lang w:val="fr-FR"/>
        </w:rPr>
        <w:t>Partie</w:t>
      </w:r>
      <w:r w:rsidR="004058B6" w:rsidRPr="00E84EB9">
        <w:rPr>
          <w:lang w:val="fr-FR"/>
        </w:rPr>
        <w:t>s</w:t>
      </w:r>
      <w:r w:rsidR="003A24CC">
        <w:rPr>
          <w:lang w:val="fr-FR"/>
        </w:rPr>
        <w:t>,</w:t>
      </w:r>
      <w:r w:rsidR="004058B6" w:rsidRPr="00E84EB9">
        <w:rPr>
          <w:lang w:val="fr-FR"/>
        </w:rPr>
        <w:t xml:space="preserve"> </w:t>
      </w:r>
      <w:r w:rsidRPr="00E84EB9">
        <w:rPr>
          <w:lang w:val="fr-FR"/>
        </w:rPr>
        <w:t>en collaboration avec les organes compétents de la Convention de</w:t>
      </w:r>
      <w:r w:rsidR="00A8085B" w:rsidRPr="00E84EB9">
        <w:rPr>
          <w:lang w:val="fr-FR"/>
        </w:rPr>
        <w:t xml:space="preserve"> Bâle</w:t>
      </w:r>
      <w:r w:rsidR="003A24CC">
        <w:rPr>
          <w:lang w:val="fr-FR"/>
        </w:rPr>
        <w:t>,</w:t>
      </w:r>
      <w:r w:rsidR="004058B6" w:rsidRPr="00E84EB9">
        <w:rPr>
          <w:lang w:val="fr-FR"/>
        </w:rPr>
        <w:t xml:space="preserve"> de manière harmonisée</w:t>
      </w:r>
      <w:r w:rsidR="003A24CC">
        <w:rPr>
          <w:lang w:val="fr-FR"/>
        </w:rPr>
        <w:t>,</w:t>
      </w:r>
      <w:r w:rsidRPr="00E84EB9">
        <w:rPr>
          <w:lang w:val="fr-FR"/>
        </w:rPr>
        <w:t xml:space="preserve"> qu</w:t>
      </w:r>
      <w:r w:rsidR="006C05FA">
        <w:rPr>
          <w:lang w:val="fr-FR"/>
        </w:rPr>
        <w:t>’</w:t>
      </w:r>
      <w:r w:rsidRPr="00E84EB9">
        <w:rPr>
          <w:lang w:val="fr-FR"/>
        </w:rPr>
        <w:t>on élimine, qu</w:t>
      </w:r>
      <w:r w:rsidR="006C05FA">
        <w:rPr>
          <w:lang w:val="fr-FR"/>
        </w:rPr>
        <w:t>’</w:t>
      </w:r>
      <w:r w:rsidRPr="00E84EB9">
        <w:rPr>
          <w:lang w:val="fr-FR"/>
        </w:rPr>
        <w:t>on a l</w:t>
      </w:r>
      <w:r w:rsidR="006C05FA">
        <w:rPr>
          <w:lang w:val="fr-FR"/>
        </w:rPr>
        <w:t>’</w:t>
      </w:r>
      <w:r w:rsidRPr="00E84EB9">
        <w:rPr>
          <w:lang w:val="fr-FR"/>
        </w:rPr>
        <w:t>intention d</w:t>
      </w:r>
      <w:r w:rsidR="006C05FA">
        <w:rPr>
          <w:lang w:val="fr-FR"/>
        </w:rPr>
        <w:t>’</w:t>
      </w:r>
      <w:r w:rsidRPr="00E84EB9">
        <w:rPr>
          <w:lang w:val="fr-FR"/>
        </w:rPr>
        <w:t>éliminer</w:t>
      </w:r>
      <w:r w:rsidR="00A8085B" w:rsidRPr="00E84EB9">
        <w:rPr>
          <w:lang w:val="fr-FR"/>
        </w:rPr>
        <w:t xml:space="preserve"> </w:t>
      </w:r>
      <w:r w:rsidRPr="00E84EB9">
        <w:rPr>
          <w:lang w:val="fr-FR"/>
        </w:rPr>
        <w:t>ou qu</w:t>
      </w:r>
      <w:r w:rsidR="006C05FA">
        <w:rPr>
          <w:lang w:val="fr-FR"/>
        </w:rPr>
        <w:t>’</w:t>
      </w:r>
      <w:r w:rsidRPr="00E84EB9">
        <w:rPr>
          <w:lang w:val="fr-FR"/>
        </w:rPr>
        <w:t>on est tenu d</w:t>
      </w:r>
      <w:r w:rsidR="006C05FA">
        <w:rPr>
          <w:lang w:val="fr-FR"/>
        </w:rPr>
        <w:t>’</w:t>
      </w:r>
      <w:r w:rsidRPr="00E84EB9">
        <w:rPr>
          <w:lang w:val="fr-FR"/>
        </w:rPr>
        <w:t>éliminer en vertu des dispositions du droit national ou</w:t>
      </w:r>
      <w:r w:rsidR="00A8085B" w:rsidRPr="00E84EB9">
        <w:rPr>
          <w:lang w:val="fr-FR"/>
        </w:rPr>
        <w:t xml:space="preserve"> </w:t>
      </w:r>
      <w:r w:rsidRPr="00E84EB9">
        <w:rPr>
          <w:lang w:val="fr-FR"/>
        </w:rPr>
        <w:t xml:space="preserve">de la Convention. </w:t>
      </w:r>
      <w:r w:rsidR="00A8085B" w:rsidRPr="00E84EB9">
        <w:rPr>
          <w:lang w:val="fr-FR"/>
        </w:rPr>
        <w:t xml:space="preserve">Cette </w:t>
      </w:r>
      <w:r w:rsidRPr="00E84EB9">
        <w:rPr>
          <w:lang w:val="fr-FR"/>
        </w:rPr>
        <w:t>définition exclut les morts-terrains, les déchets de rocs et les résidus provenant de l</w:t>
      </w:r>
      <w:r w:rsidR="006C05FA">
        <w:rPr>
          <w:lang w:val="fr-FR"/>
        </w:rPr>
        <w:t>’</w:t>
      </w:r>
      <w:r w:rsidRPr="00E84EB9">
        <w:rPr>
          <w:lang w:val="fr-FR"/>
        </w:rPr>
        <w:t>extraction minière, à l</w:t>
      </w:r>
      <w:r w:rsidR="006C05FA">
        <w:rPr>
          <w:lang w:val="fr-FR"/>
        </w:rPr>
        <w:t>’</w:t>
      </w:r>
      <w:r w:rsidRPr="00E84EB9">
        <w:rPr>
          <w:lang w:val="fr-FR"/>
        </w:rPr>
        <w:t>exception de l</w:t>
      </w:r>
      <w:r w:rsidR="006C05FA">
        <w:rPr>
          <w:lang w:val="fr-FR"/>
        </w:rPr>
        <w:t>’</w:t>
      </w:r>
      <w:r w:rsidRPr="00E84EB9">
        <w:rPr>
          <w:lang w:val="fr-FR"/>
        </w:rPr>
        <w:t xml:space="preserve">extraction </w:t>
      </w:r>
      <w:r w:rsidR="003A24CC">
        <w:rPr>
          <w:lang w:val="fr-FR"/>
        </w:rPr>
        <w:t>minière</w:t>
      </w:r>
      <w:r w:rsidR="007D656A">
        <w:rPr>
          <w:lang w:val="fr-FR"/>
        </w:rPr>
        <w:t xml:space="preserve"> </w:t>
      </w:r>
      <w:r w:rsidRPr="00E84EB9">
        <w:rPr>
          <w:lang w:val="fr-FR"/>
        </w:rPr>
        <w:t>primaire de mercure, à moins qu</w:t>
      </w:r>
      <w:r w:rsidR="006C05FA">
        <w:rPr>
          <w:lang w:val="fr-FR"/>
        </w:rPr>
        <w:t>’</w:t>
      </w:r>
      <w:r w:rsidRPr="00E84EB9">
        <w:rPr>
          <w:lang w:val="fr-FR"/>
        </w:rPr>
        <w:t>ils ne contiennent du mercure ou des composés du mercure en quantité supérieure aux seuils définis</w:t>
      </w:r>
      <w:r w:rsidR="00A8085B" w:rsidRPr="00E84EB9">
        <w:rPr>
          <w:lang w:val="fr-FR"/>
        </w:rPr>
        <w:t xml:space="preserve"> par la Conférence des </w:t>
      </w:r>
      <w:r w:rsidR="00A32A5F" w:rsidRPr="00E84EB9">
        <w:rPr>
          <w:lang w:val="fr-FR"/>
        </w:rPr>
        <w:t>Partie</w:t>
      </w:r>
      <w:r w:rsidR="00A8085B" w:rsidRPr="00E84EB9">
        <w:rPr>
          <w:lang w:val="fr-FR"/>
        </w:rPr>
        <w:t>s.</w:t>
      </w:r>
    </w:p>
    <w:p w14:paraId="58880614" w14:textId="482FBB4B" w:rsidR="000C2F3D" w:rsidRPr="00E84EB9" w:rsidRDefault="009E1612" w:rsidP="00F474DD">
      <w:pPr>
        <w:pStyle w:val="Normalnumber"/>
        <w:numPr>
          <w:ilvl w:val="0"/>
          <w:numId w:val="5"/>
        </w:numPr>
        <w:ind w:left="1247" w:firstLine="0"/>
        <w:rPr>
          <w:lang w:val="fr-FR"/>
        </w:rPr>
      </w:pPr>
      <w:r w:rsidRPr="00E84EB9">
        <w:rPr>
          <w:lang w:val="fr-FR"/>
        </w:rPr>
        <w:t xml:space="preserve">La Convention stipule que chaque </w:t>
      </w:r>
      <w:r w:rsidR="00A32A5F" w:rsidRPr="00E84EB9">
        <w:rPr>
          <w:lang w:val="fr-FR"/>
        </w:rPr>
        <w:t>Partie</w:t>
      </w:r>
      <w:r w:rsidRPr="00E84EB9">
        <w:rPr>
          <w:lang w:val="fr-FR"/>
        </w:rPr>
        <w:t xml:space="preserve"> </w:t>
      </w:r>
      <w:r w:rsidR="002921D2">
        <w:rPr>
          <w:lang w:val="fr-FR"/>
        </w:rPr>
        <w:t xml:space="preserve">doit </w:t>
      </w:r>
      <w:r w:rsidRPr="00E84EB9">
        <w:rPr>
          <w:lang w:val="fr-FR"/>
        </w:rPr>
        <w:t>prend</w:t>
      </w:r>
      <w:r w:rsidR="002921D2">
        <w:rPr>
          <w:lang w:val="fr-FR"/>
        </w:rPr>
        <w:t>re</w:t>
      </w:r>
      <w:r w:rsidRPr="00E84EB9">
        <w:rPr>
          <w:lang w:val="fr-FR"/>
        </w:rPr>
        <w:t xml:space="preserve"> des mesures pour faire en sorte que le stockage provisoire du mercure et des composés du mercure destinés à une utilisation permise à une </w:t>
      </w:r>
      <w:r w:rsidR="00A32A5F" w:rsidRPr="00E84EB9">
        <w:rPr>
          <w:lang w:val="fr-FR"/>
        </w:rPr>
        <w:t>Partie</w:t>
      </w:r>
      <w:r w:rsidRPr="00E84EB9">
        <w:rPr>
          <w:lang w:val="fr-FR"/>
        </w:rPr>
        <w:t xml:space="preserve"> dans le cadre de la Convention soit assuré d</w:t>
      </w:r>
      <w:r w:rsidR="006C05FA">
        <w:rPr>
          <w:lang w:val="fr-FR"/>
        </w:rPr>
        <w:t>’</w:t>
      </w:r>
      <w:r w:rsidRPr="00E84EB9">
        <w:rPr>
          <w:lang w:val="fr-FR"/>
        </w:rPr>
        <w:t xml:space="preserve">une manière écologiquement rationnelle, en tenant compte de toutes les directives et conformément à toutes les exigences adoptées. La Convention ne </w:t>
      </w:r>
      <w:r w:rsidR="00A93151" w:rsidRPr="00E84EB9">
        <w:rPr>
          <w:lang w:val="fr-FR"/>
        </w:rPr>
        <w:t xml:space="preserve">comporte pas de définition du terme « provisoire ». </w:t>
      </w:r>
      <w:r w:rsidR="000204FC" w:rsidRPr="00E84EB9">
        <w:rPr>
          <w:lang w:val="fr-FR"/>
        </w:rPr>
        <w:t>Par l</w:t>
      </w:r>
      <w:r w:rsidR="00A93151" w:rsidRPr="00E84EB9">
        <w:rPr>
          <w:lang w:val="fr-FR"/>
        </w:rPr>
        <w:t>e mot anglais « </w:t>
      </w:r>
      <w:proofErr w:type="spellStart"/>
      <w:r w:rsidR="00A93151" w:rsidRPr="00E84EB9">
        <w:rPr>
          <w:lang w:val="fr-FR"/>
        </w:rPr>
        <w:t>interim</w:t>
      </w:r>
      <w:proofErr w:type="spellEnd"/>
      <w:r w:rsidR="00A93151" w:rsidRPr="00E84EB9">
        <w:rPr>
          <w:lang w:val="fr-FR"/>
        </w:rPr>
        <w:t> » (« provisoire »</w:t>
      </w:r>
      <w:r w:rsidR="000204FC" w:rsidRPr="00E84EB9">
        <w:rPr>
          <w:lang w:val="fr-FR"/>
        </w:rPr>
        <w:t xml:space="preserve">), on entend </w:t>
      </w:r>
      <w:r w:rsidRPr="00E84EB9">
        <w:rPr>
          <w:lang w:val="fr-FR"/>
        </w:rPr>
        <w:t xml:space="preserve">généralement </w:t>
      </w:r>
      <w:r w:rsidR="000204FC" w:rsidRPr="00E84EB9">
        <w:rPr>
          <w:lang w:val="fr-FR"/>
        </w:rPr>
        <w:t>« </w:t>
      </w:r>
      <w:r w:rsidRPr="00E84EB9">
        <w:rPr>
          <w:lang w:val="fr-FR"/>
        </w:rPr>
        <w:t>durant o</w:t>
      </w:r>
      <w:r w:rsidR="000204FC" w:rsidRPr="00E84EB9">
        <w:rPr>
          <w:lang w:val="fr-FR"/>
        </w:rPr>
        <w:t>u pour la période intermédiaire,</w:t>
      </w:r>
      <w:r w:rsidR="004679A0" w:rsidRPr="00E84EB9">
        <w:rPr>
          <w:lang w:val="fr-FR"/>
        </w:rPr>
        <w:t xml:space="preserve"> provisoire ou temporaire »</w:t>
      </w:r>
      <w:r w:rsidRPr="00E84EB9">
        <w:rPr>
          <w:lang w:val="fr-FR"/>
        </w:rPr>
        <w:t xml:space="preserve"> (définition donnée </w:t>
      </w:r>
      <w:r w:rsidR="00F75A9D" w:rsidRPr="00E84EB9">
        <w:rPr>
          <w:lang w:val="fr-FR"/>
        </w:rPr>
        <w:t xml:space="preserve">par </w:t>
      </w:r>
      <w:r w:rsidRPr="00E84EB9">
        <w:rPr>
          <w:lang w:val="fr-FR"/>
        </w:rPr>
        <w:t>l</w:t>
      </w:r>
      <w:r w:rsidR="006C05FA">
        <w:rPr>
          <w:lang w:val="fr-FR"/>
        </w:rPr>
        <w:t>’</w:t>
      </w:r>
      <w:r w:rsidRPr="00E84EB9">
        <w:rPr>
          <w:lang w:val="fr-FR"/>
        </w:rPr>
        <w:t xml:space="preserve">Oxford English </w:t>
      </w:r>
      <w:proofErr w:type="spellStart"/>
      <w:r w:rsidRPr="00E84EB9">
        <w:rPr>
          <w:lang w:val="fr-FR"/>
        </w:rPr>
        <w:t>Dictionary</w:t>
      </w:r>
      <w:proofErr w:type="spellEnd"/>
      <w:r w:rsidRPr="00E84EB9">
        <w:rPr>
          <w:lang w:val="fr-FR"/>
        </w:rPr>
        <w:t xml:space="preserve">). Dans le cas de la Convention de Minamata, il devrait donc </w:t>
      </w:r>
      <w:r w:rsidR="000204FC" w:rsidRPr="00E84EB9">
        <w:rPr>
          <w:lang w:val="fr-FR"/>
        </w:rPr>
        <w:t xml:space="preserve">désigner </w:t>
      </w:r>
      <w:r w:rsidRPr="00E84EB9">
        <w:rPr>
          <w:lang w:val="fr-FR"/>
        </w:rPr>
        <w:t xml:space="preserve">la période </w:t>
      </w:r>
      <w:r w:rsidR="00F75A9D" w:rsidRPr="00E84EB9">
        <w:rPr>
          <w:lang w:val="fr-FR"/>
        </w:rPr>
        <w:t>qui s</w:t>
      </w:r>
      <w:r w:rsidR="006C05FA">
        <w:rPr>
          <w:lang w:val="fr-FR"/>
        </w:rPr>
        <w:t>’</w:t>
      </w:r>
      <w:r w:rsidR="00F75A9D" w:rsidRPr="00E84EB9">
        <w:rPr>
          <w:lang w:val="fr-FR"/>
        </w:rPr>
        <w:t>écoule</w:t>
      </w:r>
      <w:r w:rsidRPr="00E84EB9">
        <w:rPr>
          <w:lang w:val="fr-FR"/>
        </w:rPr>
        <w:t xml:space="preserve"> entre la production ou l</w:t>
      </w:r>
      <w:r w:rsidR="006C05FA">
        <w:rPr>
          <w:lang w:val="fr-FR"/>
        </w:rPr>
        <w:t>’</w:t>
      </w:r>
      <w:r w:rsidRPr="00E84EB9">
        <w:rPr>
          <w:lang w:val="fr-FR"/>
        </w:rPr>
        <w:t xml:space="preserve">acquisition du mercure ou des composés du mercure et leur utilisation permise à une </w:t>
      </w:r>
      <w:r w:rsidR="00A32A5F" w:rsidRPr="00E84EB9">
        <w:rPr>
          <w:lang w:val="fr-FR"/>
        </w:rPr>
        <w:t>Partie</w:t>
      </w:r>
      <w:r w:rsidRPr="00E84EB9">
        <w:rPr>
          <w:lang w:val="fr-FR"/>
        </w:rPr>
        <w:t xml:space="preserve"> </w:t>
      </w:r>
      <w:r w:rsidR="000204FC" w:rsidRPr="00E84EB9">
        <w:rPr>
          <w:lang w:val="fr-FR"/>
        </w:rPr>
        <w:t xml:space="preserve">au titre </w:t>
      </w:r>
      <w:r w:rsidRPr="00E84EB9">
        <w:rPr>
          <w:lang w:val="fr-FR"/>
        </w:rPr>
        <w:t>de la Convention. Aux fins d</w:t>
      </w:r>
      <w:r w:rsidR="006C05FA">
        <w:rPr>
          <w:lang w:val="fr-FR"/>
        </w:rPr>
        <w:t>’</w:t>
      </w:r>
      <w:r w:rsidRPr="00E84EB9">
        <w:rPr>
          <w:lang w:val="fr-FR"/>
        </w:rPr>
        <w:t xml:space="preserve">information, </w:t>
      </w:r>
      <w:r w:rsidR="000204FC" w:rsidRPr="00E84EB9">
        <w:rPr>
          <w:lang w:val="fr-FR"/>
        </w:rPr>
        <w:t xml:space="preserve">les présentes </w:t>
      </w:r>
      <w:r w:rsidRPr="00E84EB9">
        <w:rPr>
          <w:lang w:val="fr-FR"/>
        </w:rPr>
        <w:t>directives comprennent une section sur le transport du merc</w:t>
      </w:r>
      <w:r w:rsidR="000204FC" w:rsidRPr="00E84EB9">
        <w:rPr>
          <w:lang w:val="fr-FR"/>
        </w:rPr>
        <w:t>ure et des composés du mercure.</w:t>
      </w:r>
    </w:p>
    <w:p w14:paraId="755E078D" w14:textId="63CDE017" w:rsidR="000C2F3D" w:rsidRPr="00E84EB9" w:rsidRDefault="002921D2" w:rsidP="00F474DD">
      <w:pPr>
        <w:pStyle w:val="Normalnumber"/>
        <w:numPr>
          <w:ilvl w:val="0"/>
          <w:numId w:val="5"/>
        </w:numPr>
        <w:ind w:left="1247" w:firstLine="0"/>
        <w:rPr>
          <w:lang w:val="fr-FR"/>
        </w:rPr>
      </w:pPr>
      <w:r>
        <w:rPr>
          <w:lang w:val="fr-FR"/>
        </w:rPr>
        <w:t>L</w:t>
      </w:r>
      <w:r w:rsidR="006C05FA">
        <w:rPr>
          <w:lang w:val="fr-FR"/>
        </w:rPr>
        <w:t>’</w:t>
      </w:r>
      <w:r w:rsidR="000204FC" w:rsidRPr="00E84EB9">
        <w:rPr>
          <w:lang w:val="fr-FR"/>
        </w:rPr>
        <w:t>article </w:t>
      </w:r>
      <w:r w:rsidR="000C4293" w:rsidRPr="00E84EB9">
        <w:rPr>
          <w:lang w:val="fr-FR"/>
        </w:rPr>
        <w:t>2</w:t>
      </w:r>
      <w:r w:rsidR="000204FC" w:rsidRPr="00E84EB9">
        <w:rPr>
          <w:lang w:val="fr-FR"/>
        </w:rPr>
        <w:t xml:space="preserve">, paragraphe 8, </w:t>
      </w:r>
      <w:r>
        <w:rPr>
          <w:lang w:val="fr-FR"/>
        </w:rPr>
        <w:t xml:space="preserve">de </w:t>
      </w:r>
      <w:r w:rsidR="00F75A9D" w:rsidRPr="00E84EB9">
        <w:rPr>
          <w:lang w:val="fr-FR"/>
        </w:rPr>
        <w:t xml:space="preserve">la Convention de Bâle </w:t>
      </w:r>
      <w:r w:rsidR="000204FC" w:rsidRPr="00E84EB9">
        <w:rPr>
          <w:lang w:val="fr-FR"/>
        </w:rPr>
        <w:t>définit la « </w:t>
      </w:r>
      <w:r w:rsidR="000C4293" w:rsidRPr="00E84EB9">
        <w:rPr>
          <w:lang w:val="fr-FR"/>
        </w:rPr>
        <w:t>gestion écologiquement rationnelle des déchet</w:t>
      </w:r>
      <w:r w:rsidR="000204FC" w:rsidRPr="00E84EB9">
        <w:rPr>
          <w:lang w:val="fr-FR"/>
        </w:rPr>
        <w:t>s dangereux ou d</w:t>
      </w:r>
      <w:r w:rsidR="006C05FA">
        <w:rPr>
          <w:lang w:val="fr-FR"/>
        </w:rPr>
        <w:t>’</w:t>
      </w:r>
      <w:r w:rsidR="000204FC" w:rsidRPr="00E84EB9">
        <w:rPr>
          <w:lang w:val="fr-FR"/>
        </w:rPr>
        <w:t>autres déchets » comme « </w:t>
      </w:r>
      <w:r w:rsidR="000C4293" w:rsidRPr="00E84EB9">
        <w:rPr>
          <w:lang w:val="fr-FR"/>
        </w:rPr>
        <w:t>toutes mesures pratiques permettant d</w:t>
      </w:r>
      <w:r w:rsidR="006C05FA">
        <w:rPr>
          <w:lang w:val="fr-FR"/>
        </w:rPr>
        <w:t>’</w:t>
      </w:r>
      <w:r w:rsidR="000C4293" w:rsidRPr="00E84EB9">
        <w:rPr>
          <w:lang w:val="fr-FR"/>
        </w:rPr>
        <w:t>assurer que les déchets dangereux ou d</w:t>
      </w:r>
      <w:r w:rsidR="006C05FA">
        <w:rPr>
          <w:lang w:val="fr-FR"/>
        </w:rPr>
        <w:t>’</w:t>
      </w:r>
      <w:r w:rsidR="000C4293" w:rsidRPr="00E84EB9">
        <w:rPr>
          <w:lang w:val="fr-FR"/>
        </w:rPr>
        <w:t>autres déchets sont gérés d</w:t>
      </w:r>
      <w:r w:rsidR="006C05FA">
        <w:rPr>
          <w:lang w:val="fr-FR"/>
        </w:rPr>
        <w:t>’</w:t>
      </w:r>
      <w:r w:rsidR="000C4293" w:rsidRPr="00E84EB9">
        <w:rPr>
          <w:lang w:val="fr-FR"/>
        </w:rPr>
        <w:t>une manière qui garantisse la protection de la santé humaine et de l</w:t>
      </w:r>
      <w:r w:rsidR="006C05FA">
        <w:rPr>
          <w:lang w:val="fr-FR"/>
        </w:rPr>
        <w:t>’</w:t>
      </w:r>
      <w:r w:rsidR="000C4293" w:rsidRPr="00E84EB9">
        <w:rPr>
          <w:lang w:val="fr-FR"/>
        </w:rPr>
        <w:t xml:space="preserve">environnement contre les effets nuisibles </w:t>
      </w:r>
      <w:r w:rsidR="000204FC" w:rsidRPr="00E84EB9">
        <w:rPr>
          <w:lang w:val="fr-FR"/>
        </w:rPr>
        <w:t>que peuvent avoir ces déchets ».</w:t>
      </w:r>
    </w:p>
    <w:p w14:paraId="3354A7B5" w14:textId="3C037F66" w:rsidR="000C2F3D" w:rsidRPr="00E84EB9" w:rsidRDefault="000C4293" w:rsidP="00F474DD">
      <w:pPr>
        <w:pStyle w:val="Normalnumber"/>
        <w:numPr>
          <w:ilvl w:val="0"/>
          <w:numId w:val="5"/>
        </w:numPr>
        <w:ind w:left="1247" w:firstLine="0"/>
        <w:rPr>
          <w:lang w:val="fr-FR"/>
        </w:rPr>
      </w:pPr>
      <w:r w:rsidRPr="00E84EB9">
        <w:rPr>
          <w:lang w:val="fr-FR"/>
        </w:rPr>
        <w:t>Sur la base de cette définition, le stockage écologiquement rationnel du mercure et des composés du mercure</w:t>
      </w:r>
      <w:r w:rsidR="00783CEE" w:rsidRPr="00E84EB9">
        <w:rPr>
          <w:lang w:val="fr-FR"/>
        </w:rPr>
        <w:t>,</w:t>
      </w:r>
      <w:r w:rsidRPr="00E84EB9">
        <w:rPr>
          <w:lang w:val="fr-FR"/>
        </w:rPr>
        <w:t xml:space="preserve"> à l</w:t>
      </w:r>
      <w:r w:rsidR="006C05FA">
        <w:rPr>
          <w:lang w:val="fr-FR"/>
        </w:rPr>
        <w:t>’</w:t>
      </w:r>
      <w:r w:rsidRPr="00E84EB9">
        <w:rPr>
          <w:lang w:val="fr-FR"/>
        </w:rPr>
        <w:t>exclusion des déchets de mercure</w:t>
      </w:r>
      <w:r w:rsidR="00F75A9D" w:rsidRPr="00E84EB9">
        <w:rPr>
          <w:lang w:val="fr-FR"/>
        </w:rPr>
        <w:t>,</w:t>
      </w:r>
      <w:r w:rsidRPr="00E84EB9">
        <w:rPr>
          <w:lang w:val="fr-FR"/>
        </w:rPr>
        <w:t xml:space="preserve"> peut être considéré comme un stockage durant lequel le mercure ou les composés du mercure sont gérés d</w:t>
      </w:r>
      <w:r w:rsidR="006C05FA">
        <w:rPr>
          <w:lang w:val="fr-FR"/>
        </w:rPr>
        <w:t>’</w:t>
      </w:r>
      <w:r w:rsidRPr="00E84EB9">
        <w:rPr>
          <w:lang w:val="fr-FR"/>
        </w:rPr>
        <w:t xml:space="preserve">une manière </w:t>
      </w:r>
      <w:r w:rsidR="00F75A9D" w:rsidRPr="00E84EB9">
        <w:rPr>
          <w:lang w:val="fr-FR"/>
        </w:rPr>
        <w:t>garantissant</w:t>
      </w:r>
      <w:r w:rsidRPr="00E84EB9">
        <w:rPr>
          <w:lang w:val="fr-FR"/>
        </w:rPr>
        <w:t xml:space="preserve"> la protection de la santé humaine et de l</w:t>
      </w:r>
      <w:r w:rsidR="006C05FA">
        <w:rPr>
          <w:lang w:val="fr-FR"/>
        </w:rPr>
        <w:t>’</w:t>
      </w:r>
      <w:r w:rsidRPr="00E84EB9">
        <w:rPr>
          <w:lang w:val="fr-FR"/>
        </w:rPr>
        <w:t xml:space="preserve">environnement contre les effets </w:t>
      </w:r>
      <w:r w:rsidR="00EA3ACD" w:rsidRPr="00E84EB9">
        <w:rPr>
          <w:lang w:val="fr-FR"/>
        </w:rPr>
        <w:t xml:space="preserve">nuisibles </w:t>
      </w:r>
      <w:r w:rsidR="008C5C20">
        <w:rPr>
          <w:lang w:val="fr-FR"/>
        </w:rPr>
        <w:t>qu’il pourrait occasionner</w:t>
      </w:r>
      <w:r w:rsidR="00EA3ACD" w:rsidRPr="00E84EB9">
        <w:rPr>
          <w:lang w:val="fr-FR"/>
        </w:rPr>
        <w:t>.</w:t>
      </w:r>
    </w:p>
    <w:p w14:paraId="51B28B6B" w14:textId="766F9413" w:rsidR="000C2F3D" w:rsidRPr="00E84EB9" w:rsidRDefault="000C2F3D" w:rsidP="00F474DD">
      <w:pPr>
        <w:pStyle w:val="Normalnumber"/>
        <w:numPr>
          <w:ilvl w:val="0"/>
          <w:numId w:val="5"/>
        </w:numPr>
        <w:ind w:left="1247" w:firstLine="0"/>
        <w:rPr>
          <w:lang w:val="fr-FR"/>
        </w:rPr>
      </w:pPr>
      <w:r w:rsidRPr="00E84EB9">
        <w:rPr>
          <w:lang w:val="fr-FR"/>
        </w:rPr>
        <w:t>Bien qu</w:t>
      </w:r>
      <w:r w:rsidR="006C05FA">
        <w:rPr>
          <w:lang w:val="fr-FR"/>
        </w:rPr>
        <w:t>’</w:t>
      </w:r>
      <w:r w:rsidRPr="00E84EB9">
        <w:rPr>
          <w:lang w:val="fr-FR"/>
        </w:rPr>
        <w:t>il n</w:t>
      </w:r>
      <w:r w:rsidR="006C05FA">
        <w:rPr>
          <w:lang w:val="fr-FR"/>
        </w:rPr>
        <w:t>’</w:t>
      </w:r>
      <w:r w:rsidRPr="00E84EB9">
        <w:rPr>
          <w:lang w:val="fr-FR"/>
        </w:rPr>
        <w:t>existe aucune définition stricte du tem</w:t>
      </w:r>
      <w:r w:rsidR="00EA3ACD" w:rsidRPr="00E84EB9">
        <w:rPr>
          <w:lang w:val="fr-FR"/>
        </w:rPr>
        <w:t>ps de stockage maximal pour le « stockage provisoire »</w:t>
      </w:r>
      <w:r w:rsidRPr="00E84EB9">
        <w:rPr>
          <w:lang w:val="fr-FR"/>
        </w:rPr>
        <w:t xml:space="preserve">, conformément à </w:t>
      </w:r>
      <w:r w:rsidR="00EA3ACD" w:rsidRPr="00E84EB9">
        <w:rPr>
          <w:lang w:val="fr-FR"/>
        </w:rPr>
        <w:t>l</w:t>
      </w:r>
      <w:r w:rsidR="006C05FA">
        <w:rPr>
          <w:lang w:val="fr-FR"/>
        </w:rPr>
        <w:t>’</w:t>
      </w:r>
      <w:r w:rsidR="00EA3ACD" w:rsidRPr="00E84EB9">
        <w:rPr>
          <w:lang w:val="fr-FR"/>
        </w:rPr>
        <w:t>usage courant du mot anglais « </w:t>
      </w:r>
      <w:proofErr w:type="spellStart"/>
      <w:r w:rsidR="00EA3ACD" w:rsidRPr="00E84EB9">
        <w:rPr>
          <w:lang w:val="fr-FR"/>
        </w:rPr>
        <w:t>interim</w:t>
      </w:r>
      <w:proofErr w:type="spellEnd"/>
      <w:r w:rsidR="00EA3ACD" w:rsidRPr="00E84EB9">
        <w:rPr>
          <w:lang w:val="fr-FR"/>
        </w:rPr>
        <w:t> » qui signifie « provisoire »</w:t>
      </w:r>
      <w:r w:rsidRPr="00E84EB9">
        <w:rPr>
          <w:lang w:val="fr-FR"/>
        </w:rPr>
        <w:t xml:space="preserve"> </w:t>
      </w:r>
      <w:r w:rsidR="00EA3ACD" w:rsidRPr="00E84EB9">
        <w:rPr>
          <w:lang w:val="fr-FR"/>
        </w:rPr>
        <w:t>ou « temporaire »</w:t>
      </w:r>
      <w:r w:rsidRPr="00E84EB9">
        <w:rPr>
          <w:lang w:val="fr-FR"/>
        </w:rPr>
        <w:t xml:space="preserve">, une </w:t>
      </w:r>
      <w:r w:rsidR="00A32A5F" w:rsidRPr="00E84EB9">
        <w:rPr>
          <w:lang w:val="fr-FR"/>
        </w:rPr>
        <w:t>Partie</w:t>
      </w:r>
      <w:r w:rsidRPr="00E84EB9">
        <w:rPr>
          <w:lang w:val="fr-FR"/>
        </w:rPr>
        <w:t xml:space="preserve"> pourrait souhaiter </w:t>
      </w:r>
      <w:r w:rsidR="003A24CC">
        <w:rPr>
          <w:lang w:val="fr-FR"/>
        </w:rPr>
        <w:t>établir</w:t>
      </w:r>
      <w:r w:rsidRPr="00E84EB9">
        <w:rPr>
          <w:lang w:val="fr-FR"/>
        </w:rPr>
        <w:t xml:space="preserve"> le temps de stockag</w:t>
      </w:r>
      <w:r w:rsidR="002627C5" w:rsidRPr="00E84EB9">
        <w:rPr>
          <w:lang w:val="fr-FR"/>
        </w:rPr>
        <w:t xml:space="preserve">e maximal </w:t>
      </w:r>
      <w:r w:rsidR="003A24CC">
        <w:rPr>
          <w:lang w:val="fr-FR"/>
        </w:rPr>
        <w:t>pouvant être</w:t>
      </w:r>
      <w:r w:rsidR="002627C5" w:rsidRPr="00E84EB9">
        <w:rPr>
          <w:lang w:val="fr-FR"/>
        </w:rPr>
        <w:t xml:space="preserve"> considéré comme « provisoire » au niveau national.</w:t>
      </w:r>
    </w:p>
    <w:p w14:paraId="499B5858" w14:textId="3BDA3D91" w:rsidR="000C2F3D" w:rsidRPr="00EE1A9F" w:rsidRDefault="00351DE5" w:rsidP="00F474DD">
      <w:pPr>
        <w:pStyle w:val="Normalnumber"/>
        <w:numPr>
          <w:ilvl w:val="0"/>
          <w:numId w:val="5"/>
        </w:numPr>
        <w:ind w:left="1247" w:firstLine="0"/>
        <w:rPr>
          <w:lang w:val="fr-FR"/>
        </w:rPr>
      </w:pPr>
      <w:r w:rsidRPr="00EE1A9F">
        <w:rPr>
          <w:lang w:val="fr-FR"/>
        </w:rPr>
        <w:t xml:space="preserve">Une </w:t>
      </w:r>
      <w:r w:rsidR="00A32A5F" w:rsidRPr="00EE1A9F">
        <w:rPr>
          <w:lang w:val="fr-FR"/>
        </w:rPr>
        <w:t>Partie</w:t>
      </w:r>
      <w:r w:rsidRPr="00EE1A9F">
        <w:rPr>
          <w:lang w:val="fr-FR"/>
        </w:rPr>
        <w:t xml:space="preserve"> à un instrument juridiquement contraignant </w:t>
      </w:r>
      <w:r w:rsidR="004679A0" w:rsidRPr="00EE1A9F">
        <w:rPr>
          <w:lang w:val="fr-FR"/>
        </w:rPr>
        <w:t>accepte</w:t>
      </w:r>
      <w:r w:rsidRPr="00EE1A9F">
        <w:rPr>
          <w:lang w:val="fr-FR"/>
        </w:rPr>
        <w:t xml:space="preserve"> d</w:t>
      </w:r>
      <w:r w:rsidR="006C05FA" w:rsidRPr="00EE1A9F">
        <w:rPr>
          <w:lang w:val="fr-FR"/>
        </w:rPr>
        <w:t>’</w:t>
      </w:r>
      <w:r w:rsidRPr="00EE1A9F">
        <w:rPr>
          <w:lang w:val="fr-FR"/>
        </w:rPr>
        <w:t xml:space="preserve">être liée par les obligations énoncées dans cet instrument. Au niveau national, </w:t>
      </w:r>
      <w:r w:rsidR="004679A0" w:rsidRPr="00EE1A9F">
        <w:rPr>
          <w:lang w:val="fr-FR"/>
        </w:rPr>
        <w:t xml:space="preserve">cette </w:t>
      </w:r>
      <w:r w:rsidR="00A32A5F" w:rsidRPr="00EE1A9F">
        <w:rPr>
          <w:lang w:val="fr-FR"/>
        </w:rPr>
        <w:t>Partie</w:t>
      </w:r>
      <w:r w:rsidRPr="00EE1A9F">
        <w:rPr>
          <w:lang w:val="fr-FR"/>
        </w:rPr>
        <w:t xml:space="preserve"> peut </w:t>
      </w:r>
      <w:r w:rsidR="004679A0" w:rsidRPr="00EE1A9F">
        <w:rPr>
          <w:lang w:val="fr-FR"/>
        </w:rPr>
        <w:t xml:space="preserve">confier </w:t>
      </w:r>
      <w:r w:rsidRPr="00EE1A9F">
        <w:rPr>
          <w:lang w:val="fr-FR"/>
        </w:rPr>
        <w:t xml:space="preserve">la responsabilité des </w:t>
      </w:r>
      <w:r w:rsidR="004679A0" w:rsidRPr="00EE1A9F">
        <w:rPr>
          <w:lang w:val="fr-FR"/>
        </w:rPr>
        <w:t xml:space="preserve">tâches liées à </w:t>
      </w:r>
      <w:r w:rsidRPr="00EE1A9F">
        <w:rPr>
          <w:lang w:val="fr-FR"/>
        </w:rPr>
        <w:t xml:space="preserve">ces obligations à des entités </w:t>
      </w:r>
      <w:r w:rsidR="003A24CC" w:rsidRPr="00EE1A9F">
        <w:rPr>
          <w:lang w:val="fr-FR"/>
        </w:rPr>
        <w:t xml:space="preserve">opérant sur </w:t>
      </w:r>
      <w:r w:rsidRPr="00EE1A9F">
        <w:rPr>
          <w:lang w:val="fr-FR"/>
        </w:rPr>
        <w:t>son territoire. Le mercure et les compos</w:t>
      </w:r>
      <w:r w:rsidR="004679A0" w:rsidRPr="00EE1A9F">
        <w:rPr>
          <w:lang w:val="fr-FR"/>
        </w:rPr>
        <w:t>és du mercure visés à l</w:t>
      </w:r>
      <w:r w:rsidR="006C05FA" w:rsidRPr="00EE1A9F">
        <w:rPr>
          <w:lang w:val="fr-FR"/>
        </w:rPr>
        <w:t>’</w:t>
      </w:r>
      <w:r w:rsidR="004679A0" w:rsidRPr="00EE1A9F">
        <w:rPr>
          <w:lang w:val="fr-FR"/>
        </w:rPr>
        <w:t>article </w:t>
      </w:r>
      <w:r w:rsidRPr="00EE1A9F">
        <w:rPr>
          <w:lang w:val="fr-FR"/>
        </w:rPr>
        <w:t>10 étant considérés comme des su</w:t>
      </w:r>
      <w:r w:rsidR="004679A0" w:rsidRPr="00EE1A9F">
        <w:rPr>
          <w:lang w:val="fr-FR"/>
        </w:rPr>
        <w:t>bstances « </w:t>
      </w:r>
      <w:r w:rsidR="003A24CC" w:rsidRPr="00EE1A9F">
        <w:rPr>
          <w:lang w:val="fr-FR"/>
        </w:rPr>
        <w:t>commercial</w:t>
      </w:r>
      <w:r w:rsidR="004679A0" w:rsidRPr="00EE1A9F">
        <w:rPr>
          <w:lang w:val="fr-FR"/>
        </w:rPr>
        <w:t>es »</w:t>
      </w:r>
      <w:r w:rsidRPr="00EE1A9F">
        <w:rPr>
          <w:lang w:val="fr-FR"/>
        </w:rPr>
        <w:t xml:space="preserve"> (</w:t>
      </w:r>
      <w:r w:rsidR="00076225" w:rsidRPr="00EE1A9F">
        <w:rPr>
          <w:lang w:val="fr-FR"/>
        </w:rPr>
        <w:t>devant faire l’objet d’</w:t>
      </w:r>
      <w:r w:rsidRPr="00EE1A9F">
        <w:rPr>
          <w:lang w:val="fr-FR"/>
        </w:rPr>
        <w:t xml:space="preserve">une utilisation permise dans le cadre de la Convention, par opposition aux déchets), il peut être judicieux de déléguer la responsabilité </w:t>
      </w:r>
      <w:r w:rsidR="0056432A" w:rsidRPr="00EE1A9F">
        <w:rPr>
          <w:lang w:val="fr-FR"/>
        </w:rPr>
        <w:t xml:space="preserve">de leur </w:t>
      </w:r>
      <w:r w:rsidRPr="00EE1A9F">
        <w:rPr>
          <w:lang w:val="fr-FR"/>
        </w:rPr>
        <w:t xml:space="preserve">stockage provisoire écologiquement rationnel </w:t>
      </w:r>
      <w:r w:rsidR="0056432A" w:rsidRPr="00EE1A9F">
        <w:rPr>
          <w:lang w:val="fr-FR"/>
        </w:rPr>
        <w:t xml:space="preserve">à leur </w:t>
      </w:r>
      <w:r w:rsidRPr="00EE1A9F">
        <w:rPr>
          <w:lang w:val="fr-FR"/>
        </w:rPr>
        <w:t>propriétaire</w:t>
      </w:r>
      <w:r w:rsidR="00076225" w:rsidRPr="00EE1A9F">
        <w:rPr>
          <w:lang w:val="fr-FR"/>
        </w:rPr>
        <w:t>,</w:t>
      </w:r>
      <w:r w:rsidRPr="00EE1A9F">
        <w:rPr>
          <w:lang w:val="fr-FR"/>
        </w:rPr>
        <w:t xml:space="preserve"> à la personne </w:t>
      </w:r>
      <w:r w:rsidR="0056432A" w:rsidRPr="00EE1A9F">
        <w:rPr>
          <w:lang w:val="fr-FR"/>
        </w:rPr>
        <w:t xml:space="preserve">qui en a la </w:t>
      </w:r>
      <w:r w:rsidRPr="00EE1A9F">
        <w:rPr>
          <w:lang w:val="fr-FR"/>
        </w:rPr>
        <w:t>charge</w:t>
      </w:r>
      <w:r w:rsidR="0056432A" w:rsidRPr="00EE1A9F">
        <w:rPr>
          <w:lang w:val="fr-FR"/>
        </w:rPr>
        <w:t>,</w:t>
      </w:r>
      <w:r w:rsidRPr="00EE1A9F">
        <w:rPr>
          <w:lang w:val="fr-FR"/>
        </w:rPr>
        <w:t xml:space="preserve"> ou à l</w:t>
      </w:r>
      <w:r w:rsidR="006C05FA" w:rsidRPr="00EE1A9F">
        <w:rPr>
          <w:lang w:val="fr-FR"/>
        </w:rPr>
        <w:t>’</w:t>
      </w:r>
      <w:r w:rsidRPr="00EE1A9F">
        <w:rPr>
          <w:lang w:val="fr-FR"/>
        </w:rPr>
        <w:t>entité qui tirera un bénéfice commercial de leu</w:t>
      </w:r>
      <w:r w:rsidR="004679A0" w:rsidRPr="00EE1A9F">
        <w:rPr>
          <w:lang w:val="fr-FR"/>
        </w:rPr>
        <w:t xml:space="preserve">r utilisation, dans le cadre de contrôles mis en place par la </w:t>
      </w:r>
      <w:r w:rsidR="00A32A5F" w:rsidRPr="00EE1A9F">
        <w:rPr>
          <w:lang w:val="fr-FR"/>
        </w:rPr>
        <w:t>Partie</w:t>
      </w:r>
      <w:r w:rsidRPr="00EE1A9F">
        <w:rPr>
          <w:lang w:val="fr-FR"/>
        </w:rPr>
        <w:t>. Un accord officiel entre le propriétaire du mercure ou des composés du mercure et le gérant de l</w:t>
      </w:r>
      <w:r w:rsidR="006C05FA" w:rsidRPr="00EE1A9F">
        <w:rPr>
          <w:lang w:val="fr-FR"/>
        </w:rPr>
        <w:t>’</w:t>
      </w:r>
      <w:r w:rsidRPr="00EE1A9F">
        <w:rPr>
          <w:lang w:val="fr-FR"/>
        </w:rPr>
        <w:t xml:space="preserve">installation de stockage peut être exigé </w:t>
      </w:r>
      <w:r w:rsidR="004679A0" w:rsidRPr="00EE1A9F">
        <w:rPr>
          <w:lang w:val="fr-FR"/>
        </w:rPr>
        <w:t xml:space="preserve">pour </w:t>
      </w:r>
      <w:r w:rsidR="0062295E" w:rsidRPr="00EE1A9F">
        <w:rPr>
          <w:lang w:val="fr-FR"/>
        </w:rPr>
        <w:t>la délégation officielle de</w:t>
      </w:r>
      <w:r w:rsidRPr="00EE1A9F">
        <w:rPr>
          <w:lang w:val="fr-FR"/>
        </w:rPr>
        <w:t xml:space="preserve"> </w:t>
      </w:r>
      <w:r w:rsidR="004679A0" w:rsidRPr="00EE1A9F">
        <w:rPr>
          <w:lang w:val="fr-FR"/>
        </w:rPr>
        <w:t xml:space="preserve">cette </w:t>
      </w:r>
      <w:r w:rsidRPr="00EE1A9F">
        <w:rPr>
          <w:lang w:val="fr-FR"/>
        </w:rPr>
        <w:t xml:space="preserve">responsabilité. Il convient de noter que les installations de stockage peuvent </w:t>
      </w:r>
      <w:r w:rsidR="00076225" w:rsidRPr="00EE1A9F">
        <w:rPr>
          <w:lang w:val="fr-FR"/>
        </w:rPr>
        <w:t>être détenues par le</w:t>
      </w:r>
      <w:r w:rsidRPr="00EE1A9F">
        <w:rPr>
          <w:lang w:val="fr-FR"/>
        </w:rPr>
        <w:t xml:space="preserve"> secteur privé ou public, au niveau national ou régional. L</w:t>
      </w:r>
      <w:r w:rsidR="006C05FA" w:rsidRPr="00EE1A9F">
        <w:rPr>
          <w:lang w:val="fr-FR"/>
        </w:rPr>
        <w:t>’</w:t>
      </w:r>
      <w:r w:rsidRPr="00EE1A9F">
        <w:rPr>
          <w:lang w:val="fr-FR"/>
        </w:rPr>
        <w:t>autorisation d</w:t>
      </w:r>
      <w:r w:rsidR="006C05FA" w:rsidRPr="00EE1A9F">
        <w:rPr>
          <w:lang w:val="fr-FR"/>
        </w:rPr>
        <w:t>’</w:t>
      </w:r>
      <w:r w:rsidRPr="00EE1A9F">
        <w:rPr>
          <w:lang w:val="fr-FR"/>
        </w:rPr>
        <w:t>exploiter une installation de stockage provisoire pourrait être accordée par l</w:t>
      </w:r>
      <w:r w:rsidR="006C05FA" w:rsidRPr="00EE1A9F">
        <w:rPr>
          <w:lang w:val="fr-FR"/>
        </w:rPr>
        <w:t>’</w:t>
      </w:r>
      <w:r w:rsidRPr="00EE1A9F">
        <w:rPr>
          <w:lang w:val="fr-FR"/>
        </w:rPr>
        <w:t xml:space="preserve">autorité nationale compétente et </w:t>
      </w:r>
      <w:r w:rsidR="00BA30C6" w:rsidRPr="00EE1A9F">
        <w:rPr>
          <w:lang w:val="fr-FR"/>
        </w:rPr>
        <w:t>pourrait spécifi</w:t>
      </w:r>
      <w:r w:rsidRPr="00EE1A9F">
        <w:rPr>
          <w:lang w:val="fr-FR"/>
        </w:rPr>
        <w:t xml:space="preserve">er </w:t>
      </w:r>
      <w:r w:rsidR="00076225" w:rsidRPr="00EE1A9F">
        <w:rPr>
          <w:lang w:val="fr-FR"/>
        </w:rPr>
        <w:t>d</w:t>
      </w:r>
      <w:r w:rsidRPr="00EE1A9F">
        <w:rPr>
          <w:lang w:val="fr-FR"/>
        </w:rPr>
        <w:t xml:space="preserve">es limites </w:t>
      </w:r>
      <w:r w:rsidR="00BA30C6" w:rsidRPr="00EE1A9F">
        <w:rPr>
          <w:lang w:val="fr-FR"/>
        </w:rPr>
        <w:t>pour les</w:t>
      </w:r>
      <w:r w:rsidR="00076225" w:rsidRPr="00EE1A9F">
        <w:rPr>
          <w:lang w:val="fr-FR"/>
        </w:rPr>
        <w:t xml:space="preserve"> </w:t>
      </w:r>
      <w:r w:rsidRPr="00EE1A9F">
        <w:rPr>
          <w:lang w:val="fr-FR"/>
        </w:rPr>
        <w:t>quantit</w:t>
      </w:r>
      <w:r w:rsidR="00076225" w:rsidRPr="00EE1A9F">
        <w:rPr>
          <w:lang w:val="fr-FR"/>
        </w:rPr>
        <w:t>és</w:t>
      </w:r>
      <w:r w:rsidRPr="00EE1A9F">
        <w:rPr>
          <w:lang w:val="fr-FR"/>
        </w:rPr>
        <w:t xml:space="preserve"> de mercure ou de composés du mercure </w:t>
      </w:r>
      <w:r w:rsidR="00076225" w:rsidRPr="00EE1A9F">
        <w:rPr>
          <w:lang w:val="fr-FR"/>
        </w:rPr>
        <w:t>pouvant</w:t>
      </w:r>
      <w:r w:rsidRPr="00EE1A9F">
        <w:rPr>
          <w:lang w:val="fr-FR"/>
        </w:rPr>
        <w:t xml:space="preserve"> être stocké</w:t>
      </w:r>
      <w:r w:rsidR="00076225" w:rsidRPr="00EE1A9F">
        <w:rPr>
          <w:lang w:val="fr-FR"/>
        </w:rPr>
        <w:t>e</w:t>
      </w:r>
      <w:r w:rsidRPr="00EE1A9F">
        <w:rPr>
          <w:lang w:val="fr-FR"/>
        </w:rPr>
        <w:t xml:space="preserve">s, ainsi que </w:t>
      </w:r>
      <w:r w:rsidR="00076225" w:rsidRPr="00EE1A9F">
        <w:rPr>
          <w:lang w:val="fr-FR"/>
        </w:rPr>
        <w:t>d</w:t>
      </w:r>
      <w:r w:rsidRPr="00EE1A9F">
        <w:rPr>
          <w:lang w:val="fr-FR"/>
        </w:rPr>
        <w:t xml:space="preserve">es </w:t>
      </w:r>
      <w:r w:rsidR="00563D3C" w:rsidRPr="00EE1A9F">
        <w:rPr>
          <w:lang w:val="fr-FR"/>
        </w:rPr>
        <w:t xml:space="preserve">exigences </w:t>
      </w:r>
      <w:r w:rsidR="00076225" w:rsidRPr="00EE1A9F">
        <w:rPr>
          <w:lang w:val="fr-FR"/>
        </w:rPr>
        <w:t xml:space="preserve">concernant les </w:t>
      </w:r>
      <w:r w:rsidR="00BA30C6" w:rsidRPr="00EE1A9F">
        <w:rPr>
          <w:lang w:val="fr-FR"/>
        </w:rPr>
        <w:t>équipement</w:t>
      </w:r>
      <w:r w:rsidR="00076225" w:rsidRPr="00EE1A9F">
        <w:rPr>
          <w:lang w:val="fr-FR"/>
        </w:rPr>
        <w:t>s</w:t>
      </w:r>
      <w:r w:rsidRPr="00EE1A9F">
        <w:rPr>
          <w:lang w:val="fr-FR"/>
        </w:rPr>
        <w:t xml:space="preserve">. </w:t>
      </w:r>
      <w:r w:rsidR="00EE1A9F" w:rsidRPr="00EE1A9F">
        <w:rPr>
          <w:lang w:val="fr-FR"/>
        </w:rPr>
        <w:t>Il convient toutefois d’inciter les</w:t>
      </w:r>
      <w:r w:rsidRPr="00EE1A9F">
        <w:rPr>
          <w:lang w:val="fr-FR"/>
        </w:rPr>
        <w:t xml:space="preserve"> entités </w:t>
      </w:r>
      <w:r w:rsidR="00EE1A9F" w:rsidRPr="00EE1A9F">
        <w:rPr>
          <w:lang w:val="fr-FR"/>
        </w:rPr>
        <w:t>auxquelles les dispositions</w:t>
      </w:r>
      <w:r w:rsidRPr="00EE1A9F">
        <w:rPr>
          <w:lang w:val="fr-FR"/>
        </w:rPr>
        <w:t xml:space="preserve"> </w:t>
      </w:r>
      <w:r w:rsidR="00EE1A9F" w:rsidRPr="00EE1A9F">
        <w:rPr>
          <w:lang w:val="fr-FR"/>
        </w:rPr>
        <w:t xml:space="preserve">en matière </w:t>
      </w:r>
      <w:r w:rsidRPr="00EE1A9F">
        <w:rPr>
          <w:lang w:val="fr-FR"/>
        </w:rPr>
        <w:t>d</w:t>
      </w:r>
      <w:r w:rsidR="006C05FA" w:rsidRPr="00EE1A9F">
        <w:rPr>
          <w:lang w:val="fr-FR"/>
        </w:rPr>
        <w:t>’</w:t>
      </w:r>
      <w:r w:rsidRPr="00EE1A9F">
        <w:rPr>
          <w:lang w:val="fr-FR"/>
        </w:rPr>
        <w:t xml:space="preserve">autorisation </w:t>
      </w:r>
      <w:r w:rsidR="00EE1A9F" w:rsidRPr="00EE1A9F">
        <w:rPr>
          <w:lang w:val="fr-FR"/>
        </w:rPr>
        <w:t xml:space="preserve">ne s’appliquent pas </w:t>
      </w:r>
      <w:r w:rsidRPr="00EE1A9F">
        <w:rPr>
          <w:lang w:val="fr-FR"/>
        </w:rPr>
        <w:t>à</w:t>
      </w:r>
      <w:r w:rsidR="00563D3C" w:rsidRPr="00EE1A9F">
        <w:rPr>
          <w:lang w:val="fr-FR"/>
        </w:rPr>
        <w:t xml:space="preserve"> se conformer à ces directives.</w:t>
      </w:r>
    </w:p>
    <w:p w14:paraId="679904F4" w14:textId="134E88D0" w:rsidR="000C2F3D" w:rsidRPr="00E84EB9" w:rsidRDefault="000C2F3D" w:rsidP="00F474DD">
      <w:pPr>
        <w:pStyle w:val="Normalnumber"/>
        <w:numPr>
          <w:ilvl w:val="0"/>
          <w:numId w:val="5"/>
        </w:numPr>
        <w:ind w:left="1247" w:firstLine="0"/>
        <w:rPr>
          <w:lang w:val="fr-FR"/>
        </w:rPr>
      </w:pPr>
      <w:r w:rsidRPr="00E84EB9">
        <w:rPr>
          <w:lang w:val="fr-FR"/>
        </w:rPr>
        <w:t xml:space="preserve">La Convention ne précise pas la quantité de mercure ou de composés du mercure qui peut être entreposée avant </w:t>
      </w:r>
      <w:r w:rsidR="00311A50">
        <w:rPr>
          <w:lang w:val="fr-FR"/>
        </w:rPr>
        <w:t>d’être</w:t>
      </w:r>
      <w:r w:rsidRPr="00E84EB9">
        <w:rPr>
          <w:lang w:val="fr-FR"/>
        </w:rPr>
        <w:t xml:space="preserve"> utilis</w:t>
      </w:r>
      <w:r w:rsidR="00311A50">
        <w:rPr>
          <w:lang w:val="fr-FR"/>
        </w:rPr>
        <w:t>ée</w:t>
      </w:r>
      <w:r w:rsidRPr="00E84EB9">
        <w:rPr>
          <w:lang w:val="fr-FR"/>
        </w:rPr>
        <w:t xml:space="preserve">. </w:t>
      </w:r>
      <w:r w:rsidR="002B1042" w:rsidRPr="00E84EB9">
        <w:rPr>
          <w:lang w:val="fr-FR"/>
        </w:rPr>
        <w:t xml:space="preserve">Certains pays peuvent </w:t>
      </w:r>
      <w:r w:rsidR="00945814" w:rsidRPr="00E84EB9">
        <w:rPr>
          <w:lang w:val="fr-FR"/>
        </w:rPr>
        <w:t xml:space="preserve">mettre en œuvre </w:t>
      </w:r>
      <w:r w:rsidR="00F77DCF" w:rsidRPr="00E84EB9">
        <w:rPr>
          <w:lang w:val="fr-FR"/>
        </w:rPr>
        <w:t xml:space="preserve">des </w:t>
      </w:r>
      <w:r w:rsidR="002B1042" w:rsidRPr="00E84EB9">
        <w:rPr>
          <w:lang w:val="fr-FR"/>
        </w:rPr>
        <w:t>contrôles nationaux</w:t>
      </w:r>
      <w:r w:rsidRPr="00E84EB9">
        <w:rPr>
          <w:lang w:val="fr-FR"/>
        </w:rPr>
        <w:t xml:space="preserve"> </w:t>
      </w:r>
      <w:r w:rsidR="00F77DCF" w:rsidRPr="00E84EB9">
        <w:rPr>
          <w:lang w:val="fr-FR"/>
        </w:rPr>
        <w:t xml:space="preserve">identiques </w:t>
      </w:r>
      <w:r w:rsidR="002B1042" w:rsidRPr="00E84EB9">
        <w:rPr>
          <w:lang w:val="fr-FR"/>
        </w:rPr>
        <w:t xml:space="preserve">quelle que soit </w:t>
      </w:r>
      <w:r w:rsidRPr="00E84EB9">
        <w:rPr>
          <w:lang w:val="fr-FR"/>
        </w:rPr>
        <w:t>la quantité de mercure, tandis que d</w:t>
      </w:r>
      <w:r w:rsidR="006C05FA">
        <w:rPr>
          <w:lang w:val="fr-FR"/>
        </w:rPr>
        <w:t>’</w:t>
      </w:r>
      <w:r w:rsidRPr="00E84EB9">
        <w:rPr>
          <w:lang w:val="fr-FR"/>
        </w:rPr>
        <w:t xml:space="preserve">autres </w:t>
      </w:r>
      <w:r w:rsidR="00945814" w:rsidRPr="00E84EB9">
        <w:rPr>
          <w:lang w:val="fr-FR"/>
        </w:rPr>
        <w:t xml:space="preserve">appliqueront des </w:t>
      </w:r>
      <w:r w:rsidRPr="00E84EB9">
        <w:rPr>
          <w:lang w:val="fr-FR"/>
        </w:rPr>
        <w:t xml:space="preserve">normes et règles différentes </w:t>
      </w:r>
      <w:r w:rsidR="00945814" w:rsidRPr="00E84EB9">
        <w:rPr>
          <w:lang w:val="fr-FR"/>
        </w:rPr>
        <w:t xml:space="preserve">en fonction de </w:t>
      </w:r>
      <w:r w:rsidRPr="00E84EB9">
        <w:rPr>
          <w:lang w:val="fr-FR"/>
        </w:rPr>
        <w:t>la quantité stockée. Il est admis que les directives doivent parfois</w:t>
      </w:r>
      <w:r w:rsidR="00945814" w:rsidRPr="00E84EB9">
        <w:rPr>
          <w:lang w:val="fr-FR"/>
        </w:rPr>
        <w:t xml:space="preserve"> être appliquées avec souplesse selon</w:t>
      </w:r>
      <w:r w:rsidRPr="00E84EB9">
        <w:rPr>
          <w:lang w:val="fr-FR"/>
        </w:rPr>
        <w:t xml:space="preserve"> </w:t>
      </w:r>
      <w:r w:rsidR="00945814" w:rsidRPr="00E84EB9">
        <w:rPr>
          <w:lang w:val="fr-FR"/>
        </w:rPr>
        <w:t xml:space="preserve">les </w:t>
      </w:r>
      <w:r w:rsidRPr="00E84EB9">
        <w:rPr>
          <w:lang w:val="fr-FR"/>
        </w:rPr>
        <w:t xml:space="preserve">exigences </w:t>
      </w:r>
      <w:r w:rsidR="00945814" w:rsidRPr="00E84EB9">
        <w:rPr>
          <w:lang w:val="fr-FR"/>
        </w:rPr>
        <w:t xml:space="preserve">propres aux </w:t>
      </w:r>
      <w:r w:rsidRPr="00E84EB9">
        <w:rPr>
          <w:lang w:val="fr-FR"/>
        </w:rPr>
        <w:t>sites</w:t>
      </w:r>
      <w:r w:rsidR="00945814" w:rsidRPr="00E84EB9">
        <w:rPr>
          <w:lang w:val="fr-FR"/>
        </w:rPr>
        <w:t>. L</w:t>
      </w:r>
      <w:r w:rsidR="006C05FA">
        <w:rPr>
          <w:lang w:val="fr-FR"/>
        </w:rPr>
        <w:t>’</w:t>
      </w:r>
      <w:r w:rsidR="00945814" w:rsidRPr="00E84EB9">
        <w:rPr>
          <w:lang w:val="fr-FR"/>
        </w:rPr>
        <w:t>article </w:t>
      </w:r>
      <w:r w:rsidRPr="00E84EB9">
        <w:rPr>
          <w:lang w:val="fr-FR"/>
        </w:rPr>
        <w:t>3 de la Convention sur les sources d</w:t>
      </w:r>
      <w:r w:rsidR="006C05FA">
        <w:rPr>
          <w:lang w:val="fr-FR"/>
        </w:rPr>
        <w:t>’</w:t>
      </w:r>
      <w:r w:rsidRPr="00E84EB9">
        <w:rPr>
          <w:lang w:val="fr-FR"/>
        </w:rPr>
        <w:t xml:space="preserve">approvisionnement en mercure et son commerce dispose que chaque </w:t>
      </w:r>
      <w:r w:rsidR="00A32A5F" w:rsidRPr="00E84EB9">
        <w:rPr>
          <w:lang w:val="fr-FR"/>
        </w:rPr>
        <w:t>Partie</w:t>
      </w:r>
      <w:r w:rsidRPr="00E84EB9">
        <w:rPr>
          <w:lang w:val="fr-FR"/>
        </w:rPr>
        <w:t xml:space="preserve"> doit s</w:t>
      </w:r>
      <w:r w:rsidR="006C05FA">
        <w:rPr>
          <w:lang w:val="fr-FR"/>
        </w:rPr>
        <w:t>’</w:t>
      </w:r>
      <w:r w:rsidRPr="00E84EB9">
        <w:rPr>
          <w:lang w:val="fr-FR"/>
        </w:rPr>
        <w:t xml:space="preserve">efforcer de recenser les stocks individuels de mercure ou </w:t>
      </w:r>
      <w:r w:rsidR="00C47A2B" w:rsidRPr="00E84EB9">
        <w:rPr>
          <w:lang w:val="fr-FR"/>
        </w:rPr>
        <w:t xml:space="preserve">de </w:t>
      </w:r>
      <w:r w:rsidRPr="00E84EB9">
        <w:rPr>
          <w:lang w:val="fr-FR"/>
        </w:rPr>
        <w:t>co</w:t>
      </w:r>
      <w:r w:rsidR="00945814" w:rsidRPr="00E84EB9">
        <w:rPr>
          <w:lang w:val="fr-FR"/>
        </w:rPr>
        <w:t>mposés du mercure de plus de 50 </w:t>
      </w:r>
      <w:r w:rsidRPr="00E84EB9">
        <w:rPr>
          <w:lang w:val="fr-FR"/>
        </w:rPr>
        <w:t>tonnes métriques ainsi que les sources d</w:t>
      </w:r>
      <w:r w:rsidR="006C05FA">
        <w:rPr>
          <w:lang w:val="fr-FR"/>
        </w:rPr>
        <w:t>’</w:t>
      </w:r>
      <w:r w:rsidRPr="00E84EB9">
        <w:rPr>
          <w:lang w:val="fr-FR"/>
        </w:rPr>
        <w:t>approvisionnement en mercure prod</w:t>
      </w:r>
      <w:r w:rsidR="00945814" w:rsidRPr="00E84EB9">
        <w:rPr>
          <w:lang w:val="fr-FR"/>
        </w:rPr>
        <w:t>uisant des stocks de plus de 10 </w:t>
      </w:r>
      <w:r w:rsidRPr="00E84EB9">
        <w:rPr>
          <w:lang w:val="fr-FR"/>
        </w:rPr>
        <w:t xml:space="preserve">tonnes métriques par an qui se trouvent sur son territoire. Des </w:t>
      </w:r>
      <w:r w:rsidR="00264EC0">
        <w:rPr>
          <w:lang w:val="fr-FR"/>
        </w:rPr>
        <w:t xml:space="preserve">recommandations </w:t>
      </w:r>
      <w:r w:rsidRPr="00E84EB9">
        <w:rPr>
          <w:lang w:val="fr-FR"/>
        </w:rPr>
        <w:t>sur le recensement de ces stocks et sources d</w:t>
      </w:r>
      <w:r w:rsidR="006C05FA">
        <w:rPr>
          <w:lang w:val="fr-FR"/>
        </w:rPr>
        <w:t>’</w:t>
      </w:r>
      <w:r w:rsidRPr="00E84EB9">
        <w:rPr>
          <w:lang w:val="fr-FR"/>
        </w:rPr>
        <w:t>approvisionnement figurent dans un document d</w:t>
      </w:r>
      <w:r w:rsidR="006C05FA">
        <w:rPr>
          <w:lang w:val="fr-FR"/>
        </w:rPr>
        <w:t>’</w:t>
      </w:r>
      <w:r w:rsidRPr="00E84EB9">
        <w:rPr>
          <w:lang w:val="fr-FR"/>
        </w:rPr>
        <w:t xml:space="preserve">orientation </w:t>
      </w:r>
      <w:r w:rsidR="00A0125A" w:rsidRPr="00E84EB9">
        <w:rPr>
          <w:lang w:val="fr-FR"/>
        </w:rPr>
        <w:t xml:space="preserve">distinct </w:t>
      </w:r>
      <w:r w:rsidRPr="00E84EB9">
        <w:rPr>
          <w:lang w:val="fr-FR"/>
        </w:rPr>
        <w:t xml:space="preserve">adopté par la </w:t>
      </w:r>
      <w:r w:rsidRPr="00E84EB9">
        <w:rPr>
          <w:lang w:val="fr-FR"/>
        </w:rPr>
        <w:lastRenderedPageBreak/>
        <w:t xml:space="preserve">Conférence des </w:t>
      </w:r>
      <w:r w:rsidR="00A32A5F" w:rsidRPr="00E84EB9">
        <w:rPr>
          <w:lang w:val="fr-FR"/>
        </w:rPr>
        <w:t>Partie</w:t>
      </w:r>
      <w:r w:rsidRPr="00E84EB9">
        <w:rPr>
          <w:lang w:val="fr-FR"/>
        </w:rPr>
        <w:t>s à sa première réunion (PNUE, 2017b). Le</w:t>
      </w:r>
      <w:r w:rsidR="00311A50">
        <w:rPr>
          <w:lang w:val="fr-FR"/>
        </w:rPr>
        <w:t>s quantités de</w:t>
      </w:r>
      <w:r w:rsidRPr="00E84EB9">
        <w:rPr>
          <w:lang w:val="fr-FR"/>
        </w:rPr>
        <w:t xml:space="preserve"> mercure et </w:t>
      </w:r>
      <w:r w:rsidR="00311A50">
        <w:rPr>
          <w:lang w:val="fr-FR"/>
        </w:rPr>
        <w:t>de</w:t>
      </w:r>
      <w:r w:rsidRPr="00E84EB9">
        <w:rPr>
          <w:lang w:val="fr-FR"/>
        </w:rPr>
        <w:t xml:space="preserve"> composés du mercure stocké</w:t>
      </w:r>
      <w:r w:rsidR="00311A50">
        <w:rPr>
          <w:lang w:val="fr-FR"/>
        </w:rPr>
        <w:t>e</w:t>
      </w:r>
      <w:r w:rsidRPr="00E84EB9">
        <w:rPr>
          <w:lang w:val="fr-FR"/>
        </w:rPr>
        <w:t xml:space="preserve">s </w:t>
      </w:r>
      <w:r w:rsidR="00311A50" w:rsidRPr="00E84EB9">
        <w:rPr>
          <w:lang w:val="fr-FR"/>
        </w:rPr>
        <w:t>devraient</w:t>
      </w:r>
      <w:r w:rsidRPr="00E84EB9">
        <w:rPr>
          <w:lang w:val="fr-FR"/>
        </w:rPr>
        <w:t xml:space="preserve"> </w:t>
      </w:r>
      <w:r w:rsidR="00311A50">
        <w:rPr>
          <w:lang w:val="fr-FR"/>
        </w:rPr>
        <w:t xml:space="preserve">être </w:t>
      </w:r>
      <w:r w:rsidR="00B40BB1">
        <w:rPr>
          <w:lang w:val="fr-FR"/>
        </w:rPr>
        <w:t>en rapport avec les</w:t>
      </w:r>
      <w:r w:rsidR="00311A50">
        <w:rPr>
          <w:lang w:val="fr-FR"/>
        </w:rPr>
        <w:t xml:space="preserve"> </w:t>
      </w:r>
      <w:r w:rsidR="00311A50" w:rsidRPr="00E84EB9">
        <w:rPr>
          <w:lang w:val="fr-FR"/>
        </w:rPr>
        <w:t>utilisation</w:t>
      </w:r>
      <w:r w:rsidR="00311A50">
        <w:rPr>
          <w:lang w:val="fr-FR"/>
        </w:rPr>
        <w:t>s</w:t>
      </w:r>
      <w:r w:rsidR="00311A50" w:rsidRPr="00E84EB9">
        <w:rPr>
          <w:lang w:val="fr-FR"/>
        </w:rPr>
        <w:t xml:space="preserve"> prévue</w:t>
      </w:r>
      <w:r w:rsidR="00311A50">
        <w:rPr>
          <w:lang w:val="fr-FR"/>
        </w:rPr>
        <w:t>s</w:t>
      </w:r>
      <w:r w:rsidR="00311A50" w:rsidRPr="00E84EB9">
        <w:rPr>
          <w:lang w:val="fr-FR"/>
        </w:rPr>
        <w:t xml:space="preserve"> </w:t>
      </w:r>
      <w:r w:rsidR="00311A50">
        <w:rPr>
          <w:lang w:val="fr-FR"/>
        </w:rPr>
        <w:t xml:space="preserve">et </w:t>
      </w:r>
      <w:r w:rsidRPr="00E84EB9">
        <w:rPr>
          <w:lang w:val="fr-FR"/>
        </w:rPr>
        <w:t>correspond</w:t>
      </w:r>
      <w:r w:rsidR="00311A50">
        <w:rPr>
          <w:lang w:val="fr-FR"/>
        </w:rPr>
        <w:t>re</w:t>
      </w:r>
      <w:r w:rsidRPr="00E84EB9">
        <w:rPr>
          <w:lang w:val="fr-FR"/>
        </w:rPr>
        <w:t xml:space="preserve"> </w:t>
      </w:r>
      <w:r w:rsidR="00155810">
        <w:rPr>
          <w:lang w:val="fr-FR"/>
        </w:rPr>
        <w:t>aux quantités</w:t>
      </w:r>
      <w:r w:rsidR="00154116" w:rsidRPr="00E84EB9">
        <w:rPr>
          <w:lang w:val="fr-FR"/>
        </w:rPr>
        <w:t xml:space="preserve"> </w:t>
      </w:r>
      <w:r w:rsidRPr="00E84EB9">
        <w:rPr>
          <w:lang w:val="fr-FR"/>
        </w:rPr>
        <w:t xml:space="preserve">jugées nécessaires par la </w:t>
      </w:r>
      <w:r w:rsidR="00A32A5F" w:rsidRPr="00E84EB9">
        <w:rPr>
          <w:lang w:val="fr-FR"/>
        </w:rPr>
        <w:t>Partie</w:t>
      </w:r>
      <w:r w:rsidRPr="00E84EB9">
        <w:rPr>
          <w:lang w:val="fr-FR"/>
        </w:rPr>
        <w:t xml:space="preserve"> pour </w:t>
      </w:r>
      <w:r w:rsidR="00311A50">
        <w:rPr>
          <w:lang w:val="fr-FR"/>
        </w:rPr>
        <w:t>l</w:t>
      </w:r>
      <w:r w:rsidRPr="00E84EB9">
        <w:rPr>
          <w:lang w:val="fr-FR"/>
        </w:rPr>
        <w:t xml:space="preserve">es activités </w:t>
      </w:r>
      <w:r w:rsidR="00B40BB1">
        <w:rPr>
          <w:lang w:val="fr-FR"/>
        </w:rPr>
        <w:t>autorisées par</w:t>
      </w:r>
      <w:r w:rsidRPr="00E84EB9">
        <w:rPr>
          <w:lang w:val="fr-FR"/>
        </w:rPr>
        <w:t xml:space="preserve"> la Convention</w:t>
      </w:r>
      <w:r w:rsidR="00B40BB1">
        <w:rPr>
          <w:lang w:val="fr-FR"/>
        </w:rPr>
        <w:t xml:space="preserve"> menées au niveau national dans les domaines </w:t>
      </w:r>
      <w:r w:rsidR="00155810">
        <w:rPr>
          <w:lang w:val="fr-FR"/>
        </w:rPr>
        <w:t>des</w:t>
      </w:r>
      <w:r w:rsidRPr="00E84EB9">
        <w:rPr>
          <w:lang w:val="fr-FR"/>
        </w:rPr>
        <w:t xml:space="preserve"> produits </w:t>
      </w:r>
      <w:r w:rsidR="00A0125A" w:rsidRPr="00E84EB9">
        <w:rPr>
          <w:lang w:val="fr-FR"/>
        </w:rPr>
        <w:t>contenant du mercure ajouté</w:t>
      </w:r>
      <w:r w:rsidR="00155810">
        <w:rPr>
          <w:lang w:val="fr-FR"/>
        </w:rPr>
        <w:t>,</w:t>
      </w:r>
      <w:r w:rsidR="00A0125A" w:rsidRPr="00E84EB9">
        <w:rPr>
          <w:lang w:val="fr-FR"/>
        </w:rPr>
        <w:t xml:space="preserve"> </w:t>
      </w:r>
      <w:r w:rsidR="00155810">
        <w:rPr>
          <w:lang w:val="fr-FR"/>
        </w:rPr>
        <w:t>des</w:t>
      </w:r>
      <w:r w:rsidR="00A0125A" w:rsidRPr="00E84EB9">
        <w:rPr>
          <w:lang w:val="fr-FR"/>
        </w:rPr>
        <w:t xml:space="preserve"> </w:t>
      </w:r>
      <w:r w:rsidRPr="00E84EB9">
        <w:rPr>
          <w:lang w:val="fr-FR"/>
        </w:rPr>
        <w:t xml:space="preserve">procédés utilisant du mercure </w:t>
      </w:r>
      <w:r w:rsidR="00B40BB1">
        <w:rPr>
          <w:lang w:val="fr-FR"/>
        </w:rPr>
        <w:t>et de</w:t>
      </w:r>
      <w:r w:rsidR="00A0125A" w:rsidRPr="00E84EB9">
        <w:rPr>
          <w:lang w:val="fr-FR"/>
        </w:rPr>
        <w:t xml:space="preserve"> </w:t>
      </w:r>
      <w:r w:rsidR="00C47A2B" w:rsidRPr="00E84EB9">
        <w:rPr>
          <w:lang w:val="fr-FR"/>
        </w:rPr>
        <w:t>l</w:t>
      </w:r>
      <w:r w:rsidR="006C05FA">
        <w:rPr>
          <w:lang w:val="fr-FR"/>
        </w:rPr>
        <w:t>’</w:t>
      </w:r>
      <w:r w:rsidR="00155810">
        <w:rPr>
          <w:lang w:val="fr-FR"/>
        </w:rPr>
        <w:t>extraction artisanale et à petite échelle d’or</w:t>
      </w:r>
      <w:r w:rsidR="00A0125A" w:rsidRPr="00E84EB9">
        <w:rPr>
          <w:lang w:val="fr-FR"/>
        </w:rPr>
        <w:t>.</w:t>
      </w:r>
    </w:p>
    <w:p w14:paraId="745FEE70" w14:textId="420FED96" w:rsidR="000C2F3D" w:rsidRPr="00E84EB9" w:rsidRDefault="000C2F3D" w:rsidP="00F474DD">
      <w:pPr>
        <w:pStyle w:val="Normalnumber"/>
        <w:numPr>
          <w:ilvl w:val="0"/>
          <w:numId w:val="5"/>
        </w:numPr>
        <w:ind w:left="1247" w:firstLine="0"/>
        <w:rPr>
          <w:lang w:val="fr-FR"/>
        </w:rPr>
      </w:pPr>
      <w:r w:rsidRPr="00E84EB9">
        <w:rPr>
          <w:lang w:val="fr-FR"/>
        </w:rPr>
        <w:t xml:space="preserve">Dans </w:t>
      </w:r>
      <w:r w:rsidR="00B40BB1">
        <w:rPr>
          <w:lang w:val="fr-FR"/>
        </w:rPr>
        <w:t>le</w:t>
      </w:r>
      <w:r w:rsidRPr="00E84EB9">
        <w:rPr>
          <w:lang w:val="fr-FR"/>
        </w:rPr>
        <w:t xml:space="preserve"> cas</w:t>
      </w:r>
      <w:r w:rsidR="00B40BB1">
        <w:rPr>
          <w:lang w:val="fr-FR"/>
        </w:rPr>
        <w:t xml:space="preserve"> de l’exploitation minière artisanale et à petite échelle d’or,</w:t>
      </w:r>
      <w:r w:rsidRPr="00E84EB9">
        <w:rPr>
          <w:lang w:val="fr-FR"/>
        </w:rPr>
        <w:t xml:space="preserve"> les quantités de mercure et de composés du mercure stockées devr</w:t>
      </w:r>
      <w:r w:rsidR="00FA34FB">
        <w:rPr>
          <w:lang w:val="fr-FR"/>
        </w:rPr>
        <w:t>aie</w:t>
      </w:r>
      <w:r w:rsidRPr="00E84EB9">
        <w:rPr>
          <w:lang w:val="fr-FR"/>
        </w:rPr>
        <w:t xml:space="preserve">nt être proportionnelles aux inventaires de base et, le cas échéant, aux activités de réduction et aux </w:t>
      </w:r>
      <w:r w:rsidR="009C6817" w:rsidRPr="00E84EB9">
        <w:rPr>
          <w:lang w:val="fr-FR"/>
        </w:rPr>
        <w:t>objectifs défini</w:t>
      </w:r>
      <w:r w:rsidRPr="00E84EB9">
        <w:rPr>
          <w:lang w:val="fr-FR"/>
        </w:rPr>
        <w:t>s dans le plan d</w:t>
      </w:r>
      <w:r w:rsidR="006C05FA">
        <w:rPr>
          <w:lang w:val="fr-FR"/>
        </w:rPr>
        <w:t>’</w:t>
      </w:r>
      <w:r w:rsidRPr="00E84EB9">
        <w:rPr>
          <w:lang w:val="fr-FR"/>
        </w:rPr>
        <w:t>action</w:t>
      </w:r>
      <w:r w:rsidR="00A32A5F" w:rsidRPr="00E84EB9">
        <w:rPr>
          <w:lang w:val="fr-FR"/>
        </w:rPr>
        <w:t xml:space="preserve"> national au titre de l</w:t>
      </w:r>
      <w:r w:rsidR="006C05FA">
        <w:rPr>
          <w:lang w:val="fr-FR"/>
        </w:rPr>
        <w:t>’</w:t>
      </w:r>
      <w:r w:rsidR="00A32A5F" w:rsidRPr="00E84EB9">
        <w:rPr>
          <w:lang w:val="fr-FR"/>
        </w:rPr>
        <w:t>article </w:t>
      </w:r>
      <w:r w:rsidRPr="00E84EB9">
        <w:rPr>
          <w:lang w:val="fr-FR"/>
        </w:rPr>
        <w:t>7 de la Convention. Ce plan d</w:t>
      </w:r>
      <w:r w:rsidR="006C05FA">
        <w:rPr>
          <w:lang w:val="fr-FR"/>
        </w:rPr>
        <w:t>’</w:t>
      </w:r>
      <w:r w:rsidRPr="00E84EB9">
        <w:rPr>
          <w:lang w:val="fr-FR"/>
        </w:rPr>
        <w:t>action peut également porter sur la manière de respecter les obligations de</w:t>
      </w:r>
      <w:r w:rsidR="009C6817" w:rsidRPr="00E84EB9">
        <w:rPr>
          <w:lang w:val="fr-FR"/>
        </w:rPr>
        <w:t xml:space="preserve"> stockage au titre de l</w:t>
      </w:r>
      <w:r w:rsidR="006C05FA">
        <w:rPr>
          <w:lang w:val="fr-FR"/>
        </w:rPr>
        <w:t>’</w:t>
      </w:r>
      <w:r w:rsidR="009C6817" w:rsidRPr="00E84EB9">
        <w:rPr>
          <w:lang w:val="fr-FR"/>
        </w:rPr>
        <w:t>article </w:t>
      </w:r>
      <w:r w:rsidRPr="00E84EB9">
        <w:rPr>
          <w:lang w:val="fr-FR"/>
        </w:rPr>
        <w:t>10 pour les activités et les sites d</w:t>
      </w:r>
      <w:r w:rsidR="006C05FA">
        <w:rPr>
          <w:lang w:val="fr-FR"/>
        </w:rPr>
        <w:t>’</w:t>
      </w:r>
      <w:r w:rsidR="00155810">
        <w:rPr>
          <w:lang w:val="fr-FR"/>
        </w:rPr>
        <w:t>extraction artisanale et à petite échelle d’or</w:t>
      </w:r>
      <w:r w:rsidRPr="00E84EB9">
        <w:rPr>
          <w:lang w:val="fr-FR"/>
        </w:rPr>
        <w:t xml:space="preserve"> (compte tenu des présentes directives). Les directives techniques de l</w:t>
      </w:r>
      <w:r w:rsidR="006C05FA">
        <w:rPr>
          <w:lang w:val="fr-FR"/>
        </w:rPr>
        <w:t>’</w:t>
      </w:r>
      <w:r w:rsidRPr="00E84EB9">
        <w:rPr>
          <w:lang w:val="fr-FR"/>
        </w:rPr>
        <w:t>ONUDI relative</w:t>
      </w:r>
      <w:r w:rsidR="009C6817" w:rsidRPr="00E84EB9">
        <w:rPr>
          <w:lang w:val="fr-FR"/>
        </w:rPr>
        <w:t>s</w:t>
      </w:r>
      <w:r w:rsidRPr="00E84EB9">
        <w:rPr>
          <w:lang w:val="fr-FR"/>
        </w:rPr>
        <w:t xml:space="preserve"> à la gestion du mercure dans l</w:t>
      </w:r>
      <w:r w:rsidR="006C05FA">
        <w:rPr>
          <w:lang w:val="fr-FR"/>
        </w:rPr>
        <w:t>’</w:t>
      </w:r>
      <w:r w:rsidR="00155810">
        <w:rPr>
          <w:lang w:val="fr-FR"/>
        </w:rPr>
        <w:t>extraction artisanale et à petite échelle d’or</w:t>
      </w:r>
      <w:r w:rsidRPr="00E84EB9">
        <w:rPr>
          <w:lang w:val="fr-FR"/>
        </w:rPr>
        <w:t xml:space="preserve"> (ONUDI, 2008) </w:t>
      </w:r>
      <w:r w:rsidR="00B7785F" w:rsidRPr="00E84EB9">
        <w:rPr>
          <w:lang w:val="fr-FR"/>
        </w:rPr>
        <w:t xml:space="preserve">préconisent de stocker en permanence et en toute sécurité le </w:t>
      </w:r>
      <w:r w:rsidRPr="00E84EB9">
        <w:rPr>
          <w:lang w:val="fr-FR"/>
        </w:rPr>
        <w:t>mercure élémentaire (parfois appelé mercure métallique)</w:t>
      </w:r>
      <w:r w:rsidR="00B7785F" w:rsidRPr="00E84EB9">
        <w:rPr>
          <w:lang w:val="fr-FR"/>
        </w:rPr>
        <w:t>, lorsqu</w:t>
      </w:r>
      <w:r w:rsidR="006C05FA">
        <w:rPr>
          <w:lang w:val="fr-FR"/>
        </w:rPr>
        <w:t>’</w:t>
      </w:r>
      <w:r w:rsidR="00B7785F" w:rsidRPr="00E84EB9">
        <w:rPr>
          <w:lang w:val="fr-FR"/>
        </w:rPr>
        <w:t>il n</w:t>
      </w:r>
      <w:r w:rsidR="006C05FA">
        <w:rPr>
          <w:lang w:val="fr-FR"/>
        </w:rPr>
        <w:t>’</w:t>
      </w:r>
      <w:r w:rsidR="00B7785F" w:rsidRPr="00E84EB9">
        <w:rPr>
          <w:lang w:val="fr-FR"/>
        </w:rPr>
        <w:t>est pas utilisé,</w:t>
      </w:r>
      <w:r w:rsidRPr="00E84EB9">
        <w:rPr>
          <w:lang w:val="fr-FR"/>
        </w:rPr>
        <w:t xml:space="preserve"> dans un endroit sûr inaccessible aux enfants, et dans des conteneurs </w:t>
      </w:r>
      <w:r w:rsidR="00AD0F46" w:rsidRPr="00E84EB9">
        <w:rPr>
          <w:lang w:val="fr-FR"/>
        </w:rPr>
        <w:t xml:space="preserve">hermétiques inviolables </w:t>
      </w:r>
      <w:r w:rsidR="00B7785F" w:rsidRPr="00E84EB9">
        <w:rPr>
          <w:lang w:val="fr-FR"/>
        </w:rPr>
        <w:t>pourvus d</w:t>
      </w:r>
      <w:r w:rsidR="006C05FA">
        <w:rPr>
          <w:lang w:val="fr-FR"/>
        </w:rPr>
        <w:t>’</w:t>
      </w:r>
      <w:r w:rsidR="00AD0F46" w:rsidRPr="00E84EB9">
        <w:rPr>
          <w:lang w:val="fr-FR"/>
        </w:rPr>
        <w:t xml:space="preserve">une couche de </w:t>
      </w:r>
      <w:r w:rsidRPr="00E84EB9">
        <w:rPr>
          <w:lang w:val="fr-FR"/>
        </w:rPr>
        <w:t xml:space="preserve">protection pour empêcher </w:t>
      </w:r>
      <w:r w:rsidR="00B7785F" w:rsidRPr="00E84EB9">
        <w:rPr>
          <w:lang w:val="fr-FR"/>
        </w:rPr>
        <w:t xml:space="preserve">son </w:t>
      </w:r>
      <w:r w:rsidRPr="00E84EB9">
        <w:rPr>
          <w:lang w:val="fr-FR"/>
        </w:rPr>
        <w:t xml:space="preserve">évaporation, et de ne pas </w:t>
      </w:r>
      <w:r w:rsidR="00B7785F" w:rsidRPr="00E84EB9">
        <w:rPr>
          <w:lang w:val="fr-FR"/>
        </w:rPr>
        <w:t xml:space="preserve">le stocker </w:t>
      </w:r>
      <w:r w:rsidRPr="00E84EB9">
        <w:rPr>
          <w:lang w:val="fr-FR"/>
        </w:rPr>
        <w:t xml:space="preserve">dans une résidence familiale. Les pays </w:t>
      </w:r>
      <w:r w:rsidR="00A72765">
        <w:rPr>
          <w:lang w:val="fr-FR"/>
        </w:rPr>
        <w:t>qui élabore</w:t>
      </w:r>
      <w:r w:rsidRPr="00E84EB9">
        <w:rPr>
          <w:lang w:val="fr-FR"/>
        </w:rPr>
        <w:t>nt leurs plans d</w:t>
      </w:r>
      <w:r w:rsidR="006C05FA">
        <w:rPr>
          <w:lang w:val="fr-FR"/>
        </w:rPr>
        <w:t>’</w:t>
      </w:r>
      <w:r w:rsidRPr="00E84EB9">
        <w:rPr>
          <w:lang w:val="fr-FR"/>
        </w:rPr>
        <w:t>action nationaux concernant l</w:t>
      </w:r>
      <w:r w:rsidR="006C05FA">
        <w:rPr>
          <w:lang w:val="fr-FR"/>
        </w:rPr>
        <w:t>’</w:t>
      </w:r>
      <w:r w:rsidR="00155810">
        <w:rPr>
          <w:lang w:val="fr-FR"/>
        </w:rPr>
        <w:t>extraction artisanale et à petite échelle d’or</w:t>
      </w:r>
      <w:r w:rsidRPr="00E84EB9">
        <w:rPr>
          <w:lang w:val="fr-FR"/>
        </w:rPr>
        <w:t xml:space="preserve"> devraient se référer au document d</w:t>
      </w:r>
      <w:r w:rsidR="006C05FA">
        <w:rPr>
          <w:lang w:val="fr-FR"/>
        </w:rPr>
        <w:t>’</w:t>
      </w:r>
      <w:r w:rsidRPr="00E84EB9">
        <w:rPr>
          <w:lang w:val="fr-FR"/>
        </w:rPr>
        <w:t xml:space="preserve">orientation sur </w:t>
      </w:r>
      <w:r w:rsidR="00B7785F" w:rsidRPr="00E84EB9">
        <w:rPr>
          <w:lang w:val="fr-FR"/>
        </w:rPr>
        <w:t xml:space="preserve">le </w:t>
      </w:r>
      <w:r w:rsidRPr="00E84EB9">
        <w:rPr>
          <w:lang w:val="fr-FR"/>
        </w:rPr>
        <w:t xml:space="preserve">sujet (PNUE, 2017a). Lorsque le mercure est obtenu </w:t>
      </w:r>
      <w:r w:rsidR="00522EB9" w:rsidRPr="00E84EB9">
        <w:rPr>
          <w:lang w:val="fr-FR"/>
        </w:rPr>
        <w:t xml:space="preserve">sous forme de </w:t>
      </w:r>
      <w:r w:rsidRPr="00E84EB9">
        <w:rPr>
          <w:lang w:val="fr-FR"/>
        </w:rPr>
        <w:t>sous-produit (par exemple dans le cadre d</w:t>
      </w:r>
      <w:r w:rsidR="006C05FA">
        <w:rPr>
          <w:lang w:val="fr-FR"/>
        </w:rPr>
        <w:t>’</w:t>
      </w:r>
      <w:r w:rsidRPr="00E84EB9">
        <w:rPr>
          <w:lang w:val="fr-FR"/>
        </w:rPr>
        <w:t>opérations d</w:t>
      </w:r>
      <w:r w:rsidR="006C05FA">
        <w:rPr>
          <w:lang w:val="fr-FR"/>
        </w:rPr>
        <w:t>’</w:t>
      </w:r>
      <w:r w:rsidRPr="00E84EB9">
        <w:rPr>
          <w:lang w:val="fr-FR"/>
        </w:rPr>
        <w:t>extraction</w:t>
      </w:r>
      <w:r w:rsidR="00B40BB1">
        <w:rPr>
          <w:lang w:val="fr-FR"/>
        </w:rPr>
        <w:t xml:space="preserve"> minière</w:t>
      </w:r>
      <w:r w:rsidRPr="00E84EB9">
        <w:rPr>
          <w:lang w:val="fr-FR"/>
        </w:rPr>
        <w:t xml:space="preserve">), la quantité disponible peut ne pas </w:t>
      </w:r>
      <w:r w:rsidR="00522EB9" w:rsidRPr="00E84EB9">
        <w:rPr>
          <w:lang w:val="fr-FR"/>
        </w:rPr>
        <w:t xml:space="preserve">correspondre </w:t>
      </w:r>
      <w:r w:rsidRPr="00E84EB9">
        <w:rPr>
          <w:lang w:val="fr-FR"/>
        </w:rPr>
        <w:t xml:space="preserve">directement aux quantités destinées à être utilisées, mais </w:t>
      </w:r>
      <w:r w:rsidR="009557E9" w:rsidRPr="00E84EB9">
        <w:rPr>
          <w:lang w:val="fr-FR"/>
        </w:rPr>
        <w:t xml:space="preserve">être </w:t>
      </w:r>
      <w:r w:rsidRPr="00E84EB9">
        <w:rPr>
          <w:lang w:val="fr-FR"/>
        </w:rPr>
        <w:t xml:space="preserve">néanmoins </w:t>
      </w:r>
      <w:r w:rsidR="009557E9" w:rsidRPr="00E84EB9">
        <w:rPr>
          <w:lang w:val="fr-FR"/>
        </w:rPr>
        <w:t>stockée</w:t>
      </w:r>
      <w:r w:rsidRPr="00E84EB9">
        <w:rPr>
          <w:lang w:val="fr-FR"/>
        </w:rPr>
        <w:t xml:space="preserve"> de manière provisoire jusqu</w:t>
      </w:r>
      <w:r w:rsidR="006C05FA">
        <w:rPr>
          <w:lang w:val="fr-FR"/>
        </w:rPr>
        <w:t>’</w:t>
      </w:r>
      <w:r w:rsidRPr="00E84EB9">
        <w:rPr>
          <w:lang w:val="fr-FR"/>
        </w:rPr>
        <w:t xml:space="preserve">à </w:t>
      </w:r>
      <w:r w:rsidR="009557E9" w:rsidRPr="00E84EB9">
        <w:rPr>
          <w:lang w:val="fr-FR"/>
        </w:rPr>
        <w:t xml:space="preserve">ce </w:t>
      </w:r>
      <w:r w:rsidR="00400E8E">
        <w:rPr>
          <w:lang w:val="fr-FR"/>
        </w:rPr>
        <w:t>que la décision soit prise de l</w:t>
      </w:r>
      <w:r w:rsidR="006C05FA">
        <w:rPr>
          <w:lang w:val="fr-FR"/>
        </w:rPr>
        <w:t>’</w:t>
      </w:r>
      <w:r w:rsidR="00400E8E">
        <w:rPr>
          <w:lang w:val="fr-FR"/>
        </w:rPr>
        <w:t>utiliser ou de l</w:t>
      </w:r>
      <w:r w:rsidR="006C05FA">
        <w:rPr>
          <w:lang w:val="fr-FR"/>
        </w:rPr>
        <w:t>’</w:t>
      </w:r>
      <w:r w:rsidR="00400E8E">
        <w:rPr>
          <w:lang w:val="fr-FR"/>
        </w:rPr>
        <w:t>éliminer</w:t>
      </w:r>
      <w:r w:rsidR="00D80770" w:rsidRPr="00E84EB9">
        <w:rPr>
          <w:lang w:val="fr-FR"/>
        </w:rPr>
        <w:t>.</w:t>
      </w:r>
    </w:p>
    <w:p w14:paraId="1F4B2AD0" w14:textId="18018A37" w:rsidR="000C2F3D" w:rsidRPr="00E84EB9" w:rsidRDefault="001A1EDC" w:rsidP="00F474DD">
      <w:pPr>
        <w:pStyle w:val="Normalnumber"/>
        <w:numPr>
          <w:ilvl w:val="0"/>
          <w:numId w:val="5"/>
        </w:numPr>
        <w:ind w:left="1247" w:firstLine="0"/>
        <w:rPr>
          <w:lang w:val="fr-FR"/>
        </w:rPr>
      </w:pPr>
      <w:r w:rsidRPr="00E84EB9">
        <w:rPr>
          <w:lang w:val="fr-FR"/>
        </w:rPr>
        <w:t xml:space="preserve">Certaines dispositions des présentes </w:t>
      </w:r>
      <w:r w:rsidR="000C2F3D" w:rsidRPr="00E84EB9">
        <w:rPr>
          <w:lang w:val="fr-FR"/>
        </w:rPr>
        <w:t xml:space="preserve">directives peuvent ne pas être </w:t>
      </w:r>
      <w:r w:rsidR="00A37FD7" w:rsidRPr="00E84EB9">
        <w:rPr>
          <w:lang w:val="fr-FR"/>
        </w:rPr>
        <w:t xml:space="preserve">applicables </w:t>
      </w:r>
      <w:r w:rsidR="006E00E7" w:rsidRPr="00E84EB9">
        <w:rPr>
          <w:lang w:val="fr-FR"/>
        </w:rPr>
        <w:t xml:space="preserve">pour le </w:t>
      </w:r>
      <w:r w:rsidR="000C2F3D" w:rsidRPr="00E84EB9">
        <w:rPr>
          <w:lang w:val="fr-FR"/>
        </w:rPr>
        <w:t xml:space="preserve">stockage provisoire de quantités relativement faibles de mercure ou de composés du </w:t>
      </w:r>
      <w:r w:rsidR="008D3454">
        <w:rPr>
          <w:lang w:val="fr-FR"/>
        </w:rPr>
        <w:t>mercure. Ainsi, les </w:t>
      </w:r>
      <w:r w:rsidRPr="00E84EB9">
        <w:rPr>
          <w:lang w:val="fr-FR"/>
        </w:rPr>
        <w:t>sec</w:t>
      </w:r>
      <w:r w:rsidR="008D3454">
        <w:rPr>
          <w:lang w:val="fr-FR"/>
        </w:rPr>
        <w:t>tions </w:t>
      </w:r>
      <w:r w:rsidRPr="00E84EB9">
        <w:rPr>
          <w:lang w:val="fr-FR"/>
        </w:rPr>
        <w:t>IV (A) et </w:t>
      </w:r>
      <w:r w:rsidR="000C2F3D" w:rsidRPr="00E84EB9">
        <w:rPr>
          <w:lang w:val="fr-FR"/>
        </w:rPr>
        <w:t xml:space="preserve">(B) présentent un intérêt direct pour les installations de stockage spécialisées, mais peuvent ne pas </w:t>
      </w:r>
      <w:r w:rsidR="00A37FD7" w:rsidRPr="00E84EB9">
        <w:rPr>
          <w:lang w:val="fr-FR"/>
        </w:rPr>
        <w:t xml:space="preserve">concerner en tous points les </w:t>
      </w:r>
      <w:r w:rsidR="000C2F3D" w:rsidRPr="00E84EB9">
        <w:rPr>
          <w:lang w:val="fr-FR"/>
        </w:rPr>
        <w:t xml:space="preserve">petites zones de stockage au sein de grandes installations industrielles. </w:t>
      </w:r>
      <w:r w:rsidR="00B40BB1">
        <w:rPr>
          <w:lang w:val="fr-FR"/>
        </w:rPr>
        <w:t>Les</w:t>
      </w:r>
      <w:r w:rsidR="00A37FD7" w:rsidRPr="00E84EB9">
        <w:rPr>
          <w:lang w:val="fr-FR"/>
        </w:rPr>
        <w:t xml:space="preserve"> Partie</w:t>
      </w:r>
      <w:r w:rsidR="00B40BB1">
        <w:rPr>
          <w:lang w:val="fr-FR"/>
        </w:rPr>
        <w:t>s peuvent</w:t>
      </w:r>
      <w:r w:rsidR="00A37FD7" w:rsidRPr="00E84EB9">
        <w:rPr>
          <w:lang w:val="fr-FR"/>
        </w:rPr>
        <w:t xml:space="preserve">, si </w:t>
      </w:r>
      <w:r w:rsidRPr="00E84EB9">
        <w:rPr>
          <w:lang w:val="fr-FR"/>
        </w:rPr>
        <w:t>elle</w:t>
      </w:r>
      <w:r w:rsidR="00B40BB1">
        <w:rPr>
          <w:lang w:val="fr-FR"/>
        </w:rPr>
        <w:t>s</w:t>
      </w:r>
      <w:r w:rsidRPr="00E84EB9">
        <w:rPr>
          <w:lang w:val="fr-FR"/>
        </w:rPr>
        <w:t xml:space="preserve"> le juge</w:t>
      </w:r>
      <w:r w:rsidR="00B40BB1">
        <w:rPr>
          <w:lang w:val="fr-FR"/>
        </w:rPr>
        <w:t>nt</w:t>
      </w:r>
      <w:r w:rsidRPr="00E84EB9">
        <w:rPr>
          <w:lang w:val="fr-FR"/>
        </w:rPr>
        <w:t xml:space="preserve"> utile et selon les circonstances, </w:t>
      </w:r>
      <w:r w:rsidR="000C2F3D" w:rsidRPr="00E84EB9">
        <w:rPr>
          <w:lang w:val="fr-FR"/>
        </w:rPr>
        <w:t xml:space="preserve">appliquer les </w:t>
      </w:r>
      <w:r w:rsidRPr="00E84EB9">
        <w:rPr>
          <w:lang w:val="fr-FR"/>
        </w:rPr>
        <w:t xml:space="preserve">sections </w:t>
      </w:r>
      <w:r w:rsidR="000C2F3D" w:rsidRPr="00E84EB9">
        <w:rPr>
          <w:lang w:val="fr-FR"/>
        </w:rPr>
        <w:t>adéquates de ces directives à</w:t>
      </w:r>
      <w:r w:rsidR="00A37FD7" w:rsidRPr="00E84EB9">
        <w:rPr>
          <w:lang w:val="fr-FR"/>
        </w:rPr>
        <w:t xml:space="preserve"> ces petites zones de stockage.</w:t>
      </w:r>
    </w:p>
    <w:p w14:paraId="21B6253D" w14:textId="3BFA3B4B" w:rsidR="000C2F3D" w:rsidRPr="00E84EB9" w:rsidRDefault="00CB5E63" w:rsidP="00C12B8E">
      <w:pPr>
        <w:pStyle w:val="CH1"/>
        <w:rPr>
          <w:lang w:val="fr-FR"/>
        </w:rPr>
      </w:pPr>
      <w:r>
        <w:rPr>
          <w:lang w:val="fr-FR"/>
        </w:rPr>
        <w:tab/>
      </w:r>
      <w:bookmarkStart w:id="13" w:name="_Toc527548235"/>
      <w:r w:rsidR="000C2F3D" w:rsidRPr="00E84EB9">
        <w:rPr>
          <w:lang w:val="fr-FR"/>
        </w:rPr>
        <w:t>III.</w:t>
      </w:r>
      <w:r w:rsidR="000C2F3D" w:rsidRPr="00E84EB9">
        <w:rPr>
          <w:lang w:val="fr-FR"/>
        </w:rPr>
        <w:tab/>
      </w:r>
      <w:r w:rsidR="000C2F3D" w:rsidRPr="00E84EB9">
        <w:rPr>
          <w:bCs/>
          <w:lang w:val="fr-FR"/>
        </w:rPr>
        <w:t>Gestion générale</w:t>
      </w:r>
      <w:bookmarkStart w:id="14" w:name="_Toc520380778"/>
      <w:bookmarkEnd w:id="13"/>
      <w:bookmarkEnd w:id="14"/>
    </w:p>
    <w:p w14:paraId="63BF4710" w14:textId="49B1618C" w:rsidR="000C2F3D" w:rsidRPr="00E84EB9" w:rsidRDefault="000B3672" w:rsidP="00F474DD">
      <w:pPr>
        <w:pStyle w:val="Normalnumber"/>
        <w:numPr>
          <w:ilvl w:val="0"/>
          <w:numId w:val="5"/>
        </w:numPr>
        <w:ind w:left="1247" w:firstLine="0"/>
        <w:rPr>
          <w:lang w:val="fr-FR"/>
        </w:rPr>
      </w:pPr>
      <w:r w:rsidRPr="00E84EB9">
        <w:rPr>
          <w:lang w:val="fr-FR"/>
        </w:rPr>
        <w:t xml:space="preserve">Pour </w:t>
      </w:r>
      <w:r w:rsidR="00B13543">
        <w:rPr>
          <w:lang w:val="fr-FR"/>
        </w:rPr>
        <w:t>faire face au problème de</w:t>
      </w:r>
      <w:r w:rsidR="000C2F3D" w:rsidRPr="00E84EB9">
        <w:rPr>
          <w:lang w:val="fr-FR"/>
        </w:rPr>
        <w:t xml:space="preserve"> la gestion écologiquement rationnelle des substances dangereuses entreposées sur leur territoire, les </w:t>
      </w:r>
      <w:r w:rsidR="00A32A5F" w:rsidRPr="00E84EB9">
        <w:rPr>
          <w:lang w:val="fr-FR"/>
        </w:rPr>
        <w:t>Partie</w:t>
      </w:r>
      <w:r w:rsidR="000C2F3D" w:rsidRPr="00E84EB9">
        <w:rPr>
          <w:lang w:val="fr-FR"/>
        </w:rPr>
        <w:t xml:space="preserve">s </w:t>
      </w:r>
      <w:r w:rsidR="000F5942" w:rsidRPr="00E84EB9">
        <w:rPr>
          <w:lang w:val="fr-FR"/>
        </w:rPr>
        <w:t xml:space="preserve">peuvent </w:t>
      </w:r>
      <w:r w:rsidR="000C2F3D" w:rsidRPr="00E84EB9">
        <w:rPr>
          <w:lang w:val="fr-FR"/>
        </w:rPr>
        <w:t>envisager d</w:t>
      </w:r>
      <w:r w:rsidR="006C05FA">
        <w:rPr>
          <w:lang w:val="fr-FR"/>
        </w:rPr>
        <w:t>’</w:t>
      </w:r>
      <w:r w:rsidR="000C2F3D" w:rsidRPr="00E84EB9">
        <w:rPr>
          <w:lang w:val="fr-FR"/>
        </w:rPr>
        <w:t xml:space="preserve">élaborer et </w:t>
      </w:r>
      <w:r w:rsidR="000F5942" w:rsidRPr="00E84EB9">
        <w:rPr>
          <w:lang w:val="fr-FR"/>
        </w:rPr>
        <w:t xml:space="preserve">de mettre en œuvre </w:t>
      </w:r>
      <w:r w:rsidR="000C2F3D" w:rsidRPr="00E84EB9">
        <w:rPr>
          <w:lang w:val="fr-FR"/>
        </w:rPr>
        <w:t xml:space="preserve">des plans de gestion des produits chimiques approuvés par les secteurs concernés, tels que </w:t>
      </w:r>
      <w:r w:rsidR="00B13543">
        <w:rPr>
          <w:lang w:val="fr-FR"/>
        </w:rPr>
        <w:t xml:space="preserve">ceux de </w:t>
      </w:r>
      <w:r w:rsidR="000C2F3D" w:rsidRPr="00E84EB9">
        <w:rPr>
          <w:lang w:val="fr-FR"/>
        </w:rPr>
        <w:t>l</w:t>
      </w:r>
      <w:r w:rsidR="006C05FA">
        <w:rPr>
          <w:lang w:val="fr-FR"/>
        </w:rPr>
        <w:t>’</w:t>
      </w:r>
      <w:r w:rsidR="000C2F3D" w:rsidRPr="00E84EB9">
        <w:rPr>
          <w:lang w:val="fr-FR"/>
        </w:rPr>
        <w:t xml:space="preserve">environnement, </w:t>
      </w:r>
      <w:r w:rsidR="00B13543">
        <w:rPr>
          <w:lang w:val="fr-FR"/>
        </w:rPr>
        <w:t xml:space="preserve">de </w:t>
      </w:r>
      <w:r w:rsidR="000C2F3D" w:rsidRPr="00E84EB9">
        <w:rPr>
          <w:lang w:val="fr-FR"/>
        </w:rPr>
        <w:t>l</w:t>
      </w:r>
      <w:r w:rsidR="006C05FA">
        <w:rPr>
          <w:lang w:val="fr-FR"/>
        </w:rPr>
        <w:t>’</w:t>
      </w:r>
      <w:r w:rsidR="000C2F3D" w:rsidRPr="00E84EB9">
        <w:rPr>
          <w:lang w:val="fr-FR"/>
        </w:rPr>
        <w:t xml:space="preserve">emploi et </w:t>
      </w:r>
      <w:r w:rsidR="00B13543">
        <w:rPr>
          <w:lang w:val="fr-FR"/>
        </w:rPr>
        <w:t xml:space="preserve">de </w:t>
      </w:r>
      <w:r w:rsidR="000C2F3D" w:rsidRPr="00E84EB9">
        <w:rPr>
          <w:lang w:val="fr-FR"/>
        </w:rPr>
        <w:t xml:space="preserve">la santé. Ces plans </w:t>
      </w:r>
      <w:r w:rsidR="000F5942" w:rsidRPr="00E84EB9">
        <w:rPr>
          <w:lang w:val="fr-FR"/>
        </w:rPr>
        <w:t xml:space="preserve">peuvent inclure </w:t>
      </w:r>
      <w:r w:rsidR="000C2F3D" w:rsidRPr="00E84EB9">
        <w:rPr>
          <w:lang w:val="fr-FR"/>
        </w:rPr>
        <w:t>des lois, des règlements, des mesures, des accords avec l</w:t>
      </w:r>
      <w:r w:rsidR="006C05FA">
        <w:rPr>
          <w:lang w:val="fr-FR"/>
        </w:rPr>
        <w:t>’</w:t>
      </w:r>
      <w:r w:rsidR="000C2F3D" w:rsidRPr="00E84EB9">
        <w:rPr>
          <w:lang w:val="fr-FR"/>
        </w:rPr>
        <w:t xml:space="preserve">industrie, des normes reconnues, ou toute combinaison de </w:t>
      </w:r>
      <w:r w:rsidR="000F5942" w:rsidRPr="00E84EB9">
        <w:rPr>
          <w:lang w:val="fr-FR"/>
        </w:rPr>
        <w:t xml:space="preserve">ces </w:t>
      </w:r>
      <w:r w:rsidRPr="00E84EB9">
        <w:rPr>
          <w:lang w:val="fr-FR"/>
        </w:rPr>
        <w:t>dispositifs</w:t>
      </w:r>
      <w:r w:rsidR="000F5942" w:rsidRPr="00E84EB9">
        <w:rPr>
          <w:lang w:val="fr-FR"/>
        </w:rPr>
        <w:t xml:space="preserve"> </w:t>
      </w:r>
      <w:r w:rsidR="000C2F3D" w:rsidRPr="00E84EB9">
        <w:rPr>
          <w:lang w:val="fr-FR"/>
        </w:rPr>
        <w:t>ou d</w:t>
      </w:r>
      <w:r w:rsidR="006C05FA">
        <w:rPr>
          <w:lang w:val="fr-FR"/>
        </w:rPr>
        <w:t>’</w:t>
      </w:r>
      <w:r w:rsidR="000C2F3D" w:rsidRPr="00E84EB9">
        <w:rPr>
          <w:lang w:val="fr-FR"/>
        </w:rPr>
        <w:t xml:space="preserve">autres mécanismes de gestion. </w:t>
      </w:r>
      <w:r w:rsidR="000F5942" w:rsidRPr="00E84EB9">
        <w:rPr>
          <w:lang w:val="fr-FR"/>
        </w:rPr>
        <w:t xml:space="preserve">Ils </w:t>
      </w:r>
      <w:r w:rsidR="00400E8E">
        <w:rPr>
          <w:lang w:val="fr-FR"/>
        </w:rPr>
        <w:t xml:space="preserve">doivent </w:t>
      </w:r>
      <w:r w:rsidR="00B13543">
        <w:rPr>
          <w:lang w:val="fr-FR"/>
        </w:rPr>
        <w:t>couvrir</w:t>
      </w:r>
      <w:r w:rsidR="00AC6862" w:rsidRPr="00E84EB9">
        <w:rPr>
          <w:lang w:val="fr-FR"/>
        </w:rPr>
        <w:t xml:space="preserve"> </w:t>
      </w:r>
      <w:r w:rsidR="000F5942" w:rsidRPr="00E84EB9">
        <w:rPr>
          <w:lang w:val="fr-FR"/>
        </w:rPr>
        <w:t>l</w:t>
      </w:r>
      <w:r w:rsidR="000C2F3D" w:rsidRPr="00E84EB9">
        <w:rPr>
          <w:lang w:val="fr-FR"/>
        </w:rPr>
        <w:t>e mercure et les composés du mercure stoc</w:t>
      </w:r>
      <w:r w:rsidR="000F5942" w:rsidRPr="00E84EB9">
        <w:rPr>
          <w:lang w:val="fr-FR"/>
        </w:rPr>
        <w:t>kés en application de l</w:t>
      </w:r>
      <w:r w:rsidR="006C05FA">
        <w:rPr>
          <w:lang w:val="fr-FR"/>
        </w:rPr>
        <w:t>’</w:t>
      </w:r>
      <w:r w:rsidR="000F5942" w:rsidRPr="00E84EB9">
        <w:rPr>
          <w:lang w:val="fr-FR"/>
        </w:rPr>
        <w:t>article </w:t>
      </w:r>
      <w:r w:rsidR="000C2F3D" w:rsidRPr="00E84EB9">
        <w:rPr>
          <w:lang w:val="fr-FR"/>
        </w:rPr>
        <w:t>10 de la Conv</w:t>
      </w:r>
      <w:r w:rsidR="000F5942" w:rsidRPr="00E84EB9">
        <w:rPr>
          <w:lang w:val="fr-FR"/>
        </w:rPr>
        <w:t>ention</w:t>
      </w:r>
      <w:r w:rsidR="000C2F3D" w:rsidRPr="00E84EB9">
        <w:rPr>
          <w:lang w:val="fr-FR"/>
        </w:rPr>
        <w:t xml:space="preserve">. </w:t>
      </w:r>
      <w:r w:rsidRPr="00E84EB9">
        <w:rPr>
          <w:lang w:val="fr-FR"/>
        </w:rPr>
        <w:t xml:space="preserve">Pour </w:t>
      </w:r>
      <w:r w:rsidR="000C2F3D" w:rsidRPr="00E84EB9">
        <w:rPr>
          <w:lang w:val="fr-FR"/>
        </w:rPr>
        <w:t xml:space="preserve">cerner </w:t>
      </w:r>
      <w:r w:rsidR="00AC6862" w:rsidRPr="00E84EB9">
        <w:rPr>
          <w:lang w:val="fr-FR"/>
        </w:rPr>
        <w:t xml:space="preserve">ses </w:t>
      </w:r>
      <w:r w:rsidR="000C2F3D" w:rsidRPr="00E84EB9">
        <w:rPr>
          <w:lang w:val="fr-FR"/>
        </w:rPr>
        <w:t xml:space="preserve">besoins en termes de stockage provisoire, </w:t>
      </w:r>
      <w:r w:rsidR="00AC6862" w:rsidRPr="00E84EB9">
        <w:rPr>
          <w:lang w:val="fr-FR"/>
        </w:rPr>
        <w:t>une Partie p</w:t>
      </w:r>
      <w:r w:rsidR="00B13543">
        <w:rPr>
          <w:lang w:val="fr-FR"/>
        </w:rPr>
        <w:t>eut</w:t>
      </w:r>
      <w:r w:rsidR="00B13543" w:rsidRPr="00B13543">
        <w:rPr>
          <w:lang w:val="fr-FR"/>
        </w:rPr>
        <w:t xml:space="preserve"> </w:t>
      </w:r>
      <w:r w:rsidR="00B13543">
        <w:rPr>
          <w:lang w:val="fr-FR"/>
        </w:rPr>
        <w:t>trouver</w:t>
      </w:r>
      <w:r w:rsidR="00B13543" w:rsidRPr="00E84EB9">
        <w:rPr>
          <w:lang w:val="fr-FR"/>
        </w:rPr>
        <w:t xml:space="preserve"> utile</w:t>
      </w:r>
      <w:r w:rsidR="000C2F3D" w:rsidRPr="00E84EB9">
        <w:rPr>
          <w:lang w:val="fr-FR"/>
        </w:rPr>
        <w:t>, lors de l</w:t>
      </w:r>
      <w:r w:rsidR="006C05FA">
        <w:rPr>
          <w:lang w:val="fr-FR"/>
        </w:rPr>
        <w:t>’</w:t>
      </w:r>
      <w:r w:rsidR="000C2F3D" w:rsidRPr="00E84EB9">
        <w:rPr>
          <w:lang w:val="fr-FR"/>
        </w:rPr>
        <w:t xml:space="preserve">élaboration de </w:t>
      </w:r>
      <w:r w:rsidR="00AC6862" w:rsidRPr="00E84EB9">
        <w:rPr>
          <w:lang w:val="fr-FR"/>
        </w:rPr>
        <w:t xml:space="preserve">ses </w:t>
      </w:r>
      <w:r w:rsidR="000C2F3D" w:rsidRPr="00E84EB9">
        <w:rPr>
          <w:lang w:val="fr-FR"/>
        </w:rPr>
        <w:t xml:space="preserve">activités de mise en </w:t>
      </w:r>
      <w:r w:rsidR="00E84EB9" w:rsidRPr="00E84EB9">
        <w:rPr>
          <w:lang w:val="fr-FR"/>
        </w:rPr>
        <w:t>œuvre</w:t>
      </w:r>
      <w:r w:rsidR="000C2F3D" w:rsidRPr="00E84EB9">
        <w:rPr>
          <w:lang w:val="fr-FR"/>
        </w:rPr>
        <w:t xml:space="preserve">, </w:t>
      </w:r>
      <w:r w:rsidR="00AC6862" w:rsidRPr="00E84EB9">
        <w:rPr>
          <w:lang w:val="fr-FR"/>
        </w:rPr>
        <w:t xml:space="preserve">de recenser </w:t>
      </w:r>
      <w:r w:rsidR="000C2F3D" w:rsidRPr="00E84EB9">
        <w:rPr>
          <w:lang w:val="fr-FR"/>
        </w:rPr>
        <w:t>le</w:t>
      </w:r>
      <w:r w:rsidR="00B13543">
        <w:rPr>
          <w:lang w:val="fr-FR"/>
        </w:rPr>
        <w:t>s quantités de</w:t>
      </w:r>
      <w:r w:rsidR="000C2F3D" w:rsidRPr="00E84EB9">
        <w:rPr>
          <w:lang w:val="fr-FR"/>
        </w:rPr>
        <w:t xml:space="preserve"> mercure et </w:t>
      </w:r>
      <w:r w:rsidR="00B13543">
        <w:rPr>
          <w:lang w:val="fr-FR"/>
        </w:rPr>
        <w:t>de</w:t>
      </w:r>
      <w:r w:rsidR="000C2F3D" w:rsidRPr="00E84EB9">
        <w:rPr>
          <w:lang w:val="fr-FR"/>
        </w:rPr>
        <w:t xml:space="preserve"> composés du mercure </w:t>
      </w:r>
      <w:r w:rsidR="00B13543">
        <w:rPr>
          <w:lang w:val="fr-FR"/>
        </w:rPr>
        <w:t>existant</w:t>
      </w:r>
      <w:r w:rsidR="000C2F3D" w:rsidRPr="00E84EB9">
        <w:rPr>
          <w:lang w:val="fr-FR"/>
        </w:rPr>
        <w:t xml:space="preserve"> sur </w:t>
      </w:r>
      <w:r w:rsidR="00AC6862" w:rsidRPr="00E84EB9">
        <w:rPr>
          <w:lang w:val="fr-FR"/>
        </w:rPr>
        <w:t xml:space="preserve">son </w:t>
      </w:r>
      <w:r w:rsidR="000C2F3D" w:rsidRPr="00E84EB9">
        <w:rPr>
          <w:lang w:val="fr-FR"/>
        </w:rPr>
        <w:t xml:space="preserve">territoire et </w:t>
      </w:r>
      <w:r w:rsidR="00AC6862" w:rsidRPr="00E84EB9">
        <w:rPr>
          <w:lang w:val="fr-FR"/>
        </w:rPr>
        <w:t>d</w:t>
      </w:r>
      <w:r w:rsidR="006C05FA">
        <w:rPr>
          <w:lang w:val="fr-FR"/>
        </w:rPr>
        <w:t>’</w:t>
      </w:r>
      <w:r w:rsidR="00B13543">
        <w:rPr>
          <w:lang w:val="fr-FR"/>
        </w:rPr>
        <w:t xml:space="preserve">avoir </w:t>
      </w:r>
      <w:r w:rsidR="00AC6862" w:rsidRPr="00E84EB9">
        <w:rPr>
          <w:lang w:val="fr-FR"/>
        </w:rPr>
        <w:t xml:space="preserve">une </w:t>
      </w:r>
      <w:r w:rsidR="00B13543">
        <w:rPr>
          <w:lang w:val="fr-FR"/>
        </w:rPr>
        <w:t>idée</w:t>
      </w:r>
      <w:r w:rsidR="00AC6862" w:rsidRPr="00E84EB9">
        <w:rPr>
          <w:lang w:val="fr-FR"/>
        </w:rPr>
        <w:t xml:space="preserve"> générale</w:t>
      </w:r>
      <w:r w:rsidR="00B13543">
        <w:rPr>
          <w:lang w:val="fr-FR"/>
        </w:rPr>
        <w:t xml:space="preserve"> de</w:t>
      </w:r>
      <w:r w:rsidR="00AC6862" w:rsidRPr="00E84EB9">
        <w:rPr>
          <w:lang w:val="fr-FR"/>
        </w:rPr>
        <w:t xml:space="preserve"> </w:t>
      </w:r>
      <w:r w:rsidR="00B13543">
        <w:rPr>
          <w:lang w:val="fr-FR"/>
        </w:rPr>
        <w:t>celles</w:t>
      </w:r>
      <w:r w:rsidR="000C2F3D" w:rsidRPr="00E84EB9">
        <w:rPr>
          <w:lang w:val="fr-FR"/>
        </w:rPr>
        <w:t xml:space="preserve"> </w:t>
      </w:r>
      <w:r w:rsidR="00CB2697">
        <w:rPr>
          <w:lang w:val="fr-FR"/>
        </w:rPr>
        <w:t>se trouvant sur</w:t>
      </w:r>
      <w:r w:rsidR="000C2F3D" w:rsidRPr="00E84EB9">
        <w:rPr>
          <w:lang w:val="fr-FR"/>
        </w:rPr>
        <w:t xml:space="preserve"> chaque </w:t>
      </w:r>
      <w:r w:rsidR="00CB2697">
        <w:rPr>
          <w:lang w:val="fr-FR"/>
        </w:rPr>
        <w:t>site d’entreposage</w:t>
      </w:r>
      <w:r w:rsidR="000C2F3D" w:rsidRPr="00E84EB9">
        <w:rPr>
          <w:lang w:val="fr-FR"/>
        </w:rPr>
        <w:t xml:space="preserve">, afin de </w:t>
      </w:r>
      <w:r w:rsidR="00D9697F">
        <w:rPr>
          <w:lang w:val="fr-FR"/>
        </w:rPr>
        <w:t>fa</w:t>
      </w:r>
      <w:r w:rsidR="00B13543">
        <w:rPr>
          <w:lang w:val="fr-FR"/>
        </w:rPr>
        <w:t>ciliter leur</w:t>
      </w:r>
      <w:r w:rsidR="00D9697F">
        <w:rPr>
          <w:lang w:val="fr-FR"/>
        </w:rPr>
        <w:t xml:space="preserve"> </w:t>
      </w:r>
      <w:r w:rsidR="008D3454">
        <w:rPr>
          <w:lang w:val="fr-FR"/>
        </w:rPr>
        <w:t>stockage sûr et approprié. Ces </w:t>
      </w:r>
      <w:r w:rsidR="000C2F3D" w:rsidRPr="00E84EB9">
        <w:rPr>
          <w:lang w:val="fr-FR"/>
        </w:rPr>
        <w:t>informations contribueront par ailleurs à la mise en place de mesures de sécurité et d</w:t>
      </w:r>
      <w:r w:rsidR="006C05FA">
        <w:rPr>
          <w:lang w:val="fr-FR"/>
        </w:rPr>
        <w:t>’</w:t>
      </w:r>
      <w:r w:rsidR="000C2F3D" w:rsidRPr="00E84EB9">
        <w:rPr>
          <w:lang w:val="fr-FR"/>
        </w:rPr>
        <w:t>inspections réglementaires adaptées, ainsi qu</w:t>
      </w:r>
      <w:r w:rsidR="006C05FA">
        <w:rPr>
          <w:lang w:val="fr-FR"/>
        </w:rPr>
        <w:t>’</w:t>
      </w:r>
      <w:r w:rsidR="000C2F3D" w:rsidRPr="00E84EB9">
        <w:rPr>
          <w:lang w:val="fr-FR"/>
        </w:rPr>
        <w:t>à l</w:t>
      </w:r>
      <w:r w:rsidR="006C05FA">
        <w:rPr>
          <w:lang w:val="fr-FR"/>
        </w:rPr>
        <w:t>’</w:t>
      </w:r>
      <w:r w:rsidR="000C2F3D" w:rsidRPr="00E84EB9">
        <w:rPr>
          <w:lang w:val="fr-FR"/>
        </w:rPr>
        <w:t xml:space="preserve">élaboration de </w:t>
      </w:r>
      <w:r w:rsidR="00AC6862" w:rsidRPr="00E84EB9">
        <w:rPr>
          <w:lang w:val="fr-FR"/>
        </w:rPr>
        <w:t>plans d</w:t>
      </w:r>
      <w:r w:rsidR="006C05FA">
        <w:rPr>
          <w:lang w:val="fr-FR"/>
        </w:rPr>
        <w:t>’</w:t>
      </w:r>
      <w:r w:rsidR="00AC6862" w:rsidRPr="00E84EB9">
        <w:rPr>
          <w:lang w:val="fr-FR"/>
        </w:rPr>
        <w:t>intervention d</w:t>
      </w:r>
      <w:r w:rsidR="006C05FA">
        <w:rPr>
          <w:lang w:val="fr-FR"/>
        </w:rPr>
        <w:t>’</w:t>
      </w:r>
      <w:r w:rsidR="00AC6862" w:rsidRPr="00E84EB9">
        <w:rPr>
          <w:lang w:val="fr-FR"/>
        </w:rPr>
        <w:t>urgence.</w:t>
      </w:r>
    </w:p>
    <w:p w14:paraId="3C16099A" w14:textId="02749789" w:rsidR="000C2F3D" w:rsidRPr="00E84EB9" w:rsidRDefault="000C2F3D" w:rsidP="00F474DD">
      <w:pPr>
        <w:pStyle w:val="Normalnumber"/>
        <w:numPr>
          <w:ilvl w:val="0"/>
          <w:numId w:val="5"/>
        </w:numPr>
        <w:ind w:left="1247" w:firstLine="0"/>
        <w:rPr>
          <w:lang w:val="fr-FR"/>
        </w:rPr>
      </w:pPr>
      <w:r w:rsidRPr="00E84EB9">
        <w:rPr>
          <w:lang w:val="fr-FR"/>
        </w:rPr>
        <w:t xml:space="preserve">En ce qui concerne en particulier le mercure ou les composés du mercure, un inventaire national du mercure </w:t>
      </w:r>
      <w:r w:rsidR="00584681">
        <w:rPr>
          <w:lang w:val="fr-FR"/>
        </w:rPr>
        <w:t>peut</w:t>
      </w:r>
      <w:r w:rsidRPr="00E84EB9">
        <w:rPr>
          <w:lang w:val="fr-FR"/>
        </w:rPr>
        <w:t xml:space="preserve"> fournir des informations utiles pour tous les aspects de la mise en </w:t>
      </w:r>
      <w:r w:rsidR="00E84EB9" w:rsidRPr="00E84EB9">
        <w:rPr>
          <w:lang w:val="fr-FR"/>
        </w:rPr>
        <w:t>œuvre</w:t>
      </w:r>
      <w:r w:rsidRPr="00E84EB9">
        <w:rPr>
          <w:lang w:val="fr-FR"/>
        </w:rPr>
        <w:t xml:space="preserve"> de la Convention de Minamata. Comme noté ci-dessus, l</w:t>
      </w:r>
      <w:r w:rsidR="006C05FA">
        <w:rPr>
          <w:lang w:val="fr-FR"/>
        </w:rPr>
        <w:t>’</w:t>
      </w:r>
      <w:r w:rsidRPr="00E84EB9">
        <w:rPr>
          <w:lang w:val="fr-FR"/>
        </w:rPr>
        <w:t>artic</w:t>
      </w:r>
      <w:r w:rsidR="00AC6862" w:rsidRPr="00E84EB9">
        <w:rPr>
          <w:lang w:val="fr-FR"/>
        </w:rPr>
        <w:t>le </w:t>
      </w:r>
      <w:r w:rsidRPr="00E84EB9">
        <w:rPr>
          <w:lang w:val="fr-FR"/>
        </w:rPr>
        <w:t xml:space="preserve">3 de la Convention </w:t>
      </w:r>
      <w:r w:rsidR="00C52F99">
        <w:rPr>
          <w:lang w:val="fr-FR"/>
        </w:rPr>
        <w:t>exige</w:t>
      </w:r>
      <w:r w:rsidRPr="00E84EB9">
        <w:rPr>
          <w:lang w:val="fr-FR"/>
        </w:rPr>
        <w:t xml:space="preserve"> des </w:t>
      </w:r>
      <w:r w:rsidR="00A32A5F" w:rsidRPr="00E84EB9">
        <w:rPr>
          <w:lang w:val="fr-FR"/>
        </w:rPr>
        <w:t>Partie</w:t>
      </w:r>
      <w:r w:rsidRPr="00E84EB9">
        <w:rPr>
          <w:lang w:val="fr-FR"/>
        </w:rPr>
        <w:t>s qu</w:t>
      </w:r>
      <w:r w:rsidR="006C05FA">
        <w:rPr>
          <w:lang w:val="fr-FR"/>
        </w:rPr>
        <w:t>’</w:t>
      </w:r>
      <w:r w:rsidRPr="00E84EB9">
        <w:rPr>
          <w:lang w:val="fr-FR"/>
        </w:rPr>
        <w:t xml:space="preserve">elles </w:t>
      </w:r>
      <w:r w:rsidR="00C52F99">
        <w:rPr>
          <w:lang w:val="fr-FR"/>
        </w:rPr>
        <w:t>s’efforc</w:t>
      </w:r>
      <w:r w:rsidRPr="00E84EB9">
        <w:rPr>
          <w:lang w:val="fr-FR"/>
        </w:rPr>
        <w:t xml:space="preserve">ent de recenser les différents stocks de mercure ou </w:t>
      </w:r>
      <w:r w:rsidR="00AC6862" w:rsidRPr="00E84EB9">
        <w:rPr>
          <w:lang w:val="fr-FR"/>
        </w:rPr>
        <w:t xml:space="preserve">de </w:t>
      </w:r>
      <w:r w:rsidRPr="00E84EB9">
        <w:rPr>
          <w:lang w:val="fr-FR"/>
        </w:rPr>
        <w:t>co</w:t>
      </w:r>
      <w:r w:rsidR="00AC6862" w:rsidRPr="00E84EB9">
        <w:rPr>
          <w:lang w:val="fr-FR"/>
        </w:rPr>
        <w:t>mposés du mercure de plus de 50 </w:t>
      </w:r>
      <w:r w:rsidRPr="00E84EB9">
        <w:rPr>
          <w:lang w:val="fr-FR"/>
        </w:rPr>
        <w:t>tonnes métriques ainsi que les sources d</w:t>
      </w:r>
      <w:r w:rsidR="006C05FA">
        <w:rPr>
          <w:lang w:val="fr-FR"/>
        </w:rPr>
        <w:t>’</w:t>
      </w:r>
      <w:r w:rsidRPr="00E84EB9">
        <w:rPr>
          <w:lang w:val="fr-FR"/>
        </w:rPr>
        <w:t>approvisionnement en mercure prod</w:t>
      </w:r>
      <w:r w:rsidR="00AC6862" w:rsidRPr="00E84EB9">
        <w:rPr>
          <w:lang w:val="fr-FR"/>
        </w:rPr>
        <w:t>uisant des stocks de plus de 10 </w:t>
      </w:r>
      <w:r w:rsidRPr="00E84EB9">
        <w:rPr>
          <w:lang w:val="fr-FR"/>
        </w:rPr>
        <w:t>tonnes métriques par an qui se</w:t>
      </w:r>
      <w:r w:rsidR="00162640">
        <w:rPr>
          <w:lang w:val="fr-FR"/>
        </w:rPr>
        <w:t xml:space="preserve"> trouvent sur leur territoire. Par ailleurs, l</w:t>
      </w:r>
      <w:r w:rsidRPr="00E84EB9">
        <w:rPr>
          <w:lang w:val="fr-FR"/>
        </w:rPr>
        <w:t xml:space="preserve">es </w:t>
      </w:r>
      <w:r w:rsidR="00A32A5F" w:rsidRPr="00E84EB9">
        <w:rPr>
          <w:lang w:val="fr-FR"/>
        </w:rPr>
        <w:t>Partie</w:t>
      </w:r>
      <w:r w:rsidRPr="00E84EB9">
        <w:rPr>
          <w:lang w:val="fr-FR"/>
        </w:rPr>
        <w:t xml:space="preserve">s </w:t>
      </w:r>
      <w:r w:rsidR="00F4225C">
        <w:rPr>
          <w:lang w:val="fr-FR"/>
        </w:rPr>
        <w:t>trouv</w:t>
      </w:r>
      <w:r w:rsidRPr="00E84EB9">
        <w:rPr>
          <w:lang w:val="fr-FR"/>
        </w:rPr>
        <w:t xml:space="preserve">eront peut-être </w:t>
      </w:r>
      <w:r w:rsidR="00E860EC">
        <w:rPr>
          <w:lang w:val="fr-FR"/>
        </w:rPr>
        <w:t>utile</w:t>
      </w:r>
      <w:r w:rsidR="00100A1C">
        <w:rPr>
          <w:lang w:val="fr-FR"/>
        </w:rPr>
        <w:t>,</w:t>
      </w:r>
      <w:r w:rsidR="00E860EC">
        <w:rPr>
          <w:lang w:val="fr-FR"/>
        </w:rPr>
        <w:t xml:space="preserve"> </w:t>
      </w:r>
      <w:r w:rsidRPr="00E84EB9">
        <w:rPr>
          <w:lang w:val="fr-FR"/>
        </w:rPr>
        <w:t>dans le cadre de leur gestion générale du mercure</w:t>
      </w:r>
      <w:r w:rsidR="00100A1C">
        <w:rPr>
          <w:lang w:val="fr-FR"/>
        </w:rPr>
        <w:t>,</w:t>
      </w:r>
      <w:r w:rsidR="00100A1C" w:rsidRPr="00100A1C">
        <w:rPr>
          <w:lang w:val="fr-FR"/>
        </w:rPr>
        <w:t xml:space="preserve"> </w:t>
      </w:r>
      <w:r w:rsidR="00100A1C" w:rsidRPr="00E84EB9">
        <w:rPr>
          <w:lang w:val="fr-FR"/>
        </w:rPr>
        <w:t xml:space="preserve">de répertorier les </w:t>
      </w:r>
      <w:r w:rsidR="00CB2697">
        <w:rPr>
          <w:lang w:val="fr-FR"/>
        </w:rPr>
        <w:t>stocks et sources d’approvisionnement</w:t>
      </w:r>
      <w:r w:rsidR="00100A1C">
        <w:rPr>
          <w:lang w:val="fr-FR"/>
        </w:rPr>
        <w:t xml:space="preserve"> moins importants </w:t>
      </w:r>
      <w:r w:rsidRPr="00E84EB9">
        <w:rPr>
          <w:lang w:val="fr-FR"/>
        </w:rPr>
        <w:t xml:space="preserve">et de les inclure dans leurs inventaires nationaux, le cas échéant. </w:t>
      </w:r>
      <w:r w:rsidR="00CB2697">
        <w:rPr>
          <w:lang w:val="fr-FR"/>
        </w:rPr>
        <w:t>I</w:t>
      </w:r>
      <w:r w:rsidRPr="00E84EB9">
        <w:rPr>
          <w:lang w:val="fr-FR"/>
        </w:rPr>
        <w:t xml:space="preserve">l est </w:t>
      </w:r>
      <w:r w:rsidR="00CB2697">
        <w:rPr>
          <w:lang w:val="fr-FR"/>
        </w:rPr>
        <w:t xml:space="preserve">en outre </w:t>
      </w:r>
      <w:r w:rsidRPr="00E84EB9">
        <w:rPr>
          <w:lang w:val="fr-FR"/>
        </w:rPr>
        <w:t xml:space="preserve">recommandé </w:t>
      </w:r>
      <w:r w:rsidR="007C3926" w:rsidRPr="00E84EB9">
        <w:rPr>
          <w:lang w:val="fr-FR"/>
        </w:rPr>
        <w:t>d</w:t>
      </w:r>
      <w:r w:rsidR="006C05FA">
        <w:rPr>
          <w:lang w:val="fr-FR"/>
        </w:rPr>
        <w:t>’</w:t>
      </w:r>
      <w:r w:rsidR="007C3926" w:rsidRPr="00E84EB9">
        <w:rPr>
          <w:lang w:val="fr-FR"/>
        </w:rPr>
        <w:t xml:space="preserve">appliquer </w:t>
      </w:r>
      <w:r w:rsidR="00CB2697" w:rsidRPr="00E84EB9">
        <w:rPr>
          <w:lang w:val="fr-FR"/>
        </w:rPr>
        <w:t xml:space="preserve">dans la mesure du possible </w:t>
      </w:r>
      <w:r w:rsidRPr="00E84EB9">
        <w:rPr>
          <w:lang w:val="fr-FR"/>
        </w:rPr>
        <w:t xml:space="preserve">les orientations énoncées dans </w:t>
      </w:r>
      <w:r w:rsidR="00CB2697">
        <w:rPr>
          <w:lang w:val="fr-FR"/>
        </w:rPr>
        <w:t>le présent</w:t>
      </w:r>
      <w:r w:rsidRPr="00E84EB9">
        <w:rPr>
          <w:lang w:val="fr-FR"/>
        </w:rPr>
        <w:t xml:space="preserve"> document </w:t>
      </w:r>
      <w:r w:rsidR="000B3672" w:rsidRPr="00E84EB9">
        <w:rPr>
          <w:lang w:val="fr-FR"/>
        </w:rPr>
        <w:t xml:space="preserve">à ces </w:t>
      </w:r>
      <w:r w:rsidRPr="00E84EB9">
        <w:rPr>
          <w:lang w:val="fr-FR"/>
        </w:rPr>
        <w:t xml:space="preserve">stocks </w:t>
      </w:r>
      <w:r w:rsidR="00CB2697">
        <w:rPr>
          <w:lang w:val="fr-FR"/>
        </w:rPr>
        <w:t>et sources d’</w:t>
      </w:r>
      <w:r w:rsidRPr="00E84EB9">
        <w:rPr>
          <w:lang w:val="fr-FR"/>
        </w:rPr>
        <w:t>approvis</w:t>
      </w:r>
      <w:r w:rsidR="000B3672" w:rsidRPr="00E84EB9">
        <w:rPr>
          <w:lang w:val="fr-FR"/>
        </w:rPr>
        <w:t>ionnement</w:t>
      </w:r>
      <w:r w:rsidR="00CB2697">
        <w:rPr>
          <w:lang w:val="fr-FR"/>
        </w:rPr>
        <w:t xml:space="preserve"> moins importants,</w:t>
      </w:r>
      <w:r w:rsidR="000B3672" w:rsidRPr="00E84EB9">
        <w:rPr>
          <w:lang w:val="fr-FR"/>
        </w:rPr>
        <w:t xml:space="preserve"> </w:t>
      </w:r>
      <w:r w:rsidRPr="00E84EB9">
        <w:rPr>
          <w:lang w:val="fr-FR"/>
        </w:rPr>
        <w:t xml:space="preserve">lorsque cela est judicieux et réalisable. </w:t>
      </w:r>
      <w:r w:rsidR="007C3926" w:rsidRPr="00E84EB9">
        <w:rPr>
          <w:lang w:val="fr-FR"/>
        </w:rPr>
        <w:t xml:space="preserve">Le recensement </w:t>
      </w:r>
      <w:r w:rsidRPr="00E84EB9">
        <w:rPr>
          <w:lang w:val="fr-FR"/>
        </w:rPr>
        <w:t xml:space="preserve">des utilisations du mercure présent sur </w:t>
      </w:r>
      <w:r w:rsidR="007C3926" w:rsidRPr="00E84EB9">
        <w:rPr>
          <w:lang w:val="fr-FR"/>
        </w:rPr>
        <w:t xml:space="preserve">le </w:t>
      </w:r>
      <w:r w:rsidRPr="00E84EB9">
        <w:rPr>
          <w:lang w:val="fr-FR"/>
        </w:rPr>
        <w:t xml:space="preserve">territoire </w:t>
      </w:r>
      <w:r w:rsidR="007C3926" w:rsidRPr="00E84EB9">
        <w:rPr>
          <w:lang w:val="fr-FR"/>
        </w:rPr>
        <w:t>d</w:t>
      </w:r>
      <w:r w:rsidR="006C05FA">
        <w:rPr>
          <w:lang w:val="fr-FR"/>
        </w:rPr>
        <w:t>’</w:t>
      </w:r>
      <w:r w:rsidRPr="00E84EB9">
        <w:rPr>
          <w:lang w:val="fr-FR"/>
        </w:rPr>
        <w:t xml:space="preserve">une </w:t>
      </w:r>
      <w:r w:rsidR="00A32A5F" w:rsidRPr="00E84EB9">
        <w:rPr>
          <w:lang w:val="fr-FR"/>
        </w:rPr>
        <w:t>Partie</w:t>
      </w:r>
      <w:r w:rsidRPr="00E84EB9">
        <w:rPr>
          <w:lang w:val="fr-FR"/>
        </w:rPr>
        <w:t xml:space="preserve"> </w:t>
      </w:r>
      <w:r w:rsidR="007C3926" w:rsidRPr="00E84EB9">
        <w:rPr>
          <w:lang w:val="fr-FR"/>
        </w:rPr>
        <w:t xml:space="preserve">aidera celle-ci </w:t>
      </w:r>
      <w:r w:rsidRPr="00E84EB9">
        <w:rPr>
          <w:lang w:val="fr-FR"/>
        </w:rPr>
        <w:t xml:space="preserve">à estimer les quantités </w:t>
      </w:r>
      <w:r w:rsidR="00CB2697">
        <w:rPr>
          <w:lang w:val="fr-FR"/>
        </w:rPr>
        <w:t>à</w:t>
      </w:r>
      <w:r w:rsidRPr="00E84EB9">
        <w:rPr>
          <w:lang w:val="fr-FR"/>
        </w:rPr>
        <w:t xml:space="preserve"> stock</w:t>
      </w:r>
      <w:r w:rsidR="00CB2697">
        <w:rPr>
          <w:lang w:val="fr-FR"/>
        </w:rPr>
        <w:t>er</w:t>
      </w:r>
      <w:r w:rsidRPr="00E84EB9">
        <w:rPr>
          <w:lang w:val="fr-FR"/>
        </w:rPr>
        <w:t xml:space="preserve">. Il convient de noter que </w:t>
      </w:r>
      <w:r w:rsidR="007C3926" w:rsidRPr="00E84EB9">
        <w:rPr>
          <w:lang w:val="fr-FR"/>
        </w:rPr>
        <w:t>l</w:t>
      </w:r>
      <w:r w:rsidR="006C05FA">
        <w:rPr>
          <w:lang w:val="fr-FR"/>
        </w:rPr>
        <w:t>’</w:t>
      </w:r>
      <w:r w:rsidR="007C3926" w:rsidRPr="00E84EB9">
        <w:rPr>
          <w:lang w:val="fr-FR"/>
        </w:rPr>
        <w:t>u</w:t>
      </w:r>
      <w:r w:rsidR="000A1DB4">
        <w:rPr>
          <w:lang w:val="fr-FR"/>
        </w:rPr>
        <w:t>tilisation à laquelle le</w:t>
      </w:r>
      <w:r w:rsidRPr="00E84EB9">
        <w:rPr>
          <w:lang w:val="fr-FR"/>
        </w:rPr>
        <w:t xml:space="preserve"> mercure stocké </w:t>
      </w:r>
      <w:r w:rsidR="000A1DB4">
        <w:rPr>
          <w:lang w:val="fr-FR"/>
        </w:rPr>
        <w:t xml:space="preserve">est destiné </w:t>
      </w:r>
      <w:r w:rsidRPr="00E84EB9">
        <w:rPr>
          <w:lang w:val="fr-FR"/>
        </w:rPr>
        <w:t xml:space="preserve">peut </w:t>
      </w:r>
      <w:r w:rsidR="000A1DB4">
        <w:rPr>
          <w:lang w:val="fr-FR"/>
        </w:rPr>
        <w:t xml:space="preserve">ne </w:t>
      </w:r>
      <w:r w:rsidRPr="00E84EB9">
        <w:rPr>
          <w:lang w:val="fr-FR"/>
        </w:rPr>
        <w:t xml:space="preserve">pas toujours </w:t>
      </w:r>
      <w:r w:rsidR="00160E54" w:rsidRPr="00E84EB9">
        <w:rPr>
          <w:lang w:val="fr-FR"/>
        </w:rPr>
        <w:t>être connu</w:t>
      </w:r>
      <w:r w:rsidR="000A1DB4">
        <w:rPr>
          <w:lang w:val="fr-FR"/>
        </w:rPr>
        <w:t>e</w:t>
      </w:r>
      <w:r w:rsidRPr="00E84EB9">
        <w:rPr>
          <w:lang w:val="fr-FR"/>
        </w:rPr>
        <w:t xml:space="preserve">, </w:t>
      </w:r>
      <w:r w:rsidR="000A1DB4">
        <w:rPr>
          <w:lang w:val="fr-FR"/>
        </w:rPr>
        <w:t>mais qu’il convient d’essayer de l’établir</w:t>
      </w:r>
      <w:r w:rsidRPr="00E84EB9">
        <w:rPr>
          <w:lang w:val="fr-FR"/>
        </w:rPr>
        <w:t xml:space="preserve"> et de </w:t>
      </w:r>
      <w:r w:rsidR="000A1DB4">
        <w:rPr>
          <w:lang w:val="fr-FR"/>
        </w:rPr>
        <w:t>l’enregistrer</w:t>
      </w:r>
      <w:r w:rsidRPr="00E84EB9">
        <w:rPr>
          <w:lang w:val="fr-FR"/>
        </w:rPr>
        <w:t xml:space="preserve"> </w:t>
      </w:r>
      <w:r w:rsidR="000A1DB4">
        <w:rPr>
          <w:lang w:val="fr-FR"/>
        </w:rPr>
        <w:t>afin de vérifi</w:t>
      </w:r>
      <w:r w:rsidRPr="00E84EB9">
        <w:rPr>
          <w:lang w:val="fr-FR"/>
        </w:rPr>
        <w:t>er qu</w:t>
      </w:r>
      <w:r w:rsidR="006C05FA">
        <w:rPr>
          <w:lang w:val="fr-FR"/>
        </w:rPr>
        <w:t>’</w:t>
      </w:r>
      <w:r w:rsidR="000A1DB4">
        <w:rPr>
          <w:lang w:val="fr-FR"/>
        </w:rPr>
        <w:t>elle n’est pas interdite par</w:t>
      </w:r>
      <w:r w:rsidRPr="00E84EB9">
        <w:rPr>
          <w:lang w:val="fr-FR"/>
        </w:rPr>
        <w:t xml:space="preserve"> la Convention. Outre les méthodes nationales, l</w:t>
      </w:r>
      <w:r w:rsidR="006C05FA">
        <w:rPr>
          <w:lang w:val="fr-FR"/>
        </w:rPr>
        <w:t>’</w:t>
      </w:r>
      <w:r w:rsidRPr="00E84EB9">
        <w:rPr>
          <w:lang w:val="fr-FR"/>
        </w:rPr>
        <w:t>outil d</w:t>
      </w:r>
      <w:r w:rsidR="006C05FA">
        <w:rPr>
          <w:lang w:val="fr-FR"/>
        </w:rPr>
        <w:t>’</w:t>
      </w:r>
      <w:r w:rsidRPr="00E84EB9">
        <w:rPr>
          <w:lang w:val="fr-FR"/>
        </w:rPr>
        <w:t>identification et de quantification des rejets de m</w:t>
      </w:r>
      <w:r w:rsidR="00701B93">
        <w:rPr>
          <w:lang w:val="fr-FR"/>
        </w:rPr>
        <w:t>ercure du Programme des Nations </w:t>
      </w:r>
      <w:r w:rsidRPr="00E84EB9">
        <w:rPr>
          <w:lang w:val="fr-FR"/>
        </w:rPr>
        <w:t>Unies pour l</w:t>
      </w:r>
      <w:r w:rsidR="006C05FA">
        <w:rPr>
          <w:lang w:val="fr-FR"/>
        </w:rPr>
        <w:t>’</w:t>
      </w:r>
      <w:r w:rsidRPr="00E84EB9">
        <w:rPr>
          <w:lang w:val="fr-FR"/>
        </w:rPr>
        <w:t xml:space="preserve">environnement (PNUE, 2017c) fournit aux </w:t>
      </w:r>
      <w:r w:rsidR="00A32A5F" w:rsidRPr="00E84EB9">
        <w:rPr>
          <w:lang w:val="fr-FR"/>
        </w:rPr>
        <w:t>Partie</w:t>
      </w:r>
      <w:r w:rsidRPr="00E84EB9">
        <w:rPr>
          <w:lang w:val="fr-FR"/>
        </w:rPr>
        <w:t xml:space="preserve">s des ressources et des informations supplémentaires. Si cet outil est </w:t>
      </w:r>
      <w:r w:rsidR="007C3926" w:rsidRPr="00E84EB9">
        <w:rPr>
          <w:lang w:val="fr-FR"/>
        </w:rPr>
        <w:t xml:space="preserve">avant tout </w:t>
      </w:r>
      <w:r w:rsidRPr="00E84EB9">
        <w:rPr>
          <w:lang w:val="fr-FR"/>
        </w:rPr>
        <w:t>conçu pour l</w:t>
      </w:r>
      <w:r w:rsidR="006C05FA">
        <w:rPr>
          <w:lang w:val="fr-FR"/>
        </w:rPr>
        <w:t>’</w:t>
      </w:r>
      <w:r w:rsidRPr="00E84EB9">
        <w:rPr>
          <w:lang w:val="fr-FR"/>
        </w:rPr>
        <w:t xml:space="preserve">évaluation des émissions et rejets de mercure, </w:t>
      </w:r>
      <w:r w:rsidR="007C3926" w:rsidRPr="00E84EB9">
        <w:rPr>
          <w:lang w:val="fr-FR"/>
        </w:rPr>
        <w:t xml:space="preserve">il constitue </w:t>
      </w:r>
      <w:r w:rsidRPr="00E84EB9">
        <w:rPr>
          <w:lang w:val="fr-FR"/>
        </w:rPr>
        <w:t>également une source d</w:t>
      </w:r>
      <w:r w:rsidR="006C05FA">
        <w:rPr>
          <w:lang w:val="fr-FR"/>
        </w:rPr>
        <w:t>’</w:t>
      </w:r>
      <w:r w:rsidRPr="00E84EB9">
        <w:rPr>
          <w:lang w:val="fr-FR"/>
        </w:rPr>
        <w:t>informations sur les utilisations du mercure et des composés du mercure qui peut se ré</w:t>
      </w:r>
      <w:r w:rsidR="007C3926" w:rsidRPr="00E84EB9">
        <w:rPr>
          <w:lang w:val="fr-FR"/>
        </w:rPr>
        <w:t>véler utile au niveau national.</w:t>
      </w:r>
    </w:p>
    <w:p w14:paraId="347B3C27" w14:textId="206EC3F2" w:rsidR="000C2F3D" w:rsidRPr="00E84EB9" w:rsidRDefault="000C2F3D" w:rsidP="00F474DD">
      <w:pPr>
        <w:pStyle w:val="Normalnumber"/>
        <w:numPr>
          <w:ilvl w:val="0"/>
          <w:numId w:val="5"/>
        </w:numPr>
        <w:ind w:left="1247" w:firstLine="0"/>
        <w:rPr>
          <w:lang w:val="fr-FR"/>
        </w:rPr>
      </w:pPr>
      <w:r w:rsidRPr="00E84EB9">
        <w:rPr>
          <w:lang w:val="fr-FR"/>
        </w:rPr>
        <w:lastRenderedPageBreak/>
        <w:t xml:space="preserve">Les orientations sur le recensement des stocks adoptées par la Conférence des </w:t>
      </w:r>
      <w:r w:rsidR="00A32A5F" w:rsidRPr="00E84EB9">
        <w:rPr>
          <w:lang w:val="fr-FR"/>
        </w:rPr>
        <w:t>Partie</w:t>
      </w:r>
      <w:r w:rsidRPr="00E84EB9">
        <w:rPr>
          <w:lang w:val="fr-FR"/>
        </w:rPr>
        <w:t>s à sa première réunion (PNUE 2017b) peuvent servir</w:t>
      </w:r>
      <w:r w:rsidR="002E0469">
        <w:rPr>
          <w:lang w:val="fr-FR"/>
        </w:rPr>
        <w:t>,</w:t>
      </w:r>
      <w:r w:rsidR="002E0469" w:rsidRPr="00E84EB9">
        <w:rPr>
          <w:lang w:val="fr-FR"/>
        </w:rPr>
        <w:t xml:space="preserve"> au niveau national,</w:t>
      </w:r>
      <w:r w:rsidRPr="00E84EB9">
        <w:rPr>
          <w:lang w:val="fr-FR"/>
        </w:rPr>
        <w:t xml:space="preserve"> à établir un registre d</w:t>
      </w:r>
      <w:r w:rsidR="006C05FA">
        <w:rPr>
          <w:lang w:val="fr-FR"/>
        </w:rPr>
        <w:t>’</w:t>
      </w:r>
      <w:r w:rsidRPr="00E84EB9">
        <w:rPr>
          <w:lang w:val="fr-FR"/>
        </w:rPr>
        <w:t xml:space="preserve">informations sur le mercure </w:t>
      </w:r>
      <w:r w:rsidR="006E43C0" w:rsidRPr="00E84EB9">
        <w:rPr>
          <w:lang w:val="fr-FR"/>
        </w:rPr>
        <w:t xml:space="preserve">susceptible de faciliter les </w:t>
      </w:r>
      <w:r w:rsidRPr="00E84EB9">
        <w:rPr>
          <w:lang w:val="fr-FR"/>
        </w:rPr>
        <w:t xml:space="preserve">inspections réglementaires et de sécurité, ainsi </w:t>
      </w:r>
      <w:r w:rsidR="006E43C0" w:rsidRPr="00E84EB9">
        <w:rPr>
          <w:lang w:val="fr-FR"/>
        </w:rPr>
        <w:t xml:space="preserve">que </w:t>
      </w:r>
      <w:r w:rsidRPr="00E84EB9">
        <w:rPr>
          <w:lang w:val="fr-FR"/>
        </w:rPr>
        <w:t>l</w:t>
      </w:r>
      <w:r w:rsidR="006C05FA">
        <w:rPr>
          <w:lang w:val="fr-FR"/>
        </w:rPr>
        <w:t>’</w:t>
      </w:r>
      <w:r w:rsidRPr="00E84EB9">
        <w:rPr>
          <w:lang w:val="fr-FR"/>
        </w:rPr>
        <w:t>élaboration de plans d</w:t>
      </w:r>
      <w:r w:rsidR="006C05FA">
        <w:rPr>
          <w:lang w:val="fr-FR"/>
        </w:rPr>
        <w:t>’</w:t>
      </w:r>
      <w:r w:rsidRPr="00E84EB9">
        <w:rPr>
          <w:lang w:val="fr-FR"/>
        </w:rPr>
        <w:t>intervention d</w:t>
      </w:r>
      <w:r w:rsidR="006C05FA">
        <w:rPr>
          <w:lang w:val="fr-FR"/>
        </w:rPr>
        <w:t>’</w:t>
      </w:r>
      <w:r w:rsidRPr="00E84EB9">
        <w:rPr>
          <w:lang w:val="fr-FR"/>
        </w:rPr>
        <w:t>urgence conformément aux l</w:t>
      </w:r>
      <w:r w:rsidR="00D72C62">
        <w:rPr>
          <w:lang w:val="fr-FR"/>
        </w:rPr>
        <w:t>ois et règlements nationaux. Au </w:t>
      </w:r>
      <w:r w:rsidRPr="00E84EB9">
        <w:rPr>
          <w:lang w:val="fr-FR"/>
        </w:rPr>
        <w:t xml:space="preserve">minimum, un registre des sites approuvés pour le stockage provisoire du mercure </w:t>
      </w:r>
      <w:r w:rsidR="006E43C0" w:rsidRPr="00E84EB9">
        <w:rPr>
          <w:lang w:val="fr-FR"/>
        </w:rPr>
        <w:t xml:space="preserve">peut être </w:t>
      </w:r>
      <w:r w:rsidRPr="00E84EB9">
        <w:rPr>
          <w:lang w:val="fr-FR"/>
        </w:rPr>
        <w:t xml:space="preserve">nécessaire pour garantir </w:t>
      </w:r>
      <w:r w:rsidR="006E43C0" w:rsidRPr="00E84EB9">
        <w:rPr>
          <w:lang w:val="fr-FR"/>
        </w:rPr>
        <w:t xml:space="preserve">un </w:t>
      </w:r>
      <w:r w:rsidRPr="00E84EB9">
        <w:rPr>
          <w:lang w:val="fr-FR"/>
        </w:rPr>
        <w:t xml:space="preserve">stockage écologiquement rationnel du mercure. </w:t>
      </w:r>
    </w:p>
    <w:p w14:paraId="76BF6A86" w14:textId="7FB3A3F7" w:rsidR="000C2F3D" w:rsidRDefault="00CB5E63" w:rsidP="00CB5E63">
      <w:pPr>
        <w:pStyle w:val="CH1"/>
        <w:rPr>
          <w:bCs/>
          <w:lang w:val="fr-FR"/>
        </w:rPr>
      </w:pPr>
      <w:r>
        <w:rPr>
          <w:lang w:val="fr-FR"/>
        </w:rPr>
        <w:tab/>
      </w:r>
      <w:bookmarkStart w:id="15" w:name="_Toc527548236"/>
      <w:r w:rsidR="000C2F3D" w:rsidRPr="00E84EB9">
        <w:rPr>
          <w:lang w:val="fr-FR"/>
        </w:rPr>
        <w:t>IV.</w:t>
      </w:r>
      <w:r w:rsidR="000C2F3D" w:rsidRPr="00E84EB9">
        <w:rPr>
          <w:lang w:val="fr-FR"/>
        </w:rPr>
        <w:tab/>
      </w:r>
      <w:r w:rsidR="000C2F3D" w:rsidRPr="00E84EB9">
        <w:rPr>
          <w:bCs/>
          <w:lang w:val="fr-FR"/>
        </w:rPr>
        <w:t>Stockage provisoire écologiquement rationnel</w:t>
      </w:r>
      <w:bookmarkStart w:id="16" w:name="_Toc520380779"/>
      <w:bookmarkEnd w:id="15"/>
      <w:bookmarkEnd w:id="16"/>
    </w:p>
    <w:p w14:paraId="7E8E1B27" w14:textId="14063C83" w:rsidR="00CB5E63" w:rsidRPr="00024C21" w:rsidRDefault="00CB5E63" w:rsidP="00CB5E63">
      <w:pPr>
        <w:pStyle w:val="CH2"/>
        <w:rPr>
          <w:lang w:val="fr-FR"/>
        </w:rPr>
      </w:pPr>
      <w:r w:rsidRPr="00024C21">
        <w:rPr>
          <w:lang w:val="fr-FR"/>
        </w:rPr>
        <w:tab/>
      </w:r>
      <w:bookmarkStart w:id="17" w:name="_Toc527548237"/>
      <w:r w:rsidRPr="00024C21">
        <w:rPr>
          <w:lang w:val="fr-FR"/>
        </w:rPr>
        <w:t>A.</w:t>
      </w:r>
      <w:r w:rsidRPr="00024C21">
        <w:rPr>
          <w:lang w:val="fr-FR"/>
        </w:rPr>
        <w:tab/>
      </w:r>
      <w:r w:rsidRPr="00E84EB9">
        <w:rPr>
          <w:bCs/>
          <w:lang w:val="fr-FR"/>
        </w:rPr>
        <w:t>Emplacement</w:t>
      </w:r>
      <w:bookmarkEnd w:id="17"/>
      <w:r w:rsidRPr="00024C21">
        <w:rPr>
          <w:lang w:val="fr-FR"/>
        </w:rPr>
        <w:t xml:space="preserve"> </w:t>
      </w:r>
    </w:p>
    <w:p w14:paraId="00306B07" w14:textId="0380A87B" w:rsidR="000C2F3D" w:rsidRPr="00E84EB9" w:rsidRDefault="000C2F3D" w:rsidP="005A1CB1">
      <w:pPr>
        <w:pStyle w:val="Normalnumber"/>
        <w:keepNext/>
        <w:keepLines/>
        <w:numPr>
          <w:ilvl w:val="0"/>
          <w:numId w:val="5"/>
        </w:numPr>
        <w:ind w:left="1247" w:firstLine="0"/>
        <w:rPr>
          <w:lang w:val="fr-FR"/>
        </w:rPr>
      </w:pPr>
      <w:r w:rsidRPr="00E84EB9">
        <w:rPr>
          <w:lang w:val="fr-FR"/>
        </w:rPr>
        <w:t>Un certain nombre de facteurs environnementaux, techniques et sociaux doivent être pris en compte lors du choix de l</w:t>
      </w:r>
      <w:r w:rsidR="006C05FA">
        <w:rPr>
          <w:lang w:val="fr-FR"/>
        </w:rPr>
        <w:t>’</w:t>
      </w:r>
      <w:r w:rsidRPr="00E84EB9">
        <w:rPr>
          <w:lang w:val="fr-FR"/>
        </w:rPr>
        <w:t xml:space="preserve">emplacement des installations de stockage. </w:t>
      </w:r>
      <w:r w:rsidR="008E2520" w:rsidRPr="00E84EB9">
        <w:rPr>
          <w:lang w:val="fr-FR"/>
        </w:rPr>
        <w:t>C</w:t>
      </w:r>
      <w:r w:rsidR="006C05FA">
        <w:rPr>
          <w:lang w:val="fr-FR"/>
        </w:rPr>
        <w:t>’</w:t>
      </w:r>
      <w:r w:rsidR="008E2520" w:rsidRPr="00E84EB9">
        <w:rPr>
          <w:lang w:val="fr-FR"/>
        </w:rPr>
        <w:t xml:space="preserve">est pourquoi il convient de réaliser </w:t>
      </w:r>
      <w:r w:rsidRPr="00E84EB9">
        <w:rPr>
          <w:lang w:val="fr-FR"/>
        </w:rPr>
        <w:t>une étude d</w:t>
      </w:r>
      <w:r w:rsidR="006C05FA">
        <w:rPr>
          <w:lang w:val="fr-FR"/>
        </w:rPr>
        <w:t>’</w:t>
      </w:r>
      <w:r w:rsidRPr="00E84EB9">
        <w:rPr>
          <w:lang w:val="fr-FR"/>
        </w:rPr>
        <w:t>impact sur l</w:t>
      </w:r>
      <w:r w:rsidR="006C05FA">
        <w:rPr>
          <w:lang w:val="fr-FR"/>
        </w:rPr>
        <w:t>’</w:t>
      </w:r>
      <w:r w:rsidRPr="00E84EB9">
        <w:rPr>
          <w:lang w:val="fr-FR"/>
        </w:rPr>
        <w:t>environnement, ainsi que des évaluations soci</w:t>
      </w:r>
      <w:r w:rsidR="008E2520" w:rsidRPr="00E84EB9">
        <w:rPr>
          <w:lang w:val="fr-FR"/>
        </w:rPr>
        <w:t xml:space="preserve">ales, juridiques et économiques, pour </w:t>
      </w:r>
      <w:r w:rsidRPr="00E84EB9">
        <w:rPr>
          <w:lang w:val="fr-FR"/>
        </w:rPr>
        <w:t>déterminer</w:t>
      </w:r>
      <w:r w:rsidR="008E2520" w:rsidRPr="00E84EB9">
        <w:rPr>
          <w:lang w:val="fr-FR"/>
        </w:rPr>
        <w:t xml:space="preserve"> le meilleur </w:t>
      </w:r>
      <w:r w:rsidR="002E0469">
        <w:rPr>
          <w:lang w:val="fr-FR"/>
        </w:rPr>
        <w:t xml:space="preserve">des </w:t>
      </w:r>
      <w:r w:rsidR="008E2520" w:rsidRPr="00E84EB9">
        <w:rPr>
          <w:lang w:val="fr-FR"/>
        </w:rPr>
        <w:t>site</w:t>
      </w:r>
      <w:r w:rsidR="002E0469">
        <w:rPr>
          <w:lang w:val="fr-FR"/>
        </w:rPr>
        <w:t>s</w:t>
      </w:r>
      <w:r w:rsidR="008E2520" w:rsidRPr="00E84EB9">
        <w:rPr>
          <w:lang w:val="fr-FR"/>
        </w:rPr>
        <w:t xml:space="preserve"> </w:t>
      </w:r>
      <w:r w:rsidR="002E0469">
        <w:rPr>
          <w:lang w:val="fr-FR"/>
        </w:rPr>
        <w:t>disponi</w:t>
      </w:r>
      <w:r w:rsidR="008E2520" w:rsidRPr="00E84EB9">
        <w:rPr>
          <w:lang w:val="fr-FR"/>
        </w:rPr>
        <w:t>ble</w:t>
      </w:r>
      <w:r w:rsidR="002E0469">
        <w:rPr>
          <w:lang w:val="fr-FR"/>
        </w:rPr>
        <w:t>s</w:t>
      </w:r>
      <w:r w:rsidR="008E2520" w:rsidRPr="00E84EB9">
        <w:rPr>
          <w:lang w:val="fr-FR"/>
        </w:rPr>
        <w:t>.</w:t>
      </w:r>
    </w:p>
    <w:p w14:paraId="5C868CA9" w14:textId="56716E7B" w:rsidR="000C2F3D" w:rsidRPr="00E84EB9" w:rsidRDefault="0086402E" w:rsidP="00F474DD">
      <w:pPr>
        <w:pStyle w:val="Normalnumber"/>
        <w:numPr>
          <w:ilvl w:val="0"/>
          <w:numId w:val="5"/>
        </w:numPr>
        <w:ind w:left="1247" w:firstLine="0"/>
        <w:rPr>
          <w:lang w:val="fr-FR"/>
        </w:rPr>
      </w:pPr>
      <w:r w:rsidRPr="00E84EB9">
        <w:rPr>
          <w:lang w:val="fr-FR"/>
        </w:rPr>
        <w:t>Le site de l</w:t>
      </w:r>
      <w:r w:rsidR="006C05FA">
        <w:rPr>
          <w:lang w:val="fr-FR"/>
        </w:rPr>
        <w:t>’</w:t>
      </w:r>
      <w:r w:rsidRPr="00E84EB9">
        <w:rPr>
          <w:lang w:val="fr-FR"/>
        </w:rPr>
        <w:t>installation de stockage devrait être choisi sur la base</w:t>
      </w:r>
      <w:r w:rsidR="007662F2" w:rsidRPr="00E84EB9">
        <w:rPr>
          <w:lang w:val="fr-FR"/>
        </w:rPr>
        <w:t xml:space="preserve"> de divers critères, notamment, </w:t>
      </w:r>
      <w:r w:rsidRPr="00E84EB9">
        <w:rPr>
          <w:lang w:val="fr-FR"/>
        </w:rPr>
        <w:t xml:space="preserve">mais pas exclusivement, géologiques, hydrologiques, hydrogéologiques, biologiques, écologiques, météorologiques et politiques. Une installation </w:t>
      </w:r>
      <w:r w:rsidR="007662F2" w:rsidRPr="00E84EB9">
        <w:rPr>
          <w:lang w:val="fr-FR"/>
        </w:rPr>
        <w:t>de stockage devrait être placée </w:t>
      </w:r>
      <w:r w:rsidRPr="00E84EB9">
        <w:rPr>
          <w:lang w:val="fr-FR"/>
        </w:rPr>
        <w:t>:</w:t>
      </w:r>
    </w:p>
    <w:p w14:paraId="30CF142D" w14:textId="5A2E3E53" w:rsidR="000C2F3D" w:rsidRPr="00E84EB9" w:rsidRDefault="002E0469" w:rsidP="005A1CB1">
      <w:pPr>
        <w:pStyle w:val="Normalnumber"/>
        <w:numPr>
          <w:ilvl w:val="0"/>
          <w:numId w:val="7"/>
        </w:numPr>
        <w:ind w:left="1247" w:firstLine="624"/>
        <w:rPr>
          <w:lang w:val="fr-FR"/>
        </w:rPr>
      </w:pPr>
      <w:r w:rsidRPr="00E84EB9">
        <w:rPr>
          <w:lang w:val="fr-FR"/>
        </w:rPr>
        <w:t xml:space="preserve">Dans </w:t>
      </w:r>
      <w:r w:rsidR="00B97888" w:rsidRPr="00E84EB9">
        <w:rPr>
          <w:lang w:val="fr-FR"/>
        </w:rPr>
        <w:t xml:space="preserve">une zone sans pergélisol ou de pergélisol stable au dégel pour éviter les conséquences de la fonte sur les infrastructures </w:t>
      </w:r>
      <w:r w:rsidR="007662F2" w:rsidRPr="00E84EB9">
        <w:rPr>
          <w:lang w:val="fr-FR"/>
        </w:rPr>
        <w:t>de l</w:t>
      </w:r>
      <w:r w:rsidR="006C05FA">
        <w:rPr>
          <w:lang w:val="fr-FR"/>
        </w:rPr>
        <w:t>’</w:t>
      </w:r>
      <w:r w:rsidR="007662F2" w:rsidRPr="00E84EB9">
        <w:rPr>
          <w:lang w:val="fr-FR"/>
        </w:rPr>
        <w:t>installation</w:t>
      </w:r>
      <w:r w:rsidR="00B97888" w:rsidRPr="00E84EB9">
        <w:rPr>
          <w:lang w:val="fr-FR"/>
        </w:rPr>
        <w:t>, en particulier dans le ca</w:t>
      </w:r>
      <w:r w:rsidR="007662F2" w:rsidRPr="00E84EB9">
        <w:rPr>
          <w:lang w:val="fr-FR"/>
        </w:rPr>
        <w:t>dre du réchauffement climatique </w:t>
      </w:r>
      <w:r w:rsidR="00B97888" w:rsidRPr="00E84EB9">
        <w:rPr>
          <w:lang w:val="fr-FR"/>
        </w:rPr>
        <w:t>;</w:t>
      </w:r>
    </w:p>
    <w:p w14:paraId="1345CFFA" w14:textId="4A8BE046" w:rsidR="000C2F3D" w:rsidRPr="00E84EB9" w:rsidRDefault="002E0469" w:rsidP="005A1CB1">
      <w:pPr>
        <w:pStyle w:val="Normalnumber"/>
        <w:numPr>
          <w:ilvl w:val="0"/>
          <w:numId w:val="7"/>
        </w:numPr>
        <w:ind w:left="1247" w:firstLine="624"/>
        <w:rPr>
          <w:lang w:val="fr-FR"/>
        </w:rPr>
      </w:pPr>
      <w:r w:rsidRPr="00E84EB9">
        <w:rPr>
          <w:lang w:val="fr-FR"/>
        </w:rPr>
        <w:t>À</w:t>
      </w:r>
      <w:r w:rsidR="000C2F3D" w:rsidRPr="00E84EB9">
        <w:rPr>
          <w:lang w:val="fr-FR"/>
        </w:rPr>
        <w:t xml:space="preserve"> l</w:t>
      </w:r>
      <w:r w:rsidR="006C05FA">
        <w:rPr>
          <w:lang w:val="fr-FR"/>
        </w:rPr>
        <w:t>’</w:t>
      </w:r>
      <w:r w:rsidR="000C2F3D" w:rsidRPr="00E84EB9">
        <w:rPr>
          <w:lang w:val="fr-FR"/>
        </w:rPr>
        <w:t>écart de</w:t>
      </w:r>
      <w:r>
        <w:rPr>
          <w:lang w:val="fr-FR"/>
        </w:rPr>
        <w:t>s</w:t>
      </w:r>
      <w:r w:rsidR="000C2F3D" w:rsidRPr="00E84EB9">
        <w:rPr>
          <w:lang w:val="fr-FR"/>
        </w:rPr>
        <w:t xml:space="preserve"> zones géologiquement instables telles que </w:t>
      </w:r>
      <w:r>
        <w:rPr>
          <w:lang w:val="fr-FR"/>
        </w:rPr>
        <w:t>l</w:t>
      </w:r>
      <w:r w:rsidR="000C2F3D" w:rsidRPr="00E84EB9">
        <w:rPr>
          <w:lang w:val="fr-FR"/>
        </w:rPr>
        <w:t>es zones d</w:t>
      </w:r>
      <w:r w:rsidR="006C05FA">
        <w:rPr>
          <w:lang w:val="fr-FR"/>
        </w:rPr>
        <w:t>’</w:t>
      </w:r>
      <w:r w:rsidR="000C2F3D" w:rsidRPr="00E84EB9">
        <w:rPr>
          <w:lang w:val="fr-FR"/>
        </w:rPr>
        <w:t xml:space="preserve">activité sismique, </w:t>
      </w:r>
      <w:r w:rsidR="007662F2" w:rsidRPr="00E84EB9">
        <w:rPr>
          <w:lang w:val="fr-FR"/>
        </w:rPr>
        <w:t xml:space="preserve">pour </w:t>
      </w:r>
      <w:r w:rsidR="000C2F3D" w:rsidRPr="00E84EB9">
        <w:rPr>
          <w:lang w:val="fr-FR"/>
        </w:rPr>
        <w:t xml:space="preserve">prévenir tout </w:t>
      </w:r>
      <w:r w:rsidR="007662F2" w:rsidRPr="00E84EB9">
        <w:rPr>
          <w:lang w:val="fr-FR"/>
        </w:rPr>
        <w:t>en</w:t>
      </w:r>
      <w:r w:rsidR="000C2F3D" w:rsidRPr="00E84EB9">
        <w:rPr>
          <w:lang w:val="fr-FR"/>
        </w:rPr>
        <w:t>dommage</w:t>
      </w:r>
      <w:r w:rsidR="007662F2" w:rsidRPr="00E84EB9">
        <w:rPr>
          <w:lang w:val="fr-FR"/>
        </w:rPr>
        <w:t>ment</w:t>
      </w:r>
      <w:r w:rsidR="000C2F3D" w:rsidRPr="00E84EB9">
        <w:rPr>
          <w:lang w:val="fr-FR"/>
        </w:rPr>
        <w:t xml:space="preserve"> </w:t>
      </w:r>
      <w:r w:rsidR="007662F2" w:rsidRPr="00E84EB9">
        <w:rPr>
          <w:lang w:val="fr-FR"/>
        </w:rPr>
        <w:t xml:space="preserve">des </w:t>
      </w:r>
      <w:r w:rsidR="000C2F3D" w:rsidRPr="00E84EB9">
        <w:rPr>
          <w:lang w:val="fr-FR"/>
        </w:rPr>
        <w:t xml:space="preserve">infrastructures </w:t>
      </w:r>
      <w:r w:rsidR="007662F2" w:rsidRPr="00E84EB9">
        <w:rPr>
          <w:lang w:val="fr-FR"/>
        </w:rPr>
        <w:t>de l</w:t>
      </w:r>
      <w:r w:rsidR="006C05FA">
        <w:rPr>
          <w:lang w:val="fr-FR"/>
        </w:rPr>
        <w:t>’</w:t>
      </w:r>
      <w:r w:rsidR="000C2F3D" w:rsidRPr="00E84EB9">
        <w:rPr>
          <w:lang w:val="fr-FR"/>
        </w:rPr>
        <w:t>inst</w:t>
      </w:r>
      <w:r w:rsidR="007662F2" w:rsidRPr="00E84EB9">
        <w:rPr>
          <w:lang w:val="fr-FR"/>
        </w:rPr>
        <w:t>allation</w:t>
      </w:r>
      <w:r w:rsidR="000C2F3D" w:rsidRPr="00E84EB9">
        <w:rPr>
          <w:lang w:val="fr-FR"/>
        </w:rPr>
        <w:t>, ou dans une zone où les systèmes sont en mesure de résister a</w:t>
      </w:r>
      <w:r w:rsidR="007662F2" w:rsidRPr="00E84EB9">
        <w:rPr>
          <w:lang w:val="fr-FR"/>
        </w:rPr>
        <w:t>ux charges sismiques anticipées </w:t>
      </w:r>
      <w:r w:rsidR="000C2F3D" w:rsidRPr="00E84EB9">
        <w:rPr>
          <w:lang w:val="fr-FR"/>
        </w:rPr>
        <w:t>;</w:t>
      </w:r>
    </w:p>
    <w:p w14:paraId="78486430" w14:textId="108BFFDB" w:rsidR="000C2F3D" w:rsidRPr="00E84EB9" w:rsidRDefault="002E0469" w:rsidP="005A1CB1">
      <w:pPr>
        <w:pStyle w:val="Normalnumber"/>
        <w:numPr>
          <w:ilvl w:val="0"/>
          <w:numId w:val="7"/>
        </w:numPr>
        <w:ind w:left="1247" w:firstLine="624"/>
        <w:rPr>
          <w:lang w:val="fr-FR"/>
        </w:rPr>
      </w:pPr>
      <w:r w:rsidRPr="00E84EB9">
        <w:rPr>
          <w:lang w:val="fr-FR"/>
        </w:rPr>
        <w:t xml:space="preserve">Aussi </w:t>
      </w:r>
      <w:r w:rsidR="000C2F3D" w:rsidRPr="00E84EB9">
        <w:rPr>
          <w:lang w:val="fr-FR"/>
        </w:rPr>
        <w:t>loin que possible des zones écologiquement vulnérables qui accueillent une flore ou une faune sensible, notamment des espèces menacées ou en voi</w:t>
      </w:r>
      <w:r w:rsidR="007662F2" w:rsidRPr="00E84EB9">
        <w:rPr>
          <w:lang w:val="fr-FR"/>
        </w:rPr>
        <w:t>e de disparition </w:t>
      </w:r>
      <w:r w:rsidR="00160E54" w:rsidRPr="00E84EB9">
        <w:rPr>
          <w:lang w:val="fr-FR"/>
        </w:rPr>
        <w:t>;</w:t>
      </w:r>
    </w:p>
    <w:p w14:paraId="0C387263" w14:textId="0BEBD70D" w:rsidR="000C2F3D" w:rsidRPr="00E84EB9" w:rsidRDefault="002E0469" w:rsidP="005A1CB1">
      <w:pPr>
        <w:pStyle w:val="Normalnumber"/>
        <w:numPr>
          <w:ilvl w:val="0"/>
          <w:numId w:val="7"/>
        </w:numPr>
        <w:ind w:left="1247" w:firstLine="624"/>
        <w:rPr>
          <w:lang w:val="fr-FR"/>
        </w:rPr>
      </w:pPr>
      <w:r w:rsidRPr="00E84EB9">
        <w:rPr>
          <w:lang w:val="fr-FR"/>
        </w:rPr>
        <w:t>À</w:t>
      </w:r>
      <w:r w:rsidR="000C2F3D" w:rsidRPr="00E84EB9">
        <w:rPr>
          <w:lang w:val="fr-FR"/>
        </w:rPr>
        <w:t xml:space="preserve"> l</w:t>
      </w:r>
      <w:r w:rsidR="006C05FA">
        <w:rPr>
          <w:lang w:val="fr-FR"/>
        </w:rPr>
        <w:t>’</w:t>
      </w:r>
      <w:r w:rsidR="000C2F3D" w:rsidRPr="00E84EB9">
        <w:rPr>
          <w:lang w:val="fr-FR"/>
        </w:rPr>
        <w:t>écart des lieux sensibles telles que les plaines inondables, cours d</w:t>
      </w:r>
      <w:r w:rsidR="006C05FA">
        <w:rPr>
          <w:lang w:val="fr-FR"/>
        </w:rPr>
        <w:t>’</w:t>
      </w:r>
      <w:r w:rsidR="000C2F3D" w:rsidRPr="00E84EB9">
        <w:rPr>
          <w:lang w:val="fr-FR"/>
        </w:rPr>
        <w:t xml:space="preserve">eau, </w:t>
      </w:r>
      <w:r w:rsidR="005D768B" w:rsidRPr="00E84EB9">
        <w:rPr>
          <w:lang w:val="fr-FR"/>
        </w:rPr>
        <w:t>aquifères et zones humides </w:t>
      </w:r>
      <w:r w:rsidR="00160E54" w:rsidRPr="00E84EB9">
        <w:rPr>
          <w:lang w:val="fr-FR"/>
        </w:rPr>
        <w:t>; et</w:t>
      </w:r>
    </w:p>
    <w:p w14:paraId="6C88F7A2" w14:textId="70AABDB7" w:rsidR="000C2F3D" w:rsidRPr="00E84EB9" w:rsidRDefault="002E0469" w:rsidP="005A1CB1">
      <w:pPr>
        <w:pStyle w:val="Normalnumber"/>
        <w:numPr>
          <w:ilvl w:val="0"/>
          <w:numId w:val="7"/>
        </w:numPr>
        <w:ind w:left="1247" w:firstLine="624"/>
        <w:rPr>
          <w:lang w:val="fr-FR"/>
        </w:rPr>
      </w:pPr>
      <w:r w:rsidRPr="00E84EB9">
        <w:rPr>
          <w:lang w:val="fr-FR"/>
        </w:rPr>
        <w:t xml:space="preserve">Dans </w:t>
      </w:r>
      <w:r w:rsidR="00B62F0B" w:rsidRPr="00E84EB9">
        <w:rPr>
          <w:lang w:val="fr-FR"/>
        </w:rPr>
        <w:t>la mesure du possible, à l</w:t>
      </w:r>
      <w:r w:rsidR="006C05FA">
        <w:rPr>
          <w:lang w:val="fr-FR"/>
        </w:rPr>
        <w:t>’</w:t>
      </w:r>
      <w:r w:rsidR="00B62F0B" w:rsidRPr="00E84EB9">
        <w:rPr>
          <w:lang w:val="fr-FR"/>
        </w:rPr>
        <w:t xml:space="preserve">écart des zones touchées par </w:t>
      </w:r>
      <w:r w:rsidR="005D768B" w:rsidRPr="00E84EB9">
        <w:rPr>
          <w:lang w:val="fr-FR"/>
        </w:rPr>
        <w:t xml:space="preserve">des </w:t>
      </w:r>
      <w:r w:rsidR="00B62F0B" w:rsidRPr="00E84EB9">
        <w:rPr>
          <w:lang w:val="fr-FR"/>
        </w:rPr>
        <w:t>conflit</w:t>
      </w:r>
      <w:r w:rsidR="005D768B" w:rsidRPr="00E84EB9">
        <w:rPr>
          <w:lang w:val="fr-FR"/>
        </w:rPr>
        <w:t>s</w:t>
      </w:r>
      <w:r w:rsidR="00B62F0B" w:rsidRPr="00E84EB9">
        <w:rPr>
          <w:lang w:val="fr-FR"/>
        </w:rPr>
        <w:t xml:space="preserve"> armé</w:t>
      </w:r>
      <w:r w:rsidR="005D768B" w:rsidRPr="00E84EB9">
        <w:rPr>
          <w:lang w:val="fr-FR"/>
        </w:rPr>
        <w:t>s.</w:t>
      </w:r>
    </w:p>
    <w:p w14:paraId="5D91007B" w14:textId="3E618B02" w:rsidR="000C2F3D" w:rsidRPr="00E84EB9" w:rsidRDefault="005D768B" w:rsidP="00F474DD">
      <w:pPr>
        <w:pStyle w:val="Normalnumber"/>
        <w:numPr>
          <w:ilvl w:val="0"/>
          <w:numId w:val="5"/>
        </w:numPr>
        <w:ind w:left="1247" w:firstLine="0"/>
        <w:rPr>
          <w:lang w:val="fr-FR"/>
        </w:rPr>
      </w:pPr>
      <w:r w:rsidRPr="00E84EB9">
        <w:rPr>
          <w:lang w:val="fr-FR"/>
        </w:rPr>
        <w:t>Toutefois, c</w:t>
      </w:r>
      <w:r w:rsidR="00B62F0B" w:rsidRPr="00E84EB9">
        <w:rPr>
          <w:lang w:val="fr-FR"/>
        </w:rPr>
        <w:t xml:space="preserve">e qui précède </w:t>
      </w:r>
      <w:r w:rsidR="00160E54" w:rsidRPr="00E84EB9">
        <w:rPr>
          <w:lang w:val="fr-FR"/>
        </w:rPr>
        <w:t xml:space="preserve">peut </w:t>
      </w:r>
      <w:r w:rsidR="00B62F0B" w:rsidRPr="00E84EB9">
        <w:rPr>
          <w:lang w:val="fr-FR"/>
        </w:rPr>
        <w:t xml:space="preserve">ne </w:t>
      </w:r>
      <w:r w:rsidR="00160E54" w:rsidRPr="00E84EB9">
        <w:rPr>
          <w:lang w:val="fr-FR"/>
        </w:rPr>
        <w:t xml:space="preserve">pas </w:t>
      </w:r>
      <w:r w:rsidR="003E31FC" w:rsidRPr="00E84EB9">
        <w:rPr>
          <w:lang w:val="fr-FR"/>
        </w:rPr>
        <w:t>s</w:t>
      </w:r>
      <w:r w:rsidR="006C05FA">
        <w:rPr>
          <w:lang w:val="fr-FR"/>
        </w:rPr>
        <w:t>’</w:t>
      </w:r>
      <w:r w:rsidR="003E31FC" w:rsidRPr="00E84EB9">
        <w:rPr>
          <w:lang w:val="fr-FR"/>
        </w:rPr>
        <w:t>applique</w:t>
      </w:r>
      <w:r w:rsidR="00162640">
        <w:rPr>
          <w:lang w:val="fr-FR"/>
        </w:rPr>
        <w:t>r</w:t>
      </w:r>
      <w:r w:rsidR="00B62F0B" w:rsidRPr="00E84EB9">
        <w:rPr>
          <w:lang w:val="fr-FR"/>
        </w:rPr>
        <w:t xml:space="preserve"> si des mesures techniques supplémentaires sont mises en place pour </w:t>
      </w:r>
      <w:r w:rsidR="002E0469">
        <w:rPr>
          <w:lang w:val="fr-FR"/>
        </w:rPr>
        <w:t xml:space="preserve">faire en sorte </w:t>
      </w:r>
      <w:r w:rsidR="00B62F0B" w:rsidRPr="00E84EB9">
        <w:rPr>
          <w:lang w:val="fr-FR"/>
        </w:rPr>
        <w:t xml:space="preserve">que les installations de stockage </w:t>
      </w:r>
      <w:r w:rsidR="00160E54" w:rsidRPr="00E84EB9">
        <w:rPr>
          <w:lang w:val="fr-FR"/>
        </w:rPr>
        <w:t>p</w:t>
      </w:r>
      <w:r w:rsidR="002E0469">
        <w:rPr>
          <w:lang w:val="fr-FR"/>
        </w:rPr>
        <w:t>uisse</w:t>
      </w:r>
      <w:r w:rsidR="00160E54" w:rsidRPr="00E84EB9">
        <w:rPr>
          <w:lang w:val="fr-FR"/>
        </w:rPr>
        <w:t xml:space="preserve">nt </w:t>
      </w:r>
      <w:r w:rsidRPr="00E84EB9">
        <w:rPr>
          <w:lang w:val="fr-FR"/>
        </w:rPr>
        <w:t xml:space="preserve">faire </w:t>
      </w:r>
      <w:r w:rsidR="00B62F0B" w:rsidRPr="00E84EB9">
        <w:rPr>
          <w:lang w:val="fr-FR"/>
        </w:rPr>
        <w:t>face aux cont</w:t>
      </w:r>
      <w:r w:rsidR="000531BC" w:rsidRPr="00E84EB9">
        <w:rPr>
          <w:lang w:val="fr-FR"/>
        </w:rPr>
        <w:t>raintes du site et respectent les</w:t>
      </w:r>
      <w:r w:rsidR="00B62F0B" w:rsidRPr="00E84EB9">
        <w:rPr>
          <w:lang w:val="fr-FR"/>
        </w:rPr>
        <w:t xml:space="preserve"> </w:t>
      </w:r>
      <w:r w:rsidR="000531BC" w:rsidRPr="00E84EB9">
        <w:rPr>
          <w:lang w:val="fr-FR"/>
        </w:rPr>
        <w:t xml:space="preserve">exigences de </w:t>
      </w:r>
      <w:r w:rsidR="00B62F0B" w:rsidRPr="00E84EB9">
        <w:rPr>
          <w:lang w:val="fr-FR"/>
        </w:rPr>
        <w:t>conception technique</w:t>
      </w:r>
      <w:r w:rsidR="000531BC" w:rsidRPr="00E84EB9">
        <w:rPr>
          <w:lang w:val="fr-FR"/>
        </w:rPr>
        <w:t xml:space="preserve"> </w:t>
      </w:r>
      <w:r w:rsidR="00160E54" w:rsidRPr="00E84EB9">
        <w:rPr>
          <w:lang w:val="fr-FR"/>
        </w:rPr>
        <w:t xml:space="preserve">ainsi que </w:t>
      </w:r>
      <w:r w:rsidR="000531BC" w:rsidRPr="00E84EB9">
        <w:rPr>
          <w:lang w:val="fr-FR"/>
        </w:rPr>
        <w:t>celles prévues par la loi</w:t>
      </w:r>
      <w:r w:rsidR="00160E54" w:rsidRPr="00E84EB9">
        <w:rPr>
          <w:lang w:val="fr-FR"/>
        </w:rPr>
        <w:t>.</w:t>
      </w:r>
    </w:p>
    <w:p w14:paraId="1ECC47A0" w14:textId="10019B74" w:rsidR="000C2F3D" w:rsidRPr="00E84EB9" w:rsidRDefault="000C2F3D" w:rsidP="00F474DD">
      <w:pPr>
        <w:pStyle w:val="Normalnumber"/>
        <w:numPr>
          <w:ilvl w:val="0"/>
          <w:numId w:val="5"/>
        </w:numPr>
        <w:ind w:left="1247" w:firstLine="0"/>
        <w:rPr>
          <w:lang w:val="fr-FR"/>
        </w:rPr>
      </w:pPr>
      <w:r w:rsidRPr="00E84EB9">
        <w:rPr>
          <w:lang w:val="fr-FR"/>
        </w:rPr>
        <w:t xml:space="preserve">Lors du choix </w:t>
      </w:r>
      <w:r w:rsidR="00B43427" w:rsidRPr="00E84EB9">
        <w:rPr>
          <w:lang w:val="fr-FR"/>
        </w:rPr>
        <w:t>de l</w:t>
      </w:r>
      <w:r w:rsidR="006C05FA">
        <w:rPr>
          <w:lang w:val="fr-FR"/>
        </w:rPr>
        <w:t>’</w:t>
      </w:r>
      <w:r w:rsidRPr="00E84EB9">
        <w:rPr>
          <w:lang w:val="fr-FR"/>
        </w:rPr>
        <w:t xml:space="preserve">emplacement pour un nouveau site de stockage, il convient de prendre en considération les exigences nationales, </w:t>
      </w:r>
      <w:r w:rsidR="001B18EF" w:rsidRPr="00E84EB9">
        <w:rPr>
          <w:lang w:val="fr-FR"/>
        </w:rPr>
        <w:t xml:space="preserve">concernant </w:t>
      </w:r>
      <w:r w:rsidR="00B43427" w:rsidRPr="00E84EB9">
        <w:rPr>
          <w:lang w:val="fr-FR"/>
        </w:rPr>
        <w:t xml:space="preserve">notamment </w:t>
      </w:r>
      <w:r w:rsidR="00CF00EE">
        <w:rPr>
          <w:lang w:val="fr-FR"/>
        </w:rPr>
        <w:t>l</w:t>
      </w:r>
      <w:r w:rsidR="00B43427" w:rsidRPr="00E84EB9">
        <w:rPr>
          <w:lang w:val="fr-FR"/>
        </w:rPr>
        <w:t xml:space="preserve">es </w:t>
      </w:r>
      <w:r w:rsidRPr="00E84EB9">
        <w:rPr>
          <w:lang w:val="fr-FR"/>
        </w:rPr>
        <w:t>questions telles que le zonage (</w:t>
      </w:r>
      <w:r w:rsidR="00B43427" w:rsidRPr="00E84EB9">
        <w:rPr>
          <w:lang w:val="fr-FR"/>
        </w:rPr>
        <w:t xml:space="preserve">en particulier </w:t>
      </w:r>
      <w:r w:rsidRPr="00E84EB9">
        <w:rPr>
          <w:lang w:val="fr-FR"/>
        </w:rPr>
        <w:t>l</w:t>
      </w:r>
      <w:r w:rsidR="002E0469">
        <w:rPr>
          <w:lang w:val="fr-FR"/>
        </w:rPr>
        <w:t>’implant</w:t>
      </w:r>
      <w:r w:rsidRPr="00E84EB9">
        <w:rPr>
          <w:lang w:val="fr-FR"/>
        </w:rPr>
        <w:t xml:space="preserve">ation des installations de stockage à </w:t>
      </w:r>
      <w:r w:rsidR="00B43427" w:rsidRPr="00E84EB9">
        <w:rPr>
          <w:lang w:val="fr-FR"/>
        </w:rPr>
        <w:t>l</w:t>
      </w:r>
      <w:r w:rsidR="006C05FA">
        <w:rPr>
          <w:lang w:val="fr-FR"/>
        </w:rPr>
        <w:t>’</w:t>
      </w:r>
      <w:r w:rsidR="00B43427" w:rsidRPr="00E84EB9">
        <w:rPr>
          <w:lang w:val="fr-FR"/>
        </w:rPr>
        <w:t xml:space="preserve">écart </w:t>
      </w:r>
      <w:r w:rsidRPr="00E84EB9">
        <w:rPr>
          <w:lang w:val="fr-FR"/>
        </w:rPr>
        <w:t>des zones résidentielles) ou d</w:t>
      </w:r>
      <w:r w:rsidR="006C05FA">
        <w:rPr>
          <w:lang w:val="fr-FR"/>
        </w:rPr>
        <w:t>’</w:t>
      </w:r>
      <w:r w:rsidRPr="00E84EB9">
        <w:rPr>
          <w:lang w:val="fr-FR"/>
        </w:rPr>
        <w:t>autres restric</w:t>
      </w:r>
      <w:r w:rsidR="001B18EF" w:rsidRPr="00E84EB9">
        <w:rPr>
          <w:lang w:val="fr-FR"/>
        </w:rPr>
        <w:t xml:space="preserve">tions </w:t>
      </w:r>
      <w:r w:rsidR="002E0469">
        <w:rPr>
          <w:lang w:val="fr-FR"/>
        </w:rPr>
        <w:t>en matière d</w:t>
      </w:r>
      <w:r w:rsidR="006C05FA">
        <w:rPr>
          <w:lang w:val="fr-FR"/>
        </w:rPr>
        <w:t>’</w:t>
      </w:r>
      <w:r w:rsidR="001B18EF" w:rsidRPr="00E84EB9">
        <w:rPr>
          <w:lang w:val="fr-FR"/>
        </w:rPr>
        <w:t>utilisation des sols.</w:t>
      </w:r>
    </w:p>
    <w:p w14:paraId="1DE48FE8" w14:textId="60DA49C0" w:rsidR="000C2F3D" w:rsidRPr="00E84EB9" w:rsidRDefault="000C2F3D" w:rsidP="00F474DD">
      <w:pPr>
        <w:pStyle w:val="Normalnumber"/>
        <w:numPr>
          <w:ilvl w:val="0"/>
          <w:numId w:val="5"/>
        </w:numPr>
        <w:ind w:left="1247" w:firstLine="0"/>
        <w:rPr>
          <w:lang w:val="fr-FR"/>
        </w:rPr>
      </w:pPr>
      <w:r w:rsidRPr="00E84EB9">
        <w:rPr>
          <w:lang w:val="fr-FR"/>
        </w:rPr>
        <w:t xml:space="preserve">Il est suggéré </w:t>
      </w:r>
      <w:r w:rsidR="00B43427" w:rsidRPr="00E84EB9">
        <w:rPr>
          <w:lang w:val="fr-FR"/>
        </w:rPr>
        <w:t>d</w:t>
      </w:r>
      <w:r w:rsidR="006C05FA">
        <w:rPr>
          <w:lang w:val="fr-FR"/>
        </w:rPr>
        <w:t>’</w:t>
      </w:r>
      <w:r w:rsidR="00B43427" w:rsidRPr="00E84EB9">
        <w:rPr>
          <w:lang w:val="fr-FR"/>
        </w:rPr>
        <w:t xml:space="preserve">organiser </w:t>
      </w:r>
      <w:r w:rsidRPr="00E84EB9">
        <w:rPr>
          <w:lang w:val="fr-FR"/>
        </w:rPr>
        <w:t xml:space="preserve">des consultations publiques pour </w:t>
      </w:r>
      <w:r w:rsidR="001B18EF" w:rsidRPr="00E84EB9">
        <w:rPr>
          <w:lang w:val="fr-FR"/>
        </w:rPr>
        <w:t>porter à la connaissance de</w:t>
      </w:r>
      <w:r w:rsidRPr="00E84EB9">
        <w:rPr>
          <w:lang w:val="fr-FR"/>
        </w:rPr>
        <w:t xml:space="preserve"> la communauté locale </w:t>
      </w:r>
      <w:r w:rsidR="001B18EF" w:rsidRPr="00E84EB9">
        <w:rPr>
          <w:lang w:val="fr-FR"/>
        </w:rPr>
        <w:t>les critères d</w:t>
      </w:r>
      <w:r w:rsidR="006C05FA">
        <w:rPr>
          <w:lang w:val="fr-FR"/>
        </w:rPr>
        <w:t>’</w:t>
      </w:r>
      <w:r w:rsidR="001B18EF" w:rsidRPr="00E84EB9">
        <w:rPr>
          <w:lang w:val="fr-FR"/>
        </w:rPr>
        <w:t>implantation et l</w:t>
      </w:r>
      <w:r w:rsidRPr="00E84EB9">
        <w:rPr>
          <w:lang w:val="fr-FR"/>
        </w:rPr>
        <w:t xml:space="preserve">es procédures destinées à atténuer les risques </w:t>
      </w:r>
      <w:r w:rsidR="00B43427" w:rsidRPr="00E84EB9">
        <w:rPr>
          <w:lang w:val="fr-FR"/>
        </w:rPr>
        <w:t xml:space="preserve">éventuels </w:t>
      </w:r>
      <w:r w:rsidRPr="00E84EB9">
        <w:rPr>
          <w:lang w:val="fr-FR"/>
        </w:rPr>
        <w:t>pour la santé humaine et pour l</w:t>
      </w:r>
      <w:r w:rsidR="006C05FA">
        <w:rPr>
          <w:lang w:val="fr-FR"/>
        </w:rPr>
        <w:t>’</w:t>
      </w:r>
      <w:r w:rsidRPr="00E84EB9">
        <w:rPr>
          <w:lang w:val="fr-FR"/>
        </w:rPr>
        <w:t xml:space="preserve">environnement associés au stockage de mercure ou de composés du mercure, notamment </w:t>
      </w:r>
      <w:r w:rsidR="001B18EF" w:rsidRPr="00E84EB9">
        <w:rPr>
          <w:lang w:val="fr-FR"/>
        </w:rPr>
        <w:t>l</w:t>
      </w:r>
      <w:r w:rsidR="00B43427" w:rsidRPr="00E84EB9">
        <w:rPr>
          <w:lang w:val="fr-FR"/>
        </w:rPr>
        <w:t xml:space="preserve">es </w:t>
      </w:r>
      <w:r w:rsidRPr="00E84EB9">
        <w:rPr>
          <w:lang w:val="fr-FR"/>
        </w:rPr>
        <w:t>plans d</w:t>
      </w:r>
      <w:r w:rsidR="006C05FA">
        <w:rPr>
          <w:lang w:val="fr-FR"/>
        </w:rPr>
        <w:t>’</w:t>
      </w:r>
      <w:r w:rsidRPr="00E84EB9">
        <w:rPr>
          <w:lang w:val="fr-FR"/>
        </w:rPr>
        <w:t>intervention d</w:t>
      </w:r>
      <w:r w:rsidR="006C05FA">
        <w:rPr>
          <w:lang w:val="fr-FR"/>
        </w:rPr>
        <w:t>’</w:t>
      </w:r>
      <w:r w:rsidRPr="00E84EB9">
        <w:rPr>
          <w:lang w:val="fr-FR"/>
        </w:rPr>
        <w:t>urgence en cas d</w:t>
      </w:r>
      <w:r w:rsidR="006C05FA">
        <w:rPr>
          <w:lang w:val="fr-FR"/>
        </w:rPr>
        <w:t>’</w:t>
      </w:r>
      <w:r w:rsidRPr="00E84EB9">
        <w:rPr>
          <w:lang w:val="fr-FR"/>
        </w:rPr>
        <w:t xml:space="preserve">incident. Dans certains pays, ces processus de consultation peuvent être régis par des lois ou règlements </w:t>
      </w:r>
      <w:r w:rsidR="00B43427" w:rsidRPr="00E84EB9">
        <w:rPr>
          <w:lang w:val="fr-FR"/>
        </w:rPr>
        <w:t>spécifiques</w:t>
      </w:r>
      <w:r w:rsidRPr="00E84EB9">
        <w:rPr>
          <w:lang w:val="fr-FR"/>
        </w:rPr>
        <w:t>.</w:t>
      </w:r>
    </w:p>
    <w:p w14:paraId="64717565" w14:textId="089E3224" w:rsidR="000C2F3D" w:rsidRPr="00E84EB9" w:rsidRDefault="000C2F3D" w:rsidP="00F474DD">
      <w:pPr>
        <w:pStyle w:val="Normalnumber"/>
        <w:numPr>
          <w:ilvl w:val="0"/>
          <w:numId w:val="5"/>
        </w:numPr>
        <w:ind w:left="1247" w:firstLine="0"/>
        <w:rPr>
          <w:lang w:val="fr-FR"/>
        </w:rPr>
      </w:pPr>
      <w:r w:rsidRPr="00E84EB9">
        <w:rPr>
          <w:lang w:val="fr-FR"/>
        </w:rPr>
        <w:t>Lors de l</w:t>
      </w:r>
      <w:r w:rsidR="006C05FA">
        <w:rPr>
          <w:lang w:val="fr-FR"/>
        </w:rPr>
        <w:t>’</w:t>
      </w:r>
      <w:r w:rsidRPr="00E84EB9">
        <w:rPr>
          <w:lang w:val="fr-FR"/>
        </w:rPr>
        <w:t xml:space="preserve">évaluation des sites </w:t>
      </w:r>
      <w:r w:rsidR="00B43427" w:rsidRPr="00E84EB9">
        <w:rPr>
          <w:lang w:val="fr-FR"/>
        </w:rPr>
        <w:t xml:space="preserve">destinés au </w:t>
      </w:r>
      <w:r w:rsidRPr="00E84EB9">
        <w:rPr>
          <w:lang w:val="fr-FR"/>
        </w:rPr>
        <w:t xml:space="preserve">stockage du mercure et des composés du mercure, certaines considérations nationales peuvent </w:t>
      </w:r>
      <w:r w:rsidR="001B18EF" w:rsidRPr="00E84EB9">
        <w:rPr>
          <w:lang w:val="fr-FR"/>
        </w:rPr>
        <w:t xml:space="preserve">conduire à </w:t>
      </w:r>
      <w:r w:rsidR="00162640">
        <w:rPr>
          <w:lang w:val="fr-FR"/>
        </w:rPr>
        <w:t xml:space="preserve">appliquer </w:t>
      </w:r>
      <w:r w:rsidR="00C229F7">
        <w:rPr>
          <w:lang w:val="fr-FR"/>
        </w:rPr>
        <w:t xml:space="preserve">des </w:t>
      </w:r>
      <w:r w:rsidR="00B43427" w:rsidRPr="00E84EB9">
        <w:rPr>
          <w:lang w:val="fr-FR"/>
        </w:rPr>
        <w:t>« critères d</w:t>
      </w:r>
      <w:r w:rsidR="006C05FA">
        <w:rPr>
          <w:lang w:val="fr-FR"/>
        </w:rPr>
        <w:t>’</w:t>
      </w:r>
      <w:r w:rsidR="00B43427" w:rsidRPr="00E84EB9">
        <w:rPr>
          <w:lang w:val="fr-FR"/>
        </w:rPr>
        <w:t>exclusion »</w:t>
      </w:r>
      <w:r w:rsidRPr="00E84EB9">
        <w:rPr>
          <w:lang w:val="fr-FR"/>
        </w:rPr>
        <w:t xml:space="preserve">. </w:t>
      </w:r>
      <w:r w:rsidR="00CF00EE">
        <w:rPr>
          <w:lang w:val="fr-FR"/>
        </w:rPr>
        <w:t>L</w:t>
      </w:r>
      <w:r w:rsidR="00ED565B">
        <w:rPr>
          <w:lang w:val="fr-FR"/>
        </w:rPr>
        <w:t>a </w:t>
      </w:r>
      <w:r w:rsidRPr="00E84EB9">
        <w:rPr>
          <w:lang w:val="fr-FR"/>
        </w:rPr>
        <w:t xml:space="preserve">présence </w:t>
      </w:r>
      <w:r w:rsidR="00E27348">
        <w:rPr>
          <w:lang w:val="fr-FR"/>
        </w:rPr>
        <w:t>d</w:t>
      </w:r>
      <w:r w:rsidR="00CF00EE">
        <w:rPr>
          <w:lang w:val="fr-FR"/>
        </w:rPr>
        <w:t xml:space="preserve">e certains </w:t>
      </w:r>
      <w:r w:rsidRPr="00E84EB9">
        <w:rPr>
          <w:lang w:val="fr-FR"/>
        </w:rPr>
        <w:t xml:space="preserve">éléments </w:t>
      </w:r>
      <w:r w:rsidR="00162640">
        <w:rPr>
          <w:lang w:val="fr-FR"/>
        </w:rPr>
        <w:t>peut</w:t>
      </w:r>
      <w:r w:rsidR="00CF00EE">
        <w:rPr>
          <w:lang w:val="fr-FR"/>
        </w:rPr>
        <w:t>, par exemple,</w:t>
      </w:r>
      <w:r w:rsidR="00162640">
        <w:rPr>
          <w:lang w:val="fr-FR"/>
        </w:rPr>
        <w:t xml:space="preserve"> </w:t>
      </w:r>
      <w:r w:rsidRPr="00E84EB9">
        <w:rPr>
          <w:lang w:val="fr-FR"/>
        </w:rPr>
        <w:t>exclure la possibilité d</w:t>
      </w:r>
      <w:r w:rsidR="006C05FA">
        <w:rPr>
          <w:lang w:val="fr-FR"/>
        </w:rPr>
        <w:t>’</w:t>
      </w:r>
      <w:r w:rsidRPr="00E84EB9">
        <w:rPr>
          <w:lang w:val="fr-FR"/>
        </w:rPr>
        <w:t>utiliser un site donné. D</w:t>
      </w:r>
      <w:r w:rsidR="006C05FA">
        <w:rPr>
          <w:lang w:val="fr-FR"/>
        </w:rPr>
        <w:t>’</w:t>
      </w:r>
      <w:r w:rsidRPr="00E84EB9">
        <w:rPr>
          <w:lang w:val="fr-FR"/>
        </w:rPr>
        <w:t xml:space="preserve">autres critères pourront être considérés comme des facteurs positifs ou négatifs, mais pas déterminants pour exclure </w:t>
      </w:r>
      <w:r w:rsidR="00B43427" w:rsidRPr="00E84EB9">
        <w:rPr>
          <w:lang w:val="fr-FR"/>
        </w:rPr>
        <w:t>le choix d</w:t>
      </w:r>
      <w:r w:rsidR="006C05FA">
        <w:rPr>
          <w:lang w:val="fr-FR"/>
        </w:rPr>
        <w:t>’</w:t>
      </w:r>
      <w:r w:rsidRPr="00E84EB9">
        <w:rPr>
          <w:lang w:val="fr-FR"/>
        </w:rPr>
        <w:t xml:space="preserve">un site. </w:t>
      </w:r>
      <w:r w:rsidR="00162640">
        <w:rPr>
          <w:lang w:val="fr-FR"/>
        </w:rPr>
        <w:t>Afin d</w:t>
      </w:r>
      <w:r w:rsidR="006C05FA">
        <w:rPr>
          <w:lang w:val="fr-FR"/>
        </w:rPr>
        <w:t>’</w:t>
      </w:r>
      <w:r w:rsidR="001B18EF" w:rsidRPr="00E84EB9">
        <w:rPr>
          <w:lang w:val="fr-FR"/>
        </w:rPr>
        <w:t>évaluer l</w:t>
      </w:r>
      <w:r w:rsidR="006C05FA">
        <w:rPr>
          <w:lang w:val="fr-FR"/>
        </w:rPr>
        <w:t>’</w:t>
      </w:r>
      <w:r w:rsidR="001B18EF" w:rsidRPr="00E84EB9">
        <w:rPr>
          <w:lang w:val="fr-FR"/>
        </w:rPr>
        <w:t xml:space="preserve">importance des différents critères, </w:t>
      </w:r>
      <w:r w:rsidR="00ED565B">
        <w:rPr>
          <w:lang w:val="fr-FR"/>
        </w:rPr>
        <w:t>on </w:t>
      </w:r>
      <w:r w:rsidR="00B43427" w:rsidRPr="00E84EB9">
        <w:rPr>
          <w:lang w:val="fr-FR"/>
        </w:rPr>
        <w:t>examiner</w:t>
      </w:r>
      <w:r w:rsidR="001B18EF" w:rsidRPr="00E84EB9">
        <w:rPr>
          <w:lang w:val="fr-FR"/>
        </w:rPr>
        <w:t>a</w:t>
      </w:r>
      <w:r w:rsidRPr="00E84EB9">
        <w:rPr>
          <w:lang w:val="fr-FR"/>
        </w:rPr>
        <w:t xml:space="preserve"> </w:t>
      </w:r>
      <w:r w:rsidR="00B43427" w:rsidRPr="00E84EB9">
        <w:rPr>
          <w:lang w:val="fr-FR"/>
        </w:rPr>
        <w:t xml:space="preserve">les </w:t>
      </w:r>
      <w:r w:rsidRPr="00E84EB9">
        <w:rPr>
          <w:lang w:val="fr-FR"/>
        </w:rPr>
        <w:t xml:space="preserve">circonstances au niveau national, </w:t>
      </w:r>
      <w:r w:rsidR="00B43427" w:rsidRPr="00E84EB9">
        <w:rPr>
          <w:lang w:val="fr-FR"/>
        </w:rPr>
        <w:t xml:space="preserve">et </w:t>
      </w:r>
      <w:r w:rsidRPr="00E84EB9">
        <w:rPr>
          <w:lang w:val="fr-FR"/>
        </w:rPr>
        <w:t xml:space="preserve">notamment </w:t>
      </w:r>
      <w:r w:rsidR="00B43427" w:rsidRPr="00E84EB9">
        <w:rPr>
          <w:lang w:val="fr-FR"/>
        </w:rPr>
        <w:t xml:space="preserve">les </w:t>
      </w:r>
      <w:r w:rsidR="001B18EF" w:rsidRPr="00E84EB9">
        <w:rPr>
          <w:lang w:val="fr-FR"/>
        </w:rPr>
        <w:t xml:space="preserve">risques acceptables. La prise en considération de </w:t>
      </w:r>
      <w:r w:rsidRPr="00E84EB9">
        <w:rPr>
          <w:lang w:val="fr-FR"/>
        </w:rPr>
        <w:t>certains critère</w:t>
      </w:r>
      <w:r w:rsidR="009A08A3" w:rsidRPr="00E84EB9">
        <w:rPr>
          <w:lang w:val="fr-FR"/>
        </w:rPr>
        <w:t>s pourra également dépendre de l</w:t>
      </w:r>
      <w:r w:rsidR="006C05FA">
        <w:rPr>
          <w:lang w:val="fr-FR"/>
        </w:rPr>
        <w:t>’</w:t>
      </w:r>
      <w:r w:rsidR="009A08A3" w:rsidRPr="00E84EB9">
        <w:rPr>
          <w:lang w:val="fr-FR"/>
        </w:rPr>
        <w:t xml:space="preserve">incidence du site sur </w:t>
      </w:r>
      <w:r w:rsidRPr="00E84EB9">
        <w:rPr>
          <w:lang w:val="fr-FR"/>
        </w:rPr>
        <w:t xml:space="preserve">la </w:t>
      </w:r>
      <w:r w:rsidR="00E02E5A" w:rsidRPr="00E84EB9">
        <w:rPr>
          <w:lang w:val="fr-FR"/>
        </w:rPr>
        <w:t xml:space="preserve">stabilité au </w:t>
      </w:r>
      <w:r w:rsidRPr="00E84EB9">
        <w:rPr>
          <w:lang w:val="fr-FR"/>
        </w:rPr>
        <w:t>stockage. C</w:t>
      </w:r>
      <w:r w:rsidR="006C05FA">
        <w:rPr>
          <w:lang w:val="fr-FR"/>
        </w:rPr>
        <w:t>’</w:t>
      </w:r>
      <w:r w:rsidR="009A08A3" w:rsidRPr="00E84EB9">
        <w:rPr>
          <w:lang w:val="fr-FR"/>
        </w:rPr>
        <w:t>est pourquoi il convient</w:t>
      </w:r>
      <w:r w:rsidRPr="00E84EB9">
        <w:rPr>
          <w:lang w:val="fr-FR"/>
        </w:rPr>
        <w:t xml:space="preserve"> d</w:t>
      </w:r>
      <w:r w:rsidR="006C05FA">
        <w:rPr>
          <w:lang w:val="fr-FR"/>
        </w:rPr>
        <w:t>’</w:t>
      </w:r>
      <w:r w:rsidRPr="00E84EB9">
        <w:rPr>
          <w:lang w:val="fr-FR"/>
        </w:rPr>
        <w:t>accorder une attention particulière à l</w:t>
      </w:r>
      <w:r w:rsidR="006C05FA">
        <w:rPr>
          <w:lang w:val="fr-FR"/>
        </w:rPr>
        <w:t>’</w:t>
      </w:r>
      <w:r w:rsidRPr="00E84EB9">
        <w:rPr>
          <w:lang w:val="fr-FR"/>
        </w:rPr>
        <w:t xml:space="preserve">emplacement du site, parallèlement aux autres facteurs </w:t>
      </w:r>
      <w:r w:rsidR="001B18EF" w:rsidRPr="00E84EB9">
        <w:rPr>
          <w:lang w:val="fr-FR"/>
        </w:rPr>
        <w:t xml:space="preserve">ayant des effets </w:t>
      </w:r>
      <w:r w:rsidRPr="00E84EB9">
        <w:rPr>
          <w:lang w:val="fr-FR"/>
        </w:rPr>
        <w:t>sur son choix, tels que le volume anticipé d</w:t>
      </w:r>
      <w:r w:rsidR="00CF00EE">
        <w:rPr>
          <w:lang w:val="fr-FR"/>
        </w:rPr>
        <w:t>u</w:t>
      </w:r>
      <w:r w:rsidRPr="00E84EB9">
        <w:rPr>
          <w:lang w:val="fr-FR"/>
        </w:rPr>
        <w:t xml:space="preserve"> mercure ou de</w:t>
      </w:r>
      <w:r w:rsidR="00CF00EE">
        <w:rPr>
          <w:lang w:val="fr-FR"/>
        </w:rPr>
        <w:t>s</w:t>
      </w:r>
      <w:r w:rsidRPr="00E84EB9">
        <w:rPr>
          <w:lang w:val="fr-FR"/>
        </w:rPr>
        <w:t xml:space="preserve"> composés du mercure à stock</w:t>
      </w:r>
      <w:r w:rsidR="00CF00EE">
        <w:rPr>
          <w:lang w:val="fr-FR"/>
        </w:rPr>
        <w:t>er</w:t>
      </w:r>
      <w:r w:rsidRPr="00E84EB9">
        <w:rPr>
          <w:lang w:val="fr-FR"/>
        </w:rPr>
        <w:t xml:space="preserve"> ou les contrôles existants en matière de gestion rationnelle du merc</w:t>
      </w:r>
      <w:r w:rsidR="009A08A3" w:rsidRPr="00E84EB9">
        <w:rPr>
          <w:lang w:val="fr-FR"/>
        </w:rPr>
        <w:t xml:space="preserve">ure </w:t>
      </w:r>
      <w:r w:rsidR="00CF00EE">
        <w:rPr>
          <w:lang w:val="fr-FR"/>
        </w:rPr>
        <w:t xml:space="preserve">et </w:t>
      </w:r>
      <w:r w:rsidR="009A08A3" w:rsidRPr="00E84EB9">
        <w:rPr>
          <w:lang w:val="fr-FR"/>
        </w:rPr>
        <w:t>des composés du mercure.</w:t>
      </w:r>
    </w:p>
    <w:p w14:paraId="6FB193C8" w14:textId="460A596F" w:rsidR="000C2F3D" w:rsidRPr="00E84EB9" w:rsidRDefault="000C2F3D" w:rsidP="00F474DD">
      <w:pPr>
        <w:pStyle w:val="Normalnumber"/>
        <w:numPr>
          <w:ilvl w:val="0"/>
          <w:numId w:val="5"/>
        </w:numPr>
        <w:ind w:left="1247" w:firstLine="0"/>
        <w:rPr>
          <w:lang w:val="fr-FR"/>
        </w:rPr>
      </w:pPr>
      <w:r w:rsidRPr="00E84EB9">
        <w:rPr>
          <w:lang w:val="fr-FR"/>
        </w:rPr>
        <w:t xml:space="preserve">Lors de </w:t>
      </w:r>
      <w:r w:rsidR="009A08A3" w:rsidRPr="00E84EB9">
        <w:rPr>
          <w:lang w:val="fr-FR"/>
        </w:rPr>
        <w:t>l</w:t>
      </w:r>
      <w:r w:rsidR="006C05FA">
        <w:rPr>
          <w:lang w:val="fr-FR"/>
        </w:rPr>
        <w:t>’</w:t>
      </w:r>
      <w:r w:rsidR="009A08A3" w:rsidRPr="00E84EB9">
        <w:rPr>
          <w:lang w:val="fr-FR"/>
        </w:rPr>
        <w:t>examen</w:t>
      </w:r>
      <w:r w:rsidRPr="00E84EB9">
        <w:rPr>
          <w:lang w:val="fr-FR"/>
        </w:rPr>
        <w:t xml:space="preserve"> des sites adaptés au stockage de mercure et de composés du mercure, </w:t>
      </w:r>
      <w:r w:rsidR="009A08A3" w:rsidRPr="00E84EB9">
        <w:rPr>
          <w:lang w:val="fr-FR"/>
        </w:rPr>
        <w:t>l</w:t>
      </w:r>
      <w:r w:rsidR="006C05FA">
        <w:rPr>
          <w:lang w:val="fr-FR"/>
        </w:rPr>
        <w:t>’</w:t>
      </w:r>
      <w:r w:rsidR="00ED565B">
        <w:rPr>
          <w:lang w:val="fr-FR"/>
        </w:rPr>
        <w:t>on </w:t>
      </w:r>
      <w:r w:rsidR="009A08A3" w:rsidRPr="00E84EB9">
        <w:rPr>
          <w:lang w:val="fr-FR"/>
        </w:rPr>
        <w:t xml:space="preserve">pourra se </w:t>
      </w:r>
      <w:r w:rsidRPr="00E84EB9">
        <w:rPr>
          <w:lang w:val="fr-FR"/>
        </w:rPr>
        <w:t>demander si des sites de stockage nationa</w:t>
      </w:r>
      <w:r w:rsidR="007C1783">
        <w:rPr>
          <w:lang w:val="fr-FR"/>
        </w:rPr>
        <w:t>ux</w:t>
      </w:r>
      <w:r w:rsidRPr="00E84EB9">
        <w:rPr>
          <w:lang w:val="fr-FR"/>
        </w:rPr>
        <w:t xml:space="preserve"> sont nécessaires ou si le mercure et les composés du mercure</w:t>
      </w:r>
      <w:r w:rsidR="007C1783">
        <w:rPr>
          <w:lang w:val="fr-FR"/>
        </w:rPr>
        <w:t xml:space="preserve"> en </w:t>
      </w:r>
      <w:r w:rsidRPr="00E84EB9">
        <w:rPr>
          <w:lang w:val="fr-FR"/>
        </w:rPr>
        <w:t>attente d</w:t>
      </w:r>
      <w:r w:rsidR="006C05FA">
        <w:rPr>
          <w:lang w:val="fr-FR"/>
        </w:rPr>
        <w:t>’</w:t>
      </w:r>
      <w:r w:rsidRPr="00E84EB9">
        <w:rPr>
          <w:lang w:val="fr-FR"/>
        </w:rPr>
        <w:t xml:space="preserve">une utilisation permise </w:t>
      </w:r>
      <w:r w:rsidR="007C1783">
        <w:rPr>
          <w:lang w:val="fr-FR"/>
        </w:rPr>
        <w:t>par</w:t>
      </w:r>
      <w:r w:rsidRPr="00E84EB9">
        <w:rPr>
          <w:lang w:val="fr-FR"/>
        </w:rPr>
        <w:t xml:space="preserve"> la Convention </w:t>
      </w:r>
      <w:r w:rsidR="007C1783">
        <w:rPr>
          <w:lang w:val="fr-FR"/>
        </w:rPr>
        <w:t>à</w:t>
      </w:r>
      <w:r w:rsidRPr="00E84EB9">
        <w:rPr>
          <w:lang w:val="fr-FR"/>
        </w:rPr>
        <w:t xml:space="preserve"> un certain nombre de pays pourraient être entreposés dans une installation centralisé</w:t>
      </w:r>
      <w:r w:rsidR="009A08A3" w:rsidRPr="00E84EB9">
        <w:rPr>
          <w:lang w:val="fr-FR"/>
        </w:rPr>
        <w:t>e</w:t>
      </w:r>
      <w:r w:rsidRPr="00E84EB9">
        <w:rPr>
          <w:lang w:val="fr-FR"/>
        </w:rPr>
        <w:t xml:space="preserve">. Ceci serait tout particulièrement pertinent </w:t>
      </w:r>
      <w:r w:rsidR="00A454A7" w:rsidRPr="00E84EB9">
        <w:rPr>
          <w:lang w:val="fr-FR"/>
        </w:rPr>
        <w:t>lorsqu</w:t>
      </w:r>
      <w:r w:rsidR="006C05FA">
        <w:rPr>
          <w:lang w:val="fr-FR"/>
        </w:rPr>
        <w:t>’</w:t>
      </w:r>
      <w:r w:rsidR="00A454A7" w:rsidRPr="00E84EB9">
        <w:rPr>
          <w:lang w:val="fr-FR"/>
        </w:rPr>
        <w:t xml:space="preserve">il </w:t>
      </w:r>
      <w:r w:rsidRPr="00E84EB9">
        <w:rPr>
          <w:lang w:val="fr-FR"/>
        </w:rPr>
        <w:t xml:space="preserve">existe plusieurs installations dans </w:t>
      </w:r>
      <w:r w:rsidR="009A08A3" w:rsidRPr="00E84EB9">
        <w:rPr>
          <w:lang w:val="fr-FR"/>
        </w:rPr>
        <w:t xml:space="preserve">la </w:t>
      </w:r>
      <w:r w:rsidRPr="00E84EB9">
        <w:rPr>
          <w:lang w:val="fr-FR"/>
        </w:rPr>
        <w:t>même zone géographique</w:t>
      </w:r>
      <w:r w:rsidR="009A08A3" w:rsidRPr="00E84EB9">
        <w:rPr>
          <w:lang w:val="fr-FR"/>
        </w:rPr>
        <w:t xml:space="preserve"> mais dans des pays différents.</w:t>
      </w:r>
    </w:p>
    <w:p w14:paraId="0A7F55AC" w14:textId="3819C81E" w:rsidR="000C2F3D" w:rsidRDefault="0076226E" w:rsidP="00F474DD">
      <w:pPr>
        <w:pStyle w:val="Normalnumber"/>
        <w:numPr>
          <w:ilvl w:val="0"/>
          <w:numId w:val="5"/>
        </w:numPr>
        <w:ind w:left="1247" w:firstLine="0"/>
        <w:rPr>
          <w:lang w:val="fr-FR"/>
        </w:rPr>
      </w:pPr>
      <w:r w:rsidRPr="00E84EB9">
        <w:rPr>
          <w:lang w:val="fr-FR"/>
        </w:rPr>
        <w:lastRenderedPageBreak/>
        <w:t>Une installation de stockage pourrait être située à proximité d</w:t>
      </w:r>
      <w:r w:rsidR="006C05FA">
        <w:rPr>
          <w:lang w:val="fr-FR"/>
        </w:rPr>
        <w:t>’</w:t>
      </w:r>
      <w:r w:rsidRPr="00E84EB9">
        <w:rPr>
          <w:lang w:val="fr-FR"/>
        </w:rPr>
        <w:t>un point d</w:t>
      </w:r>
      <w:r w:rsidR="006C05FA">
        <w:rPr>
          <w:lang w:val="fr-FR"/>
        </w:rPr>
        <w:t>’</w:t>
      </w:r>
      <w:r w:rsidRPr="00E84EB9">
        <w:rPr>
          <w:lang w:val="fr-FR"/>
        </w:rPr>
        <w:t>importation afin de réduire autant que possible la durée du transport. L</w:t>
      </w:r>
      <w:r w:rsidR="006C05FA">
        <w:rPr>
          <w:lang w:val="fr-FR"/>
        </w:rPr>
        <w:t>’</w:t>
      </w:r>
      <w:r w:rsidRPr="00E84EB9">
        <w:rPr>
          <w:lang w:val="fr-FR"/>
        </w:rPr>
        <w:t xml:space="preserve">accès au site devrait </w:t>
      </w:r>
      <w:r w:rsidR="00442A7E">
        <w:rPr>
          <w:lang w:val="fr-FR"/>
        </w:rPr>
        <w:t>convenir pour</w:t>
      </w:r>
      <w:r w:rsidR="009A08A3" w:rsidRPr="00E84EB9">
        <w:rPr>
          <w:lang w:val="fr-FR"/>
        </w:rPr>
        <w:t xml:space="preserve"> </w:t>
      </w:r>
      <w:r w:rsidR="00776788" w:rsidRPr="00E84EB9">
        <w:rPr>
          <w:lang w:val="fr-FR"/>
        </w:rPr>
        <w:t>la réception de mercure et de</w:t>
      </w:r>
      <w:r w:rsidRPr="00E84EB9">
        <w:rPr>
          <w:lang w:val="fr-FR"/>
        </w:rPr>
        <w:t xml:space="preserve"> composés du mercure et</w:t>
      </w:r>
      <w:r w:rsidR="009A08A3" w:rsidRPr="00E84EB9">
        <w:rPr>
          <w:lang w:val="fr-FR"/>
        </w:rPr>
        <w:t xml:space="preserve"> </w:t>
      </w:r>
      <w:r w:rsidR="00776788" w:rsidRPr="00E84EB9">
        <w:rPr>
          <w:lang w:val="fr-FR"/>
        </w:rPr>
        <w:t xml:space="preserve">leur mise </w:t>
      </w:r>
      <w:r w:rsidR="007C1783">
        <w:rPr>
          <w:lang w:val="fr-FR"/>
        </w:rPr>
        <w:t>à disposi</w:t>
      </w:r>
      <w:r w:rsidR="00776788" w:rsidRPr="00E84EB9">
        <w:rPr>
          <w:lang w:val="fr-FR"/>
        </w:rPr>
        <w:t xml:space="preserve">tion </w:t>
      </w:r>
      <w:r w:rsidRPr="00E84EB9">
        <w:rPr>
          <w:lang w:val="fr-FR"/>
        </w:rPr>
        <w:t>en vue de leur utilisation. Il y a lieu de se pencher sur les facteurs susceptibles d</w:t>
      </w:r>
      <w:r w:rsidR="006C05FA">
        <w:rPr>
          <w:lang w:val="fr-FR"/>
        </w:rPr>
        <w:t>’</w:t>
      </w:r>
      <w:r w:rsidRPr="00E84EB9">
        <w:rPr>
          <w:lang w:val="fr-FR"/>
        </w:rPr>
        <w:t>avoir des incidences sur la sécurité du site ou de l</w:t>
      </w:r>
      <w:r w:rsidR="006C05FA">
        <w:rPr>
          <w:lang w:val="fr-FR"/>
        </w:rPr>
        <w:t>’</w:t>
      </w:r>
      <w:r w:rsidRPr="00E84EB9">
        <w:rPr>
          <w:lang w:val="fr-FR"/>
        </w:rPr>
        <w:t xml:space="preserve">installation. </w:t>
      </w:r>
      <w:r w:rsidR="009A08A3" w:rsidRPr="00E84EB9">
        <w:rPr>
          <w:lang w:val="fr-FR"/>
        </w:rPr>
        <w:t>Pour l</w:t>
      </w:r>
      <w:r w:rsidRPr="00E84EB9">
        <w:rPr>
          <w:lang w:val="fr-FR"/>
        </w:rPr>
        <w:t>es établissements privés dans lesquels du mercure ou des composés du mercure sont utilisés</w:t>
      </w:r>
      <w:r w:rsidR="009A08A3" w:rsidRPr="00E84EB9">
        <w:rPr>
          <w:lang w:val="fr-FR"/>
        </w:rPr>
        <w:t>, l</w:t>
      </w:r>
      <w:r w:rsidR="006C05FA">
        <w:rPr>
          <w:lang w:val="fr-FR"/>
        </w:rPr>
        <w:t>’</w:t>
      </w:r>
      <w:r w:rsidR="009A08A3" w:rsidRPr="00E84EB9">
        <w:rPr>
          <w:lang w:val="fr-FR"/>
        </w:rPr>
        <w:t xml:space="preserve">on </w:t>
      </w:r>
      <w:r w:rsidRPr="00E84EB9">
        <w:rPr>
          <w:lang w:val="fr-FR"/>
        </w:rPr>
        <w:t>s</w:t>
      </w:r>
      <w:r w:rsidR="006C05FA">
        <w:rPr>
          <w:lang w:val="fr-FR"/>
        </w:rPr>
        <w:t>’</w:t>
      </w:r>
      <w:r w:rsidRPr="00E84EB9">
        <w:rPr>
          <w:lang w:val="fr-FR"/>
        </w:rPr>
        <w:t>interroger</w:t>
      </w:r>
      <w:r w:rsidR="009A08A3" w:rsidRPr="00E84EB9">
        <w:rPr>
          <w:lang w:val="fr-FR"/>
        </w:rPr>
        <w:t>a</w:t>
      </w:r>
      <w:r w:rsidRPr="00E84EB9">
        <w:rPr>
          <w:lang w:val="fr-FR"/>
        </w:rPr>
        <w:t xml:space="preserve"> sur l</w:t>
      </w:r>
      <w:r w:rsidR="006C05FA">
        <w:rPr>
          <w:lang w:val="fr-FR"/>
        </w:rPr>
        <w:t>’</w:t>
      </w:r>
      <w:r w:rsidRPr="00E84EB9">
        <w:rPr>
          <w:lang w:val="fr-FR"/>
        </w:rPr>
        <w:t>emplacement de l</w:t>
      </w:r>
      <w:r w:rsidR="006C05FA">
        <w:rPr>
          <w:lang w:val="fr-FR"/>
        </w:rPr>
        <w:t>’</w:t>
      </w:r>
      <w:r w:rsidRPr="00E84EB9">
        <w:rPr>
          <w:lang w:val="fr-FR"/>
        </w:rPr>
        <w:t xml:space="preserve">espace </w:t>
      </w:r>
      <w:r w:rsidR="007C1783">
        <w:rPr>
          <w:lang w:val="fr-FR"/>
        </w:rPr>
        <w:t>de</w:t>
      </w:r>
      <w:r w:rsidR="00DB06CF" w:rsidRPr="00E84EB9">
        <w:rPr>
          <w:lang w:val="fr-FR"/>
        </w:rPr>
        <w:t xml:space="preserve"> </w:t>
      </w:r>
      <w:r w:rsidR="009A08A3" w:rsidRPr="00E84EB9">
        <w:rPr>
          <w:lang w:val="fr-FR"/>
        </w:rPr>
        <w:t xml:space="preserve">stockage </w:t>
      </w:r>
      <w:r w:rsidRPr="00E84EB9">
        <w:rPr>
          <w:lang w:val="fr-FR"/>
        </w:rPr>
        <w:t>au sein de l</w:t>
      </w:r>
      <w:r w:rsidR="006C05FA">
        <w:rPr>
          <w:lang w:val="fr-FR"/>
        </w:rPr>
        <w:t>’</w:t>
      </w:r>
      <w:r w:rsidRPr="00E84EB9">
        <w:rPr>
          <w:lang w:val="fr-FR"/>
        </w:rPr>
        <w:t>installation, et notamment sur la facilité d</w:t>
      </w:r>
      <w:r w:rsidR="006C05FA">
        <w:rPr>
          <w:lang w:val="fr-FR"/>
        </w:rPr>
        <w:t>’</w:t>
      </w:r>
      <w:r w:rsidRPr="00E84EB9">
        <w:rPr>
          <w:lang w:val="fr-FR"/>
        </w:rPr>
        <w:t>accès au mercure ou aux composés du mercure. Par ailleurs, la sécurité du site</w:t>
      </w:r>
      <w:r w:rsidR="009A08A3" w:rsidRPr="00E84EB9">
        <w:rPr>
          <w:lang w:val="fr-FR"/>
        </w:rPr>
        <w:t xml:space="preserve"> doit être prise en considération</w:t>
      </w:r>
      <w:r w:rsidRPr="00E84EB9">
        <w:rPr>
          <w:lang w:val="fr-FR"/>
        </w:rPr>
        <w:t>.</w:t>
      </w:r>
    </w:p>
    <w:p w14:paraId="65952F62" w14:textId="5F37CCBB" w:rsidR="005079D5" w:rsidRPr="005079D5" w:rsidRDefault="005079D5" w:rsidP="005079D5">
      <w:pPr>
        <w:pStyle w:val="CH2"/>
        <w:rPr>
          <w:lang w:val="fr-FR"/>
        </w:rPr>
      </w:pPr>
      <w:r w:rsidRPr="00024C21">
        <w:rPr>
          <w:lang w:val="fr-FR"/>
        </w:rPr>
        <w:tab/>
      </w:r>
      <w:bookmarkStart w:id="18" w:name="_Toc527548238"/>
      <w:r w:rsidRPr="005079D5">
        <w:rPr>
          <w:lang w:val="fr-FR"/>
        </w:rPr>
        <w:t>B.</w:t>
      </w:r>
      <w:r w:rsidRPr="005079D5">
        <w:rPr>
          <w:lang w:val="fr-FR"/>
        </w:rPr>
        <w:tab/>
      </w:r>
      <w:r w:rsidRPr="00E84EB9">
        <w:rPr>
          <w:bCs/>
          <w:lang w:val="fr-FR"/>
        </w:rPr>
        <w:t>Construction d</w:t>
      </w:r>
      <w:r>
        <w:rPr>
          <w:bCs/>
          <w:lang w:val="fr-FR"/>
        </w:rPr>
        <w:t>’</w:t>
      </w:r>
      <w:r w:rsidRPr="00E84EB9">
        <w:rPr>
          <w:bCs/>
          <w:lang w:val="fr-FR"/>
        </w:rPr>
        <w:t>installations de stockage provisoire, notamment mise en place de barrières</w:t>
      </w:r>
      <w:bookmarkEnd w:id="18"/>
    </w:p>
    <w:p w14:paraId="595ADB59" w14:textId="554F090E" w:rsidR="000C2F3D" w:rsidRPr="00E84EB9" w:rsidRDefault="00DC24DF" w:rsidP="00F474DD">
      <w:pPr>
        <w:pStyle w:val="Normalnumber"/>
        <w:numPr>
          <w:ilvl w:val="0"/>
          <w:numId w:val="5"/>
        </w:numPr>
        <w:ind w:left="1247" w:firstLine="0"/>
        <w:rPr>
          <w:lang w:val="fr-FR"/>
        </w:rPr>
      </w:pPr>
      <w:r w:rsidRPr="00E84EB9">
        <w:rPr>
          <w:lang w:val="fr-FR"/>
        </w:rPr>
        <w:t>U</w:t>
      </w:r>
      <w:r w:rsidR="000C2F3D" w:rsidRPr="00E84EB9">
        <w:rPr>
          <w:lang w:val="fr-FR"/>
        </w:rPr>
        <w:t xml:space="preserve">n cadre législatif et réglementaire </w:t>
      </w:r>
      <w:r w:rsidRPr="00E84EB9">
        <w:rPr>
          <w:lang w:val="fr-FR"/>
        </w:rPr>
        <w:t xml:space="preserve">devrait être mis en place </w:t>
      </w:r>
      <w:r w:rsidR="000C2F3D" w:rsidRPr="00E84EB9">
        <w:rPr>
          <w:lang w:val="fr-FR"/>
        </w:rPr>
        <w:t xml:space="preserve">pour </w:t>
      </w:r>
      <w:r w:rsidRPr="00E84EB9">
        <w:rPr>
          <w:lang w:val="fr-FR"/>
        </w:rPr>
        <w:t xml:space="preserve">veiller à ce </w:t>
      </w:r>
      <w:r w:rsidR="000C2F3D" w:rsidRPr="00E84EB9">
        <w:rPr>
          <w:lang w:val="fr-FR"/>
        </w:rPr>
        <w:t xml:space="preserve">que les installations </w:t>
      </w:r>
      <w:r w:rsidR="00442A7E">
        <w:rPr>
          <w:lang w:val="fr-FR"/>
        </w:rPr>
        <w:t>de</w:t>
      </w:r>
      <w:r w:rsidR="000C2F3D" w:rsidRPr="00E84EB9">
        <w:rPr>
          <w:lang w:val="fr-FR"/>
        </w:rPr>
        <w:t xml:space="preserve"> stockage provisoire de mercure ou de composés du mercure protègent parfaitement l</w:t>
      </w:r>
      <w:r w:rsidR="006C05FA">
        <w:rPr>
          <w:lang w:val="fr-FR"/>
        </w:rPr>
        <w:t>’</w:t>
      </w:r>
      <w:r w:rsidR="000C2F3D" w:rsidRPr="00E84EB9">
        <w:rPr>
          <w:lang w:val="fr-FR"/>
        </w:rPr>
        <w:t xml:space="preserve">environnement et la santé humaine. </w:t>
      </w:r>
      <w:r w:rsidRPr="00E84EB9">
        <w:rPr>
          <w:lang w:val="fr-FR"/>
        </w:rPr>
        <w:t xml:space="preserve">La </w:t>
      </w:r>
      <w:r w:rsidR="000C2F3D" w:rsidRPr="00E84EB9">
        <w:rPr>
          <w:lang w:val="fr-FR"/>
        </w:rPr>
        <w:t xml:space="preserve">législation devrait </w:t>
      </w:r>
      <w:r w:rsidRPr="00E84EB9">
        <w:rPr>
          <w:lang w:val="fr-FR"/>
        </w:rPr>
        <w:t xml:space="preserve">comporter </w:t>
      </w:r>
      <w:r w:rsidR="00442A7E">
        <w:rPr>
          <w:lang w:val="fr-FR"/>
        </w:rPr>
        <w:t>d</w:t>
      </w:r>
      <w:r w:rsidR="000C2F3D" w:rsidRPr="00E84EB9">
        <w:rPr>
          <w:lang w:val="fr-FR"/>
        </w:rPr>
        <w:t>es exigences détaillées relatives à la conception, à l</w:t>
      </w:r>
      <w:r w:rsidR="006C05FA">
        <w:rPr>
          <w:lang w:val="fr-FR"/>
        </w:rPr>
        <w:t>’</w:t>
      </w:r>
      <w:r w:rsidR="000C2F3D" w:rsidRPr="00E84EB9">
        <w:rPr>
          <w:lang w:val="fr-FR"/>
        </w:rPr>
        <w:t>exploitation et à la fermeture de</w:t>
      </w:r>
      <w:r w:rsidR="00162640">
        <w:rPr>
          <w:lang w:val="fr-FR"/>
        </w:rPr>
        <w:t xml:space="preserve"> ce</w:t>
      </w:r>
      <w:r w:rsidR="000C2F3D" w:rsidRPr="00E84EB9">
        <w:rPr>
          <w:lang w:val="fr-FR"/>
        </w:rPr>
        <w:t>s install</w:t>
      </w:r>
      <w:r w:rsidRPr="00E84EB9">
        <w:rPr>
          <w:lang w:val="fr-FR"/>
        </w:rPr>
        <w:t xml:space="preserve">ations. </w:t>
      </w:r>
      <w:r w:rsidR="00162640">
        <w:rPr>
          <w:lang w:val="fr-FR"/>
        </w:rPr>
        <w:t xml:space="preserve">Celles-ci </w:t>
      </w:r>
      <w:r w:rsidR="000C2F3D" w:rsidRPr="00E84EB9">
        <w:rPr>
          <w:lang w:val="fr-FR"/>
        </w:rPr>
        <w:t xml:space="preserve">devraient présenter certaines caractéristiques de confinement </w:t>
      </w:r>
      <w:r w:rsidRPr="00E84EB9">
        <w:rPr>
          <w:lang w:val="fr-FR"/>
        </w:rPr>
        <w:t xml:space="preserve">pour garantir le </w:t>
      </w:r>
      <w:r w:rsidR="000C2F3D" w:rsidRPr="00E84EB9">
        <w:rPr>
          <w:lang w:val="fr-FR"/>
        </w:rPr>
        <w:t>stockage provisoire écologiquement rationnel et en toute sécurité du mercure et des compo</w:t>
      </w:r>
      <w:r w:rsidR="00FF32AC">
        <w:rPr>
          <w:lang w:val="fr-FR"/>
        </w:rPr>
        <w:t>sés du mercure (QSC, 2003). Une </w:t>
      </w:r>
      <w:r w:rsidR="000C2F3D" w:rsidRPr="00E84EB9">
        <w:rPr>
          <w:lang w:val="fr-FR"/>
        </w:rPr>
        <w:t xml:space="preserve">attention particulière </w:t>
      </w:r>
      <w:r w:rsidR="00D5439A" w:rsidRPr="00E84EB9">
        <w:rPr>
          <w:lang w:val="fr-FR"/>
        </w:rPr>
        <w:t xml:space="preserve">devrait </w:t>
      </w:r>
      <w:r w:rsidR="000C2F3D" w:rsidRPr="00E84EB9">
        <w:rPr>
          <w:lang w:val="fr-FR"/>
        </w:rPr>
        <w:t>être portée à la protection des sols, des eaux souterraines et des eaux de surface, en particulier lors de la construction d</w:t>
      </w:r>
      <w:r w:rsidR="006C05FA">
        <w:rPr>
          <w:lang w:val="fr-FR"/>
        </w:rPr>
        <w:t>’</w:t>
      </w:r>
      <w:r w:rsidR="000C2F3D" w:rsidRPr="00E84EB9">
        <w:rPr>
          <w:lang w:val="fr-FR"/>
        </w:rPr>
        <w:t xml:space="preserve">installations pour le stockage de grandes quantités de mercure ou de composés du mercure. Une telle protection pourrait être obtenue </w:t>
      </w:r>
      <w:r w:rsidR="00336ECA" w:rsidRPr="00E84EB9">
        <w:rPr>
          <w:lang w:val="fr-FR"/>
        </w:rPr>
        <w:t xml:space="preserve">en combinant </w:t>
      </w:r>
      <w:r w:rsidR="000C2F3D" w:rsidRPr="00E84EB9">
        <w:rPr>
          <w:lang w:val="fr-FR"/>
        </w:rPr>
        <w:t>une barrière géologique à d</w:t>
      </w:r>
      <w:r w:rsidR="006C05FA">
        <w:rPr>
          <w:lang w:val="fr-FR"/>
        </w:rPr>
        <w:t>’</w:t>
      </w:r>
      <w:r w:rsidR="000C2F3D" w:rsidRPr="00E84EB9">
        <w:rPr>
          <w:lang w:val="fr-FR"/>
        </w:rPr>
        <w:t>autres barrières imperméables. Une directive de l</w:t>
      </w:r>
      <w:r w:rsidR="006C05FA">
        <w:rPr>
          <w:lang w:val="fr-FR"/>
        </w:rPr>
        <w:t>’</w:t>
      </w:r>
      <w:r w:rsidR="000C2F3D" w:rsidRPr="00E84EB9">
        <w:rPr>
          <w:lang w:val="fr-FR"/>
        </w:rPr>
        <w:t xml:space="preserve">Union européenne, par exemple, prévoit que les sites de stockage </w:t>
      </w:r>
      <w:r w:rsidR="00336ECA" w:rsidRPr="00E84EB9">
        <w:rPr>
          <w:lang w:val="fr-FR"/>
        </w:rPr>
        <w:t xml:space="preserve">doivent posséder </w:t>
      </w:r>
      <w:r w:rsidR="000C2F3D" w:rsidRPr="00E84EB9">
        <w:rPr>
          <w:lang w:val="fr-FR"/>
        </w:rPr>
        <w:t>des barrières aménagées ou naturelles suffisantes pour protéger l</w:t>
      </w:r>
      <w:r w:rsidR="006C05FA">
        <w:rPr>
          <w:lang w:val="fr-FR"/>
        </w:rPr>
        <w:t>’</w:t>
      </w:r>
      <w:r w:rsidR="000C2F3D" w:rsidRPr="00E84EB9">
        <w:rPr>
          <w:lang w:val="fr-FR"/>
        </w:rPr>
        <w:t xml:space="preserve">environnement contre les </w:t>
      </w:r>
      <w:r w:rsidR="00442A7E">
        <w:rPr>
          <w:lang w:val="fr-FR"/>
        </w:rPr>
        <w:t>fuite</w:t>
      </w:r>
      <w:r w:rsidR="000C2F3D" w:rsidRPr="00E84EB9">
        <w:rPr>
          <w:lang w:val="fr-FR"/>
        </w:rPr>
        <w:t>s de mercure</w:t>
      </w:r>
      <w:r w:rsidR="00162640">
        <w:rPr>
          <w:lang w:val="fr-FR"/>
        </w:rPr>
        <w:t>,</w:t>
      </w:r>
      <w:r w:rsidR="000C2F3D" w:rsidRPr="00E84EB9">
        <w:rPr>
          <w:lang w:val="fr-FR"/>
        </w:rPr>
        <w:t xml:space="preserve"> et un volume de confinement adapté à la quantité totale de mercure stockée (UE, 2011). L</w:t>
      </w:r>
      <w:r w:rsidR="006C05FA">
        <w:rPr>
          <w:lang w:val="fr-FR"/>
        </w:rPr>
        <w:t>’</w:t>
      </w:r>
      <w:r w:rsidR="000C2F3D" w:rsidRPr="00E84EB9">
        <w:rPr>
          <w:lang w:val="fr-FR"/>
        </w:rPr>
        <w:t>aménagement des sites de stockage devrait être guidé par la nature du site, la géologie et d</w:t>
      </w:r>
      <w:r w:rsidR="006C05FA">
        <w:rPr>
          <w:lang w:val="fr-FR"/>
        </w:rPr>
        <w:t>’</w:t>
      </w:r>
      <w:r w:rsidR="000C2F3D" w:rsidRPr="00E84EB9">
        <w:rPr>
          <w:lang w:val="fr-FR"/>
        </w:rPr>
        <w:t>autres facteurs propres au cas considéré, ainsi que par des principes d</w:t>
      </w:r>
      <w:r w:rsidR="006C05FA">
        <w:rPr>
          <w:lang w:val="fr-FR"/>
        </w:rPr>
        <w:t>’</w:t>
      </w:r>
      <w:r w:rsidR="000C2F3D" w:rsidRPr="00E84EB9">
        <w:rPr>
          <w:lang w:val="fr-FR"/>
        </w:rPr>
        <w:t>ingénierie géotechnique adaptés. L</w:t>
      </w:r>
      <w:r w:rsidR="006C05FA">
        <w:rPr>
          <w:lang w:val="fr-FR"/>
        </w:rPr>
        <w:t>’</w:t>
      </w:r>
      <w:r w:rsidR="000C2F3D" w:rsidRPr="00E84EB9">
        <w:rPr>
          <w:lang w:val="fr-FR"/>
        </w:rPr>
        <w:t>importance de ces facteurs pourrait être moindre pour les sites destinés au stockage de petites quantités de mer</w:t>
      </w:r>
      <w:r w:rsidR="00453C40" w:rsidRPr="00E84EB9">
        <w:rPr>
          <w:lang w:val="fr-FR"/>
        </w:rPr>
        <w:t>cure ou de composés du mercure.</w:t>
      </w:r>
    </w:p>
    <w:p w14:paraId="0D9DC937" w14:textId="004D069B" w:rsidR="000C2F3D" w:rsidRPr="00E84EB9" w:rsidRDefault="000C2F3D" w:rsidP="00F474DD">
      <w:pPr>
        <w:pStyle w:val="Normalnumber"/>
        <w:numPr>
          <w:ilvl w:val="0"/>
          <w:numId w:val="5"/>
        </w:numPr>
        <w:ind w:left="1247" w:firstLine="0"/>
        <w:rPr>
          <w:lang w:val="fr-FR"/>
        </w:rPr>
      </w:pPr>
      <w:r w:rsidRPr="00E84EB9">
        <w:rPr>
          <w:lang w:val="fr-FR"/>
        </w:rPr>
        <w:t>L</w:t>
      </w:r>
      <w:r w:rsidR="007D615C">
        <w:rPr>
          <w:lang w:val="fr-FR"/>
        </w:rPr>
        <w:t>ors de l</w:t>
      </w:r>
      <w:r w:rsidRPr="00E84EB9">
        <w:rPr>
          <w:lang w:val="fr-FR"/>
        </w:rPr>
        <w:t>a construction d</w:t>
      </w:r>
      <w:r w:rsidR="006C05FA">
        <w:rPr>
          <w:lang w:val="fr-FR"/>
        </w:rPr>
        <w:t>’</w:t>
      </w:r>
      <w:r w:rsidRPr="00E84EB9">
        <w:rPr>
          <w:lang w:val="fr-FR"/>
        </w:rPr>
        <w:t xml:space="preserve">une </w:t>
      </w:r>
      <w:r w:rsidR="007D615C">
        <w:rPr>
          <w:lang w:val="fr-FR"/>
        </w:rPr>
        <w:t xml:space="preserve">nouvelle </w:t>
      </w:r>
      <w:r w:rsidRPr="00E84EB9">
        <w:rPr>
          <w:lang w:val="fr-FR"/>
        </w:rPr>
        <w:t xml:space="preserve">installation ou </w:t>
      </w:r>
      <w:r w:rsidR="007D615C">
        <w:rPr>
          <w:lang w:val="fr-FR"/>
        </w:rPr>
        <w:t xml:space="preserve">de </w:t>
      </w:r>
      <w:r w:rsidRPr="00E84EB9">
        <w:rPr>
          <w:lang w:val="fr-FR"/>
        </w:rPr>
        <w:t>la modernisation d</w:t>
      </w:r>
      <w:r w:rsidR="006C05FA">
        <w:rPr>
          <w:lang w:val="fr-FR"/>
        </w:rPr>
        <w:t>’</w:t>
      </w:r>
      <w:r w:rsidRPr="00E84EB9">
        <w:rPr>
          <w:lang w:val="fr-FR"/>
        </w:rPr>
        <w:t>une installation existante</w:t>
      </w:r>
      <w:r w:rsidR="007D615C">
        <w:rPr>
          <w:lang w:val="fr-FR"/>
        </w:rPr>
        <w:t>, il convient de</w:t>
      </w:r>
      <w:r w:rsidRPr="00E84EB9">
        <w:rPr>
          <w:lang w:val="fr-FR"/>
        </w:rPr>
        <w:t xml:space="preserve"> prendre en considération sa taille, son agencement et sa conception, les prescriptions relatives à la résistance du plancher, les revêtements de surface, les canalisations et les drains, le débit d</w:t>
      </w:r>
      <w:r w:rsidR="006C05FA">
        <w:rPr>
          <w:lang w:val="fr-FR"/>
        </w:rPr>
        <w:t>’</w:t>
      </w:r>
      <w:r w:rsidRPr="00E84EB9">
        <w:rPr>
          <w:lang w:val="fr-FR"/>
        </w:rPr>
        <w:t>air et la ventilation</w:t>
      </w:r>
      <w:r w:rsidR="0013265C" w:rsidRPr="00E84EB9">
        <w:rPr>
          <w:lang w:val="fr-FR"/>
        </w:rPr>
        <w:t>, ainsi que</w:t>
      </w:r>
      <w:r w:rsidRPr="00E84EB9">
        <w:rPr>
          <w:lang w:val="fr-FR"/>
        </w:rPr>
        <w:t xml:space="preserve"> la plage de températures admissible pour le stoc</w:t>
      </w:r>
      <w:r w:rsidR="00FF32AC">
        <w:rPr>
          <w:lang w:val="fr-FR"/>
        </w:rPr>
        <w:t>kage du mercure élémentaire. La </w:t>
      </w:r>
      <w:r w:rsidRPr="00E84EB9">
        <w:rPr>
          <w:lang w:val="fr-FR"/>
        </w:rPr>
        <w:t>taille de l</w:t>
      </w:r>
      <w:r w:rsidR="006C05FA">
        <w:rPr>
          <w:lang w:val="fr-FR"/>
        </w:rPr>
        <w:t>’</w:t>
      </w:r>
      <w:r w:rsidRPr="00E84EB9">
        <w:rPr>
          <w:lang w:val="fr-FR"/>
        </w:rPr>
        <w:t>installation dépendra de l</w:t>
      </w:r>
      <w:r w:rsidR="006C05FA">
        <w:rPr>
          <w:lang w:val="fr-FR"/>
        </w:rPr>
        <w:t>’</w:t>
      </w:r>
      <w:r w:rsidRPr="00E84EB9">
        <w:rPr>
          <w:lang w:val="fr-FR"/>
        </w:rPr>
        <w:t>espace nécessaire pour le</w:t>
      </w:r>
      <w:r w:rsidR="007D615C">
        <w:rPr>
          <w:lang w:val="fr-FR"/>
        </w:rPr>
        <w:t>s besoins de</w:t>
      </w:r>
      <w:r w:rsidRPr="00E84EB9">
        <w:rPr>
          <w:lang w:val="fr-FR"/>
        </w:rPr>
        <w:t xml:space="preserve"> stockage </w:t>
      </w:r>
      <w:r w:rsidR="007D615C">
        <w:rPr>
          <w:lang w:val="fr-FR"/>
        </w:rPr>
        <w:t>actuels</w:t>
      </w:r>
      <w:r w:rsidRPr="00E84EB9">
        <w:rPr>
          <w:lang w:val="fr-FR"/>
        </w:rPr>
        <w:t xml:space="preserve"> et </w:t>
      </w:r>
      <w:r w:rsidR="007D615C">
        <w:rPr>
          <w:lang w:val="fr-FR"/>
        </w:rPr>
        <w:t>futurs</w:t>
      </w:r>
      <w:r w:rsidRPr="00E84EB9">
        <w:rPr>
          <w:lang w:val="fr-FR"/>
        </w:rPr>
        <w:t xml:space="preserve"> </w:t>
      </w:r>
      <w:r w:rsidR="007D615C">
        <w:rPr>
          <w:lang w:val="fr-FR"/>
        </w:rPr>
        <w:t>et</w:t>
      </w:r>
      <w:r w:rsidR="0013265C" w:rsidRPr="00E84EB9">
        <w:rPr>
          <w:lang w:val="fr-FR"/>
        </w:rPr>
        <w:t xml:space="preserve"> de la méthode de stockage.</w:t>
      </w:r>
    </w:p>
    <w:p w14:paraId="793CFB53" w14:textId="7FC8269A" w:rsidR="000C2F3D" w:rsidRPr="00E84EB9" w:rsidRDefault="000C2F3D" w:rsidP="00F474DD">
      <w:pPr>
        <w:pStyle w:val="Normalnumber"/>
        <w:numPr>
          <w:ilvl w:val="0"/>
          <w:numId w:val="5"/>
        </w:numPr>
        <w:ind w:left="1247" w:firstLine="0"/>
        <w:rPr>
          <w:lang w:val="fr-FR"/>
        </w:rPr>
      </w:pPr>
      <w:r w:rsidRPr="00E84EB9">
        <w:rPr>
          <w:lang w:val="fr-FR"/>
        </w:rPr>
        <w:t>Les installations devraient être conçues de manière à faciliter la manipulation des conteneurs en toute sécurité et pourrai</w:t>
      </w:r>
      <w:r w:rsidR="005A1B62" w:rsidRPr="00E84EB9">
        <w:rPr>
          <w:lang w:val="fr-FR"/>
        </w:rPr>
        <w:t>en</w:t>
      </w:r>
      <w:r w:rsidRPr="00E84EB9">
        <w:rPr>
          <w:lang w:val="fr-FR"/>
        </w:rPr>
        <w:t xml:space="preserve">t comporter des </w:t>
      </w:r>
      <w:r w:rsidR="00906673">
        <w:rPr>
          <w:lang w:val="fr-FR"/>
        </w:rPr>
        <w:t>zon</w:t>
      </w:r>
      <w:r w:rsidRPr="00E84EB9">
        <w:rPr>
          <w:lang w:val="fr-FR"/>
        </w:rPr>
        <w:t xml:space="preserve">es séparées et </w:t>
      </w:r>
      <w:r w:rsidR="00906673">
        <w:rPr>
          <w:lang w:val="fr-FR"/>
        </w:rPr>
        <w:t>autonom</w:t>
      </w:r>
      <w:r w:rsidRPr="00E84EB9">
        <w:rPr>
          <w:lang w:val="fr-FR"/>
        </w:rPr>
        <w:t>es pour l</w:t>
      </w:r>
      <w:r w:rsidR="006C05FA">
        <w:rPr>
          <w:lang w:val="fr-FR"/>
        </w:rPr>
        <w:t>’</w:t>
      </w:r>
      <w:r w:rsidRPr="00E84EB9">
        <w:rPr>
          <w:lang w:val="fr-FR"/>
        </w:rPr>
        <w:t xml:space="preserve">expédition et la réception des conteneurs et pour les opérations de reconditionnement, </w:t>
      </w:r>
      <w:r w:rsidR="005A1B62" w:rsidRPr="00E84EB9">
        <w:rPr>
          <w:lang w:val="fr-FR"/>
        </w:rPr>
        <w:t xml:space="preserve">qui sont </w:t>
      </w:r>
      <w:r w:rsidRPr="00E84EB9">
        <w:rPr>
          <w:lang w:val="fr-FR"/>
        </w:rPr>
        <w:t xml:space="preserve">tout particulièrement </w:t>
      </w:r>
      <w:r w:rsidR="00162640">
        <w:rPr>
          <w:lang w:val="fr-FR"/>
        </w:rPr>
        <w:t>susceptibles d</w:t>
      </w:r>
      <w:r w:rsidR="006C05FA">
        <w:rPr>
          <w:lang w:val="fr-FR"/>
        </w:rPr>
        <w:t>’</w:t>
      </w:r>
      <w:r w:rsidR="00162640">
        <w:rPr>
          <w:lang w:val="fr-FR"/>
        </w:rPr>
        <w:t xml:space="preserve">engendrer des </w:t>
      </w:r>
      <w:r w:rsidRPr="00E84EB9">
        <w:rPr>
          <w:lang w:val="fr-FR"/>
        </w:rPr>
        <w:t xml:space="preserve">accidents et </w:t>
      </w:r>
      <w:r w:rsidR="00162640">
        <w:rPr>
          <w:lang w:val="fr-FR"/>
        </w:rPr>
        <w:t xml:space="preserve">des </w:t>
      </w:r>
      <w:r w:rsidRPr="00E84EB9">
        <w:rPr>
          <w:lang w:val="fr-FR"/>
        </w:rPr>
        <w:t>déversements de mercure et de composés du mercure. Dans les grandes installations consacrées au stockage du mercure, les allées des aires de stockage devraient être suffisamment larges pour permettre le passage des équipes d</w:t>
      </w:r>
      <w:r w:rsidR="006C05FA">
        <w:rPr>
          <w:lang w:val="fr-FR"/>
        </w:rPr>
        <w:t>’</w:t>
      </w:r>
      <w:r w:rsidRPr="00E84EB9">
        <w:rPr>
          <w:lang w:val="fr-FR"/>
        </w:rPr>
        <w:t>inspection et des équipements d</w:t>
      </w:r>
      <w:r w:rsidR="006C05FA">
        <w:rPr>
          <w:lang w:val="fr-FR"/>
        </w:rPr>
        <w:t>’</w:t>
      </w:r>
      <w:r w:rsidR="00ED565B">
        <w:rPr>
          <w:lang w:val="fr-FR"/>
        </w:rPr>
        <w:t>urgence. Il </w:t>
      </w:r>
      <w:r w:rsidRPr="00E84EB9">
        <w:rPr>
          <w:lang w:val="fr-FR"/>
        </w:rPr>
        <w:t>conviendrait de se pencher sur la sécurité d</w:t>
      </w:r>
      <w:r w:rsidR="00D7287C">
        <w:rPr>
          <w:lang w:val="fr-FR"/>
        </w:rPr>
        <w:t>es activités de chargement. Les</w:t>
      </w:r>
      <w:r w:rsidR="007C00E1">
        <w:rPr>
          <w:lang w:val="fr-FR"/>
        </w:rPr>
        <w:t xml:space="preserve"> zon</w:t>
      </w:r>
      <w:r w:rsidRPr="00E84EB9">
        <w:rPr>
          <w:lang w:val="fr-FR"/>
        </w:rPr>
        <w:t>es de man</w:t>
      </w:r>
      <w:r w:rsidR="007D615C">
        <w:rPr>
          <w:lang w:val="fr-FR"/>
        </w:rPr>
        <w:t>utention</w:t>
      </w:r>
      <w:r w:rsidRPr="00E84EB9">
        <w:rPr>
          <w:lang w:val="fr-FR"/>
        </w:rPr>
        <w:t xml:space="preserve"> </w:t>
      </w:r>
      <w:r w:rsidR="007D615C">
        <w:rPr>
          <w:lang w:val="fr-FR"/>
        </w:rPr>
        <w:t>où</w:t>
      </w:r>
      <w:r w:rsidR="005A1B62" w:rsidRPr="00E84EB9">
        <w:rPr>
          <w:lang w:val="fr-FR"/>
        </w:rPr>
        <w:t xml:space="preserve"> </w:t>
      </w:r>
      <w:r w:rsidR="00BF5D42">
        <w:rPr>
          <w:lang w:val="fr-FR"/>
        </w:rPr>
        <w:t>d</w:t>
      </w:r>
      <w:r w:rsidR="005A1B62" w:rsidRPr="00E84EB9">
        <w:rPr>
          <w:lang w:val="fr-FR"/>
        </w:rPr>
        <w:t xml:space="preserve">es </w:t>
      </w:r>
      <w:r w:rsidR="007C00E1">
        <w:rPr>
          <w:lang w:val="fr-FR"/>
        </w:rPr>
        <w:t xml:space="preserve">opérations de </w:t>
      </w:r>
      <w:r w:rsidR="005A1B62" w:rsidRPr="00E84EB9">
        <w:rPr>
          <w:lang w:val="fr-FR"/>
        </w:rPr>
        <w:t>trans</w:t>
      </w:r>
      <w:r w:rsidR="007D615C">
        <w:rPr>
          <w:lang w:val="fr-FR"/>
        </w:rPr>
        <w:t>vasement</w:t>
      </w:r>
      <w:r w:rsidR="005A1B62" w:rsidRPr="00E84EB9">
        <w:rPr>
          <w:lang w:val="fr-FR"/>
        </w:rPr>
        <w:t xml:space="preserve"> de </w:t>
      </w:r>
      <w:r w:rsidRPr="00E84EB9">
        <w:rPr>
          <w:lang w:val="fr-FR"/>
        </w:rPr>
        <w:t xml:space="preserve">mercure ou composés du mercure </w:t>
      </w:r>
      <w:r w:rsidR="00BF5D42">
        <w:rPr>
          <w:lang w:val="fr-FR"/>
        </w:rPr>
        <w:t>peuvent</w:t>
      </w:r>
      <w:r w:rsidR="007C00E1">
        <w:rPr>
          <w:lang w:val="fr-FR"/>
        </w:rPr>
        <w:t xml:space="preserve"> avoir lieu</w:t>
      </w:r>
      <w:r w:rsidRPr="00E84EB9">
        <w:rPr>
          <w:lang w:val="fr-FR"/>
        </w:rPr>
        <w:t xml:space="preserve"> devraient </w:t>
      </w:r>
      <w:r w:rsidR="007C00E1">
        <w:rPr>
          <w:lang w:val="fr-FR"/>
        </w:rPr>
        <w:t>être</w:t>
      </w:r>
      <w:r w:rsidRPr="00E84EB9">
        <w:rPr>
          <w:lang w:val="fr-FR"/>
        </w:rPr>
        <w:t xml:space="preserve"> </w:t>
      </w:r>
      <w:r w:rsidR="007C00E1">
        <w:rPr>
          <w:lang w:val="fr-FR"/>
        </w:rPr>
        <w:t>sous</w:t>
      </w:r>
      <w:r w:rsidRPr="00E84EB9">
        <w:rPr>
          <w:lang w:val="fr-FR"/>
        </w:rPr>
        <w:t xml:space="preserve"> pression négative afin d</w:t>
      </w:r>
      <w:r w:rsidR="006C05FA">
        <w:rPr>
          <w:lang w:val="fr-FR"/>
        </w:rPr>
        <w:t>’</w:t>
      </w:r>
      <w:r w:rsidRPr="00E84EB9">
        <w:rPr>
          <w:lang w:val="fr-FR"/>
        </w:rPr>
        <w:t xml:space="preserve">éviter </w:t>
      </w:r>
      <w:r w:rsidR="004B30AC">
        <w:rPr>
          <w:lang w:val="fr-FR"/>
        </w:rPr>
        <w:t>que d</w:t>
      </w:r>
      <w:r w:rsidRPr="00E84EB9">
        <w:rPr>
          <w:lang w:val="fr-FR"/>
        </w:rPr>
        <w:t xml:space="preserve">es émissions de mercure </w:t>
      </w:r>
      <w:r w:rsidR="004B30AC">
        <w:rPr>
          <w:lang w:val="fr-FR"/>
        </w:rPr>
        <w:t>ne s’en échappent</w:t>
      </w:r>
      <w:r w:rsidRPr="00E84EB9">
        <w:rPr>
          <w:lang w:val="fr-FR"/>
        </w:rPr>
        <w:t xml:space="preserve">. Les </w:t>
      </w:r>
      <w:r w:rsidR="00A32A5F" w:rsidRPr="00E84EB9">
        <w:rPr>
          <w:lang w:val="fr-FR"/>
        </w:rPr>
        <w:t>Partie</w:t>
      </w:r>
      <w:r w:rsidRPr="00E84EB9">
        <w:rPr>
          <w:lang w:val="fr-FR"/>
        </w:rPr>
        <w:t xml:space="preserve">s devraient examiner dans quelle mesure les concentrations de mercure et de composés du mercure dans les </w:t>
      </w:r>
      <w:r w:rsidR="004B30AC">
        <w:rPr>
          <w:lang w:val="fr-FR"/>
        </w:rPr>
        <w:t>zon</w:t>
      </w:r>
      <w:r w:rsidRPr="00E84EB9">
        <w:rPr>
          <w:lang w:val="fr-FR"/>
        </w:rPr>
        <w:t>es de man</w:t>
      </w:r>
      <w:r w:rsidR="004B30AC">
        <w:rPr>
          <w:lang w:val="fr-FR"/>
        </w:rPr>
        <w:t>uten</w:t>
      </w:r>
      <w:r w:rsidRPr="00E84EB9">
        <w:rPr>
          <w:lang w:val="fr-FR"/>
        </w:rPr>
        <w:t xml:space="preserve">tion et de stockage </w:t>
      </w:r>
      <w:r w:rsidR="006A5ABB" w:rsidRPr="00E84EB9">
        <w:rPr>
          <w:lang w:val="fr-FR"/>
        </w:rPr>
        <w:t xml:space="preserve">nécessitent </w:t>
      </w:r>
      <w:r w:rsidRPr="00E84EB9">
        <w:rPr>
          <w:lang w:val="fr-FR"/>
        </w:rPr>
        <w:t>un</w:t>
      </w:r>
      <w:r w:rsidR="004B30AC">
        <w:rPr>
          <w:lang w:val="fr-FR"/>
        </w:rPr>
        <w:t xml:space="preserve"> filtrage</w:t>
      </w:r>
      <w:r w:rsidRPr="00E84EB9">
        <w:rPr>
          <w:lang w:val="fr-FR"/>
        </w:rPr>
        <w:t xml:space="preserve"> </w:t>
      </w:r>
      <w:r w:rsidR="004B30AC">
        <w:rPr>
          <w:lang w:val="fr-FR"/>
        </w:rPr>
        <w:t xml:space="preserve">au </w:t>
      </w:r>
      <w:r w:rsidRPr="00E84EB9">
        <w:rPr>
          <w:lang w:val="fr-FR"/>
        </w:rPr>
        <w:t xml:space="preserve">charbon actif </w:t>
      </w:r>
      <w:r w:rsidR="004B30AC">
        <w:rPr>
          <w:lang w:val="fr-FR"/>
        </w:rPr>
        <w:t xml:space="preserve">de </w:t>
      </w:r>
      <w:r w:rsidR="004B30AC" w:rsidRPr="00E84EB9">
        <w:rPr>
          <w:lang w:val="fr-FR"/>
        </w:rPr>
        <w:t>l</w:t>
      </w:r>
      <w:r w:rsidR="004B30AC">
        <w:rPr>
          <w:lang w:val="fr-FR"/>
        </w:rPr>
        <w:t>’</w:t>
      </w:r>
      <w:r w:rsidR="004B30AC" w:rsidRPr="00E84EB9">
        <w:rPr>
          <w:lang w:val="fr-FR"/>
        </w:rPr>
        <w:t>air évacué à l</w:t>
      </w:r>
      <w:r w:rsidR="004B30AC">
        <w:rPr>
          <w:lang w:val="fr-FR"/>
        </w:rPr>
        <w:t>’</w:t>
      </w:r>
      <w:r w:rsidR="004B30AC" w:rsidRPr="00E84EB9">
        <w:rPr>
          <w:lang w:val="fr-FR"/>
        </w:rPr>
        <w:t xml:space="preserve">extérieur </w:t>
      </w:r>
      <w:r w:rsidRPr="00E84EB9">
        <w:rPr>
          <w:lang w:val="fr-FR"/>
        </w:rPr>
        <w:t>ou d</w:t>
      </w:r>
      <w:r w:rsidR="006C05FA">
        <w:rPr>
          <w:lang w:val="fr-FR"/>
        </w:rPr>
        <w:t>’</w:t>
      </w:r>
      <w:r w:rsidRPr="00E84EB9">
        <w:rPr>
          <w:lang w:val="fr-FR"/>
        </w:rPr>
        <w:t xml:space="preserve">autres </w:t>
      </w:r>
      <w:r w:rsidR="005A1B62" w:rsidRPr="00E84EB9">
        <w:rPr>
          <w:lang w:val="fr-FR"/>
        </w:rPr>
        <w:t>systèmes de capture du mercure.</w:t>
      </w:r>
    </w:p>
    <w:p w14:paraId="33828FC5" w14:textId="41BEEACD" w:rsidR="000C2F3D" w:rsidRPr="00E84EB9" w:rsidRDefault="000C2F3D" w:rsidP="00F474DD">
      <w:pPr>
        <w:pStyle w:val="Normalnumber"/>
        <w:numPr>
          <w:ilvl w:val="0"/>
          <w:numId w:val="5"/>
        </w:numPr>
        <w:ind w:left="1247" w:firstLine="0"/>
        <w:rPr>
          <w:lang w:val="fr-FR"/>
        </w:rPr>
      </w:pPr>
      <w:r w:rsidRPr="00E84EB9">
        <w:rPr>
          <w:lang w:val="fr-FR"/>
        </w:rPr>
        <w:t>Le site de stockage devrait être équipé d</w:t>
      </w:r>
      <w:r w:rsidR="006C05FA">
        <w:rPr>
          <w:lang w:val="fr-FR"/>
        </w:rPr>
        <w:t>’</w:t>
      </w:r>
      <w:r w:rsidRPr="00E84EB9">
        <w:rPr>
          <w:lang w:val="fr-FR"/>
        </w:rPr>
        <w:t>un système de protection contre l</w:t>
      </w:r>
      <w:r w:rsidR="006C05FA">
        <w:rPr>
          <w:lang w:val="fr-FR"/>
        </w:rPr>
        <w:t>’</w:t>
      </w:r>
      <w:r w:rsidRPr="00E84EB9">
        <w:rPr>
          <w:lang w:val="fr-FR"/>
        </w:rPr>
        <w:t>incendie (UE, 2011). Des plans d</w:t>
      </w:r>
      <w:r w:rsidR="006C05FA">
        <w:rPr>
          <w:lang w:val="fr-FR"/>
        </w:rPr>
        <w:t>’</w:t>
      </w:r>
      <w:r w:rsidRPr="00E84EB9">
        <w:rPr>
          <w:lang w:val="fr-FR"/>
        </w:rPr>
        <w:t>intervention d</w:t>
      </w:r>
      <w:r w:rsidR="006C05FA">
        <w:rPr>
          <w:lang w:val="fr-FR"/>
        </w:rPr>
        <w:t>’</w:t>
      </w:r>
      <w:r w:rsidRPr="00E84EB9">
        <w:rPr>
          <w:lang w:val="fr-FR"/>
        </w:rPr>
        <w:t xml:space="preserve">urgence devraient être élaborés en coordination avec le service </w:t>
      </w:r>
      <w:r w:rsidR="001404F8" w:rsidRPr="00E84EB9">
        <w:rPr>
          <w:lang w:val="fr-FR"/>
        </w:rPr>
        <w:t xml:space="preserve">local </w:t>
      </w:r>
      <w:r w:rsidR="004B30AC">
        <w:rPr>
          <w:lang w:val="fr-FR"/>
        </w:rPr>
        <w:t xml:space="preserve">de lutte anti-incendie </w:t>
      </w:r>
      <w:r w:rsidR="001404F8" w:rsidRPr="00E84EB9">
        <w:rPr>
          <w:lang w:val="fr-FR"/>
        </w:rPr>
        <w:t xml:space="preserve">pour </w:t>
      </w:r>
      <w:r w:rsidR="004B30AC">
        <w:rPr>
          <w:lang w:val="fr-FR"/>
        </w:rPr>
        <w:t>faire en sorte</w:t>
      </w:r>
      <w:r w:rsidR="001404F8" w:rsidRPr="00E84EB9">
        <w:rPr>
          <w:lang w:val="fr-FR"/>
        </w:rPr>
        <w:t xml:space="preserve"> que ce </w:t>
      </w:r>
      <w:r w:rsidRPr="00E84EB9">
        <w:rPr>
          <w:lang w:val="fr-FR"/>
        </w:rPr>
        <w:t xml:space="preserve">dernier soit suffisamment </w:t>
      </w:r>
      <w:r w:rsidR="004B30AC">
        <w:rPr>
          <w:lang w:val="fr-FR"/>
        </w:rPr>
        <w:t>in</w:t>
      </w:r>
      <w:r w:rsidRPr="00E84EB9">
        <w:rPr>
          <w:lang w:val="fr-FR"/>
        </w:rPr>
        <w:t xml:space="preserve">formé, </w:t>
      </w:r>
      <w:r w:rsidR="004B30AC">
        <w:rPr>
          <w:lang w:val="fr-FR"/>
        </w:rPr>
        <w:t xml:space="preserve">entraîné, </w:t>
      </w:r>
      <w:r w:rsidRPr="00E84EB9">
        <w:rPr>
          <w:lang w:val="fr-FR"/>
        </w:rPr>
        <w:t xml:space="preserve">équipé et préparé de toute autre manière </w:t>
      </w:r>
      <w:r w:rsidR="004B30AC">
        <w:rPr>
          <w:lang w:val="fr-FR"/>
        </w:rPr>
        <w:t xml:space="preserve">pour </w:t>
      </w:r>
      <w:r w:rsidR="008A4452">
        <w:rPr>
          <w:lang w:val="fr-FR"/>
        </w:rPr>
        <w:t>faire face</w:t>
      </w:r>
      <w:r w:rsidRPr="00E84EB9">
        <w:rPr>
          <w:lang w:val="fr-FR"/>
        </w:rPr>
        <w:t xml:space="preserve"> en toute sécurité</w:t>
      </w:r>
      <w:r w:rsidR="004B30AC">
        <w:rPr>
          <w:lang w:val="fr-FR"/>
        </w:rPr>
        <w:t xml:space="preserve"> </w:t>
      </w:r>
      <w:r w:rsidR="008A4452">
        <w:rPr>
          <w:lang w:val="fr-FR"/>
        </w:rPr>
        <w:t>à</w:t>
      </w:r>
      <w:r w:rsidRPr="00E84EB9">
        <w:rPr>
          <w:lang w:val="fr-FR"/>
        </w:rPr>
        <w:t xml:space="preserve"> </w:t>
      </w:r>
      <w:r w:rsidR="004B30AC">
        <w:rPr>
          <w:lang w:val="fr-FR"/>
        </w:rPr>
        <w:t xml:space="preserve">tout </w:t>
      </w:r>
      <w:r w:rsidRPr="00E84EB9">
        <w:rPr>
          <w:lang w:val="fr-FR"/>
        </w:rPr>
        <w:t xml:space="preserve">incendie qui </w:t>
      </w:r>
      <w:r w:rsidR="004B30AC">
        <w:rPr>
          <w:lang w:val="fr-FR"/>
        </w:rPr>
        <w:t>pourrait se déclarer</w:t>
      </w:r>
      <w:r w:rsidRPr="00E84EB9">
        <w:rPr>
          <w:lang w:val="fr-FR"/>
        </w:rPr>
        <w:t xml:space="preserve"> dans l</w:t>
      </w:r>
      <w:r w:rsidR="006C05FA">
        <w:rPr>
          <w:lang w:val="fr-FR"/>
        </w:rPr>
        <w:t>’</w:t>
      </w:r>
      <w:r w:rsidRPr="00E84EB9">
        <w:rPr>
          <w:lang w:val="fr-FR"/>
        </w:rPr>
        <w:t xml:space="preserve">installation. Pour </w:t>
      </w:r>
      <w:r w:rsidR="00B451CD" w:rsidRPr="00E84EB9">
        <w:rPr>
          <w:lang w:val="fr-FR"/>
        </w:rPr>
        <w:t xml:space="preserve">limiter </w:t>
      </w:r>
      <w:r w:rsidRPr="00E84EB9">
        <w:rPr>
          <w:lang w:val="fr-FR"/>
        </w:rPr>
        <w:t>les risques d</w:t>
      </w:r>
      <w:r w:rsidR="006C05FA">
        <w:rPr>
          <w:lang w:val="fr-FR"/>
        </w:rPr>
        <w:t>’</w:t>
      </w:r>
      <w:r w:rsidRPr="00E84EB9">
        <w:rPr>
          <w:lang w:val="fr-FR"/>
        </w:rPr>
        <w:t xml:space="preserve">incendie, les installations devraient être construites </w:t>
      </w:r>
      <w:r w:rsidR="001404F8" w:rsidRPr="00E84EB9">
        <w:rPr>
          <w:lang w:val="fr-FR"/>
        </w:rPr>
        <w:t xml:space="preserve">avec </w:t>
      </w:r>
      <w:r w:rsidRPr="00E84EB9">
        <w:rPr>
          <w:lang w:val="fr-FR"/>
        </w:rPr>
        <w:t>de</w:t>
      </w:r>
      <w:r w:rsidR="001404F8" w:rsidRPr="00E84EB9">
        <w:rPr>
          <w:lang w:val="fr-FR"/>
        </w:rPr>
        <w:t>s</w:t>
      </w:r>
      <w:r w:rsidRPr="00E84EB9">
        <w:rPr>
          <w:lang w:val="fr-FR"/>
        </w:rPr>
        <w:t xml:space="preserve"> matériaux non combustibles, et de tels matériaux devraient être utilisés pour les palettes, les étagères de rangement et les autres aménagements intérieurs. </w:t>
      </w:r>
      <w:r w:rsidR="00B451CD" w:rsidRPr="00E84EB9">
        <w:rPr>
          <w:lang w:val="fr-FR"/>
        </w:rPr>
        <w:t xml:space="preserve">Pour réduire </w:t>
      </w:r>
      <w:r w:rsidR="008A4452">
        <w:rPr>
          <w:lang w:val="fr-FR"/>
        </w:rPr>
        <w:t xml:space="preserve">encore plus </w:t>
      </w:r>
      <w:r w:rsidR="00906673">
        <w:rPr>
          <w:lang w:val="fr-FR"/>
        </w:rPr>
        <w:t>l</w:t>
      </w:r>
      <w:r w:rsidR="00162640">
        <w:rPr>
          <w:lang w:val="fr-FR"/>
        </w:rPr>
        <w:t>es risques</w:t>
      </w:r>
      <w:r w:rsidRPr="00E84EB9">
        <w:rPr>
          <w:lang w:val="fr-FR"/>
        </w:rPr>
        <w:t>, il est suggéré d</w:t>
      </w:r>
      <w:r w:rsidR="006C05FA">
        <w:rPr>
          <w:lang w:val="fr-FR"/>
        </w:rPr>
        <w:t>’</w:t>
      </w:r>
      <w:r w:rsidRPr="00E84EB9">
        <w:rPr>
          <w:lang w:val="fr-FR"/>
        </w:rPr>
        <w:t xml:space="preserve">utiliser des chariots élévateurs électriques à batterie </w:t>
      </w:r>
      <w:r w:rsidR="001404F8" w:rsidRPr="00E84EB9">
        <w:rPr>
          <w:lang w:val="fr-FR"/>
        </w:rPr>
        <w:t xml:space="preserve">pour </w:t>
      </w:r>
      <w:r w:rsidRPr="00E84EB9">
        <w:rPr>
          <w:lang w:val="fr-FR"/>
        </w:rPr>
        <w:t>transport</w:t>
      </w:r>
      <w:r w:rsidR="001404F8" w:rsidRPr="00E84EB9">
        <w:rPr>
          <w:lang w:val="fr-FR"/>
        </w:rPr>
        <w:t>er</w:t>
      </w:r>
      <w:r w:rsidRPr="00E84EB9">
        <w:rPr>
          <w:lang w:val="fr-FR"/>
        </w:rPr>
        <w:t xml:space="preserve"> </w:t>
      </w:r>
      <w:r w:rsidR="001404F8" w:rsidRPr="00E84EB9">
        <w:rPr>
          <w:lang w:val="fr-FR"/>
        </w:rPr>
        <w:t>le mercure ou l</w:t>
      </w:r>
      <w:r w:rsidRPr="00E84EB9">
        <w:rPr>
          <w:lang w:val="fr-FR"/>
        </w:rPr>
        <w:t xml:space="preserve">es composés du mercure </w:t>
      </w:r>
      <w:r w:rsidR="001404F8" w:rsidRPr="00E84EB9">
        <w:rPr>
          <w:lang w:val="fr-FR"/>
        </w:rPr>
        <w:t xml:space="preserve">au sein de </w:t>
      </w:r>
      <w:r w:rsidRPr="00E84EB9">
        <w:rPr>
          <w:lang w:val="fr-FR"/>
        </w:rPr>
        <w:t>l</w:t>
      </w:r>
      <w:r w:rsidR="006C05FA">
        <w:rPr>
          <w:lang w:val="fr-FR"/>
        </w:rPr>
        <w:t>’</w:t>
      </w:r>
      <w:r w:rsidRPr="00E84EB9">
        <w:rPr>
          <w:lang w:val="fr-FR"/>
        </w:rPr>
        <w:t>installati</w:t>
      </w:r>
      <w:r w:rsidR="001404F8" w:rsidRPr="00E84EB9">
        <w:rPr>
          <w:lang w:val="fr-FR"/>
        </w:rPr>
        <w:t>on de stockage (QSC, 2003).</w:t>
      </w:r>
    </w:p>
    <w:p w14:paraId="32D252B5" w14:textId="5C033399" w:rsidR="000C2F3D" w:rsidRPr="00E84EB9" w:rsidRDefault="000C2F3D" w:rsidP="00F474DD">
      <w:pPr>
        <w:pStyle w:val="Normalnumber"/>
        <w:numPr>
          <w:ilvl w:val="0"/>
          <w:numId w:val="5"/>
        </w:numPr>
        <w:ind w:left="1247" w:firstLine="0"/>
        <w:rPr>
          <w:lang w:val="fr-FR"/>
        </w:rPr>
      </w:pPr>
      <w:r w:rsidRPr="00E84EB9">
        <w:rPr>
          <w:lang w:val="fr-FR"/>
        </w:rPr>
        <w:t xml:space="preserve">Un système de drainage et de collecte des eaux usées provenant des sites de stockage pourrait être </w:t>
      </w:r>
      <w:r w:rsidR="008840CC" w:rsidRPr="00E84EB9">
        <w:rPr>
          <w:lang w:val="fr-FR"/>
        </w:rPr>
        <w:t xml:space="preserve">aménagé </w:t>
      </w:r>
      <w:r w:rsidRPr="00E84EB9">
        <w:rPr>
          <w:lang w:val="fr-FR"/>
        </w:rPr>
        <w:t>pour permettre la surveillance du mercure et garantir qu</w:t>
      </w:r>
      <w:r w:rsidR="00906673">
        <w:rPr>
          <w:lang w:val="fr-FR"/>
        </w:rPr>
        <w:t>’aucun</w:t>
      </w:r>
      <w:r w:rsidRPr="00E84EB9">
        <w:rPr>
          <w:lang w:val="fr-FR"/>
        </w:rPr>
        <w:t xml:space="preserve"> mercure </w:t>
      </w:r>
      <w:r w:rsidR="00906673">
        <w:rPr>
          <w:lang w:val="fr-FR"/>
        </w:rPr>
        <w:t>ou</w:t>
      </w:r>
      <w:r w:rsidRPr="00E84EB9">
        <w:rPr>
          <w:lang w:val="fr-FR"/>
        </w:rPr>
        <w:t xml:space="preserve"> composé du mercure ne </w:t>
      </w:r>
      <w:r w:rsidR="00906673">
        <w:rPr>
          <w:lang w:val="fr-FR"/>
        </w:rPr>
        <w:t>parvienne aux</w:t>
      </w:r>
      <w:r w:rsidRPr="00E84EB9">
        <w:rPr>
          <w:lang w:val="fr-FR"/>
        </w:rPr>
        <w:t xml:space="preserve"> </w:t>
      </w:r>
      <w:r w:rsidR="00906673">
        <w:rPr>
          <w:lang w:val="fr-FR"/>
        </w:rPr>
        <w:t>circuits d’eau</w:t>
      </w:r>
      <w:r w:rsidRPr="00E84EB9">
        <w:rPr>
          <w:lang w:val="fr-FR"/>
        </w:rPr>
        <w:t>.</w:t>
      </w:r>
    </w:p>
    <w:p w14:paraId="49BBB0EF" w14:textId="1C829A57" w:rsidR="000C2F3D" w:rsidRPr="00E84EB9" w:rsidRDefault="000C2F3D" w:rsidP="00F474DD">
      <w:pPr>
        <w:pStyle w:val="Normalnumber"/>
        <w:numPr>
          <w:ilvl w:val="0"/>
          <w:numId w:val="5"/>
        </w:numPr>
        <w:ind w:left="1247" w:firstLine="0"/>
        <w:rPr>
          <w:lang w:val="fr-FR"/>
        </w:rPr>
      </w:pPr>
      <w:r w:rsidRPr="00E84EB9">
        <w:rPr>
          <w:lang w:val="fr-FR"/>
        </w:rPr>
        <w:t xml:space="preserve">Le sol des installations de stockage devrait être conçu </w:t>
      </w:r>
      <w:r w:rsidR="00BF5D42">
        <w:rPr>
          <w:lang w:val="fr-FR"/>
        </w:rPr>
        <w:t>pour</w:t>
      </w:r>
      <w:r w:rsidRPr="00E84EB9">
        <w:rPr>
          <w:lang w:val="fr-FR"/>
        </w:rPr>
        <w:t xml:space="preserve"> supporter la charge calculée </w:t>
      </w:r>
      <w:r w:rsidR="00BF5D42">
        <w:rPr>
          <w:lang w:val="fr-FR"/>
        </w:rPr>
        <w:t xml:space="preserve">en tenant </w:t>
      </w:r>
      <w:r w:rsidR="00162640">
        <w:rPr>
          <w:lang w:val="fr-FR"/>
        </w:rPr>
        <w:t xml:space="preserve">compte </w:t>
      </w:r>
      <w:r w:rsidR="00252181" w:rsidRPr="00E84EB9">
        <w:rPr>
          <w:lang w:val="fr-FR"/>
        </w:rPr>
        <w:t xml:space="preserve">des </w:t>
      </w:r>
      <w:r w:rsidRPr="00E84EB9">
        <w:rPr>
          <w:lang w:val="fr-FR"/>
        </w:rPr>
        <w:t xml:space="preserve">conditions </w:t>
      </w:r>
      <w:r w:rsidR="00BF5D42">
        <w:rPr>
          <w:lang w:val="fr-FR"/>
        </w:rPr>
        <w:t>réelles observé</w:t>
      </w:r>
      <w:r w:rsidRPr="00E84EB9">
        <w:rPr>
          <w:lang w:val="fr-FR"/>
        </w:rPr>
        <w:t>es dans l</w:t>
      </w:r>
      <w:r w:rsidR="006C05FA">
        <w:rPr>
          <w:lang w:val="fr-FR"/>
        </w:rPr>
        <w:t>’</w:t>
      </w:r>
      <w:r w:rsidRPr="00E84EB9">
        <w:rPr>
          <w:lang w:val="fr-FR"/>
        </w:rPr>
        <w:t>installation. Une méthode simplifiée consisterait à concevoir des</w:t>
      </w:r>
      <w:r w:rsidR="00FD39B9" w:rsidRPr="00E84EB9">
        <w:rPr>
          <w:lang w:val="fr-FR"/>
        </w:rPr>
        <w:t xml:space="preserve"> sols à même de supporter 50 </w:t>
      </w:r>
      <w:r w:rsidRPr="00E84EB9">
        <w:rPr>
          <w:lang w:val="fr-FR"/>
        </w:rPr>
        <w:t>% de plus que la</w:t>
      </w:r>
      <w:r w:rsidR="00A316BE">
        <w:rPr>
          <w:lang w:val="fr-FR"/>
        </w:rPr>
        <w:t xml:space="preserve"> charge totale de mercure ou </w:t>
      </w:r>
      <w:r w:rsidRPr="00E84EB9">
        <w:rPr>
          <w:lang w:val="fr-FR"/>
        </w:rPr>
        <w:t xml:space="preserve">composés du </w:t>
      </w:r>
      <w:r w:rsidRPr="00E84EB9">
        <w:rPr>
          <w:lang w:val="fr-FR"/>
        </w:rPr>
        <w:lastRenderedPageBreak/>
        <w:t xml:space="preserve">mercure </w:t>
      </w:r>
      <w:r w:rsidR="00BF5D42">
        <w:rPr>
          <w:lang w:val="fr-FR"/>
        </w:rPr>
        <w:t xml:space="preserve">à </w:t>
      </w:r>
      <w:r w:rsidRPr="00E84EB9">
        <w:rPr>
          <w:lang w:val="fr-FR"/>
        </w:rPr>
        <w:t>stock</w:t>
      </w:r>
      <w:r w:rsidR="00BF5D42">
        <w:rPr>
          <w:lang w:val="fr-FR"/>
        </w:rPr>
        <w:t>er</w:t>
      </w:r>
      <w:r w:rsidRPr="00E84EB9">
        <w:rPr>
          <w:lang w:val="fr-FR"/>
        </w:rPr>
        <w:t xml:space="preserve">. Le sol </w:t>
      </w:r>
      <w:r w:rsidR="00AC559D">
        <w:rPr>
          <w:lang w:val="fr-FR"/>
        </w:rPr>
        <w:t xml:space="preserve">ne </w:t>
      </w:r>
      <w:r w:rsidRPr="00E84EB9">
        <w:rPr>
          <w:lang w:val="fr-FR"/>
        </w:rPr>
        <w:t xml:space="preserve">devrait </w:t>
      </w:r>
      <w:r w:rsidR="00AC559D">
        <w:rPr>
          <w:lang w:val="fr-FR"/>
        </w:rPr>
        <w:t>comporter aucune</w:t>
      </w:r>
      <w:r w:rsidRPr="00E84EB9">
        <w:rPr>
          <w:lang w:val="fr-FR"/>
        </w:rPr>
        <w:t xml:space="preserve"> canalisation</w:t>
      </w:r>
      <w:r w:rsidR="00AC559D">
        <w:rPr>
          <w:lang w:val="fr-FR"/>
        </w:rPr>
        <w:t xml:space="preserve"> ou tuyauterie</w:t>
      </w:r>
      <w:r w:rsidRPr="00E84EB9">
        <w:rPr>
          <w:lang w:val="fr-FR"/>
        </w:rPr>
        <w:t xml:space="preserve">. </w:t>
      </w:r>
      <w:r w:rsidR="00073509">
        <w:rPr>
          <w:lang w:val="fr-FR"/>
        </w:rPr>
        <w:t>Il devrait être pourvu</w:t>
      </w:r>
      <w:r w:rsidRPr="00E84EB9">
        <w:rPr>
          <w:lang w:val="fr-FR"/>
        </w:rPr>
        <w:t xml:space="preserve"> </w:t>
      </w:r>
      <w:r w:rsidR="00073509">
        <w:rPr>
          <w:lang w:val="fr-FR"/>
        </w:rPr>
        <w:t xml:space="preserve">d’une </w:t>
      </w:r>
      <w:r w:rsidRPr="00E84EB9">
        <w:rPr>
          <w:lang w:val="fr-FR"/>
        </w:rPr>
        <w:t xml:space="preserve">pente et de rigoles à bords arrondis </w:t>
      </w:r>
      <w:r w:rsidR="00AC559D">
        <w:rPr>
          <w:lang w:val="fr-FR"/>
        </w:rPr>
        <w:t xml:space="preserve">pour </w:t>
      </w:r>
      <w:r w:rsidRPr="00E84EB9">
        <w:rPr>
          <w:lang w:val="fr-FR"/>
        </w:rPr>
        <w:t xml:space="preserve">éviter </w:t>
      </w:r>
      <w:r w:rsidR="00AC559D">
        <w:rPr>
          <w:lang w:val="fr-FR"/>
        </w:rPr>
        <w:t>que</w:t>
      </w:r>
      <w:r w:rsidRPr="00E84EB9">
        <w:rPr>
          <w:lang w:val="fr-FR"/>
        </w:rPr>
        <w:t xml:space="preserve"> du mercure ou des composés du mercure </w:t>
      </w:r>
      <w:r w:rsidR="00AC559D">
        <w:rPr>
          <w:lang w:val="fr-FR"/>
        </w:rPr>
        <w:t xml:space="preserve">ne se trouvent piégés </w:t>
      </w:r>
      <w:r w:rsidRPr="00E84EB9">
        <w:rPr>
          <w:lang w:val="fr-FR"/>
        </w:rPr>
        <w:t xml:space="preserve">sous </w:t>
      </w:r>
      <w:r w:rsidR="00073509">
        <w:rPr>
          <w:lang w:val="fr-FR"/>
        </w:rPr>
        <w:t>une</w:t>
      </w:r>
      <w:r w:rsidRPr="00E84EB9">
        <w:rPr>
          <w:lang w:val="fr-FR"/>
        </w:rPr>
        <w:t xml:space="preserve"> plaque de caniveau et </w:t>
      </w:r>
      <w:r w:rsidR="00AC559D">
        <w:rPr>
          <w:lang w:val="fr-FR"/>
        </w:rPr>
        <w:t>pour</w:t>
      </w:r>
      <w:r w:rsidRPr="00E84EB9">
        <w:rPr>
          <w:lang w:val="fr-FR"/>
        </w:rPr>
        <w:t xml:space="preserve"> </w:t>
      </w:r>
      <w:r w:rsidR="00073509">
        <w:rPr>
          <w:lang w:val="fr-FR"/>
        </w:rPr>
        <w:t xml:space="preserve">pouvoir </w:t>
      </w:r>
      <w:r w:rsidR="00073509">
        <w:rPr>
          <w:rFonts w:eastAsia="MS Mincho"/>
          <w:lang w:val="fr-CA" w:eastAsia="ja-JP"/>
        </w:rPr>
        <w:t>recueillir plus facilement les éventuels</w:t>
      </w:r>
      <w:r w:rsidR="00073509">
        <w:rPr>
          <w:lang w:val="fr-CA"/>
        </w:rPr>
        <w:t xml:space="preserve"> écoulements</w:t>
      </w:r>
      <w:r w:rsidRPr="00E84EB9">
        <w:rPr>
          <w:lang w:val="fr-FR"/>
        </w:rPr>
        <w:t xml:space="preserve">. </w:t>
      </w:r>
      <w:r w:rsidR="00073509">
        <w:rPr>
          <w:lang w:val="fr-FR"/>
        </w:rPr>
        <w:t>Il</w:t>
      </w:r>
      <w:r w:rsidRPr="00E84EB9">
        <w:rPr>
          <w:lang w:val="fr-FR"/>
        </w:rPr>
        <w:t xml:space="preserve"> devrait être recouvert d</w:t>
      </w:r>
      <w:r w:rsidR="00073509">
        <w:rPr>
          <w:lang w:val="fr-FR"/>
        </w:rPr>
        <w:t>’un</w:t>
      </w:r>
      <w:r w:rsidRPr="00E84EB9">
        <w:rPr>
          <w:lang w:val="fr-FR"/>
        </w:rPr>
        <w:t xml:space="preserve"> matériau résistant au mercure, tel qu</w:t>
      </w:r>
      <w:r w:rsidR="006C05FA">
        <w:rPr>
          <w:lang w:val="fr-FR"/>
        </w:rPr>
        <w:t>’</w:t>
      </w:r>
      <w:r w:rsidRPr="00E84EB9">
        <w:rPr>
          <w:lang w:val="fr-FR"/>
        </w:rPr>
        <w:t>un revêtement époxy</w:t>
      </w:r>
      <w:r w:rsidR="00073509">
        <w:rPr>
          <w:lang w:val="fr-FR"/>
        </w:rPr>
        <w:t>,</w:t>
      </w:r>
      <w:r w:rsidRPr="00E84EB9">
        <w:rPr>
          <w:lang w:val="fr-FR"/>
        </w:rPr>
        <w:t xml:space="preserve"> </w:t>
      </w:r>
      <w:r w:rsidR="00252181" w:rsidRPr="00E84EB9">
        <w:rPr>
          <w:lang w:val="fr-FR"/>
        </w:rPr>
        <w:t>préfér</w:t>
      </w:r>
      <w:r w:rsidR="00073509">
        <w:rPr>
          <w:lang w:val="fr-FR"/>
        </w:rPr>
        <w:t>ablement</w:t>
      </w:r>
      <w:r w:rsidR="00252181" w:rsidRPr="00E84EB9">
        <w:rPr>
          <w:lang w:val="fr-FR"/>
        </w:rPr>
        <w:t xml:space="preserve"> </w:t>
      </w:r>
      <w:r w:rsidRPr="00E84EB9">
        <w:rPr>
          <w:lang w:val="fr-FR"/>
        </w:rPr>
        <w:t>de couleur cla</w:t>
      </w:r>
      <w:r w:rsidR="00FD39B9" w:rsidRPr="00E84EB9">
        <w:rPr>
          <w:lang w:val="fr-FR"/>
        </w:rPr>
        <w:t xml:space="preserve">ire pour </w:t>
      </w:r>
      <w:r w:rsidR="00073509">
        <w:rPr>
          <w:lang w:val="fr-FR"/>
        </w:rPr>
        <w:t>faciliter</w:t>
      </w:r>
      <w:r w:rsidR="00FD39B9" w:rsidRPr="00E84EB9">
        <w:rPr>
          <w:lang w:val="fr-FR"/>
        </w:rPr>
        <w:t xml:space="preserve"> </w:t>
      </w:r>
      <w:r w:rsidR="00073509">
        <w:rPr>
          <w:lang w:val="fr-FR"/>
        </w:rPr>
        <w:t>la</w:t>
      </w:r>
      <w:r w:rsidR="00FD39B9" w:rsidRPr="00E84EB9">
        <w:rPr>
          <w:lang w:val="fr-FR"/>
        </w:rPr>
        <w:t xml:space="preserve"> détect</w:t>
      </w:r>
      <w:r w:rsidR="00073509">
        <w:rPr>
          <w:lang w:val="fr-FR"/>
        </w:rPr>
        <w:t>ion</w:t>
      </w:r>
      <w:r w:rsidR="00FD39B9" w:rsidRPr="00E84EB9">
        <w:rPr>
          <w:lang w:val="fr-FR"/>
        </w:rPr>
        <w:t xml:space="preserve"> </w:t>
      </w:r>
      <w:r w:rsidR="00073509">
        <w:rPr>
          <w:lang w:val="fr-FR"/>
        </w:rPr>
        <w:t>de</w:t>
      </w:r>
      <w:r w:rsidRPr="00E84EB9">
        <w:rPr>
          <w:lang w:val="fr-FR"/>
        </w:rPr>
        <w:t xml:space="preserve"> gouttelettes de mercure. </w:t>
      </w:r>
      <w:r w:rsidR="00073509">
        <w:rPr>
          <w:lang w:val="fr-CA"/>
        </w:rPr>
        <w:t>Il devrait faire l’objet d’</w:t>
      </w:r>
      <w:r w:rsidR="00073509" w:rsidRPr="00D310A1">
        <w:rPr>
          <w:lang w:val="fr-CA"/>
        </w:rPr>
        <w:t xml:space="preserve">inspections fréquentes </w:t>
      </w:r>
      <w:r w:rsidR="00073509">
        <w:rPr>
          <w:lang w:val="fr-CA"/>
        </w:rPr>
        <w:t>pour</w:t>
      </w:r>
      <w:r w:rsidR="00073509" w:rsidRPr="00D310A1">
        <w:rPr>
          <w:lang w:val="fr-CA"/>
        </w:rPr>
        <w:t xml:space="preserve"> vérifier </w:t>
      </w:r>
      <w:r w:rsidR="00073509">
        <w:rPr>
          <w:lang w:val="fr-CA"/>
        </w:rPr>
        <w:t>qu’il ne comporte aucune</w:t>
      </w:r>
      <w:r w:rsidR="00073509" w:rsidRPr="00D310A1">
        <w:rPr>
          <w:lang w:val="fr-CA"/>
        </w:rPr>
        <w:t xml:space="preserve"> craquelure et </w:t>
      </w:r>
      <w:r w:rsidR="00073509">
        <w:rPr>
          <w:lang w:val="fr-CA"/>
        </w:rPr>
        <w:t>que son revêtement est intact</w:t>
      </w:r>
      <w:r w:rsidR="00FD39B9" w:rsidRPr="00E84EB9">
        <w:rPr>
          <w:lang w:val="fr-FR"/>
        </w:rPr>
        <w:t>. Les murs devraien</w:t>
      </w:r>
      <w:r w:rsidRPr="00E84EB9">
        <w:rPr>
          <w:lang w:val="fr-FR"/>
        </w:rPr>
        <w:t xml:space="preserve">t être constitués de matériaux </w:t>
      </w:r>
      <w:r w:rsidR="00FD39B9" w:rsidRPr="00E84EB9">
        <w:rPr>
          <w:lang w:val="fr-FR"/>
        </w:rPr>
        <w:t>qui n</w:t>
      </w:r>
      <w:r w:rsidR="006C05FA">
        <w:rPr>
          <w:lang w:val="fr-FR"/>
        </w:rPr>
        <w:t>’</w:t>
      </w:r>
      <w:r w:rsidR="00FD39B9" w:rsidRPr="00E84EB9">
        <w:rPr>
          <w:lang w:val="fr-FR"/>
        </w:rPr>
        <w:t>absorbe</w:t>
      </w:r>
      <w:r w:rsidRPr="00E84EB9">
        <w:rPr>
          <w:lang w:val="fr-FR"/>
        </w:rPr>
        <w:t>nt pas fa</w:t>
      </w:r>
      <w:r w:rsidR="00FD39B9" w:rsidRPr="00E84EB9">
        <w:rPr>
          <w:lang w:val="fr-FR"/>
        </w:rPr>
        <w:t>cilement les vapeurs de mercure </w:t>
      </w:r>
      <w:r w:rsidRPr="00E84EB9">
        <w:rPr>
          <w:lang w:val="fr-FR"/>
        </w:rPr>
        <w:t>; on évitera les matériaux poreux tels que le bois. Il importe de prévenir les rejets et de réduire autant que possible l</w:t>
      </w:r>
      <w:r w:rsidR="006C05FA">
        <w:rPr>
          <w:lang w:val="fr-FR"/>
        </w:rPr>
        <w:t>’</w:t>
      </w:r>
      <w:r w:rsidRPr="00E84EB9">
        <w:rPr>
          <w:lang w:val="fr-FR"/>
        </w:rPr>
        <w:t>impact sur l</w:t>
      </w:r>
      <w:r w:rsidR="006C05FA">
        <w:rPr>
          <w:lang w:val="fr-FR"/>
        </w:rPr>
        <w:t>’</w:t>
      </w:r>
      <w:r w:rsidRPr="00E84EB9">
        <w:rPr>
          <w:lang w:val="fr-FR"/>
        </w:rPr>
        <w:t xml:space="preserve">environnement et sur la santé en </w:t>
      </w:r>
      <w:r w:rsidR="00831311" w:rsidRPr="00E84EB9">
        <w:rPr>
          <w:lang w:val="fr-FR"/>
        </w:rPr>
        <w:t xml:space="preserve">prévoyant </w:t>
      </w:r>
      <w:r w:rsidRPr="00E84EB9">
        <w:rPr>
          <w:lang w:val="fr-FR"/>
        </w:rPr>
        <w:t>des systèmes redondants</w:t>
      </w:r>
      <w:r w:rsidR="00831311" w:rsidRPr="00E84EB9">
        <w:rPr>
          <w:lang w:val="fr-FR"/>
        </w:rPr>
        <w:t>,</w:t>
      </w:r>
      <w:r w:rsidRPr="00E84EB9">
        <w:rPr>
          <w:lang w:val="fr-FR"/>
        </w:rPr>
        <w:t xml:space="preserve"> tels que des confinements secondaires </w:t>
      </w:r>
      <w:r w:rsidR="00FD39B9" w:rsidRPr="00E84EB9">
        <w:rPr>
          <w:lang w:val="fr-FR"/>
        </w:rPr>
        <w:t xml:space="preserve">aptes à </w:t>
      </w:r>
      <w:r w:rsidRPr="00E84EB9">
        <w:rPr>
          <w:lang w:val="fr-FR"/>
        </w:rPr>
        <w:t>faire f</w:t>
      </w:r>
      <w:r w:rsidR="00831311" w:rsidRPr="00E84EB9">
        <w:rPr>
          <w:lang w:val="fr-FR"/>
        </w:rPr>
        <w:t xml:space="preserve">ace à un événement imprévu, </w:t>
      </w:r>
      <w:r w:rsidR="00856C90">
        <w:rPr>
          <w:lang w:val="fr-FR"/>
        </w:rPr>
        <w:t>une</w:t>
      </w:r>
      <w:r w:rsidR="00831311" w:rsidRPr="00E84EB9">
        <w:rPr>
          <w:lang w:val="fr-FR"/>
        </w:rPr>
        <w:t xml:space="preserve"> surveillance </w:t>
      </w:r>
      <w:r w:rsidRPr="00E84EB9">
        <w:rPr>
          <w:lang w:val="fr-FR"/>
        </w:rPr>
        <w:t xml:space="preserve">des rejets, et des mesures visant à protéger la </w:t>
      </w:r>
      <w:r w:rsidR="00E84EB9" w:rsidRPr="00E84EB9">
        <w:rPr>
          <w:lang w:val="fr-FR"/>
        </w:rPr>
        <w:t>main-d</w:t>
      </w:r>
      <w:r w:rsidR="006C05FA">
        <w:rPr>
          <w:lang w:val="fr-FR"/>
        </w:rPr>
        <w:t>’</w:t>
      </w:r>
      <w:r w:rsidR="00E84EB9" w:rsidRPr="00E84EB9">
        <w:rPr>
          <w:lang w:val="fr-FR"/>
        </w:rPr>
        <w:t>œuvre</w:t>
      </w:r>
      <w:r w:rsidRPr="00E84EB9">
        <w:rPr>
          <w:lang w:val="fr-FR"/>
        </w:rPr>
        <w:t xml:space="preserve"> et le public </w:t>
      </w:r>
      <w:r w:rsidR="00A92415">
        <w:rPr>
          <w:lang w:val="fr-FR"/>
        </w:rPr>
        <w:t xml:space="preserve">contre </w:t>
      </w:r>
      <w:r w:rsidR="00FD39B9" w:rsidRPr="00E84EB9">
        <w:rPr>
          <w:lang w:val="fr-FR"/>
        </w:rPr>
        <w:t>une exposition. (US DOE, 2009 </w:t>
      </w:r>
      <w:r w:rsidRPr="00E84EB9">
        <w:rPr>
          <w:lang w:val="fr-FR"/>
        </w:rPr>
        <w:t xml:space="preserve">; Euro </w:t>
      </w:r>
      <w:proofErr w:type="spellStart"/>
      <w:r w:rsidRPr="00E84EB9">
        <w:rPr>
          <w:lang w:val="fr-FR"/>
        </w:rPr>
        <w:t>Chlor</w:t>
      </w:r>
      <w:proofErr w:type="spellEnd"/>
      <w:r w:rsidRPr="00E84EB9">
        <w:rPr>
          <w:lang w:val="fr-FR"/>
        </w:rPr>
        <w:t xml:space="preserve"> (2007). D</w:t>
      </w:r>
      <w:r w:rsidR="006C05FA">
        <w:rPr>
          <w:lang w:val="fr-FR"/>
        </w:rPr>
        <w:t>’</w:t>
      </w:r>
      <w:r w:rsidRPr="00E84EB9">
        <w:rPr>
          <w:lang w:val="fr-FR"/>
        </w:rPr>
        <w:t xml:space="preserve">autres informations utiles sont disponibles sur le site Web du World </w:t>
      </w:r>
      <w:proofErr w:type="spellStart"/>
      <w:r w:rsidRPr="00E84EB9">
        <w:rPr>
          <w:lang w:val="fr-FR"/>
        </w:rPr>
        <w:t>Chlorine</w:t>
      </w:r>
      <w:proofErr w:type="spellEnd"/>
      <w:r w:rsidRPr="00E84EB9">
        <w:rPr>
          <w:lang w:val="fr-FR"/>
        </w:rPr>
        <w:t xml:space="preserve"> Council (voir la bibliographie à la fin des présentes directives). La température dans les zones de man</w:t>
      </w:r>
      <w:r w:rsidR="00A92415">
        <w:rPr>
          <w:lang w:val="fr-FR"/>
        </w:rPr>
        <w:t>uten</w:t>
      </w:r>
      <w:r w:rsidRPr="00E84EB9">
        <w:rPr>
          <w:lang w:val="fr-FR"/>
        </w:rPr>
        <w:t xml:space="preserve">tion </w:t>
      </w:r>
      <w:r w:rsidR="00A92415">
        <w:rPr>
          <w:lang w:val="fr-FR"/>
        </w:rPr>
        <w:t>où</w:t>
      </w:r>
      <w:r w:rsidRPr="00E84EB9">
        <w:rPr>
          <w:lang w:val="fr-FR"/>
        </w:rPr>
        <w:t xml:space="preserve"> </w:t>
      </w:r>
      <w:r w:rsidR="00A92415">
        <w:rPr>
          <w:lang w:val="fr-FR"/>
        </w:rPr>
        <w:t>l</w:t>
      </w:r>
      <w:r w:rsidRPr="00E84EB9">
        <w:rPr>
          <w:lang w:val="fr-FR"/>
        </w:rPr>
        <w:t>es niveaux de vapeur</w:t>
      </w:r>
      <w:r w:rsidR="00A92415">
        <w:rPr>
          <w:lang w:val="fr-FR"/>
        </w:rPr>
        <w:t xml:space="preserve"> et les</w:t>
      </w:r>
      <w:r w:rsidRPr="00E84EB9">
        <w:rPr>
          <w:lang w:val="fr-FR"/>
        </w:rPr>
        <w:t xml:space="preserve"> risques </w:t>
      </w:r>
      <w:r w:rsidR="00A92415">
        <w:rPr>
          <w:lang w:val="fr-FR"/>
        </w:rPr>
        <w:t xml:space="preserve">connexes ont </w:t>
      </w:r>
      <w:r w:rsidR="0030652D">
        <w:rPr>
          <w:lang w:val="fr-FR"/>
        </w:rPr>
        <w:t>davantage de chances</w:t>
      </w:r>
      <w:r w:rsidR="00A92415">
        <w:rPr>
          <w:lang w:val="fr-FR"/>
        </w:rPr>
        <w:t xml:space="preserve"> d’être </w:t>
      </w:r>
      <w:r w:rsidR="0030652D">
        <w:rPr>
          <w:lang w:val="fr-FR"/>
        </w:rPr>
        <w:t xml:space="preserve">plus </w:t>
      </w:r>
      <w:r w:rsidR="00A92415" w:rsidRPr="00E84EB9">
        <w:rPr>
          <w:lang w:val="fr-FR"/>
        </w:rPr>
        <w:t xml:space="preserve">élevés </w:t>
      </w:r>
      <w:r w:rsidRPr="00E84EB9">
        <w:rPr>
          <w:lang w:val="fr-FR"/>
        </w:rPr>
        <w:t xml:space="preserve">devrait </w:t>
      </w:r>
      <w:r w:rsidR="00856C90">
        <w:rPr>
          <w:lang w:val="fr-FR"/>
        </w:rPr>
        <w:t>être maintenue</w:t>
      </w:r>
      <w:r w:rsidR="0030652D">
        <w:rPr>
          <w:lang w:val="fr-FR"/>
        </w:rPr>
        <w:t xml:space="preserve"> </w:t>
      </w:r>
      <w:r w:rsidRPr="00E84EB9">
        <w:rPr>
          <w:lang w:val="fr-FR"/>
        </w:rPr>
        <w:t>aussi basse que possible (PNUE, 2015). Les aires de stockage devraient être clairement signalées par des pann</w:t>
      </w:r>
      <w:r w:rsidR="00B42AE3" w:rsidRPr="00E84EB9">
        <w:rPr>
          <w:lang w:val="fr-FR"/>
        </w:rPr>
        <w:t>eaux d</w:t>
      </w:r>
      <w:r w:rsidR="006C05FA">
        <w:rPr>
          <w:lang w:val="fr-FR"/>
        </w:rPr>
        <w:t>’</w:t>
      </w:r>
      <w:r w:rsidR="00B42AE3" w:rsidRPr="00E84EB9">
        <w:rPr>
          <w:lang w:val="fr-FR"/>
        </w:rPr>
        <w:t>avertissement (FAO, 1985 ; US DOE, 2009).</w:t>
      </w:r>
    </w:p>
    <w:p w14:paraId="407FB018" w14:textId="54940B24" w:rsidR="000C2F3D" w:rsidRPr="00E84EB9" w:rsidRDefault="000C2F3D" w:rsidP="00F474DD">
      <w:pPr>
        <w:pStyle w:val="Normalnumber"/>
        <w:numPr>
          <w:ilvl w:val="0"/>
          <w:numId w:val="5"/>
        </w:numPr>
        <w:ind w:left="1247" w:firstLine="0"/>
        <w:rPr>
          <w:lang w:val="fr-FR"/>
        </w:rPr>
      </w:pPr>
      <w:r w:rsidRPr="00E84EB9">
        <w:rPr>
          <w:lang w:val="fr-FR"/>
        </w:rPr>
        <w:t>Le mercure et les composés du mercure devraient</w:t>
      </w:r>
      <w:r w:rsidR="00E56D85">
        <w:rPr>
          <w:lang w:val="fr-FR"/>
        </w:rPr>
        <w:t xml:space="preserve"> dans la mesure du possible</w:t>
      </w:r>
      <w:r w:rsidRPr="00E84EB9">
        <w:rPr>
          <w:lang w:val="fr-FR"/>
        </w:rPr>
        <w:t xml:space="preserve"> être stockés </w:t>
      </w:r>
      <w:r w:rsidR="003E00E1">
        <w:rPr>
          <w:lang w:val="fr-FR"/>
        </w:rPr>
        <w:t>dans des locaux</w:t>
      </w:r>
      <w:r w:rsidRPr="00E84EB9">
        <w:rPr>
          <w:lang w:val="fr-FR"/>
        </w:rPr>
        <w:t>. En cas de stockage dans des installations extérieur</w:t>
      </w:r>
      <w:r w:rsidR="000D03C4" w:rsidRPr="00E84EB9">
        <w:rPr>
          <w:lang w:val="fr-FR"/>
        </w:rPr>
        <w:t>e</w:t>
      </w:r>
      <w:r w:rsidRPr="00E84EB9">
        <w:rPr>
          <w:lang w:val="fr-FR"/>
        </w:rPr>
        <w:t xml:space="preserve">s clôturées, </w:t>
      </w:r>
      <w:r w:rsidR="00A47CA1" w:rsidRPr="00E84EB9">
        <w:rPr>
          <w:lang w:val="fr-FR"/>
        </w:rPr>
        <w:t>l</w:t>
      </w:r>
      <w:r w:rsidR="006C05FA">
        <w:rPr>
          <w:lang w:val="fr-FR"/>
        </w:rPr>
        <w:t>’</w:t>
      </w:r>
      <w:r w:rsidR="00A47CA1" w:rsidRPr="00E84EB9">
        <w:rPr>
          <w:lang w:val="fr-FR"/>
        </w:rPr>
        <w:t xml:space="preserve">on </w:t>
      </w:r>
      <w:r w:rsidR="000D03C4" w:rsidRPr="00E84EB9">
        <w:rPr>
          <w:lang w:val="fr-FR"/>
        </w:rPr>
        <w:t>s</w:t>
      </w:r>
      <w:r w:rsidR="006C05FA">
        <w:rPr>
          <w:lang w:val="fr-FR"/>
        </w:rPr>
        <w:t>’</w:t>
      </w:r>
      <w:r w:rsidR="000D03C4" w:rsidRPr="00E84EB9">
        <w:rPr>
          <w:lang w:val="fr-FR"/>
        </w:rPr>
        <w:t>attacher</w:t>
      </w:r>
      <w:r w:rsidR="00A47CA1" w:rsidRPr="00E84EB9">
        <w:rPr>
          <w:lang w:val="fr-FR"/>
        </w:rPr>
        <w:t>a</w:t>
      </w:r>
      <w:r w:rsidR="000D03C4" w:rsidRPr="00E84EB9">
        <w:rPr>
          <w:lang w:val="fr-FR"/>
        </w:rPr>
        <w:t xml:space="preserve"> à </w:t>
      </w:r>
      <w:r w:rsidRPr="00E84EB9">
        <w:rPr>
          <w:lang w:val="fr-FR"/>
        </w:rPr>
        <w:t xml:space="preserve">mettre en </w:t>
      </w:r>
      <w:r w:rsidR="00E84EB9" w:rsidRPr="00E84EB9">
        <w:rPr>
          <w:lang w:val="fr-FR"/>
        </w:rPr>
        <w:t>œuvre</w:t>
      </w:r>
      <w:r w:rsidRPr="00E84EB9">
        <w:rPr>
          <w:lang w:val="fr-FR"/>
        </w:rPr>
        <w:t xml:space="preserve"> des mesures de protection destinées à prévenir les rejets de mercure et de composés du mercure dans le sol, les eaux souterraines et les eaux de surface. Le mercure et les composés du mercure stockés devraient être protégés des facteurs externes pour éviter tout </w:t>
      </w:r>
      <w:r w:rsidR="000D03C4" w:rsidRPr="00E84EB9">
        <w:rPr>
          <w:lang w:val="fr-FR"/>
        </w:rPr>
        <w:t xml:space="preserve">endommagement des </w:t>
      </w:r>
      <w:r w:rsidRPr="00E84EB9">
        <w:rPr>
          <w:lang w:val="fr-FR"/>
        </w:rPr>
        <w:t>conteneurs</w:t>
      </w:r>
      <w:r w:rsidR="00A47CA1" w:rsidRPr="00E84EB9">
        <w:rPr>
          <w:lang w:val="fr-FR"/>
        </w:rPr>
        <w:t>,</w:t>
      </w:r>
      <w:r w:rsidRPr="00E84EB9">
        <w:rPr>
          <w:lang w:val="fr-FR"/>
        </w:rPr>
        <w:t xml:space="preserve"> et l</w:t>
      </w:r>
      <w:r w:rsidR="006C05FA">
        <w:rPr>
          <w:lang w:val="fr-FR"/>
        </w:rPr>
        <w:t>’</w:t>
      </w:r>
      <w:r w:rsidRPr="00E84EB9">
        <w:rPr>
          <w:lang w:val="fr-FR"/>
        </w:rPr>
        <w:t>intégrité des conteneurs stockés devrai</w:t>
      </w:r>
      <w:r w:rsidR="000D03C4" w:rsidRPr="00E84EB9">
        <w:rPr>
          <w:lang w:val="fr-FR"/>
        </w:rPr>
        <w:t>t être contrôlée régulièrement.</w:t>
      </w:r>
    </w:p>
    <w:p w14:paraId="7D935870" w14:textId="3D7D79C0" w:rsidR="000C2F3D" w:rsidRDefault="000C2F3D" w:rsidP="00F474DD">
      <w:pPr>
        <w:pStyle w:val="Normalnumber"/>
        <w:numPr>
          <w:ilvl w:val="0"/>
          <w:numId w:val="5"/>
        </w:numPr>
        <w:ind w:left="1247" w:firstLine="0"/>
        <w:rPr>
          <w:lang w:val="fr-FR"/>
        </w:rPr>
      </w:pPr>
      <w:r w:rsidRPr="00E84EB9">
        <w:rPr>
          <w:lang w:val="fr-FR"/>
        </w:rPr>
        <w:t>Les installations de stockage devraient être sécurisées pour éviter les vols et l</w:t>
      </w:r>
      <w:r w:rsidR="006C05FA">
        <w:rPr>
          <w:lang w:val="fr-FR"/>
        </w:rPr>
        <w:t>’</w:t>
      </w:r>
      <w:r w:rsidRPr="00E84EB9">
        <w:rPr>
          <w:lang w:val="fr-FR"/>
        </w:rPr>
        <w:t>intrusion de personnes non autorisées. En outre, en fonction de l</w:t>
      </w:r>
      <w:r w:rsidR="006C05FA">
        <w:rPr>
          <w:lang w:val="fr-FR"/>
        </w:rPr>
        <w:t>’</w:t>
      </w:r>
      <w:r w:rsidRPr="00E84EB9">
        <w:rPr>
          <w:lang w:val="fr-FR"/>
        </w:rPr>
        <w:t>ampleur de l</w:t>
      </w:r>
      <w:r w:rsidR="006C05FA">
        <w:rPr>
          <w:lang w:val="fr-FR"/>
        </w:rPr>
        <w:t>’</w:t>
      </w:r>
      <w:r w:rsidRPr="00E84EB9">
        <w:rPr>
          <w:lang w:val="fr-FR"/>
        </w:rPr>
        <w:t xml:space="preserve">installation, il convient </w:t>
      </w:r>
      <w:r w:rsidR="00162640">
        <w:rPr>
          <w:lang w:val="fr-FR"/>
        </w:rPr>
        <w:t>d</w:t>
      </w:r>
      <w:r w:rsidR="006C05FA">
        <w:rPr>
          <w:lang w:val="fr-FR"/>
        </w:rPr>
        <w:t>’</w:t>
      </w:r>
      <w:r w:rsidR="00162640">
        <w:rPr>
          <w:lang w:val="fr-FR"/>
        </w:rPr>
        <w:t xml:space="preserve">établir </w:t>
      </w:r>
      <w:r w:rsidRPr="00E84EB9">
        <w:rPr>
          <w:lang w:val="fr-FR"/>
        </w:rPr>
        <w:t xml:space="preserve">des procédures de surveillance pour </w:t>
      </w:r>
      <w:r w:rsidR="007C075A" w:rsidRPr="00E84EB9">
        <w:rPr>
          <w:lang w:val="fr-FR"/>
        </w:rPr>
        <w:t>les phases d</w:t>
      </w:r>
      <w:r w:rsidR="006C05FA">
        <w:rPr>
          <w:lang w:val="fr-FR"/>
        </w:rPr>
        <w:t>’</w:t>
      </w:r>
      <w:r w:rsidRPr="00E84EB9">
        <w:rPr>
          <w:lang w:val="fr-FR"/>
        </w:rPr>
        <w:t xml:space="preserve">exploitation et de déclassement des sites de stockage de manière à </w:t>
      </w:r>
      <w:r w:rsidR="007C075A" w:rsidRPr="00E84EB9">
        <w:rPr>
          <w:lang w:val="fr-FR"/>
        </w:rPr>
        <w:t xml:space="preserve">mettre </w:t>
      </w:r>
      <w:r w:rsidRPr="00E84EB9">
        <w:rPr>
          <w:lang w:val="fr-FR"/>
        </w:rPr>
        <w:t xml:space="preserve">rapidement </w:t>
      </w:r>
      <w:r w:rsidR="007C075A" w:rsidRPr="00E84EB9">
        <w:rPr>
          <w:lang w:val="fr-FR"/>
        </w:rPr>
        <w:t xml:space="preserve">en évidence </w:t>
      </w:r>
      <w:r w:rsidRPr="00E84EB9">
        <w:rPr>
          <w:lang w:val="fr-FR"/>
        </w:rPr>
        <w:t>les éventuels effets nocifs pour l</w:t>
      </w:r>
      <w:r w:rsidR="006C05FA">
        <w:rPr>
          <w:lang w:val="fr-FR"/>
        </w:rPr>
        <w:t>’</w:t>
      </w:r>
      <w:r w:rsidRPr="00E84EB9">
        <w:rPr>
          <w:lang w:val="fr-FR"/>
        </w:rPr>
        <w:t>environnement de ces sites et à prendre des m</w:t>
      </w:r>
      <w:r w:rsidR="007C075A" w:rsidRPr="00E84EB9">
        <w:rPr>
          <w:lang w:val="fr-FR"/>
        </w:rPr>
        <w:t>esures correctives appropriées.</w:t>
      </w:r>
    </w:p>
    <w:p w14:paraId="5E325971" w14:textId="0F6E2BAC" w:rsidR="00D7287C" w:rsidRPr="00D7287C" w:rsidRDefault="00D7287C" w:rsidP="00D7287C">
      <w:pPr>
        <w:pStyle w:val="CH2"/>
        <w:ind w:left="1276" w:hanging="1276"/>
        <w:rPr>
          <w:lang w:val="fr-FR"/>
        </w:rPr>
      </w:pPr>
      <w:bookmarkStart w:id="19" w:name="_Toc520380783"/>
      <w:bookmarkEnd w:id="19"/>
      <w:r>
        <w:rPr>
          <w:lang w:val="fr-FR"/>
        </w:rPr>
        <w:tab/>
      </w:r>
      <w:bookmarkStart w:id="20" w:name="_Toc527548239"/>
      <w:r w:rsidRPr="00D7287C">
        <w:rPr>
          <w:lang w:val="fr-FR"/>
        </w:rPr>
        <w:t>C.</w:t>
      </w:r>
      <w:r w:rsidRPr="00D7287C">
        <w:rPr>
          <w:lang w:val="fr-FR"/>
        </w:rPr>
        <w:tab/>
      </w:r>
      <w:r w:rsidRPr="00E84EB9">
        <w:rPr>
          <w:bCs/>
          <w:lang w:val="fr-FR"/>
        </w:rPr>
        <w:t>Conteneurs à utiliser pour le stockage du mercure, y compris conteneurs secondaires</w:t>
      </w:r>
      <w:bookmarkEnd w:id="20"/>
    </w:p>
    <w:p w14:paraId="6ADFAAFC" w14:textId="60197DA2" w:rsidR="000C2F3D" w:rsidRPr="00E84EB9" w:rsidRDefault="000C2F3D" w:rsidP="00F474DD">
      <w:pPr>
        <w:pStyle w:val="Normalnumber"/>
        <w:numPr>
          <w:ilvl w:val="0"/>
          <w:numId w:val="5"/>
        </w:numPr>
        <w:ind w:left="1247" w:firstLine="0"/>
        <w:rPr>
          <w:lang w:val="fr-FR"/>
        </w:rPr>
      </w:pPr>
      <w:r w:rsidRPr="00E84EB9">
        <w:rPr>
          <w:b/>
          <w:lang w:val="fr-FR"/>
        </w:rPr>
        <w:t>Séparation</w:t>
      </w:r>
      <w:r w:rsidR="007C075A" w:rsidRPr="00E84EB9">
        <w:rPr>
          <w:lang w:val="fr-FR"/>
        </w:rPr>
        <w:t> </w:t>
      </w:r>
      <w:r w:rsidRPr="00E84EB9">
        <w:rPr>
          <w:lang w:val="fr-FR"/>
        </w:rPr>
        <w:t xml:space="preserve">: le type de conteneur de stockage utilisé variera selon que le matériau à stocker est du mercure </w:t>
      </w:r>
      <w:r w:rsidR="007C075A" w:rsidRPr="00E84EB9">
        <w:rPr>
          <w:lang w:val="fr-FR"/>
        </w:rPr>
        <w:t xml:space="preserve">élémentaire </w:t>
      </w:r>
      <w:r w:rsidRPr="00E84EB9">
        <w:rPr>
          <w:lang w:val="fr-FR"/>
        </w:rPr>
        <w:t>ou un composé du mercure. Le mercure élémentaire est liquide à température ambiante, tandis que la plupart des composés du mercure sont à l</w:t>
      </w:r>
      <w:r w:rsidR="006C05FA">
        <w:rPr>
          <w:lang w:val="fr-FR"/>
        </w:rPr>
        <w:t>’</w:t>
      </w:r>
      <w:r w:rsidRPr="00E84EB9">
        <w:rPr>
          <w:lang w:val="fr-FR"/>
        </w:rPr>
        <w:t xml:space="preserve">état solide. Les matières solides et liquides nécessitent des types de conteneurs </w:t>
      </w:r>
      <w:r w:rsidR="00162640" w:rsidRPr="00E84EB9">
        <w:rPr>
          <w:lang w:val="fr-FR"/>
        </w:rPr>
        <w:t>différents</w:t>
      </w:r>
      <w:r w:rsidRPr="00E84EB9">
        <w:rPr>
          <w:lang w:val="fr-FR"/>
        </w:rPr>
        <w:t>. Tout risque de contamination d</w:t>
      </w:r>
      <w:r w:rsidR="006C05FA">
        <w:rPr>
          <w:lang w:val="fr-FR"/>
        </w:rPr>
        <w:t>’</w:t>
      </w:r>
      <w:r w:rsidRPr="00E84EB9">
        <w:rPr>
          <w:lang w:val="fr-FR"/>
        </w:rPr>
        <w:t>autres substance</w:t>
      </w:r>
      <w:r w:rsidR="007C075A" w:rsidRPr="00E84EB9">
        <w:rPr>
          <w:lang w:val="fr-FR"/>
        </w:rPr>
        <w:t>s</w:t>
      </w:r>
      <w:r w:rsidRPr="00E84EB9">
        <w:rPr>
          <w:lang w:val="fr-FR"/>
        </w:rPr>
        <w:t xml:space="preserve"> devrait être évité. Les conteneurs et </w:t>
      </w:r>
      <w:r w:rsidR="00E56D85">
        <w:rPr>
          <w:lang w:val="fr-FR"/>
        </w:rPr>
        <w:t>emballage</w:t>
      </w:r>
      <w:r w:rsidR="00736BCE">
        <w:rPr>
          <w:lang w:val="fr-FR"/>
        </w:rPr>
        <w:t xml:space="preserve">s </w:t>
      </w:r>
      <w:r w:rsidRPr="00E84EB9">
        <w:rPr>
          <w:lang w:val="fr-FR"/>
        </w:rPr>
        <w:t xml:space="preserve">renfermant du mercure ou des composés du mercure ne </w:t>
      </w:r>
      <w:r w:rsidR="007C075A" w:rsidRPr="00E84EB9">
        <w:rPr>
          <w:lang w:val="fr-FR"/>
        </w:rPr>
        <w:t xml:space="preserve">devraient </w:t>
      </w:r>
      <w:r w:rsidRPr="00E84EB9">
        <w:rPr>
          <w:lang w:val="fr-FR"/>
        </w:rPr>
        <w:t>pas être placés avec des conteneurs renfermant d</w:t>
      </w:r>
      <w:r w:rsidR="006C05FA">
        <w:rPr>
          <w:lang w:val="fr-FR"/>
        </w:rPr>
        <w:t>’</w:t>
      </w:r>
      <w:r w:rsidRPr="00E84EB9">
        <w:rPr>
          <w:lang w:val="fr-FR"/>
        </w:rPr>
        <w:t>autres substances. Il convient d</w:t>
      </w:r>
      <w:r w:rsidR="006C05FA">
        <w:rPr>
          <w:lang w:val="fr-FR"/>
        </w:rPr>
        <w:t>’</w:t>
      </w:r>
      <w:r w:rsidRPr="00E84EB9">
        <w:rPr>
          <w:lang w:val="fr-FR"/>
        </w:rPr>
        <w:t>établir des aires de stockage séparées, même au sein d</w:t>
      </w:r>
      <w:r w:rsidR="006C05FA">
        <w:rPr>
          <w:lang w:val="fr-FR"/>
        </w:rPr>
        <w:t>’</w:t>
      </w:r>
      <w:r w:rsidRPr="00E84EB9">
        <w:rPr>
          <w:lang w:val="fr-FR"/>
        </w:rPr>
        <w:t xml:space="preserve">une même installation. Les conteneurs et </w:t>
      </w:r>
      <w:r w:rsidR="003B1991">
        <w:rPr>
          <w:lang w:val="fr-FR"/>
        </w:rPr>
        <w:t>les composés conditionnés</w:t>
      </w:r>
      <w:r w:rsidR="00736BCE">
        <w:rPr>
          <w:lang w:val="fr-FR"/>
        </w:rPr>
        <w:t xml:space="preserve"> </w:t>
      </w:r>
      <w:r w:rsidRPr="00E84EB9">
        <w:rPr>
          <w:lang w:val="fr-FR"/>
        </w:rPr>
        <w:t xml:space="preserve">devraient être marqués et </w:t>
      </w:r>
      <w:r w:rsidR="00CF1AC9" w:rsidRPr="00E84EB9">
        <w:rPr>
          <w:lang w:val="fr-FR"/>
        </w:rPr>
        <w:t xml:space="preserve">stockés </w:t>
      </w:r>
      <w:r w:rsidRPr="00E84EB9">
        <w:rPr>
          <w:lang w:val="fr-FR"/>
        </w:rPr>
        <w:t>dans un endroit sec et sûr tel qu</w:t>
      </w:r>
      <w:r w:rsidR="006C05FA">
        <w:rPr>
          <w:lang w:val="fr-FR"/>
        </w:rPr>
        <w:t>’</w:t>
      </w:r>
      <w:r w:rsidRPr="00E84EB9">
        <w:rPr>
          <w:lang w:val="fr-FR"/>
        </w:rPr>
        <w:t>un entrepôt ou un autre l</w:t>
      </w:r>
      <w:r w:rsidR="007C075A" w:rsidRPr="00E84EB9">
        <w:rPr>
          <w:lang w:val="fr-FR"/>
        </w:rPr>
        <w:t xml:space="preserve">ieu généralement </w:t>
      </w:r>
      <w:r w:rsidR="00E56D85">
        <w:rPr>
          <w:lang w:val="fr-FR"/>
        </w:rPr>
        <w:t>peu</w:t>
      </w:r>
      <w:r w:rsidR="007C075A" w:rsidRPr="00E84EB9">
        <w:rPr>
          <w:lang w:val="fr-FR"/>
        </w:rPr>
        <w:t xml:space="preserve"> fréquenté.</w:t>
      </w:r>
    </w:p>
    <w:p w14:paraId="21AF74E4" w14:textId="27F647AF" w:rsidR="000C2F3D" w:rsidRPr="00E84EB9" w:rsidRDefault="007C075A" w:rsidP="00F474DD">
      <w:pPr>
        <w:pStyle w:val="Normalnumber"/>
        <w:numPr>
          <w:ilvl w:val="0"/>
          <w:numId w:val="5"/>
        </w:numPr>
        <w:ind w:left="1247" w:firstLine="0"/>
        <w:rPr>
          <w:lang w:val="fr-FR"/>
        </w:rPr>
      </w:pPr>
      <w:r w:rsidRPr="00E84EB9">
        <w:rPr>
          <w:b/>
          <w:lang w:val="fr-FR"/>
        </w:rPr>
        <w:t>Ventilation </w:t>
      </w:r>
      <w:r w:rsidR="000C2F3D" w:rsidRPr="00E84EB9">
        <w:rPr>
          <w:lang w:val="fr-FR"/>
        </w:rPr>
        <w:t xml:space="preserve">: les aires servant au stockage du mercure ou des composés du mercure ne devraient pas partager </w:t>
      </w:r>
      <w:r w:rsidRPr="00E84EB9">
        <w:rPr>
          <w:lang w:val="fr-FR"/>
        </w:rPr>
        <w:t xml:space="preserve">leurs </w:t>
      </w:r>
      <w:r w:rsidR="000C2F3D" w:rsidRPr="00E84EB9">
        <w:rPr>
          <w:lang w:val="fr-FR"/>
        </w:rPr>
        <w:t>systèmes d</w:t>
      </w:r>
      <w:r w:rsidR="006C05FA">
        <w:rPr>
          <w:lang w:val="fr-FR"/>
        </w:rPr>
        <w:t>’</w:t>
      </w:r>
      <w:r w:rsidR="000C2F3D" w:rsidRPr="00E84EB9">
        <w:rPr>
          <w:lang w:val="fr-FR"/>
        </w:rPr>
        <w:t>aération avec des zones d</w:t>
      </w:r>
      <w:r w:rsidR="006C05FA">
        <w:rPr>
          <w:lang w:val="fr-FR"/>
        </w:rPr>
        <w:t>’</w:t>
      </w:r>
      <w:r w:rsidR="000C2F3D" w:rsidRPr="00E84EB9">
        <w:rPr>
          <w:lang w:val="fr-FR"/>
        </w:rPr>
        <w:t xml:space="preserve">activités ou des lieux publics. Elles devraient disposer de leurs propres systèmes de ventilation ou </w:t>
      </w:r>
      <w:r w:rsidR="00175F0F">
        <w:rPr>
          <w:lang w:val="fr-FR"/>
        </w:rPr>
        <w:t>comporter des bouches d’aération donnant</w:t>
      </w:r>
      <w:r w:rsidR="000C2F3D" w:rsidRPr="00E84EB9">
        <w:rPr>
          <w:lang w:val="fr-FR"/>
        </w:rPr>
        <w:t xml:space="preserve"> </w:t>
      </w:r>
      <w:r w:rsidR="00175F0F">
        <w:rPr>
          <w:lang w:val="fr-FR"/>
        </w:rPr>
        <w:t>sur</w:t>
      </w:r>
      <w:r w:rsidR="000C2F3D" w:rsidRPr="00E84EB9">
        <w:rPr>
          <w:lang w:val="fr-FR"/>
        </w:rPr>
        <w:t xml:space="preserve"> l</w:t>
      </w:r>
      <w:r w:rsidR="006C05FA">
        <w:rPr>
          <w:lang w:val="fr-FR"/>
        </w:rPr>
        <w:t>’</w:t>
      </w:r>
      <w:r w:rsidR="000C2F3D" w:rsidRPr="00E84EB9">
        <w:rPr>
          <w:lang w:val="fr-FR"/>
        </w:rPr>
        <w:t xml:space="preserve">extérieur. Les systèmes de ventilation des </w:t>
      </w:r>
      <w:r w:rsidR="00175F0F">
        <w:rPr>
          <w:lang w:val="fr-FR"/>
        </w:rPr>
        <w:t>zon</w:t>
      </w:r>
      <w:r w:rsidR="000C2F3D" w:rsidRPr="00E84EB9">
        <w:rPr>
          <w:lang w:val="fr-FR"/>
        </w:rPr>
        <w:t>es de man</w:t>
      </w:r>
      <w:r w:rsidR="00175F0F">
        <w:rPr>
          <w:lang w:val="fr-FR"/>
        </w:rPr>
        <w:t>uten</w:t>
      </w:r>
      <w:r w:rsidR="000C2F3D" w:rsidRPr="00E84EB9">
        <w:rPr>
          <w:lang w:val="fr-FR"/>
        </w:rPr>
        <w:t xml:space="preserve">tion </w:t>
      </w:r>
      <w:r w:rsidR="00E672BF" w:rsidRPr="00E84EB9">
        <w:rPr>
          <w:lang w:val="fr-FR"/>
        </w:rPr>
        <w:t xml:space="preserve">comporteront </w:t>
      </w:r>
      <w:r w:rsidR="000C2F3D" w:rsidRPr="00E84EB9">
        <w:rPr>
          <w:lang w:val="fr-FR"/>
        </w:rPr>
        <w:t xml:space="preserve">de préférence </w:t>
      </w:r>
      <w:r w:rsidRPr="00E84EB9">
        <w:rPr>
          <w:lang w:val="fr-FR"/>
        </w:rPr>
        <w:t>des filtres</w:t>
      </w:r>
      <w:r w:rsidR="00E672BF" w:rsidRPr="00E84EB9">
        <w:rPr>
          <w:lang w:val="fr-FR"/>
        </w:rPr>
        <w:t xml:space="preserve"> ou incluront</w:t>
      </w:r>
      <w:r w:rsidR="000C2F3D" w:rsidRPr="00E84EB9">
        <w:rPr>
          <w:lang w:val="fr-FR"/>
        </w:rPr>
        <w:t xml:space="preserve"> des dispositifs antipollution pour capturer les rejets de mercure sous forme de vapeurs ou de poussières. Les orientations élaborées par le Programme des Nations Unies pour le développement (PNUD, 2010) concernant les déchets de mercure produits par les établissements de santé fournissent des conseils dét</w:t>
      </w:r>
      <w:r w:rsidR="00162640">
        <w:rPr>
          <w:lang w:val="fr-FR"/>
        </w:rPr>
        <w:t>aillés qui peuvent être utilisé</w:t>
      </w:r>
      <w:r w:rsidR="000C2F3D" w:rsidRPr="00E84EB9">
        <w:rPr>
          <w:lang w:val="fr-FR"/>
        </w:rPr>
        <w:t xml:space="preserve">s </w:t>
      </w:r>
      <w:r w:rsidR="00C37CA9" w:rsidRPr="00E84EB9">
        <w:rPr>
          <w:lang w:val="fr-FR"/>
        </w:rPr>
        <w:t xml:space="preserve">pour </w:t>
      </w:r>
      <w:r w:rsidR="000C2F3D" w:rsidRPr="00E84EB9">
        <w:rPr>
          <w:lang w:val="fr-FR"/>
        </w:rPr>
        <w:t>de nombreux types d</w:t>
      </w:r>
      <w:r w:rsidR="006C05FA">
        <w:rPr>
          <w:lang w:val="fr-FR"/>
        </w:rPr>
        <w:t>’</w:t>
      </w:r>
      <w:r w:rsidR="000C2F3D" w:rsidRPr="00E84EB9">
        <w:rPr>
          <w:lang w:val="fr-FR"/>
        </w:rPr>
        <w:t xml:space="preserve">installations commerciales. </w:t>
      </w:r>
    </w:p>
    <w:p w14:paraId="632425AB" w14:textId="3A828FBB" w:rsidR="000C2F3D" w:rsidRPr="00E84EB9" w:rsidRDefault="00C37CA9" w:rsidP="00F474DD">
      <w:pPr>
        <w:pStyle w:val="Normalnumber"/>
        <w:numPr>
          <w:ilvl w:val="0"/>
          <w:numId w:val="5"/>
        </w:numPr>
        <w:ind w:left="1247" w:firstLine="0"/>
        <w:rPr>
          <w:lang w:val="fr-FR"/>
        </w:rPr>
      </w:pPr>
      <w:r w:rsidRPr="00E84EB9">
        <w:rPr>
          <w:b/>
          <w:lang w:val="fr-FR"/>
        </w:rPr>
        <w:t>Conteneurs </w:t>
      </w:r>
      <w:r w:rsidR="000C2F3D" w:rsidRPr="00E84EB9">
        <w:rPr>
          <w:lang w:val="fr-FR"/>
        </w:rPr>
        <w:t xml:space="preserve">: le mercure élémentaire en vrac devrait être soigneusement emballé dans des conteneurs appropriés, tels que ceux mentionnés dans les </w:t>
      </w:r>
      <w:r w:rsidR="000C2F3D" w:rsidRPr="00E84EB9">
        <w:rPr>
          <w:i/>
          <w:lang w:val="fr-FR"/>
        </w:rPr>
        <w:t>Recommandations relatives au transpo</w:t>
      </w:r>
      <w:r w:rsidR="005405D3" w:rsidRPr="00E84EB9">
        <w:rPr>
          <w:i/>
          <w:lang w:val="fr-FR"/>
        </w:rPr>
        <w:t>rt des marchandises dangereuses </w:t>
      </w:r>
      <w:r w:rsidR="000C2F3D" w:rsidRPr="00E84EB9">
        <w:rPr>
          <w:i/>
          <w:lang w:val="fr-FR"/>
        </w:rPr>
        <w:t>: Règlement type</w:t>
      </w:r>
      <w:r w:rsidR="000C2F3D" w:rsidRPr="00E84EB9">
        <w:rPr>
          <w:lang w:val="fr-FR"/>
        </w:rPr>
        <w:t xml:space="preserve"> (Nations Unies, 2017). Les </w:t>
      </w:r>
      <w:r w:rsidR="00175F0F">
        <w:rPr>
          <w:lang w:val="fr-FR"/>
        </w:rPr>
        <w:t>composé</w:t>
      </w:r>
      <w:r w:rsidR="000C2F3D" w:rsidRPr="00E84EB9">
        <w:rPr>
          <w:lang w:val="fr-FR"/>
        </w:rPr>
        <w:t xml:space="preserve">s solides devraient être stockés dans des conteneurs scellés, tels que des fûts ou </w:t>
      </w:r>
      <w:r w:rsidR="005405D3" w:rsidRPr="00E84EB9">
        <w:rPr>
          <w:lang w:val="fr-FR"/>
        </w:rPr>
        <w:t xml:space="preserve">des </w:t>
      </w:r>
      <w:r w:rsidR="000C2F3D" w:rsidRPr="00E84EB9">
        <w:rPr>
          <w:lang w:val="fr-FR"/>
        </w:rPr>
        <w:t>seaux pourvus de couvercles bien ajustés</w:t>
      </w:r>
      <w:r w:rsidR="005405D3" w:rsidRPr="00E84EB9">
        <w:rPr>
          <w:lang w:val="fr-FR"/>
        </w:rPr>
        <w:t>,</w:t>
      </w:r>
      <w:r w:rsidR="000C2F3D" w:rsidRPr="00E84EB9">
        <w:rPr>
          <w:lang w:val="fr-FR"/>
        </w:rPr>
        <w:t xml:space="preserve"> ou </w:t>
      </w:r>
      <w:r w:rsidR="005405D3" w:rsidRPr="00E84EB9">
        <w:rPr>
          <w:lang w:val="fr-FR"/>
        </w:rPr>
        <w:t xml:space="preserve">dans </w:t>
      </w:r>
      <w:r w:rsidR="000C2F3D" w:rsidRPr="00E84EB9">
        <w:rPr>
          <w:lang w:val="fr-FR"/>
        </w:rPr>
        <w:t>des récipients spécialement conçus pour éviter les émissions de vapeurs de mercure.</w:t>
      </w:r>
    </w:p>
    <w:p w14:paraId="52D32E82" w14:textId="1CC797DF" w:rsidR="000C2F3D" w:rsidRPr="00E84EB9" w:rsidRDefault="000C2F3D" w:rsidP="00F474DD">
      <w:pPr>
        <w:pStyle w:val="Normalnumber"/>
        <w:numPr>
          <w:ilvl w:val="0"/>
          <w:numId w:val="5"/>
        </w:numPr>
        <w:ind w:left="1247" w:firstLine="0"/>
        <w:rPr>
          <w:lang w:val="fr-FR"/>
        </w:rPr>
      </w:pPr>
      <w:r w:rsidRPr="00E84EB9">
        <w:rPr>
          <w:lang w:val="fr-FR"/>
        </w:rPr>
        <w:t xml:space="preserve">Les conteneurs </w:t>
      </w:r>
      <w:r w:rsidR="005405D3" w:rsidRPr="00E84EB9">
        <w:rPr>
          <w:lang w:val="fr-FR"/>
        </w:rPr>
        <w:t>devraient répondre aux critères suivants </w:t>
      </w:r>
      <w:r w:rsidR="00E672BF" w:rsidRPr="00E84EB9">
        <w:rPr>
          <w:lang w:val="fr-FR"/>
        </w:rPr>
        <w:t>:</w:t>
      </w:r>
    </w:p>
    <w:p w14:paraId="0AAC16E8" w14:textId="4D3A8D8A" w:rsidR="000C2F3D" w:rsidRPr="00E84EB9" w:rsidRDefault="00175F0F" w:rsidP="005A1CB1">
      <w:pPr>
        <w:pStyle w:val="Normalnumber"/>
        <w:numPr>
          <w:ilvl w:val="1"/>
          <w:numId w:val="10"/>
        </w:numPr>
        <w:ind w:left="1247" w:firstLine="624"/>
        <w:rPr>
          <w:lang w:val="fr-FR"/>
        </w:rPr>
      </w:pPr>
      <w:r>
        <w:rPr>
          <w:lang w:val="fr-FR"/>
        </w:rPr>
        <w:t>N</w:t>
      </w:r>
      <w:r w:rsidR="000A5D65">
        <w:rPr>
          <w:lang w:val="fr-FR"/>
        </w:rPr>
        <w:t>’avoir subi aucun</w:t>
      </w:r>
      <w:r w:rsidR="0036206D">
        <w:rPr>
          <w:lang w:val="fr-FR"/>
        </w:rPr>
        <w:t xml:space="preserve"> </w:t>
      </w:r>
      <w:r w:rsidR="000C2F3D" w:rsidRPr="00E84EB9">
        <w:rPr>
          <w:lang w:val="fr-FR"/>
        </w:rPr>
        <w:t>dommag</w:t>
      </w:r>
      <w:r w:rsidR="0036206D">
        <w:rPr>
          <w:lang w:val="fr-FR"/>
        </w:rPr>
        <w:t xml:space="preserve">e </w:t>
      </w:r>
      <w:r w:rsidR="00660A68">
        <w:rPr>
          <w:lang w:val="fr-FR"/>
        </w:rPr>
        <w:t xml:space="preserve">imputable aux matières qui y étaient stockées </w:t>
      </w:r>
      <w:r w:rsidR="000A5D65">
        <w:rPr>
          <w:lang w:val="fr-FR"/>
        </w:rPr>
        <w:t>antérieur</w:t>
      </w:r>
      <w:r w:rsidR="00660A68">
        <w:rPr>
          <w:lang w:val="fr-FR"/>
        </w:rPr>
        <w:t>ement et ne pas avoir contenu de matières</w:t>
      </w:r>
      <w:r w:rsidR="000C2F3D" w:rsidRPr="00E84EB9">
        <w:rPr>
          <w:lang w:val="fr-FR"/>
        </w:rPr>
        <w:t xml:space="preserve"> susceptibles de </w:t>
      </w:r>
      <w:r w:rsidR="00E672BF" w:rsidRPr="00E84EB9">
        <w:rPr>
          <w:lang w:val="fr-FR"/>
        </w:rPr>
        <w:t>réa</w:t>
      </w:r>
      <w:r w:rsidR="000A5D65">
        <w:rPr>
          <w:lang w:val="fr-FR"/>
        </w:rPr>
        <w:t>gir</w:t>
      </w:r>
      <w:r w:rsidR="00E672BF" w:rsidRPr="00E84EB9">
        <w:rPr>
          <w:lang w:val="fr-FR"/>
        </w:rPr>
        <w:t xml:space="preserve"> négative</w:t>
      </w:r>
      <w:r w:rsidR="000A5D65">
        <w:rPr>
          <w:lang w:val="fr-FR"/>
        </w:rPr>
        <w:t>ment avec</w:t>
      </w:r>
      <w:r w:rsidR="00E672BF" w:rsidRPr="00E84EB9">
        <w:rPr>
          <w:lang w:val="fr-FR"/>
        </w:rPr>
        <w:t xml:space="preserve"> </w:t>
      </w:r>
      <w:r w:rsidR="000A5D65">
        <w:rPr>
          <w:lang w:val="fr-FR"/>
        </w:rPr>
        <w:t xml:space="preserve">le </w:t>
      </w:r>
      <w:r w:rsidR="00E672BF" w:rsidRPr="00E84EB9">
        <w:rPr>
          <w:lang w:val="fr-FR"/>
        </w:rPr>
        <w:t>mercure.</w:t>
      </w:r>
    </w:p>
    <w:p w14:paraId="06F7886B" w14:textId="1071281C" w:rsidR="000C2F3D" w:rsidRPr="00E84EB9" w:rsidRDefault="00175F0F" w:rsidP="005A1CB1">
      <w:pPr>
        <w:pStyle w:val="Normalnumber"/>
        <w:numPr>
          <w:ilvl w:val="1"/>
          <w:numId w:val="10"/>
        </w:numPr>
        <w:ind w:left="1247" w:firstLine="624"/>
        <w:rPr>
          <w:lang w:val="fr-FR"/>
        </w:rPr>
      </w:pPr>
      <w:r w:rsidRPr="00B43873">
        <w:rPr>
          <w:lang w:val="fr-FR"/>
        </w:rPr>
        <w:t>Être intacts sur le plan structurel</w:t>
      </w:r>
      <w:r w:rsidR="00E672BF" w:rsidRPr="00E84EB9">
        <w:rPr>
          <w:lang w:val="fr-FR"/>
        </w:rPr>
        <w:t>.</w:t>
      </w:r>
    </w:p>
    <w:p w14:paraId="613924F2" w14:textId="691A2FA4" w:rsidR="000C2F3D" w:rsidRPr="00E84EB9" w:rsidRDefault="00175F0F" w:rsidP="005A1CB1">
      <w:pPr>
        <w:pStyle w:val="Normalnumber"/>
        <w:numPr>
          <w:ilvl w:val="1"/>
          <w:numId w:val="10"/>
        </w:numPr>
        <w:ind w:left="1247" w:firstLine="624"/>
        <w:rPr>
          <w:lang w:val="fr-FR"/>
        </w:rPr>
      </w:pPr>
      <w:r>
        <w:rPr>
          <w:lang w:val="fr-FR"/>
        </w:rPr>
        <w:t xml:space="preserve">Ne </w:t>
      </w:r>
      <w:r w:rsidR="005405D3" w:rsidRPr="00E84EB9">
        <w:rPr>
          <w:lang w:val="fr-FR"/>
        </w:rPr>
        <w:t xml:space="preserve">pas </w:t>
      </w:r>
      <w:r w:rsidR="000C2F3D" w:rsidRPr="00E84EB9">
        <w:rPr>
          <w:lang w:val="fr-FR"/>
        </w:rPr>
        <w:t xml:space="preserve">présenter </w:t>
      </w:r>
      <w:r w:rsidR="00E672BF" w:rsidRPr="00E84EB9">
        <w:rPr>
          <w:lang w:val="fr-FR"/>
        </w:rPr>
        <w:t>de corrosion excessive.</w:t>
      </w:r>
    </w:p>
    <w:p w14:paraId="684B3AF8" w14:textId="685A5FC7" w:rsidR="000C2F3D" w:rsidRPr="00E84EB9" w:rsidRDefault="00175F0F" w:rsidP="005A1CB1">
      <w:pPr>
        <w:pStyle w:val="Normalnumber"/>
        <w:numPr>
          <w:ilvl w:val="1"/>
          <w:numId w:val="10"/>
        </w:numPr>
        <w:ind w:left="1247" w:firstLine="624"/>
        <w:rPr>
          <w:lang w:val="fr-FR"/>
        </w:rPr>
      </w:pPr>
      <w:r w:rsidRPr="00B43873">
        <w:rPr>
          <w:lang w:val="fr-FR"/>
        </w:rPr>
        <w:lastRenderedPageBreak/>
        <w:t xml:space="preserve">Être enduits d’un revêtement protecteur </w:t>
      </w:r>
      <w:r>
        <w:rPr>
          <w:lang w:val="fr-FR"/>
        </w:rPr>
        <w:t>(</w:t>
      </w:r>
      <w:r w:rsidRPr="00B43873">
        <w:rPr>
          <w:lang w:val="fr-FR"/>
        </w:rPr>
        <w:t>peinture</w:t>
      </w:r>
      <w:r>
        <w:rPr>
          <w:lang w:val="fr-FR"/>
        </w:rPr>
        <w:t>)</w:t>
      </w:r>
      <w:r w:rsidRPr="00B43873">
        <w:rPr>
          <w:lang w:val="fr-FR"/>
        </w:rPr>
        <w:t xml:space="preserve"> </w:t>
      </w:r>
      <w:proofErr w:type="spellStart"/>
      <w:r w:rsidRPr="00B43873">
        <w:rPr>
          <w:lang w:val="fr-FR"/>
        </w:rPr>
        <w:t>anti</w:t>
      </w:r>
      <w:r>
        <w:rPr>
          <w:lang w:val="fr-FR"/>
        </w:rPr>
        <w:t>-</w:t>
      </w:r>
      <w:r w:rsidRPr="00B43873">
        <w:rPr>
          <w:lang w:val="fr-FR"/>
        </w:rPr>
        <w:t>corrosion</w:t>
      </w:r>
      <w:proofErr w:type="spellEnd"/>
      <w:r w:rsidR="000C2F3D" w:rsidRPr="00E84EB9">
        <w:rPr>
          <w:lang w:val="fr-FR"/>
        </w:rPr>
        <w:t>.</w:t>
      </w:r>
    </w:p>
    <w:p w14:paraId="29221AE1" w14:textId="5A28DAE1" w:rsidR="000C2F3D" w:rsidRPr="00E84EB9" w:rsidRDefault="00175F0F" w:rsidP="005A1CB1">
      <w:pPr>
        <w:pStyle w:val="Normalnumber"/>
        <w:numPr>
          <w:ilvl w:val="1"/>
          <w:numId w:val="10"/>
        </w:numPr>
        <w:ind w:left="1247" w:firstLine="624"/>
        <w:rPr>
          <w:lang w:val="fr-FR"/>
        </w:rPr>
      </w:pPr>
      <w:r>
        <w:rPr>
          <w:lang w:val="fr-FR"/>
        </w:rPr>
        <w:t>Ê</w:t>
      </w:r>
      <w:r w:rsidR="000C2F3D" w:rsidRPr="00E84EB9">
        <w:rPr>
          <w:lang w:val="fr-FR"/>
        </w:rPr>
        <w:t>tre étanches aux gaz et aux liquides.</w:t>
      </w:r>
    </w:p>
    <w:p w14:paraId="416B5E11" w14:textId="6743FAE3" w:rsidR="00F91A2A" w:rsidRPr="00E84EB9" w:rsidRDefault="009D3250" w:rsidP="00F474DD">
      <w:pPr>
        <w:pStyle w:val="Normalnumber"/>
        <w:numPr>
          <w:ilvl w:val="0"/>
          <w:numId w:val="5"/>
        </w:numPr>
        <w:ind w:left="1247" w:firstLine="0"/>
        <w:rPr>
          <w:lang w:val="fr-FR"/>
        </w:rPr>
      </w:pPr>
      <w:r>
        <w:rPr>
          <w:lang w:val="fr-FR"/>
        </w:rPr>
        <w:t>Au nombre des</w:t>
      </w:r>
      <w:r w:rsidR="00F91A2A" w:rsidRPr="00E84EB9">
        <w:rPr>
          <w:lang w:val="fr-FR"/>
        </w:rPr>
        <w:t xml:space="preserve"> matériaux </w:t>
      </w:r>
      <w:r>
        <w:rPr>
          <w:lang w:val="fr-FR"/>
        </w:rPr>
        <w:t>appropriés pour l</w:t>
      </w:r>
      <w:r w:rsidR="00F91A2A" w:rsidRPr="00E84EB9">
        <w:rPr>
          <w:lang w:val="fr-FR"/>
        </w:rPr>
        <w:t xml:space="preserve">es conteneurs </w:t>
      </w:r>
      <w:r>
        <w:rPr>
          <w:lang w:val="fr-FR"/>
        </w:rPr>
        <w:t>d</w:t>
      </w:r>
      <w:r w:rsidR="008C082C">
        <w:rPr>
          <w:lang w:val="fr-FR"/>
        </w:rPr>
        <w:t>e</w:t>
      </w:r>
      <w:r w:rsidR="00F91A2A" w:rsidRPr="00E84EB9">
        <w:rPr>
          <w:lang w:val="fr-FR"/>
        </w:rPr>
        <w:t xml:space="preserve"> mercure </w:t>
      </w:r>
      <w:r>
        <w:rPr>
          <w:lang w:val="fr-FR"/>
        </w:rPr>
        <w:t>se trouvent</w:t>
      </w:r>
      <w:r w:rsidR="00F91A2A" w:rsidRPr="00E84EB9">
        <w:rPr>
          <w:lang w:val="fr-FR"/>
        </w:rPr>
        <w:t xml:space="preserve"> l</w:t>
      </w:r>
      <w:r w:rsidR="008C082C">
        <w:rPr>
          <w:lang w:val="fr-FR"/>
        </w:rPr>
        <w:t xml:space="preserve">’acier </w:t>
      </w:r>
      <w:r w:rsidR="00054DF6">
        <w:rPr>
          <w:lang w:val="fr-FR"/>
        </w:rPr>
        <w:t>ordinaire</w:t>
      </w:r>
      <w:r w:rsidR="00F91A2A" w:rsidRPr="00E84EB9">
        <w:rPr>
          <w:lang w:val="fr-FR"/>
        </w:rPr>
        <w:t xml:space="preserve"> (au minimum ASTM A36) et l</w:t>
      </w:r>
      <w:r w:rsidR="006C05FA">
        <w:rPr>
          <w:lang w:val="fr-FR"/>
        </w:rPr>
        <w:t>’</w:t>
      </w:r>
      <w:r w:rsidR="00F91A2A" w:rsidRPr="00E84EB9">
        <w:rPr>
          <w:lang w:val="fr-FR"/>
        </w:rPr>
        <w:t>acier inoxydable (AISI 304 ou 316L)</w:t>
      </w:r>
      <w:r w:rsidR="005405D3" w:rsidRPr="00E84EB9">
        <w:rPr>
          <w:lang w:val="fr-FR"/>
        </w:rPr>
        <w:t xml:space="preserve"> (UE, 2010)</w:t>
      </w:r>
      <w:r w:rsidR="00F91A2A" w:rsidRPr="00E84EB9">
        <w:rPr>
          <w:lang w:val="fr-FR"/>
        </w:rPr>
        <w:t xml:space="preserve">, qui ne réagissent pas avec le mercure </w:t>
      </w:r>
      <w:r w:rsidR="005405D3" w:rsidRPr="00E84EB9">
        <w:rPr>
          <w:lang w:val="fr-FR"/>
        </w:rPr>
        <w:t>à température ambiante</w:t>
      </w:r>
      <w:r w:rsidR="00F91A2A" w:rsidRPr="00E84EB9">
        <w:rPr>
          <w:lang w:val="fr-FR"/>
        </w:rPr>
        <w:t>. Aucun revêtement protecteur n</w:t>
      </w:r>
      <w:r w:rsidR="006C05FA">
        <w:rPr>
          <w:lang w:val="fr-FR"/>
        </w:rPr>
        <w:t>’</w:t>
      </w:r>
      <w:r w:rsidR="00F91A2A" w:rsidRPr="00E84EB9">
        <w:rPr>
          <w:lang w:val="fr-FR"/>
        </w:rPr>
        <w:t>est exigé pour la surface intérieure</w:t>
      </w:r>
      <w:r w:rsidR="006642B2" w:rsidRPr="00E84EB9">
        <w:rPr>
          <w:lang w:val="fr-FR"/>
        </w:rPr>
        <w:t>,</w:t>
      </w:r>
      <w:r w:rsidR="00F91A2A" w:rsidRPr="00E84EB9">
        <w:rPr>
          <w:lang w:val="fr-FR"/>
        </w:rPr>
        <w:t xml:space="preserve"> à condition que le mercure à stocker réponde aux normes de pureté pour le stockage </w:t>
      </w:r>
      <w:r w:rsidR="005405D3" w:rsidRPr="00E84EB9">
        <w:rPr>
          <w:lang w:val="fr-FR"/>
        </w:rPr>
        <w:t xml:space="preserve">en tant que mercure élémentaire </w:t>
      </w:r>
      <w:r w:rsidR="00F91A2A" w:rsidRPr="00E84EB9">
        <w:rPr>
          <w:lang w:val="fr-FR"/>
        </w:rPr>
        <w:t xml:space="preserve">et </w:t>
      </w:r>
      <w:r w:rsidR="005405D3" w:rsidRPr="00E84EB9">
        <w:rPr>
          <w:lang w:val="fr-FR"/>
        </w:rPr>
        <w:t>qu</w:t>
      </w:r>
      <w:r w:rsidR="006C05FA">
        <w:rPr>
          <w:lang w:val="fr-FR"/>
        </w:rPr>
        <w:t>’</w:t>
      </w:r>
      <w:r w:rsidR="005405D3" w:rsidRPr="00E84EB9">
        <w:rPr>
          <w:lang w:val="fr-FR"/>
        </w:rPr>
        <w:t>aucune trace d</w:t>
      </w:r>
      <w:r w:rsidR="006C05FA">
        <w:rPr>
          <w:lang w:val="fr-FR"/>
        </w:rPr>
        <w:t>’</w:t>
      </w:r>
      <w:r w:rsidR="00F91A2A" w:rsidRPr="00E84EB9">
        <w:rPr>
          <w:lang w:val="fr-FR"/>
        </w:rPr>
        <w:t xml:space="preserve">eau </w:t>
      </w:r>
      <w:r w:rsidR="005405D3" w:rsidRPr="00E84EB9">
        <w:rPr>
          <w:lang w:val="fr-FR"/>
        </w:rPr>
        <w:t xml:space="preserve">ne soit présente </w:t>
      </w:r>
      <w:r w:rsidR="00F91A2A" w:rsidRPr="00E84EB9">
        <w:rPr>
          <w:lang w:val="fr-FR"/>
        </w:rPr>
        <w:t>à l</w:t>
      </w:r>
      <w:r w:rsidR="006C05FA">
        <w:rPr>
          <w:lang w:val="fr-FR"/>
        </w:rPr>
        <w:t>’</w:t>
      </w:r>
      <w:r w:rsidR="00F91A2A" w:rsidRPr="00E84EB9">
        <w:rPr>
          <w:lang w:val="fr-FR"/>
        </w:rPr>
        <w:t xml:space="preserve">intérieur. Des </w:t>
      </w:r>
      <w:r w:rsidR="008C082C">
        <w:rPr>
          <w:lang w:val="fr-FR"/>
        </w:rPr>
        <w:t>revêtements</w:t>
      </w:r>
      <w:r w:rsidR="006642B2" w:rsidRPr="00E84EB9">
        <w:rPr>
          <w:lang w:val="fr-FR"/>
        </w:rPr>
        <w:t xml:space="preserve"> protect</w:t>
      </w:r>
      <w:r w:rsidR="008C082C">
        <w:rPr>
          <w:lang w:val="fr-FR"/>
        </w:rPr>
        <w:t>eur</w:t>
      </w:r>
      <w:r w:rsidR="006642B2" w:rsidRPr="00E84EB9">
        <w:rPr>
          <w:lang w:val="fr-FR"/>
        </w:rPr>
        <w:t>s (</w:t>
      </w:r>
      <w:r w:rsidR="00F91A2A" w:rsidRPr="00E84EB9">
        <w:rPr>
          <w:lang w:val="fr-FR"/>
        </w:rPr>
        <w:t xml:space="preserve">peinture époxy ou </w:t>
      </w:r>
      <w:r w:rsidR="008C082C">
        <w:rPr>
          <w:lang w:val="fr-FR"/>
        </w:rPr>
        <w:t>placage</w:t>
      </w:r>
      <w:r w:rsidR="00F91A2A" w:rsidRPr="00E84EB9">
        <w:rPr>
          <w:lang w:val="fr-FR"/>
        </w:rPr>
        <w:t xml:space="preserve"> élect</w:t>
      </w:r>
      <w:r w:rsidR="00E84EB9">
        <w:rPr>
          <w:lang w:val="fr-FR"/>
        </w:rPr>
        <w:t>r</w:t>
      </w:r>
      <w:r w:rsidR="00F91A2A" w:rsidRPr="00E84EB9">
        <w:rPr>
          <w:lang w:val="fr-FR"/>
        </w:rPr>
        <w:t>olytique) devrai</w:t>
      </w:r>
      <w:r w:rsidR="006642B2" w:rsidRPr="00E84EB9">
        <w:rPr>
          <w:lang w:val="fr-FR"/>
        </w:rPr>
        <w:t>en</w:t>
      </w:r>
      <w:r w:rsidR="00F91A2A" w:rsidRPr="00E84EB9">
        <w:rPr>
          <w:lang w:val="fr-FR"/>
        </w:rPr>
        <w:t xml:space="preserve">t être appliqués sur toutes les surfaces extérieures en acier </w:t>
      </w:r>
      <w:r w:rsidR="00054DF6">
        <w:rPr>
          <w:lang w:val="fr-FR"/>
        </w:rPr>
        <w:t>ordinaire</w:t>
      </w:r>
      <w:r w:rsidR="00F91A2A" w:rsidRPr="00E84EB9">
        <w:rPr>
          <w:lang w:val="fr-FR"/>
        </w:rPr>
        <w:t xml:space="preserve"> de </w:t>
      </w:r>
      <w:r w:rsidR="00054DF6">
        <w:rPr>
          <w:lang w:val="fr-FR"/>
        </w:rPr>
        <w:t>manière à ne laisser aucune surface nue</w:t>
      </w:r>
      <w:r w:rsidR="00F91A2A" w:rsidRPr="00E84EB9">
        <w:rPr>
          <w:lang w:val="fr-FR"/>
        </w:rPr>
        <w:t>, en veillant à limiter autant que possible les boursouflures, écaillements et craquelures. Certains plastiques, tels que le polyéthylène à haute densité, sont perméables aux vapeurs de mercure et devraient être évités. Il est recommandé d</w:t>
      </w:r>
      <w:r w:rsidR="006C05FA">
        <w:rPr>
          <w:lang w:val="fr-FR"/>
        </w:rPr>
        <w:t>’</w:t>
      </w:r>
      <w:r w:rsidR="00F91A2A" w:rsidRPr="00E84EB9">
        <w:rPr>
          <w:lang w:val="fr-FR"/>
        </w:rPr>
        <w:t>utiliser des fla</w:t>
      </w:r>
      <w:r w:rsidR="008C082C">
        <w:rPr>
          <w:lang w:val="fr-FR"/>
        </w:rPr>
        <w:t>con</w:t>
      </w:r>
      <w:r w:rsidR="00F91A2A" w:rsidRPr="00E84EB9">
        <w:rPr>
          <w:lang w:val="fr-FR"/>
        </w:rPr>
        <w:t xml:space="preserve">s et des conteneurs sans soudure pour éliminer le risque de </w:t>
      </w:r>
      <w:r w:rsidR="00054DF6">
        <w:rPr>
          <w:lang w:val="fr-FR"/>
        </w:rPr>
        <w:t>rupture</w:t>
      </w:r>
      <w:r w:rsidR="00F91A2A" w:rsidRPr="00E84EB9">
        <w:rPr>
          <w:lang w:val="fr-FR"/>
        </w:rPr>
        <w:t xml:space="preserve"> le</w:t>
      </w:r>
      <w:r w:rsidR="006642B2" w:rsidRPr="00E84EB9">
        <w:rPr>
          <w:lang w:val="fr-FR"/>
        </w:rPr>
        <w:t xml:space="preserve"> long des </w:t>
      </w:r>
      <w:r w:rsidR="00054DF6">
        <w:rPr>
          <w:lang w:val="fr-FR"/>
        </w:rPr>
        <w:t>joint</w:t>
      </w:r>
      <w:r w:rsidR="006642B2" w:rsidRPr="00E84EB9">
        <w:rPr>
          <w:lang w:val="fr-FR"/>
        </w:rPr>
        <w:t>s (QSC, 2003).</w:t>
      </w:r>
    </w:p>
    <w:p w14:paraId="1C6DFAF7" w14:textId="4DAD54AB" w:rsidR="000C2F3D" w:rsidRPr="00E84EB9" w:rsidRDefault="000C2F3D" w:rsidP="00F474DD">
      <w:pPr>
        <w:pStyle w:val="Normalnumber"/>
        <w:numPr>
          <w:ilvl w:val="0"/>
          <w:numId w:val="5"/>
        </w:numPr>
        <w:ind w:left="1247" w:firstLine="0"/>
        <w:rPr>
          <w:lang w:val="fr-FR"/>
        </w:rPr>
      </w:pPr>
      <w:r w:rsidRPr="00E84EB9">
        <w:rPr>
          <w:lang w:val="fr-FR"/>
        </w:rPr>
        <w:t xml:space="preserve">Il existe deux principaux types de conteneurs </w:t>
      </w:r>
      <w:r w:rsidR="008C082C">
        <w:rPr>
          <w:lang w:val="fr-FR"/>
        </w:rPr>
        <w:t xml:space="preserve">internationalement agréés </w:t>
      </w:r>
      <w:r w:rsidRPr="00E84EB9">
        <w:rPr>
          <w:lang w:val="fr-FR"/>
        </w:rPr>
        <w:t>pour le stockage et le transport du mercure</w:t>
      </w:r>
      <w:r w:rsidR="00E17BED" w:rsidRPr="00E84EB9">
        <w:rPr>
          <w:lang w:val="fr-FR"/>
        </w:rPr>
        <w:t xml:space="preserve"> : les </w:t>
      </w:r>
      <w:r w:rsidR="008C082C">
        <w:rPr>
          <w:lang w:val="fr-FR"/>
        </w:rPr>
        <w:t>flacon</w:t>
      </w:r>
      <w:r w:rsidR="00E17BED" w:rsidRPr="00E84EB9">
        <w:rPr>
          <w:lang w:val="fr-FR"/>
        </w:rPr>
        <w:t>s de 34,5 </w:t>
      </w:r>
      <w:r w:rsidRPr="00E84EB9">
        <w:rPr>
          <w:lang w:val="fr-FR"/>
        </w:rPr>
        <w:t>kg et les conteneurs d</w:t>
      </w:r>
      <w:r w:rsidR="006C05FA">
        <w:rPr>
          <w:lang w:val="fr-FR"/>
        </w:rPr>
        <w:t>’</w:t>
      </w:r>
      <w:r w:rsidRPr="00E84EB9">
        <w:rPr>
          <w:lang w:val="fr-FR"/>
        </w:rPr>
        <w:t xml:space="preserve">une tonne métrique (QSC, 2003). Le modèle type du conteneur </w:t>
      </w:r>
      <w:r w:rsidR="00E17BED" w:rsidRPr="00E84EB9">
        <w:rPr>
          <w:lang w:val="fr-FR"/>
        </w:rPr>
        <w:t>devrait avoir réussi</w:t>
      </w:r>
      <w:r w:rsidRPr="00E84EB9">
        <w:rPr>
          <w:lang w:val="fr-FR"/>
        </w:rPr>
        <w:t xml:space="preserve"> l</w:t>
      </w:r>
      <w:r w:rsidR="006C05FA">
        <w:rPr>
          <w:lang w:val="fr-FR"/>
        </w:rPr>
        <w:t>’</w:t>
      </w:r>
      <w:r w:rsidRPr="00E84EB9">
        <w:rPr>
          <w:lang w:val="fr-FR"/>
        </w:rPr>
        <w:t>épreuve de chute et l</w:t>
      </w:r>
      <w:r w:rsidR="006C05FA">
        <w:rPr>
          <w:lang w:val="fr-FR"/>
        </w:rPr>
        <w:t>’</w:t>
      </w:r>
      <w:r w:rsidRPr="00E84EB9">
        <w:rPr>
          <w:lang w:val="fr-FR"/>
        </w:rPr>
        <w:t>épreuve d</w:t>
      </w:r>
      <w:r w:rsidR="006C05FA">
        <w:rPr>
          <w:lang w:val="fr-FR"/>
        </w:rPr>
        <w:t>’</w:t>
      </w:r>
      <w:r w:rsidRPr="00E84EB9">
        <w:rPr>
          <w:lang w:val="fr-FR"/>
        </w:rPr>
        <w:t xml:space="preserve">étanchéité décrites aux chapitres 6.1.5.3 et 6.1.5.4 des </w:t>
      </w:r>
      <w:r w:rsidRPr="00E84EB9">
        <w:rPr>
          <w:i/>
          <w:lang w:val="fr-FR"/>
        </w:rPr>
        <w:t>Recommandations des Nations Unies relatives au Transpo</w:t>
      </w:r>
      <w:r w:rsidR="00E17BED" w:rsidRPr="00E84EB9">
        <w:rPr>
          <w:i/>
          <w:lang w:val="fr-FR"/>
        </w:rPr>
        <w:t>rt des marchandises dangereuses </w:t>
      </w:r>
      <w:r w:rsidRPr="00E84EB9">
        <w:rPr>
          <w:i/>
          <w:lang w:val="fr-FR"/>
        </w:rPr>
        <w:t>: Manuel d</w:t>
      </w:r>
      <w:r w:rsidR="006C05FA">
        <w:rPr>
          <w:i/>
          <w:lang w:val="fr-FR"/>
        </w:rPr>
        <w:t>’</w:t>
      </w:r>
      <w:r w:rsidRPr="00E84EB9">
        <w:rPr>
          <w:i/>
          <w:lang w:val="fr-FR"/>
        </w:rPr>
        <w:t>épreuves et de critères</w:t>
      </w:r>
      <w:r w:rsidRPr="00E84EB9">
        <w:rPr>
          <w:lang w:val="fr-FR"/>
        </w:rPr>
        <w:t xml:space="preserve"> (UE, 2011). Pour le transport de petites quantités de mercure, on utilise fréquemment des conte</w:t>
      </w:r>
      <w:r w:rsidR="00E17BED" w:rsidRPr="00E84EB9">
        <w:rPr>
          <w:lang w:val="fr-FR"/>
        </w:rPr>
        <w:t>neurs d</w:t>
      </w:r>
      <w:r w:rsidR="006C05FA">
        <w:rPr>
          <w:lang w:val="fr-FR"/>
        </w:rPr>
        <w:t>’</w:t>
      </w:r>
      <w:r w:rsidR="00E17BED" w:rsidRPr="00E84EB9">
        <w:rPr>
          <w:lang w:val="fr-FR"/>
        </w:rPr>
        <w:t>autres dimensions (de 1 à 16 </w:t>
      </w:r>
      <w:r w:rsidRPr="00E84EB9">
        <w:rPr>
          <w:lang w:val="fr-FR"/>
        </w:rPr>
        <w:t>livres par exemple) et d</w:t>
      </w:r>
      <w:r w:rsidR="006C05FA">
        <w:rPr>
          <w:lang w:val="fr-FR"/>
        </w:rPr>
        <w:t>’</w:t>
      </w:r>
      <w:r w:rsidRPr="00E84EB9">
        <w:rPr>
          <w:lang w:val="fr-FR"/>
        </w:rPr>
        <w:t>autres types (tels que v</w:t>
      </w:r>
      <w:r w:rsidR="00E17BED" w:rsidRPr="00E84EB9">
        <w:rPr>
          <w:lang w:val="fr-FR"/>
        </w:rPr>
        <w:t>erre, polyéthylène) (QSC, 2003) </w:t>
      </w:r>
      <w:r w:rsidRPr="00E84EB9">
        <w:rPr>
          <w:lang w:val="fr-FR"/>
        </w:rPr>
        <w:t>; toutefois, le niveau de protection assuré par ces conteneurs devrait être pris en compte.</w:t>
      </w:r>
    </w:p>
    <w:p w14:paraId="4241854F" w14:textId="76A1AE2B" w:rsidR="000C2F3D" w:rsidRPr="00E84EB9" w:rsidRDefault="000C2F3D" w:rsidP="0035218D">
      <w:pPr>
        <w:pStyle w:val="Normalnumber"/>
        <w:numPr>
          <w:ilvl w:val="0"/>
          <w:numId w:val="5"/>
        </w:numPr>
        <w:ind w:left="1247" w:firstLine="0"/>
        <w:rPr>
          <w:lang w:val="fr-FR"/>
        </w:rPr>
      </w:pPr>
      <w:r w:rsidRPr="00E84EB9">
        <w:rPr>
          <w:lang w:val="fr-FR"/>
        </w:rPr>
        <w:t>Lo</w:t>
      </w:r>
      <w:r w:rsidR="00962AFC" w:rsidRPr="00E84EB9">
        <w:rPr>
          <w:lang w:val="fr-FR"/>
        </w:rPr>
        <w:t xml:space="preserve">rs du stockage du mercure dans </w:t>
      </w:r>
      <w:r w:rsidR="00251404">
        <w:rPr>
          <w:lang w:val="fr-FR"/>
        </w:rPr>
        <w:t>d</w:t>
      </w:r>
      <w:r w:rsidRPr="00E84EB9">
        <w:rPr>
          <w:lang w:val="fr-FR"/>
        </w:rPr>
        <w:t xml:space="preserve">es conteneurs, </w:t>
      </w:r>
      <w:r w:rsidR="00962AFC" w:rsidRPr="00E84EB9">
        <w:rPr>
          <w:lang w:val="fr-FR"/>
        </w:rPr>
        <w:t xml:space="preserve">il est important de laisser un </w:t>
      </w:r>
      <w:r w:rsidR="00054DF6">
        <w:rPr>
          <w:lang w:val="fr-FR"/>
        </w:rPr>
        <w:t xml:space="preserve">espace </w:t>
      </w:r>
      <w:r w:rsidR="00962AFC" w:rsidRPr="00E84EB9">
        <w:rPr>
          <w:lang w:val="fr-FR"/>
        </w:rPr>
        <w:t xml:space="preserve">vide </w:t>
      </w:r>
      <w:r w:rsidRPr="00E84EB9">
        <w:rPr>
          <w:lang w:val="fr-FR"/>
        </w:rPr>
        <w:t xml:space="preserve">pour </w:t>
      </w:r>
      <w:r w:rsidR="00962AFC" w:rsidRPr="00E84EB9">
        <w:rPr>
          <w:lang w:val="fr-FR"/>
        </w:rPr>
        <w:t xml:space="preserve">permettre </w:t>
      </w:r>
      <w:r w:rsidRPr="00E84EB9">
        <w:rPr>
          <w:lang w:val="fr-FR"/>
        </w:rPr>
        <w:t>l</w:t>
      </w:r>
      <w:r w:rsidR="006C05FA">
        <w:rPr>
          <w:lang w:val="fr-FR"/>
        </w:rPr>
        <w:t>’</w:t>
      </w:r>
      <w:r w:rsidRPr="00E84EB9">
        <w:rPr>
          <w:lang w:val="fr-FR"/>
        </w:rPr>
        <w:t>expansion thermique du mercure. Les directives de l</w:t>
      </w:r>
      <w:r w:rsidR="006C05FA">
        <w:rPr>
          <w:lang w:val="fr-FR"/>
        </w:rPr>
        <w:t>’</w:t>
      </w:r>
      <w:r w:rsidRPr="00E84EB9">
        <w:rPr>
          <w:lang w:val="fr-FR"/>
        </w:rPr>
        <w:t>Union européenne fixent le taux de rempliss</w:t>
      </w:r>
      <w:r w:rsidR="00962AFC" w:rsidRPr="00E84EB9">
        <w:rPr>
          <w:lang w:val="fr-FR"/>
        </w:rPr>
        <w:t>age maximal d</w:t>
      </w:r>
      <w:r w:rsidR="006C05FA">
        <w:rPr>
          <w:lang w:val="fr-FR"/>
        </w:rPr>
        <w:t>’</w:t>
      </w:r>
      <w:r w:rsidR="00962AFC" w:rsidRPr="00E84EB9">
        <w:rPr>
          <w:lang w:val="fr-FR"/>
        </w:rPr>
        <w:t>un conteneur à 80 </w:t>
      </w:r>
      <w:r w:rsidRPr="00E84EB9">
        <w:rPr>
          <w:lang w:val="fr-FR"/>
        </w:rPr>
        <w:t xml:space="preserve">% </w:t>
      </w:r>
      <w:r w:rsidR="00962AFC" w:rsidRPr="00E84EB9">
        <w:rPr>
          <w:lang w:val="fr-FR"/>
        </w:rPr>
        <w:t xml:space="preserve">de son </w:t>
      </w:r>
      <w:r w:rsidRPr="00E84EB9">
        <w:rPr>
          <w:lang w:val="fr-FR"/>
        </w:rPr>
        <w:t>volume, le vide éta</w:t>
      </w:r>
      <w:r w:rsidR="00962AFC" w:rsidRPr="00E84EB9">
        <w:rPr>
          <w:lang w:val="fr-FR"/>
        </w:rPr>
        <w:t>nt par conséquent d</w:t>
      </w:r>
      <w:r w:rsidR="006C05FA">
        <w:rPr>
          <w:lang w:val="fr-FR"/>
        </w:rPr>
        <w:t>’</w:t>
      </w:r>
      <w:r w:rsidR="00962AFC" w:rsidRPr="00E84EB9">
        <w:rPr>
          <w:lang w:val="fr-FR"/>
        </w:rPr>
        <w:t>au moins 20 </w:t>
      </w:r>
      <w:r w:rsidRPr="00E84EB9">
        <w:rPr>
          <w:lang w:val="fr-FR"/>
        </w:rPr>
        <w:t>% (Union européenne, 2011). D</w:t>
      </w:r>
      <w:r w:rsidR="006C05FA">
        <w:rPr>
          <w:lang w:val="fr-FR"/>
        </w:rPr>
        <w:t>’</w:t>
      </w:r>
      <w:r w:rsidRPr="00E84EB9">
        <w:rPr>
          <w:lang w:val="fr-FR"/>
        </w:rPr>
        <w:t xml:space="preserve">autres pays fixent </w:t>
      </w:r>
      <w:r w:rsidR="004E5F31" w:rsidRPr="00E84EB9">
        <w:rPr>
          <w:lang w:val="fr-FR"/>
        </w:rPr>
        <w:t xml:space="preserve">ce </w:t>
      </w:r>
      <w:r w:rsidRPr="00E84EB9">
        <w:rPr>
          <w:lang w:val="fr-FR"/>
        </w:rPr>
        <w:t>t</w:t>
      </w:r>
      <w:r w:rsidR="00962AFC" w:rsidRPr="00E84EB9">
        <w:rPr>
          <w:lang w:val="fr-FR"/>
        </w:rPr>
        <w:t>aux à 85 %, pour un vide de 15 %.</w:t>
      </w:r>
    </w:p>
    <w:p w14:paraId="3ED2E62C" w14:textId="0BA2B57E" w:rsidR="000C2F3D" w:rsidRPr="00E84EB9" w:rsidRDefault="00962AFC" w:rsidP="0035218D">
      <w:pPr>
        <w:pStyle w:val="Normalnumber"/>
        <w:numPr>
          <w:ilvl w:val="0"/>
          <w:numId w:val="5"/>
        </w:numPr>
        <w:ind w:left="1247" w:firstLine="0"/>
        <w:rPr>
          <w:lang w:val="fr-FR"/>
        </w:rPr>
      </w:pPr>
      <w:r w:rsidRPr="00E84EB9">
        <w:rPr>
          <w:lang w:val="fr-FR"/>
        </w:rPr>
        <w:t>Le</w:t>
      </w:r>
      <w:r w:rsidR="000C2F3D" w:rsidRPr="00E84EB9">
        <w:rPr>
          <w:lang w:val="fr-FR"/>
        </w:rPr>
        <w:t xml:space="preserve"> mercure stocké doit être aussi pur que possible </w:t>
      </w:r>
      <w:r w:rsidRPr="00E84EB9">
        <w:rPr>
          <w:lang w:val="fr-FR"/>
        </w:rPr>
        <w:t xml:space="preserve">pour </w:t>
      </w:r>
      <w:r w:rsidR="000C2F3D" w:rsidRPr="00E84EB9">
        <w:rPr>
          <w:lang w:val="fr-FR"/>
        </w:rPr>
        <w:t xml:space="preserve">éviter </w:t>
      </w:r>
      <w:r w:rsidRPr="00E84EB9">
        <w:rPr>
          <w:lang w:val="fr-FR"/>
        </w:rPr>
        <w:t xml:space="preserve">les </w:t>
      </w:r>
      <w:r w:rsidR="000C2F3D" w:rsidRPr="00E84EB9">
        <w:rPr>
          <w:lang w:val="fr-FR"/>
        </w:rPr>
        <w:t xml:space="preserve">réactions chimiques et la dégradation des conteneurs. Une </w:t>
      </w:r>
      <w:r w:rsidR="00054DF6">
        <w:rPr>
          <w:lang w:val="fr-FR"/>
        </w:rPr>
        <w:t>pureté</w:t>
      </w:r>
      <w:r w:rsidR="000C2F3D" w:rsidRPr="00E84EB9">
        <w:rPr>
          <w:lang w:val="fr-FR"/>
        </w:rPr>
        <w:t xml:space="preserve"> supérieure à 99</w:t>
      </w:r>
      <w:r w:rsidRPr="00E84EB9">
        <w:rPr>
          <w:lang w:val="fr-FR"/>
        </w:rPr>
        <w:t>,9 </w:t>
      </w:r>
      <w:r w:rsidR="000C2F3D" w:rsidRPr="00E84EB9">
        <w:rPr>
          <w:lang w:val="fr-FR"/>
        </w:rPr>
        <w:t>% en poids est recommandée. Pour de faibl</w:t>
      </w:r>
      <w:r w:rsidRPr="00E84EB9">
        <w:rPr>
          <w:lang w:val="fr-FR"/>
        </w:rPr>
        <w:t>es niveaux de pureté (95 – 99,9 </w:t>
      </w:r>
      <w:r w:rsidR="000C2F3D" w:rsidRPr="00E84EB9">
        <w:rPr>
          <w:lang w:val="fr-FR"/>
        </w:rPr>
        <w:t>% en poids), il peut être nécessaire de contrôler l</w:t>
      </w:r>
      <w:r w:rsidR="006C05FA">
        <w:rPr>
          <w:lang w:val="fr-FR"/>
        </w:rPr>
        <w:t>’</w:t>
      </w:r>
      <w:r w:rsidR="000C2F3D" w:rsidRPr="00E84EB9">
        <w:rPr>
          <w:lang w:val="fr-FR"/>
        </w:rPr>
        <w:t>état des conteneurs afin de déceler tou</w:t>
      </w:r>
      <w:r w:rsidR="00796D1B" w:rsidRPr="00E84EB9">
        <w:rPr>
          <w:lang w:val="fr-FR"/>
        </w:rPr>
        <w:t>te dégradation au fil du temps.</w:t>
      </w:r>
    </w:p>
    <w:p w14:paraId="379AEB63" w14:textId="1855DE33" w:rsidR="003E5819" w:rsidRPr="00E84EB9" w:rsidRDefault="003E5819" w:rsidP="00F474DD">
      <w:pPr>
        <w:pStyle w:val="Normalnumber"/>
        <w:numPr>
          <w:ilvl w:val="0"/>
          <w:numId w:val="5"/>
        </w:numPr>
        <w:ind w:left="1247" w:firstLine="0"/>
        <w:rPr>
          <w:lang w:val="fr-FR"/>
        </w:rPr>
      </w:pPr>
      <w:r w:rsidRPr="00E84EB9">
        <w:rPr>
          <w:lang w:val="fr-FR"/>
        </w:rPr>
        <w:t xml:space="preserve">Les conteneurs de mercure élémentaire devraient être stockés en position verticale sur des palettes, isolés du sol, sans mercure ni composés de mercure sur leur surface extérieure. </w:t>
      </w:r>
      <w:r w:rsidR="003B1991">
        <w:rPr>
          <w:lang w:val="fr-FR"/>
        </w:rPr>
        <w:t>I</w:t>
      </w:r>
      <w:r w:rsidR="00001DF8">
        <w:rPr>
          <w:lang w:val="fr-FR"/>
        </w:rPr>
        <w:t xml:space="preserve">l est possible de placer les </w:t>
      </w:r>
      <w:r w:rsidR="003B1991">
        <w:rPr>
          <w:lang w:val="fr-FR"/>
        </w:rPr>
        <w:t>composés conditionnés</w:t>
      </w:r>
      <w:r w:rsidR="00736BCE">
        <w:rPr>
          <w:lang w:val="fr-FR"/>
        </w:rPr>
        <w:t xml:space="preserve"> </w:t>
      </w:r>
      <w:r w:rsidRPr="00E84EB9">
        <w:rPr>
          <w:lang w:val="fr-FR"/>
        </w:rPr>
        <w:t>dans un emballage de protection extérieur</w:t>
      </w:r>
      <w:r w:rsidR="001C54DA" w:rsidRPr="00E84EB9">
        <w:rPr>
          <w:lang w:val="fr-FR"/>
        </w:rPr>
        <w:t>e</w:t>
      </w:r>
      <w:r w:rsidR="00824003">
        <w:rPr>
          <w:lang w:val="fr-FR"/>
        </w:rPr>
        <w:t xml:space="preserve"> comme, par exemple, </w:t>
      </w:r>
      <w:r w:rsidRPr="00E84EB9">
        <w:rPr>
          <w:lang w:val="fr-FR"/>
        </w:rPr>
        <w:t xml:space="preserve">une </w:t>
      </w:r>
      <w:r w:rsidR="00F33A0E">
        <w:rPr>
          <w:lang w:val="fr-FR"/>
        </w:rPr>
        <w:t xml:space="preserve">boîte ou une </w:t>
      </w:r>
      <w:r w:rsidRPr="00E84EB9">
        <w:rPr>
          <w:lang w:val="fr-FR"/>
        </w:rPr>
        <w:t>caisse. Il convient d</w:t>
      </w:r>
      <w:r w:rsidR="006C05FA">
        <w:rPr>
          <w:lang w:val="fr-FR"/>
        </w:rPr>
        <w:t>’</w:t>
      </w:r>
      <w:r w:rsidRPr="00E84EB9">
        <w:rPr>
          <w:lang w:val="fr-FR"/>
        </w:rPr>
        <w:t>éviter l</w:t>
      </w:r>
      <w:r w:rsidR="006C05FA">
        <w:rPr>
          <w:lang w:val="fr-FR"/>
        </w:rPr>
        <w:t>’</w:t>
      </w:r>
      <w:r w:rsidRPr="00E84EB9">
        <w:rPr>
          <w:lang w:val="fr-FR"/>
        </w:rPr>
        <w:t>utilisation de bois ou d</w:t>
      </w:r>
      <w:r w:rsidR="006C05FA">
        <w:rPr>
          <w:lang w:val="fr-FR"/>
        </w:rPr>
        <w:t>’</w:t>
      </w:r>
      <w:r w:rsidRPr="00E84EB9">
        <w:rPr>
          <w:lang w:val="fr-FR"/>
        </w:rPr>
        <w:t xml:space="preserve">autres matériaux poreux pour les palettes, car ces matières sont difficiles à décontaminer après usage. Le mercure liquide en conteneurs devrait être placé dans des bacs de confinement ou dans une aire de stockage étanche présentant idéalement des bords incurvés </w:t>
      </w:r>
      <w:r w:rsidR="00001DF8">
        <w:rPr>
          <w:lang w:val="fr-FR"/>
        </w:rPr>
        <w:t>permettant de</w:t>
      </w:r>
      <w:r w:rsidRPr="00E84EB9">
        <w:rPr>
          <w:lang w:val="fr-FR"/>
        </w:rPr>
        <w:t xml:space="preserve"> limiter le risque d</w:t>
      </w:r>
      <w:r w:rsidR="006C05FA">
        <w:rPr>
          <w:lang w:val="fr-FR"/>
        </w:rPr>
        <w:t>’</w:t>
      </w:r>
      <w:r w:rsidRPr="00E84EB9">
        <w:rPr>
          <w:lang w:val="fr-FR"/>
        </w:rPr>
        <w:t xml:space="preserve">accumulation de mercure élémentaire dans les angles </w:t>
      </w:r>
      <w:r w:rsidR="001C54DA" w:rsidRPr="00E84EB9">
        <w:rPr>
          <w:lang w:val="fr-FR"/>
        </w:rPr>
        <w:t xml:space="preserve">et </w:t>
      </w:r>
      <w:r w:rsidRPr="00E84EB9">
        <w:rPr>
          <w:lang w:val="fr-FR"/>
        </w:rPr>
        <w:t>de contenir les écoulements. Le volume de confinement liquide d</w:t>
      </w:r>
      <w:r w:rsidR="001C54DA" w:rsidRPr="00E84EB9">
        <w:rPr>
          <w:lang w:val="fr-FR"/>
        </w:rPr>
        <w:t xml:space="preserve">evrait </w:t>
      </w:r>
      <w:r w:rsidR="00C80CBE">
        <w:rPr>
          <w:lang w:val="fr-FR"/>
        </w:rPr>
        <w:t>être</w:t>
      </w:r>
      <w:r w:rsidR="001C54DA" w:rsidRPr="00E84EB9">
        <w:rPr>
          <w:lang w:val="fr-FR"/>
        </w:rPr>
        <w:t xml:space="preserve"> </w:t>
      </w:r>
      <w:r w:rsidR="00C80CBE">
        <w:rPr>
          <w:lang w:val="fr-FR"/>
        </w:rPr>
        <w:t>d’</w:t>
      </w:r>
      <w:r w:rsidR="001C54DA" w:rsidRPr="00E84EB9">
        <w:rPr>
          <w:lang w:val="fr-FR"/>
        </w:rPr>
        <w:t>au moins 125 </w:t>
      </w:r>
      <w:r w:rsidRPr="00E84EB9">
        <w:rPr>
          <w:lang w:val="fr-FR"/>
        </w:rPr>
        <w:t>% du volume liquide maximum, compte tenu de l</w:t>
      </w:r>
      <w:r w:rsidR="006C05FA">
        <w:rPr>
          <w:lang w:val="fr-FR"/>
        </w:rPr>
        <w:t>’</w:t>
      </w:r>
      <w:r w:rsidRPr="00E84EB9">
        <w:rPr>
          <w:lang w:val="fr-FR"/>
        </w:rPr>
        <w:t>espace occupé par les articles stoc</w:t>
      </w:r>
      <w:r w:rsidR="001C54DA" w:rsidRPr="00E84EB9">
        <w:rPr>
          <w:lang w:val="fr-FR"/>
        </w:rPr>
        <w:t>kés dans l</w:t>
      </w:r>
      <w:r w:rsidR="006C05FA">
        <w:rPr>
          <w:lang w:val="fr-FR"/>
        </w:rPr>
        <w:t>’</w:t>
      </w:r>
      <w:r w:rsidR="001C54DA" w:rsidRPr="00E84EB9">
        <w:rPr>
          <w:lang w:val="fr-FR"/>
        </w:rPr>
        <w:t>aire de confinement.</w:t>
      </w:r>
    </w:p>
    <w:p w14:paraId="3BD50718" w14:textId="6AE2980D" w:rsidR="000C2F3D" w:rsidRPr="00E84EB9" w:rsidRDefault="001C54DA" w:rsidP="00F474DD">
      <w:pPr>
        <w:pStyle w:val="Normalnumber"/>
        <w:numPr>
          <w:ilvl w:val="0"/>
          <w:numId w:val="5"/>
        </w:numPr>
        <w:ind w:left="1247" w:firstLine="0"/>
        <w:rPr>
          <w:lang w:val="fr-FR"/>
        </w:rPr>
      </w:pPr>
      <w:r w:rsidRPr="00E84EB9">
        <w:rPr>
          <w:b/>
          <w:lang w:val="fr-FR"/>
        </w:rPr>
        <w:t>Étiquetage</w:t>
      </w:r>
      <w:r w:rsidRPr="00E84EB9">
        <w:rPr>
          <w:lang w:val="fr-FR"/>
        </w:rPr>
        <w:t> </w:t>
      </w:r>
      <w:r w:rsidR="000C2F3D" w:rsidRPr="00E84EB9">
        <w:rPr>
          <w:lang w:val="fr-FR"/>
        </w:rPr>
        <w:t>: une étiquette indiquant le nom des fournisseurs du mercure, son origine (le cas échéant), son niveau de pureté, le numéro du conteneur, le poids brut et net, et la date de remplissage devrait être apposée sur chaque conteneur, avec l</w:t>
      </w:r>
      <w:r w:rsidR="006C05FA">
        <w:rPr>
          <w:lang w:val="fr-FR"/>
        </w:rPr>
        <w:t>’</w:t>
      </w:r>
      <w:r w:rsidR="000C2F3D" w:rsidRPr="00E84EB9">
        <w:rPr>
          <w:lang w:val="fr-FR"/>
        </w:rPr>
        <w:t xml:space="preserve">étiquette relative à la corrosivité (US </w:t>
      </w:r>
      <w:proofErr w:type="spellStart"/>
      <w:r w:rsidR="000C2F3D" w:rsidRPr="00E84EB9">
        <w:rPr>
          <w:lang w:val="fr-FR"/>
        </w:rPr>
        <w:t>Department</w:t>
      </w:r>
      <w:proofErr w:type="spellEnd"/>
      <w:r w:rsidR="000C2F3D" w:rsidRPr="00E84EB9">
        <w:rPr>
          <w:lang w:val="fr-FR"/>
        </w:rPr>
        <w:t xml:space="preserve"> of </w:t>
      </w:r>
      <w:proofErr w:type="spellStart"/>
      <w:r w:rsidR="000C2F3D" w:rsidRPr="00E84EB9">
        <w:rPr>
          <w:lang w:val="fr-FR"/>
        </w:rPr>
        <w:t>Energy</w:t>
      </w:r>
      <w:proofErr w:type="spellEnd"/>
      <w:r w:rsidR="000C2F3D" w:rsidRPr="00E84EB9">
        <w:rPr>
          <w:lang w:val="fr-FR"/>
        </w:rPr>
        <w:t>, 2009). Il convient d</w:t>
      </w:r>
      <w:r w:rsidR="006C05FA">
        <w:rPr>
          <w:lang w:val="fr-FR"/>
        </w:rPr>
        <w:t>’</w:t>
      </w:r>
      <w:r w:rsidR="000C2F3D" w:rsidRPr="00E84EB9">
        <w:rPr>
          <w:lang w:val="fr-FR"/>
        </w:rPr>
        <w:t>utiliser des étiquettes conformes au</w:t>
      </w:r>
      <w:r w:rsidR="00012C0D" w:rsidRPr="00E84EB9">
        <w:rPr>
          <w:lang w:val="fr-FR"/>
        </w:rPr>
        <w:t xml:space="preserve"> </w:t>
      </w:r>
      <w:r w:rsidR="000C2F3D" w:rsidRPr="00E84EB9">
        <w:rPr>
          <w:lang w:val="fr-FR"/>
        </w:rPr>
        <w:t>Système général harmonisé de classification et d</w:t>
      </w:r>
      <w:r w:rsidR="006C05FA">
        <w:rPr>
          <w:lang w:val="fr-FR"/>
        </w:rPr>
        <w:t>’</w:t>
      </w:r>
      <w:r w:rsidR="000C2F3D" w:rsidRPr="00E84EB9">
        <w:rPr>
          <w:lang w:val="fr-FR"/>
        </w:rPr>
        <w:t xml:space="preserve">étiquetage des produits chimiques (Nations Unies, 2015). En outre, les </w:t>
      </w:r>
      <w:r w:rsidR="00012C0D" w:rsidRPr="00E84EB9">
        <w:rPr>
          <w:lang w:val="fr-FR"/>
        </w:rPr>
        <w:t xml:space="preserve">préposés à la manipulation du </w:t>
      </w:r>
      <w:r w:rsidR="000C2F3D" w:rsidRPr="00E84EB9">
        <w:rPr>
          <w:lang w:val="fr-FR"/>
        </w:rPr>
        <w:t xml:space="preserve">mercure devront pouvoir </w:t>
      </w:r>
      <w:r w:rsidR="0050715B" w:rsidRPr="00E84EB9">
        <w:rPr>
          <w:lang w:val="fr-FR"/>
        </w:rPr>
        <w:t>consulter</w:t>
      </w:r>
      <w:r w:rsidR="000C2F3D" w:rsidRPr="00E84EB9">
        <w:rPr>
          <w:lang w:val="fr-FR"/>
        </w:rPr>
        <w:t xml:space="preserve">, entre autres choses, </w:t>
      </w:r>
      <w:r w:rsidR="0050715B" w:rsidRPr="00E84EB9">
        <w:rPr>
          <w:lang w:val="fr-FR"/>
        </w:rPr>
        <w:t xml:space="preserve">les </w:t>
      </w:r>
      <w:r w:rsidR="000C2F3D" w:rsidRPr="00E84EB9">
        <w:rPr>
          <w:lang w:val="fr-FR"/>
        </w:rPr>
        <w:t xml:space="preserve">informations </w:t>
      </w:r>
      <w:r w:rsidR="00162640">
        <w:rPr>
          <w:lang w:val="fr-FR"/>
        </w:rPr>
        <w:t xml:space="preserve">de </w:t>
      </w:r>
      <w:r w:rsidR="000C2F3D" w:rsidRPr="00E84EB9">
        <w:rPr>
          <w:lang w:val="fr-FR"/>
        </w:rPr>
        <w:t xml:space="preserve">conformité des conteneurs aux normes techniques nationales et internationales </w:t>
      </w:r>
      <w:r w:rsidR="00162640">
        <w:rPr>
          <w:lang w:val="fr-FR"/>
        </w:rPr>
        <w:t xml:space="preserve">en ce qui concerne </w:t>
      </w:r>
      <w:r w:rsidR="000C2F3D" w:rsidRPr="00E84EB9">
        <w:rPr>
          <w:lang w:val="fr-FR"/>
        </w:rPr>
        <w:t>leur étanchéité, leur stabilité à la pression, leur résistance aux chocs et le</w:t>
      </w:r>
      <w:r w:rsidR="00012C0D" w:rsidRPr="00E84EB9">
        <w:rPr>
          <w:lang w:val="fr-FR"/>
        </w:rPr>
        <w:t>ur</w:t>
      </w:r>
      <w:r w:rsidR="000C2F3D" w:rsidRPr="00E84EB9">
        <w:rPr>
          <w:lang w:val="fr-FR"/>
        </w:rPr>
        <w:t xml:space="preserve"> comportement en</w:t>
      </w:r>
      <w:r w:rsidR="0050715B" w:rsidRPr="00E84EB9">
        <w:rPr>
          <w:lang w:val="fr-FR"/>
        </w:rPr>
        <w:t xml:space="preserve"> cas d</w:t>
      </w:r>
      <w:r w:rsidR="006C05FA">
        <w:rPr>
          <w:lang w:val="fr-FR"/>
        </w:rPr>
        <w:t>’</w:t>
      </w:r>
      <w:r w:rsidR="0050715B" w:rsidRPr="00E84EB9">
        <w:rPr>
          <w:lang w:val="fr-FR"/>
        </w:rPr>
        <w:t>exposition à la chaleur.</w:t>
      </w:r>
    </w:p>
    <w:p w14:paraId="605B6328" w14:textId="294FCB70" w:rsidR="00CA48DC" w:rsidRPr="00CA48DC" w:rsidRDefault="00CA48DC" w:rsidP="00CA48DC">
      <w:pPr>
        <w:pStyle w:val="CH2"/>
        <w:ind w:left="720" w:firstLine="0"/>
        <w:rPr>
          <w:lang w:val="fr-FR"/>
        </w:rPr>
      </w:pPr>
      <w:bookmarkStart w:id="21" w:name="_Toc520380784"/>
      <w:bookmarkStart w:id="22" w:name="_Toc527548240"/>
      <w:bookmarkEnd w:id="21"/>
      <w:r w:rsidRPr="00CA48DC">
        <w:rPr>
          <w:lang w:val="fr-FR"/>
        </w:rPr>
        <w:t>D.</w:t>
      </w:r>
      <w:r w:rsidRPr="00CA48DC">
        <w:rPr>
          <w:lang w:val="fr-FR"/>
        </w:rPr>
        <w:tab/>
      </w:r>
      <w:r w:rsidRPr="00E84EB9">
        <w:rPr>
          <w:bCs/>
          <w:lang w:val="fr-FR"/>
        </w:rPr>
        <w:t>Mouvements du mercure et des composés du mercure</w:t>
      </w:r>
      <w:bookmarkEnd w:id="22"/>
    </w:p>
    <w:p w14:paraId="6806768A" w14:textId="791A39F0" w:rsidR="000C2F3D" w:rsidRPr="00E84EB9" w:rsidRDefault="000C2F3D" w:rsidP="00F474DD">
      <w:pPr>
        <w:pStyle w:val="Normalnumber"/>
        <w:numPr>
          <w:ilvl w:val="0"/>
          <w:numId w:val="5"/>
        </w:numPr>
        <w:ind w:left="1247" w:firstLine="0"/>
        <w:rPr>
          <w:lang w:val="fr-FR"/>
        </w:rPr>
      </w:pPr>
      <w:r w:rsidRPr="00E84EB9">
        <w:rPr>
          <w:lang w:val="fr-FR"/>
        </w:rPr>
        <w:t>Un inventaire du mercure et des composés d</w:t>
      </w:r>
      <w:r w:rsidR="00673E45" w:rsidRPr="00E84EB9">
        <w:rPr>
          <w:lang w:val="fr-FR"/>
        </w:rPr>
        <w:t>u mercure conservé</w:t>
      </w:r>
      <w:r w:rsidR="001912CF" w:rsidRPr="00E84EB9">
        <w:rPr>
          <w:lang w:val="fr-FR"/>
        </w:rPr>
        <w:t>s</w:t>
      </w:r>
      <w:r w:rsidRPr="00E84EB9">
        <w:rPr>
          <w:lang w:val="fr-FR"/>
        </w:rPr>
        <w:t xml:space="preserve"> sur </w:t>
      </w:r>
      <w:r w:rsidR="001912CF" w:rsidRPr="00E84EB9">
        <w:rPr>
          <w:lang w:val="fr-FR"/>
        </w:rPr>
        <w:t xml:space="preserve">le </w:t>
      </w:r>
      <w:r w:rsidRPr="00E84EB9">
        <w:rPr>
          <w:lang w:val="fr-FR"/>
        </w:rPr>
        <w:t xml:space="preserve">site de stockage devrait être établi et mis à jour </w:t>
      </w:r>
      <w:r w:rsidR="005A68F8" w:rsidRPr="00B43873">
        <w:rPr>
          <w:lang w:val="fr-FR"/>
        </w:rPr>
        <w:t xml:space="preserve">à chaque entrée et sortie, utilisation, ou élimination de mercure </w:t>
      </w:r>
      <w:r w:rsidR="005A68F8">
        <w:rPr>
          <w:lang w:val="fr-FR"/>
        </w:rPr>
        <w:t xml:space="preserve">ou composés du mercure menée </w:t>
      </w:r>
      <w:r w:rsidR="005A68F8" w:rsidRPr="00B43873">
        <w:rPr>
          <w:lang w:val="fr-FR"/>
        </w:rPr>
        <w:t>conformément à l’art</w:t>
      </w:r>
      <w:r w:rsidR="00ED565B">
        <w:rPr>
          <w:lang w:val="fr-FR"/>
        </w:rPr>
        <w:t>icle </w:t>
      </w:r>
      <w:r w:rsidR="005A68F8" w:rsidRPr="00B43873">
        <w:rPr>
          <w:lang w:val="fr-FR"/>
        </w:rPr>
        <w:t>11 de la Convention</w:t>
      </w:r>
      <w:r w:rsidR="005A68F8" w:rsidRPr="00E84EB9">
        <w:rPr>
          <w:lang w:val="fr-FR"/>
        </w:rPr>
        <w:t xml:space="preserve"> </w:t>
      </w:r>
      <w:r w:rsidRPr="00E84EB9">
        <w:rPr>
          <w:lang w:val="fr-FR"/>
        </w:rPr>
        <w:t xml:space="preserve">de Minamata. Il convient de vérifier </w:t>
      </w:r>
      <w:r w:rsidR="001912CF" w:rsidRPr="00E84EB9">
        <w:rPr>
          <w:lang w:val="fr-FR"/>
        </w:rPr>
        <w:t xml:space="preserve">régulièrement </w:t>
      </w:r>
      <w:r w:rsidRPr="00E84EB9">
        <w:rPr>
          <w:lang w:val="fr-FR"/>
        </w:rPr>
        <w:t>l</w:t>
      </w:r>
      <w:r w:rsidR="006C05FA">
        <w:rPr>
          <w:lang w:val="fr-FR"/>
        </w:rPr>
        <w:t>’</w:t>
      </w:r>
      <w:r w:rsidRPr="00E84EB9">
        <w:rPr>
          <w:lang w:val="fr-FR"/>
        </w:rPr>
        <w:t>exactitude des informations relatives aux conteneurs stockés dans l</w:t>
      </w:r>
      <w:r w:rsidR="006C05FA">
        <w:rPr>
          <w:lang w:val="fr-FR"/>
        </w:rPr>
        <w:t>’</w:t>
      </w:r>
      <w:r w:rsidRPr="00E84EB9">
        <w:rPr>
          <w:lang w:val="fr-FR"/>
        </w:rPr>
        <w:t>installation qui figurent sur la feuille d</w:t>
      </w:r>
      <w:r w:rsidR="006C05FA">
        <w:rPr>
          <w:lang w:val="fr-FR"/>
        </w:rPr>
        <w:t>’</w:t>
      </w:r>
      <w:r w:rsidRPr="00E84EB9">
        <w:rPr>
          <w:lang w:val="fr-FR"/>
        </w:rPr>
        <w:t xml:space="preserve">inventaire. Les </w:t>
      </w:r>
      <w:r w:rsidR="007E04C6" w:rsidRPr="00E84EB9">
        <w:rPr>
          <w:lang w:val="fr-FR"/>
        </w:rPr>
        <w:t xml:space="preserve">expéditions </w:t>
      </w:r>
      <w:r w:rsidRPr="00E84EB9">
        <w:rPr>
          <w:lang w:val="fr-FR"/>
        </w:rPr>
        <w:t xml:space="preserve">de mercure </w:t>
      </w:r>
      <w:r w:rsidR="005A68F8">
        <w:rPr>
          <w:lang w:val="fr-FR"/>
        </w:rPr>
        <w:t>ou</w:t>
      </w:r>
      <w:r w:rsidRPr="00E84EB9">
        <w:rPr>
          <w:lang w:val="fr-FR"/>
        </w:rPr>
        <w:t xml:space="preserve"> composés du me</w:t>
      </w:r>
      <w:r w:rsidR="007E04C6" w:rsidRPr="00E84EB9">
        <w:rPr>
          <w:lang w:val="fr-FR"/>
        </w:rPr>
        <w:t>rcure devraient être enregistrée</w:t>
      </w:r>
      <w:r w:rsidRPr="00E84EB9">
        <w:rPr>
          <w:lang w:val="fr-FR"/>
        </w:rPr>
        <w:t>s</w:t>
      </w:r>
      <w:r w:rsidR="007E04C6" w:rsidRPr="00E84EB9">
        <w:rPr>
          <w:lang w:val="fr-FR"/>
        </w:rPr>
        <w:t>, compte tenu des dispositions de l</w:t>
      </w:r>
      <w:r w:rsidR="006C05FA">
        <w:rPr>
          <w:lang w:val="fr-FR"/>
        </w:rPr>
        <w:t>’</w:t>
      </w:r>
      <w:r w:rsidR="007E04C6" w:rsidRPr="00E84EB9">
        <w:rPr>
          <w:lang w:val="fr-FR"/>
        </w:rPr>
        <w:t>article 3 de la Convention relative</w:t>
      </w:r>
      <w:r w:rsidRPr="00E84EB9">
        <w:rPr>
          <w:lang w:val="fr-FR"/>
        </w:rPr>
        <w:t xml:space="preserve"> aux importations et aux exportations d</w:t>
      </w:r>
      <w:r w:rsidR="005A68F8">
        <w:rPr>
          <w:lang w:val="fr-FR"/>
        </w:rPr>
        <w:t>e</w:t>
      </w:r>
      <w:r w:rsidRPr="00E84EB9">
        <w:rPr>
          <w:lang w:val="fr-FR"/>
        </w:rPr>
        <w:t xml:space="preserve"> mercure. </w:t>
      </w:r>
      <w:r w:rsidR="005A68F8">
        <w:rPr>
          <w:lang w:val="fr-FR"/>
        </w:rPr>
        <w:t>La tenue d’</w:t>
      </w:r>
      <w:r w:rsidRPr="00E84EB9">
        <w:rPr>
          <w:lang w:val="fr-FR"/>
        </w:rPr>
        <w:t xml:space="preserve">un registre de suivi </w:t>
      </w:r>
      <w:r w:rsidR="005A68F8">
        <w:rPr>
          <w:lang w:val="fr-FR"/>
        </w:rPr>
        <w:t xml:space="preserve">est utile </w:t>
      </w:r>
      <w:r w:rsidRPr="00E84EB9">
        <w:rPr>
          <w:lang w:val="fr-FR"/>
        </w:rPr>
        <w:t>pour l</w:t>
      </w:r>
      <w:r w:rsidR="006C05FA">
        <w:rPr>
          <w:lang w:val="fr-FR"/>
        </w:rPr>
        <w:t>’</w:t>
      </w:r>
      <w:r w:rsidRPr="00E84EB9">
        <w:rPr>
          <w:lang w:val="fr-FR"/>
        </w:rPr>
        <w:t>audit des installations et l</w:t>
      </w:r>
      <w:r w:rsidR="006C05FA">
        <w:rPr>
          <w:lang w:val="fr-FR"/>
        </w:rPr>
        <w:t>’</w:t>
      </w:r>
      <w:r w:rsidRPr="00E84EB9">
        <w:rPr>
          <w:lang w:val="fr-FR"/>
        </w:rPr>
        <w:t>établissement de rapports au titre de l</w:t>
      </w:r>
      <w:r w:rsidR="006C05FA">
        <w:rPr>
          <w:lang w:val="fr-FR"/>
        </w:rPr>
        <w:t>’</w:t>
      </w:r>
      <w:r w:rsidRPr="00E84EB9">
        <w:rPr>
          <w:lang w:val="fr-FR"/>
        </w:rPr>
        <w:t>ar</w:t>
      </w:r>
      <w:r w:rsidR="007E04C6" w:rsidRPr="00E84EB9">
        <w:rPr>
          <w:lang w:val="fr-FR"/>
        </w:rPr>
        <w:t>ticle </w:t>
      </w:r>
      <w:r w:rsidRPr="00E84EB9">
        <w:rPr>
          <w:lang w:val="fr-FR"/>
        </w:rPr>
        <w:t xml:space="preserve">3 </w:t>
      </w:r>
      <w:r w:rsidR="00796D1B" w:rsidRPr="00E84EB9">
        <w:rPr>
          <w:lang w:val="fr-FR"/>
        </w:rPr>
        <w:t xml:space="preserve">concernant </w:t>
      </w:r>
      <w:r w:rsidRPr="00E84EB9">
        <w:rPr>
          <w:lang w:val="fr-FR"/>
        </w:rPr>
        <w:t>les stocks de mercure ou de co</w:t>
      </w:r>
      <w:r w:rsidR="007E04C6" w:rsidRPr="00E84EB9">
        <w:rPr>
          <w:lang w:val="fr-FR"/>
        </w:rPr>
        <w:t>mposés du mercure de plus de 50 </w:t>
      </w:r>
      <w:r w:rsidRPr="00E84EB9">
        <w:rPr>
          <w:lang w:val="fr-FR"/>
        </w:rPr>
        <w:t xml:space="preserve">tonnes métriques. </w:t>
      </w:r>
      <w:r w:rsidR="002877EF">
        <w:rPr>
          <w:lang w:val="fr-FR"/>
        </w:rPr>
        <w:t xml:space="preserve">La communication </w:t>
      </w:r>
      <w:r w:rsidRPr="00E84EB9">
        <w:rPr>
          <w:lang w:val="fr-FR"/>
        </w:rPr>
        <w:t xml:space="preserve">périodique </w:t>
      </w:r>
      <w:r w:rsidR="002877EF">
        <w:rPr>
          <w:lang w:val="fr-FR"/>
        </w:rPr>
        <w:t>d’</w:t>
      </w:r>
      <w:r w:rsidRPr="00E84EB9">
        <w:rPr>
          <w:lang w:val="fr-FR"/>
        </w:rPr>
        <w:t xml:space="preserve">informations </w:t>
      </w:r>
      <w:r w:rsidR="002877EF">
        <w:rPr>
          <w:lang w:val="fr-FR"/>
        </w:rPr>
        <w:t>pertinent</w:t>
      </w:r>
      <w:r w:rsidRPr="00E84EB9">
        <w:rPr>
          <w:lang w:val="fr-FR"/>
        </w:rPr>
        <w:t xml:space="preserve">es sur le </w:t>
      </w:r>
      <w:r w:rsidRPr="00E84EB9">
        <w:rPr>
          <w:lang w:val="fr-FR"/>
        </w:rPr>
        <w:lastRenderedPageBreak/>
        <w:t xml:space="preserve">mercure et les composés du mercure stockés ou utilisés </w:t>
      </w:r>
      <w:r w:rsidR="002877EF" w:rsidRPr="00E84EB9">
        <w:rPr>
          <w:lang w:val="fr-FR"/>
        </w:rPr>
        <w:t xml:space="preserve">peut également </w:t>
      </w:r>
      <w:r w:rsidR="002877EF">
        <w:rPr>
          <w:lang w:val="fr-FR"/>
        </w:rPr>
        <w:t xml:space="preserve">être </w:t>
      </w:r>
      <w:r w:rsidR="002877EF" w:rsidRPr="00E84EB9">
        <w:rPr>
          <w:lang w:val="fr-FR"/>
        </w:rPr>
        <w:t>envisag</w:t>
      </w:r>
      <w:r w:rsidR="002877EF">
        <w:rPr>
          <w:lang w:val="fr-FR"/>
        </w:rPr>
        <w:t>ée</w:t>
      </w:r>
      <w:r w:rsidR="002877EF" w:rsidRPr="00E84EB9">
        <w:rPr>
          <w:lang w:val="fr-FR"/>
        </w:rPr>
        <w:t xml:space="preserve"> </w:t>
      </w:r>
      <w:r w:rsidRPr="00E84EB9">
        <w:rPr>
          <w:lang w:val="fr-FR"/>
        </w:rPr>
        <w:t xml:space="preserve">pour </w:t>
      </w:r>
      <w:r w:rsidR="002877EF">
        <w:rPr>
          <w:lang w:val="fr-FR"/>
        </w:rPr>
        <w:t>obten</w:t>
      </w:r>
      <w:r w:rsidR="00796D1B" w:rsidRPr="00E84EB9">
        <w:rPr>
          <w:lang w:val="fr-FR"/>
        </w:rPr>
        <w:t>ir l</w:t>
      </w:r>
      <w:r w:rsidRPr="00E84EB9">
        <w:rPr>
          <w:lang w:val="fr-FR"/>
        </w:rPr>
        <w:t>es données requises dans le cadre de l</w:t>
      </w:r>
      <w:r w:rsidR="006C05FA">
        <w:rPr>
          <w:lang w:val="fr-FR"/>
        </w:rPr>
        <w:t>’</w:t>
      </w:r>
      <w:r w:rsidRPr="00E84EB9">
        <w:rPr>
          <w:lang w:val="fr-FR"/>
        </w:rPr>
        <w:t>établissement de</w:t>
      </w:r>
      <w:r w:rsidR="007E04C6" w:rsidRPr="00E84EB9">
        <w:rPr>
          <w:lang w:val="fr-FR"/>
        </w:rPr>
        <w:t xml:space="preserve"> rapports au titre de l</w:t>
      </w:r>
      <w:r w:rsidR="006C05FA">
        <w:rPr>
          <w:lang w:val="fr-FR"/>
        </w:rPr>
        <w:t>’</w:t>
      </w:r>
      <w:r w:rsidR="007E04C6" w:rsidRPr="00E84EB9">
        <w:rPr>
          <w:lang w:val="fr-FR"/>
        </w:rPr>
        <w:t>article </w:t>
      </w:r>
      <w:r w:rsidRPr="00E84EB9">
        <w:rPr>
          <w:lang w:val="fr-FR"/>
        </w:rPr>
        <w:t xml:space="preserve">3. Des </w:t>
      </w:r>
      <w:r w:rsidR="007E04C6" w:rsidRPr="00E84EB9">
        <w:rPr>
          <w:lang w:val="fr-FR"/>
        </w:rPr>
        <w:t xml:space="preserve">orientations </w:t>
      </w:r>
      <w:r w:rsidRPr="00E84EB9">
        <w:rPr>
          <w:lang w:val="fr-FR"/>
        </w:rPr>
        <w:t xml:space="preserve">sur </w:t>
      </w:r>
      <w:r w:rsidR="001B2BF5" w:rsidRPr="00E84EB9">
        <w:rPr>
          <w:lang w:val="fr-FR"/>
        </w:rPr>
        <w:t>l</w:t>
      </w:r>
      <w:r w:rsidR="006C05FA">
        <w:rPr>
          <w:lang w:val="fr-FR"/>
        </w:rPr>
        <w:t>’</w:t>
      </w:r>
      <w:r w:rsidR="001B2BF5" w:rsidRPr="00E84EB9">
        <w:rPr>
          <w:lang w:val="fr-FR"/>
        </w:rPr>
        <w:t xml:space="preserve">estimation </w:t>
      </w:r>
      <w:r w:rsidR="00796D1B" w:rsidRPr="00E84EB9">
        <w:rPr>
          <w:lang w:val="fr-FR"/>
        </w:rPr>
        <w:t xml:space="preserve">des </w:t>
      </w:r>
      <w:r w:rsidRPr="00E84EB9">
        <w:rPr>
          <w:lang w:val="fr-FR"/>
        </w:rPr>
        <w:t xml:space="preserve">stocks </w:t>
      </w:r>
      <w:r w:rsidR="002877EF">
        <w:rPr>
          <w:lang w:val="fr-FR"/>
        </w:rPr>
        <w:t xml:space="preserve">sont disponibles </w:t>
      </w:r>
      <w:r w:rsidRPr="00E84EB9">
        <w:rPr>
          <w:lang w:val="fr-FR"/>
        </w:rPr>
        <w:t>sur le site Web de la Convention de Minamata (PNUE, 2017b).</w:t>
      </w:r>
    </w:p>
    <w:p w14:paraId="5AFE697E" w14:textId="38F8CF0C" w:rsidR="000C2F3D" w:rsidRPr="00E84EB9" w:rsidRDefault="000C2F3D" w:rsidP="00F474DD">
      <w:pPr>
        <w:pStyle w:val="Normalnumber"/>
        <w:numPr>
          <w:ilvl w:val="0"/>
          <w:numId w:val="5"/>
        </w:numPr>
        <w:ind w:left="1247" w:firstLine="0"/>
        <w:rPr>
          <w:lang w:val="fr-FR"/>
        </w:rPr>
      </w:pPr>
      <w:r w:rsidRPr="00E84EB9">
        <w:rPr>
          <w:lang w:val="fr-FR"/>
        </w:rPr>
        <w:t xml:space="preserve">Des inspections et audits réguliers des </w:t>
      </w:r>
      <w:r w:rsidR="00310F08" w:rsidRPr="00E84EB9">
        <w:rPr>
          <w:lang w:val="fr-FR"/>
        </w:rPr>
        <w:t xml:space="preserve">aires </w:t>
      </w:r>
      <w:r w:rsidRPr="00E84EB9">
        <w:rPr>
          <w:lang w:val="fr-FR"/>
        </w:rPr>
        <w:t xml:space="preserve">de stockage devraient être </w:t>
      </w:r>
      <w:r w:rsidR="00796D1B" w:rsidRPr="00E84EB9">
        <w:rPr>
          <w:lang w:val="fr-FR"/>
        </w:rPr>
        <w:t xml:space="preserve">menés </w:t>
      </w:r>
      <w:r w:rsidRPr="00E84EB9">
        <w:rPr>
          <w:lang w:val="fr-FR"/>
        </w:rPr>
        <w:t>en mettant tout particulièrement l</w:t>
      </w:r>
      <w:r w:rsidR="006C05FA">
        <w:rPr>
          <w:lang w:val="fr-FR"/>
        </w:rPr>
        <w:t>’</w:t>
      </w:r>
      <w:r w:rsidRPr="00E84EB9">
        <w:rPr>
          <w:lang w:val="fr-FR"/>
        </w:rPr>
        <w:t>accent sur les dommages, les écoulements accidentels et les détériorations. Le nettoyage et la décontamination devraient être effectués sans tarder, mais seulement après avoir alerté les autorités concernées (FAO, 1985).</w:t>
      </w:r>
    </w:p>
    <w:p w14:paraId="6D21ED0C" w14:textId="3E4031D7" w:rsidR="000C2F3D" w:rsidRPr="00E84EB9" w:rsidRDefault="000C2F3D" w:rsidP="00F474DD">
      <w:pPr>
        <w:pStyle w:val="Normalnumber"/>
        <w:numPr>
          <w:ilvl w:val="0"/>
          <w:numId w:val="5"/>
        </w:numPr>
        <w:ind w:left="1247" w:firstLine="0"/>
        <w:rPr>
          <w:lang w:val="fr-FR"/>
        </w:rPr>
      </w:pPr>
      <w:r w:rsidRPr="00E84EB9">
        <w:rPr>
          <w:lang w:val="fr-FR"/>
        </w:rPr>
        <w:t xml:space="preserve">Tous les documents contenant les informations requises, </w:t>
      </w:r>
      <w:r w:rsidR="002877EF">
        <w:rPr>
          <w:lang w:val="fr-FR"/>
        </w:rPr>
        <w:t>y compris</w:t>
      </w:r>
      <w:r w:rsidRPr="00E84EB9">
        <w:rPr>
          <w:lang w:val="fr-FR"/>
        </w:rPr>
        <w:t xml:space="preserve"> le certificat accompagnant le conteneur et les </w:t>
      </w:r>
      <w:r w:rsidR="005B4530">
        <w:rPr>
          <w:lang w:val="fr-FR"/>
        </w:rPr>
        <w:t>fiches d</w:t>
      </w:r>
      <w:r w:rsidRPr="00E84EB9">
        <w:rPr>
          <w:lang w:val="fr-FR"/>
        </w:rPr>
        <w:t xml:space="preserve">e déstockage et </w:t>
      </w:r>
      <w:r w:rsidR="005B4530">
        <w:rPr>
          <w:lang w:val="fr-FR"/>
        </w:rPr>
        <w:t>d</w:t>
      </w:r>
      <w:r w:rsidR="006C05FA">
        <w:rPr>
          <w:lang w:val="fr-FR"/>
        </w:rPr>
        <w:t>’</w:t>
      </w:r>
      <w:r w:rsidR="00310F08" w:rsidRPr="00E84EB9">
        <w:rPr>
          <w:lang w:val="fr-FR"/>
        </w:rPr>
        <w:t xml:space="preserve">expédition </w:t>
      </w:r>
      <w:r w:rsidRPr="00E84EB9">
        <w:rPr>
          <w:lang w:val="fr-FR"/>
        </w:rPr>
        <w:t xml:space="preserve">du mercure après son stockage temporaire, </w:t>
      </w:r>
      <w:r w:rsidR="005B4530">
        <w:rPr>
          <w:lang w:val="fr-FR"/>
        </w:rPr>
        <w:t>indiquant s</w:t>
      </w:r>
      <w:r w:rsidRPr="00E84EB9">
        <w:rPr>
          <w:lang w:val="fr-FR"/>
        </w:rPr>
        <w:t>a destination et l</w:t>
      </w:r>
      <w:r w:rsidR="006C05FA">
        <w:rPr>
          <w:lang w:val="fr-FR"/>
        </w:rPr>
        <w:t>’</w:t>
      </w:r>
      <w:r w:rsidRPr="00E84EB9">
        <w:rPr>
          <w:lang w:val="fr-FR"/>
        </w:rPr>
        <w:t>u</w:t>
      </w:r>
      <w:r w:rsidR="005B4530">
        <w:rPr>
          <w:lang w:val="fr-FR"/>
        </w:rPr>
        <w:t>tilisation</w:t>
      </w:r>
      <w:r w:rsidRPr="00E84EB9">
        <w:rPr>
          <w:lang w:val="fr-FR"/>
        </w:rPr>
        <w:t xml:space="preserve"> </w:t>
      </w:r>
      <w:r w:rsidR="00177AF2">
        <w:rPr>
          <w:lang w:val="fr-FR"/>
        </w:rPr>
        <w:t>à laquelle il est destiné</w:t>
      </w:r>
      <w:r w:rsidRPr="00E84EB9">
        <w:rPr>
          <w:lang w:val="fr-FR"/>
        </w:rPr>
        <w:t xml:space="preserve">, devraient être conservés pendant une période définie </w:t>
      </w:r>
      <w:r w:rsidR="00177AF2">
        <w:rPr>
          <w:lang w:val="fr-FR"/>
        </w:rPr>
        <w:t>par chaque pays</w:t>
      </w:r>
      <w:r w:rsidRPr="00E84EB9">
        <w:rPr>
          <w:lang w:val="fr-FR"/>
        </w:rPr>
        <w:t xml:space="preserve">. </w:t>
      </w:r>
      <w:r w:rsidR="00310F08" w:rsidRPr="00E84EB9">
        <w:rPr>
          <w:lang w:val="fr-FR"/>
        </w:rPr>
        <w:t>U</w:t>
      </w:r>
      <w:r w:rsidRPr="00E84EB9">
        <w:rPr>
          <w:lang w:val="fr-FR"/>
        </w:rPr>
        <w:t xml:space="preserve">n certain nombre de </w:t>
      </w:r>
      <w:r w:rsidR="00A32A5F" w:rsidRPr="00E84EB9">
        <w:rPr>
          <w:lang w:val="fr-FR"/>
        </w:rPr>
        <w:t>Partie</w:t>
      </w:r>
      <w:r w:rsidR="00310F08" w:rsidRPr="00E84EB9">
        <w:rPr>
          <w:lang w:val="fr-FR"/>
        </w:rPr>
        <w:t>s considère</w:t>
      </w:r>
      <w:r w:rsidR="002877EF">
        <w:rPr>
          <w:lang w:val="fr-FR"/>
        </w:rPr>
        <w:t>nt</w:t>
      </w:r>
      <w:r w:rsidRPr="00E84EB9">
        <w:rPr>
          <w:lang w:val="fr-FR"/>
        </w:rPr>
        <w:t xml:space="preserve"> </w:t>
      </w:r>
      <w:r w:rsidR="00310F08" w:rsidRPr="00E84EB9">
        <w:rPr>
          <w:lang w:val="fr-FR"/>
        </w:rPr>
        <w:t>qu</w:t>
      </w:r>
      <w:r w:rsidR="006C05FA">
        <w:rPr>
          <w:lang w:val="fr-FR"/>
        </w:rPr>
        <w:t>’</w:t>
      </w:r>
      <w:r w:rsidRPr="00E84EB9">
        <w:rPr>
          <w:lang w:val="fr-FR"/>
        </w:rPr>
        <w:t>une période d</w:t>
      </w:r>
      <w:r w:rsidR="006C05FA">
        <w:rPr>
          <w:lang w:val="fr-FR"/>
        </w:rPr>
        <w:t>’</w:t>
      </w:r>
      <w:r w:rsidRPr="00E84EB9">
        <w:rPr>
          <w:lang w:val="fr-FR"/>
        </w:rPr>
        <w:t xml:space="preserve">au </w:t>
      </w:r>
      <w:r w:rsidR="00796D1B" w:rsidRPr="00E84EB9">
        <w:rPr>
          <w:lang w:val="fr-FR"/>
        </w:rPr>
        <w:t>moins trois ans est appropriée.</w:t>
      </w:r>
    </w:p>
    <w:p w14:paraId="4597344E" w14:textId="28CFA0FB" w:rsidR="000656DE" w:rsidRDefault="000656DE" w:rsidP="000656DE">
      <w:pPr>
        <w:pStyle w:val="CH2"/>
        <w:ind w:left="720" w:firstLine="0"/>
        <w:rPr>
          <w:bCs/>
          <w:lang w:val="fr-FR"/>
        </w:rPr>
      </w:pPr>
      <w:bookmarkStart w:id="23" w:name="_Toc527548241"/>
      <w:r w:rsidRPr="000656DE">
        <w:rPr>
          <w:lang w:val="fr-FR"/>
        </w:rPr>
        <w:t>E.</w:t>
      </w:r>
      <w:r w:rsidRPr="000656DE">
        <w:rPr>
          <w:lang w:val="fr-FR"/>
        </w:rPr>
        <w:tab/>
      </w:r>
      <w:r w:rsidRPr="00E84EB9">
        <w:rPr>
          <w:bCs/>
          <w:lang w:val="fr-FR"/>
        </w:rPr>
        <w:t>Éducation et formation du personnel</w:t>
      </w:r>
      <w:bookmarkEnd w:id="23"/>
    </w:p>
    <w:p w14:paraId="300D7AFF" w14:textId="702EA402" w:rsidR="000C2F3D" w:rsidRPr="00E84EB9" w:rsidRDefault="000C2F3D" w:rsidP="00F474DD">
      <w:pPr>
        <w:pStyle w:val="Normalnumber"/>
        <w:numPr>
          <w:ilvl w:val="0"/>
          <w:numId w:val="5"/>
        </w:numPr>
        <w:ind w:left="1247" w:firstLine="0"/>
        <w:rPr>
          <w:lang w:val="fr-FR"/>
        </w:rPr>
      </w:pPr>
      <w:r w:rsidRPr="00E84EB9">
        <w:rPr>
          <w:lang w:val="fr-FR"/>
        </w:rPr>
        <w:t>Le</w:t>
      </w:r>
      <w:r w:rsidR="003766FD" w:rsidRPr="00E84EB9">
        <w:rPr>
          <w:lang w:val="fr-FR"/>
        </w:rPr>
        <w:t xml:space="preserve"> p</w:t>
      </w:r>
      <w:r w:rsidRPr="00E84EB9">
        <w:rPr>
          <w:lang w:val="fr-FR"/>
        </w:rPr>
        <w:t>ersonnel chargé de la man</w:t>
      </w:r>
      <w:r w:rsidR="002877EF">
        <w:rPr>
          <w:lang w:val="fr-FR"/>
        </w:rPr>
        <w:t>utent</w:t>
      </w:r>
      <w:r w:rsidRPr="00E84EB9">
        <w:rPr>
          <w:lang w:val="fr-FR"/>
        </w:rPr>
        <w:t>ion et du stockage du mercure et des composés du mercure devrait bénéficier d</w:t>
      </w:r>
      <w:r w:rsidR="006C05FA">
        <w:rPr>
          <w:lang w:val="fr-FR"/>
        </w:rPr>
        <w:t>’</w:t>
      </w:r>
      <w:r w:rsidRPr="00E84EB9">
        <w:rPr>
          <w:lang w:val="fr-FR"/>
        </w:rPr>
        <w:t xml:space="preserve">une formation adéquate. </w:t>
      </w:r>
      <w:r w:rsidR="003766FD" w:rsidRPr="00E84EB9">
        <w:rPr>
          <w:lang w:val="fr-FR"/>
        </w:rPr>
        <w:t xml:space="preserve">Par ailleurs, il est important que les membres du personnel </w:t>
      </w:r>
      <w:r w:rsidRPr="00E84EB9">
        <w:rPr>
          <w:lang w:val="fr-FR"/>
        </w:rPr>
        <w:t xml:space="preserve">qui ne manipulent pas de mercure ni de composés du mercure dans les </w:t>
      </w:r>
      <w:r w:rsidR="003766FD" w:rsidRPr="00E84EB9">
        <w:rPr>
          <w:lang w:val="fr-FR"/>
        </w:rPr>
        <w:t xml:space="preserve">aires </w:t>
      </w:r>
      <w:r w:rsidRPr="00E84EB9">
        <w:rPr>
          <w:lang w:val="fr-FR"/>
        </w:rPr>
        <w:t>de stockage mais sont susceptibles d</w:t>
      </w:r>
      <w:r w:rsidR="006C05FA">
        <w:rPr>
          <w:lang w:val="fr-FR"/>
        </w:rPr>
        <w:t>’</w:t>
      </w:r>
      <w:r w:rsidRPr="00E84EB9">
        <w:rPr>
          <w:lang w:val="fr-FR"/>
        </w:rPr>
        <w:t>être exposés à un rejet accidentel comprennent les risques et dangers qui y sont liés et se familiarisent avec les plans d</w:t>
      </w:r>
      <w:r w:rsidR="006C05FA">
        <w:rPr>
          <w:lang w:val="fr-FR"/>
        </w:rPr>
        <w:t>’</w:t>
      </w:r>
      <w:r w:rsidRPr="00E84EB9">
        <w:rPr>
          <w:lang w:val="fr-FR"/>
        </w:rPr>
        <w:t>intervention d</w:t>
      </w:r>
      <w:r w:rsidR="006C05FA">
        <w:rPr>
          <w:lang w:val="fr-FR"/>
        </w:rPr>
        <w:t>’</w:t>
      </w:r>
      <w:r w:rsidRPr="00E84EB9">
        <w:rPr>
          <w:lang w:val="fr-FR"/>
        </w:rPr>
        <w:t>urgence de l</w:t>
      </w:r>
      <w:r w:rsidR="006C05FA">
        <w:rPr>
          <w:lang w:val="fr-FR"/>
        </w:rPr>
        <w:t>’</w:t>
      </w:r>
      <w:r w:rsidRPr="00E84EB9">
        <w:rPr>
          <w:lang w:val="fr-FR"/>
        </w:rPr>
        <w:t>installation (QSC, 2003). L</w:t>
      </w:r>
      <w:r w:rsidR="006C05FA">
        <w:rPr>
          <w:lang w:val="fr-FR"/>
        </w:rPr>
        <w:t>’</w:t>
      </w:r>
      <w:r w:rsidRPr="00E84EB9">
        <w:rPr>
          <w:lang w:val="fr-FR"/>
        </w:rPr>
        <w:t>accès à l</w:t>
      </w:r>
      <w:r w:rsidR="006C05FA">
        <w:rPr>
          <w:lang w:val="fr-FR"/>
        </w:rPr>
        <w:t>’</w:t>
      </w:r>
      <w:r w:rsidR="003766FD" w:rsidRPr="00E84EB9">
        <w:rPr>
          <w:lang w:val="fr-FR"/>
        </w:rPr>
        <w:t xml:space="preserve">aire </w:t>
      </w:r>
      <w:r w:rsidRPr="00E84EB9">
        <w:rPr>
          <w:lang w:val="fr-FR"/>
        </w:rPr>
        <w:t>de stockage devrait être limité aux personnes ayant reçu une formation appropriée, notamment en ce qui concerne la reconnaissance des dangers propres au mercure et la manipulation du merc</w:t>
      </w:r>
      <w:r w:rsidR="003766FD" w:rsidRPr="00E84EB9">
        <w:rPr>
          <w:lang w:val="fr-FR"/>
        </w:rPr>
        <w:t>ure et des composés du mercure.</w:t>
      </w:r>
    </w:p>
    <w:p w14:paraId="10344854" w14:textId="0D4F7766" w:rsidR="000C2F3D" w:rsidRPr="00E84EB9" w:rsidRDefault="000C2F3D" w:rsidP="00F474DD">
      <w:pPr>
        <w:pStyle w:val="Normalnumber"/>
        <w:numPr>
          <w:ilvl w:val="0"/>
          <w:numId w:val="5"/>
        </w:numPr>
        <w:ind w:left="1247" w:firstLine="0"/>
        <w:rPr>
          <w:lang w:val="fr-FR"/>
        </w:rPr>
      </w:pPr>
      <w:r w:rsidRPr="00E84EB9">
        <w:rPr>
          <w:lang w:val="fr-FR"/>
        </w:rPr>
        <w:t xml:space="preserve">Une formation à la gestion écologiquement rationnelle et à la santé et la sécurité au travail devrait être proposée aux employés </w:t>
      </w:r>
      <w:r w:rsidR="0030066A" w:rsidRPr="00E84EB9">
        <w:rPr>
          <w:lang w:val="fr-FR"/>
        </w:rPr>
        <w:t>pour faire en sorte qu</w:t>
      </w:r>
      <w:r w:rsidR="006C05FA">
        <w:rPr>
          <w:lang w:val="fr-FR"/>
        </w:rPr>
        <w:t>’</w:t>
      </w:r>
      <w:r w:rsidR="0030066A" w:rsidRPr="00E84EB9">
        <w:rPr>
          <w:lang w:val="fr-FR"/>
        </w:rPr>
        <w:t xml:space="preserve">ils soient protégés </w:t>
      </w:r>
      <w:r w:rsidRPr="00E84EB9">
        <w:rPr>
          <w:lang w:val="fr-FR"/>
        </w:rPr>
        <w:t>contre les rejets de mercure au sein de l</w:t>
      </w:r>
      <w:r w:rsidR="006C05FA">
        <w:rPr>
          <w:lang w:val="fr-FR"/>
        </w:rPr>
        <w:t>’</w:t>
      </w:r>
      <w:r w:rsidRPr="00E84EB9">
        <w:rPr>
          <w:lang w:val="fr-FR"/>
        </w:rPr>
        <w:t>établissement, l</w:t>
      </w:r>
      <w:r w:rsidR="006C05FA">
        <w:rPr>
          <w:lang w:val="fr-FR"/>
        </w:rPr>
        <w:t>’</w:t>
      </w:r>
      <w:r w:rsidRPr="00E84EB9">
        <w:rPr>
          <w:lang w:val="fr-FR"/>
        </w:rPr>
        <w:t>exposition au mercure et les blessures accidentelles.</w:t>
      </w:r>
    </w:p>
    <w:p w14:paraId="40C78121" w14:textId="1E3E4CE4" w:rsidR="000C2F3D" w:rsidRPr="00E84EB9" w:rsidRDefault="00E63276" w:rsidP="0029020B">
      <w:pPr>
        <w:pStyle w:val="Normalnumber"/>
        <w:keepNext/>
        <w:keepLines/>
        <w:numPr>
          <w:ilvl w:val="0"/>
          <w:numId w:val="5"/>
        </w:numPr>
        <w:ind w:left="1247" w:firstLine="0"/>
        <w:rPr>
          <w:lang w:val="fr-FR"/>
        </w:rPr>
      </w:pPr>
      <w:r w:rsidRPr="00E84EB9">
        <w:rPr>
          <w:lang w:val="fr-FR"/>
        </w:rPr>
        <w:t>L</w:t>
      </w:r>
      <w:r w:rsidR="00BA4679" w:rsidRPr="00E84EB9">
        <w:rPr>
          <w:lang w:val="fr-FR"/>
        </w:rPr>
        <w:t xml:space="preserve">e personnel </w:t>
      </w:r>
      <w:r w:rsidRPr="00E84EB9">
        <w:rPr>
          <w:lang w:val="fr-FR"/>
        </w:rPr>
        <w:t xml:space="preserve">devrait posséder </w:t>
      </w:r>
      <w:r w:rsidR="0030066A" w:rsidRPr="00E84EB9">
        <w:rPr>
          <w:lang w:val="fr-FR"/>
        </w:rPr>
        <w:t xml:space="preserve">des </w:t>
      </w:r>
      <w:r w:rsidRPr="00E84EB9">
        <w:rPr>
          <w:lang w:val="fr-FR"/>
        </w:rPr>
        <w:t>connaissances de base</w:t>
      </w:r>
      <w:r w:rsidR="00B47C92" w:rsidRPr="00E84EB9">
        <w:rPr>
          <w:lang w:val="fr-FR"/>
        </w:rPr>
        <w:t xml:space="preserve"> </w:t>
      </w:r>
      <w:r w:rsidR="0030066A" w:rsidRPr="00E84EB9">
        <w:rPr>
          <w:lang w:val="fr-FR"/>
        </w:rPr>
        <w:t>sur les aspects suivants</w:t>
      </w:r>
      <w:r w:rsidRPr="00E84EB9">
        <w:rPr>
          <w:lang w:val="fr-FR"/>
        </w:rPr>
        <w:t> </w:t>
      </w:r>
      <w:r w:rsidR="00BA4679" w:rsidRPr="00E84EB9">
        <w:rPr>
          <w:lang w:val="fr-FR"/>
        </w:rPr>
        <w:t>:</w:t>
      </w:r>
    </w:p>
    <w:p w14:paraId="40B194D2" w14:textId="19264055"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propriétés chimiques et</w:t>
      </w:r>
      <w:r w:rsidR="00B47C92" w:rsidRPr="00E84EB9">
        <w:rPr>
          <w:lang w:val="fr-FR"/>
        </w:rPr>
        <w:t xml:space="preserve"> les effets néfastes du mercure </w:t>
      </w:r>
      <w:r w:rsidR="000C2F3D" w:rsidRPr="00E84EB9">
        <w:rPr>
          <w:lang w:val="fr-FR"/>
        </w:rPr>
        <w:t>;</w:t>
      </w:r>
    </w:p>
    <w:p w14:paraId="77A72137" w14:textId="010D945A"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 xml:space="preserve">méthodes </w:t>
      </w:r>
      <w:r w:rsidR="008675EA" w:rsidRPr="00E84EB9">
        <w:rPr>
          <w:lang w:val="fr-FR"/>
        </w:rPr>
        <w:t xml:space="preserve">de détection </w:t>
      </w:r>
      <w:r w:rsidR="000C2F3D" w:rsidRPr="00E84EB9">
        <w:rPr>
          <w:lang w:val="fr-FR"/>
        </w:rPr>
        <w:t>et de séparation du mercure de</w:t>
      </w:r>
      <w:r w:rsidR="00970CC3" w:rsidRPr="00E84EB9">
        <w:rPr>
          <w:lang w:val="fr-FR"/>
        </w:rPr>
        <w:t>s autres substances dangereuses </w:t>
      </w:r>
      <w:r w:rsidR="000C2F3D" w:rsidRPr="00E84EB9">
        <w:rPr>
          <w:lang w:val="fr-FR"/>
        </w:rPr>
        <w:t>;</w:t>
      </w:r>
    </w:p>
    <w:p w14:paraId="61B22E85" w14:textId="315F5287"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normes de sécurité au travail applicable</w:t>
      </w:r>
      <w:r w:rsidR="00970CC3" w:rsidRPr="00E84EB9">
        <w:rPr>
          <w:lang w:val="fr-FR"/>
        </w:rPr>
        <w:t>s</w:t>
      </w:r>
      <w:r w:rsidR="000C2F3D" w:rsidRPr="00E84EB9">
        <w:rPr>
          <w:lang w:val="fr-FR"/>
        </w:rPr>
        <w:t xml:space="preserve"> pour le mer</w:t>
      </w:r>
      <w:r w:rsidR="00D142FA" w:rsidRPr="00E84EB9">
        <w:rPr>
          <w:lang w:val="fr-FR"/>
        </w:rPr>
        <w:t>cure et les composés du mercure </w:t>
      </w:r>
      <w:r w:rsidR="000C2F3D" w:rsidRPr="00E84EB9">
        <w:rPr>
          <w:lang w:val="fr-FR"/>
        </w:rPr>
        <w:t>;</w:t>
      </w:r>
    </w:p>
    <w:p w14:paraId="0BAF81C1" w14:textId="43E17701" w:rsidR="000C2F3D" w:rsidRPr="00E84EB9" w:rsidRDefault="005B4530" w:rsidP="0029020B">
      <w:pPr>
        <w:pStyle w:val="Normalnumber"/>
        <w:numPr>
          <w:ilvl w:val="1"/>
          <w:numId w:val="11"/>
        </w:numPr>
        <w:ind w:left="1247" w:firstLine="624"/>
        <w:rPr>
          <w:lang w:val="fr-FR"/>
        </w:rPr>
      </w:pPr>
      <w:r w:rsidRPr="00E84EB9">
        <w:rPr>
          <w:lang w:val="fr-FR"/>
        </w:rPr>
        <w:t xml:space="preserve">La </w:t>
      </w:r>
      <w:r w:rsidR="00C354AB" w:rsidRPr="00E84EB9">
        <w:rPr>
          <w:lang w:val="fr-FR"/>
        </w:rPr>
        <w:t>manière d</w:t>
      </w:r>
      <w:r w:rsidR="006C05FA">
        <w:rPr>
          <w:lang w:val="fr-FR"/>
        </w:rPr>
        <w:t>’</w:t>
      </w:r>
      <w:r w:rsidR="00C354AB" w:rsidRPr="00E84EB9">
        <w:rPr>
          <w:lang w:val="fr-FR"/>
        </w:rPr>
        <w:t>utiliser l</w:t>
      </w:r>
      <w:r w:rsidR="008675EA" w:rsidRPr="00E84EB9">
        <w:rPr>
          <w:lang w:val="fr-FR"/>
        </w:rPr>
        <w:t xml:space="preserve">es </w:t>
      </w:r>
      <w:r w:rsidR="000C2F3D" w:rsidRPr="00E84EB9">
        <w:rPr>
          <w:lang w:val="fr-FR"/>
        </w:rPr>
        <w:t xml:space="preserve">équipements </w:t>
      </w:r>
      <w:r w:rsidR="00177AF2">
        <w:rPr>
          <w:lang w:val="fr-FR"/>
        </w:rPr>
        <w:t>de protection individuelle</w:t>
      </w:r>
      <w:r w:rsidR="000C2F3D" w:rsidRPr="00E84EB9">
        <w:rPr>
          <w:lang w:val="fr-FR"/>
        </w:rPr>
        <w:t xml:space="preserve"> fournis par l</w:t>
      </w:r>
      <w:r w:rsidR="006C05FA">
        <w:rPr>
          <w:lang w:val="fr-FR"/>
        </w:rPr>
        <w:t>’</w:t>
      </w:r>
      <w:r w:rsidR="000C2F3D" w:rsidRPr="00E84EB9">
        <w:rPr>
          <w:lang w:val="fr-FR"/>
        </w:rPr>
        <w:t xml:space="preserve">employeur, notamment </w:t>
      </w:r>
      <w:r w:rsidR="00452368" w:rsidRPr="00E84EB9">
        <w:rPr>
          <w:lang w:val="fr-FR"/>
        </w:rPr>
        <w:t xml:space="preserve">les </w:t>
      </w:r>
      <w:r w:rsidR="00C354AB" w:rsidRPr="00E84EB9">
        <w:rPr>
          <w:lang w:val="fr-FR"/>
        </w:rPr>
        <w:t>protections corporelles</w:t>
      </w:r>
      <w:r w:rsidR="000C2F3D" w:rsidRPr="00E84EB9">
        <w:rPr>
          <w:lang w:val="fr-FR"/>
        </w:rPr>
        <w:t xml:space="preserve">, </w:t>
      </w:r>
      <w:r w:rsidR="00C354AB" w:rsidRPr="00E84EB9">
        <w:rPr>
          <w:lang w:val="fr-FR"/>
        </w:rPr>
        <w:t xml:space="preserve">oculaires et faciales, </w:t>
      </w:r>
      <w:r w:rsidR="00452368" w:rsidRPr="00E84EB9">
        <w:rPr>
          <w:lang w:val="fr-FR"/>
        </w:rPr>
        <w:t xml:space="preserve">les </w:t>
      </w:r>
      <w:r w:rsidR="00C354AB" w:rsidRPr="00E84EB9">
        <w:rPr>
          <w:lang w:val="fr-FR"/>
        </w:rPr>
        <w:t xml:space="preserve">gants </w:t>
      </w:r>
      <w:r w:rsidR="000C2F3D" w:rsidRPr="00E84EB9">
        <w:rPr>
          <w:lang w:val="fr-FR"/>
        </w:rPr>
        <w:t xml:space="preserve">et </w:t>
      </w:r>
      <w:r w:rsidR="00452368" w:rsidRPr="00E84EB9">
        <w:rPr>
          <w:lang w:val="fr-FR"/>
        </w:rPr>
        <w:t xml:space="preserve">les </w:t>
      </w:r>
      <w:r w:rsidR="00C354AB" w:rsidRPr="00E84EB9">
        <w:rPr>
          <w:lang w:val="fr-FR"/>
        </w:rPr>
        <w:t xml:space="preserve">protections </w:t>
      </w:r>
      <w:r w:rsidR="000C2F3D" w:rsidRPr="00E84EB9">
        <w:rPr>
          <w:lang w:val="fr-FR"/>
        </w:rPr>
        <w:t>respiratoire</w:t>
      </w:r>
      <w:r w:rsidR="00C354AB" w:rsidRPr="00E84EB9">
        <w:rPr>
          <w:lang w:val="fr-FR"/>
        </w:rPr>
        <w:t>s</w:t>
      </w:r>
      <w:r w:rsidR="000C2F3D" w:rsidRPr="00E84EB9">
        <w:rPr>
          <w:lang w:val="fr-FR"/>
        </w:rPr>
        <w:t>, et les modes de manipulation et d</w:t>
      </w:r>
      <w:r w:rsidR="006C05FA">
        <w:rPr>
          <w:lang w:val="fr-FR"/>
        </w:rPr>
        <w:t>’</w:t>
      </w:r>
      <w:r w:rsidR="000C2F3D" w:rsidRPr="00E84EB9">
        <w:rPr>
          <w:lang w:val="fr-FR"/>
        </w:rPr>
        <w:t>élimination</w:t>
      </w:r>
      <w:r w:rsidR="00162640">
        <w:rPr>
          <w:lang w:val="fr-FR"/>
        </w:rPr>
        <w:t xml:space="preserve"> approprié</w:t>
      </w:r>
      <w:r w:rsidR="00D142FA" w:rsidRPr="00E84EB9">
        <w:rPr>
          <w:lang w:val="fr-FR"/>
        </w:rPr>
        <w:t>s de ces équipements </w:t>
      </w:r>
      <w:r w:rsidR="000C2F3D" w:rsidRPr="00E84EB9">
        <w:rPr>
          <w:lang w:val="fr-FR"/>
        </w:rPr>
        <w:t>;</w:t>
      </w:r>
    </w:p>
    <w:p w14:paraId="67118FFE" w14:textId="6FBB1EBD"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normes d</w:t>
      </w:r>
      <w:r w:rsidR="006C05FA">
        <w:rPr>
          <w:lang w:val="fr-FR"/>
        </w:rPr>
        <w:t>’</w:t>
      </w:r>
      <w:r w:rsidR="000C2F3D" w:rsidRPr="00E84EB9">
        <w:rPr>
          <w:lang w:val="fr-FR"/>
        </w:rPr>
        <w:t xml:space="preserve">étiquetage et de stockage considérées comme appropriées pour la ou les installations, la compatibilité des conteneurs, les exigences en matière de datage et les exigences </w:t>
      </w:r>
      <w:r w:rsidR="00C435E2" w:rsidRPr="00E84EB9">
        <w:rPr>
          <w:lang w:val="fr-FR"/>
        </w:rPr>
        <w:t>relatives aux conteneurs fermés </w:t>
      </w:r>
      <w:r w:rsidR="000C2F3D" w:rsidRPr="00E84EB9">
        <w:rPr>
          <w:lang w:val="fr-FR"/>
        </w:rPr>
        <w:t>;</w:t>
      </w:r>
    </w:p>
    <w:p w14:paraId="27CDFD09" w14:textId="7FC4CE33"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techniques de manipulation du mercure et des composés du mercure en toute sécurité, en utilisant l</w:t>
      </w:r>
      <w:r w:rsidR="006C05FA">
        <w:rPr>
          <w:lang w:val="fr-FR"/>
        </w:rPr>
        <w:t>’</w:t>
      </w:r>
      <w:r w:rsidR="000C2F3D" w:rsidRPr="00E84EB9">
        <w:rPr>
          <w:lang w:val="fr-FR"/>
        </w:rPr>
        <w:t>équipement</w:t>
      </w:r>
      <w:r w:rsidR="00C435E2" w:rsidRPr="00E84EB9">
        <w:rPr>
          <w:lang w:val="fr-FR"/>
        </w:rPr>
        <w:t xml:space="preserve"> disponible dans l</w:t>
      </w:r>
      <w:r w:rsidR="006C05FA">
        <w:rPr>
          <w:lang w:val="fr-FR"/>
        </w:rPr>
        <w:t>’</w:t>
      </w:r>
      <w:r w:rsidR="00C435E2" w:rsidRPr="00E84EB9">
        <w:rPr>
          <w:lang w:val="fr-FR"/>
        </w:rPr>
        <w:t>installation </w:t>
      </w:r>
      <w:r w:rsidR="000C2F3D" w:rsidRPr="00E84EB9">
        <w:rPr>
          <w:lang w:val="fr-FR"/>
        </w:rPr>
        <w:t>;</w:t>
      </w:r>
    </w:p>
    <w:p w14:paraId="2470FC1E" w14:textId="52B5DD01" w:rsidR="000C2F3D" w:rsidRPr="00E84EB9" w:rsidRDefault="005B4530" w:rsidP="0029020B">
      <w:pPr>
        <w:pStyle w:val="Normalnumber"/>
        <w:numPr>
          <w:ilvl w:val="1"/>
          <w:numId w:val="11"/>
        </w:numPr>
        <w:ind w:left="1247" w:firstLine="624"/>
        <w:rPr>
          <w:lang w:val="fr-FR"/>
        </w:rPr>
      </w:pPr>
      <w:r w:rsidRPr="00E84EB9">
        <w:rPr>
          <w:lang w:val="fr-FR"/>
        </w:rPr>
        <w:t xml:space="preserve">Le </w:t>
      </w:r>
      <w:r w:rsidR="008675EA" w:rsidRPr="00E84EB9">
        <w:rPr>
          <w:lang w:val="fr-FR"/>
        </w:rPr>
        <w:t xml:space="preserve">recours aux </w:t>
      </w:r>
      <w:r w:rsidR="000C2F3D" w:rsidRPr="00E84EB9">
        <w:rPr>
          <w:lang w:val="fr-FR"/>
        </w:rPr>
        <w:t>contrôles techniques pour réduire au</w:t>
      </w:r>
      <w:r w:rsidR="00C435E2" w:rsidRPr="00E84EB9">
        <w:rPr>
          <w:lang w:val="fr-FR"/>
        </w:rPr>
        <w:t xml:space="preserve"> minimum le risque d</w:t>
      </w:r>
      <w:r w:rsidR="006C05FA">
        <w:rPr>
          <w:lang w:val="fr-FR"/>
        </w:rPr>
        <w:t>’</w:t>
      </w:r>
      <w:r w:rsidR="00C435E2" w:rsidRPr="00E84EB9">
        <w:rPr>
          <w:lang w:val="fr-FR"/>
        </w:rPr>
        <w:t>exposition ;</w:t>
      </w:r>
    </w:p>
    <w:p w14:paraId="1D84C711" w14:textId="2FEA5C7A" w:rsidR="000C2F3D" w:rsidRPr="00E84EB9" w:rsidRDefault="005B4530" w:rsidP="0029020B">
      <w:pPr>
        <w:pStyle w:val="Normalnumber"/>
        <w:numPr>
          <w:ilvl w:val="1"/>
          <w:numId w:val="11"/>
        </w:numPr>
        <w:ind w:left="1247" w:firstLine="624"/>
        <w:rPr>
          <w:lang w:val="fr-FR"/>
        </w:rPr>
      </w:pPr>
      <w:r w:rsidRPr="00E84EB9">
        <w:rPr>
          <w:lang w:val="fr-FR"/>
        </w:rPr>
        <w:t xml:space="preserve">Les </w:t>
      </w:r>
      <w:r w:rsidR="000C2F3D" w:rsidRPr="00E84EB9">
        <w:rPr>
          <w:lang w:val="fr-FR"/>
        </w:rPr>
        <w:t>interventions à mener en cas de déversements accidentels de mer</w:t>
      </w:r>
      <w:r w:rsidR="00C435E2" w:rsidRPr="00E84EB9">
        <w:rPr>
          <w:lang w:val="fr-FR"/>
        </w:rPr>
        <w:t>cure ou d</w:t>
      </w:r>
      <w:r w:rsidR="006C05FA">
        <w:rPr>
          <w:lang w:val="fr-FR"/>
        </w:rPr>
        <w:t>’</w:t>
      </w:r>
      <w:r w:rsidR="00C435E2" w:rsidRPr="00E84EB9">
        <w:rPr>
          <w:lang w:val="fr-FR"/>
        </w:rPr>
        <w:t>un composé du mercure </w:t>
      </w:r>
      <w:r w:rsidR="000C2F3D" w:rsidRPr="00E84EB9">
        <w:rPr>
          <w:lang w:val="fr-FR"/>
        </w:rPr>
        <w:t>; et</w:t>
      </w:r>
    </w:p>
    <w:p w14:paraId="09D5AB8C" w14:textId="5C2EBA25" w:rsidR="000C2F3D" w:rsidRPr="00E84EB9" w:rsidRDefault="005B4530" w:rsidP="0029020B">
      <w:pPr>
        <w:pStyle w:val="Normalnumber"/>
        <w:numPr>
          <w:ilvl w:val="1"/>
          <w:numId w:val="11"/>
        </w:numPr>
        <w:ind w:left="1247" w:firstLine="624"/>
        <w:rPr>
          <w:lang w:val="fr-FR"/>
        </w:rPr>
      </w:pPr>
      <w:r w:rsidRPr="00E84EB9">
        <w:rPr>
          <w:lang w:val="fr-FR"/>
        </w:rPr>
        <w:t xml:space="preserve">La </w:t>
      </w:r>
      <w:r w:rsidR="008675EA" w:rsidRPr="00E84EB9">
        <w:rPr>
          <w:lang w:val="fr-FR"/>
        </w:rPr>
        <w:t>manière d</w:t>
      </w:r>
      <w:r w:rsidR="006C05FA">
        <w:rPr>
          <w:lang w:val="fr-FR"/>
        </w:rPr>
        <w:t>’</w:t>
      </w:r>
      <w:r w:rsidR="008675EA" w:rsidRPr="00E84EB9">
        <w:rPr>
          <w:lang w:val="fr-FR"/>
        </w:rPr>
        <w:t xml:space="preserve">utiliser des </w:t>
      </w:r>
      <w:r w:rsidR="000C2F3D" w:rsidRPr="00E84EB9">
        <w:rPr>
          <w:lang w:val="fr-FR"/>
        </w:rPr>
        <w:t xml:space="preserve">dispositifs de surveillance des vapeurs de mercure </w:t>
      </w:r>
      <w:r w:rsidR="008675EA" w:rsidRPr="00E84EB9">
        <w:rPr>
          <w:lang w:val="fr-FR"/>
        </w:rPr>
        <w:t xml:space="preserve">pour </w:t>
      </w:r>
      <w:r w:rsidR="000C2F3D" w:rsidRPr="00E84EB9">
        <w:rPr>
          <w:lang w:val="fr-FR"/>
        </w:rPr>
        <w:t xml:space="preserve">déterminer les sources possibles de niveaux </w:t>
      </w:r>
      <w:r w:rsidR="00452368" w:rsidRPr="00E84EB9">
        <w:rPr>
          <w:lang w:val="fr-FR"/>
        </w:rPr>
        <w:t xml:space="preserve">élevés </w:t>
      </w:r>
      <w:r w:rsidR="000C2F3D" w:rsidRPr="00E84EB9">
        <w:rPr>
          <w:lang w:val="fr-FR"/>
        </w:rPr>
        <w:t>de mercure dans l</w:t>
      </w:r>
      <w:r w:rsidR="006C05FA">
        <w:rPr>
          <w:lang w:val="fr-FR"/>
        </w:rPr>
        <w:t>’</w:t>
      </w:r>
      <w:r w:rsidR="000C2F3D" w:rsidRPr="00E84EB9">
        <w:rPr>
          <w:lang w:val="fr-FR"/>
        </w:rPr>
        <w:t xml:space="preserve">installation et fournir aux travailleurs les informations requises pour assurer leur sécurité (par exemple, </w:t>
      </w:r>
      <w:r w:rsidR="008675EA" w:rsidRPr="00E84EB9">
        <w:rPr>
          <w:lang w:val="fr-FR"/>
        </w:rPr>
        <w:t xml:space="preserve">savoir quand il peut être nécessaire </w:t>
      </w:r>
      <w:r w:rsidR="000C2F3D" w:rsidRPr="00E84EB9">
        <w:rPr>
          <w:lang w:val="fr-FR"/>
        </w:rPr>
        <w:t>de porter une protection respiratoire).</w:t>
      </w:r>
    </w:p>
    <w:p w14:paraId="6522E190" w14:textId="42ED2673" w:rsidR="000C2F3D" w:rsidRPr="00E84EB9" w:rsidRDefault="000C2F3D" w:rsidP="00F474DD">
      <w:pPr>
        <w:pStyle w:val="Normalnumber"/>
        <w:numPr>
          <w:ilvl w:val="0"/>
          <w:numId w:val="5"/>
        </w:numPr>
        <w:ind w:left="1247" w:firstLine="0"/>
        <w:rPr>
          <w:lang w:val="fr-FR"/>
        </w:rPr>
      </w:pPr>
      <w:r w:rsidRPr="00E84EB9">
        <w:rPr>
          <w:lang w:val="fr-FR"/>
        </w:rPr>
        <w:t>Il importe de souscrire une assurance contre les accidents du travail et une assurance responsabilité civile employeur conformément à la législation nationale.</w:t>
      </w:r>
    </w:p>
    <w:p w14:paraId="06344B00" w14:textId="7D01F81D" w:rsidR="000C2F3D" w:rsidRPr="00E84EB9" w:rsidRDefault="00356741" w:rsidP="00F474DD">
      <w:pPr>
        <w:pStyle w:val="Normalnumber"/>
        <w:numPr>
          <w:ilvl w:val="0"/>
          <w:numId w:val="5"/>
        </w:numPr>
        <w:ind w:left="1247" w:firstLine="0"/>
        <w:rPr>
          <w:lang w:val="fr-FR"/>
        </w:rPr>
      </w:pPr>
      <w:r w:rsidRPr="00E84EB9">
        <w:rPr>
          <w:lang w:val="fr-FR"/>
        </w:rPr>
        <w:t xml:space="preserve">Parmi les supports utiles pour la formation des employés figurent des documents de sensibilisation au problème du mercure, tels que ceux élaborés par le PNUE (2008) </w:t>
      </w:r>
      <w:r w:rsidR="008675EA" w:rsidRPr="00E84EB9">
        <w:rPr>
          <w:lang w:val="fr-FR"/>
        </w:rPr>
        <w:t xml:space="preserve">ainsi que </w:t>
      </w:r>
      <w:r w:rsidRPr="00E84EB9">
        <w:rPr>
          <w:lang w:val="fr-FR"/>
        </w:rPr>
        <w:t>les publications du PNUE disponibles sur le site Web de la Convention de Mina</w:t>
      </w:r>
      <w:r w:rsidR="00E84EB9">
        <w:rPr>
          <w:lang w:val="fr-FR"/>
        </w:rPr>
        <w:t xml:space="preserve">mata </w:t>
      </w:r>
      <w:proofErr w:type="spellStart"/>
      <w:r w:rsidR="006D1E0A" w:rsidRPr="006D1E0A">
        <w:rPr>
          <w:lang w:val="fr-FR"/>
        </w:rPr>
        <w:t>website</w:t>
      </w:r>
      <w:proofErr w:type="spellEnd"/>
      <w:r w:rsidR="006D1E0A" w:rsidRPr="006D1E0A">
        <w:rPr>
          <w:lang w:val="fr-FR"/>
        </w:rPr>
        <w:t xml:space="preserve"> (http://mercuryconvention.org/Resources/Information/Publications/tabid/3429/language/en-US/Default.aspx).</w:t>
      </w:r>
      <w:r w:rsidRPr="00E84EB9">
        <w:rPr>
          <w:lang w:val="fr-FR"/>
        </w:rPr>
        <w:t xml:space="preserve"> Tout le matériel de formation doit être traduit dans les langues locales et </w:t>
      </w:r>
      <w:r w:rsidR="00896412" w:rsidRPr="00E84EB9">
        <w:rPr>
          <w:lang w:val="fr-FR"/>
        </w:rPr>
        <w:t xml:space="preserve">pouvoir être consulté par les </w:t>
      </w:r>
      <w:r w:rsidRPr="00E84EB9">
        <w:rPr>
          <w:lang w:val="fr-FR"/>
        </w:rPr>
        <w:t>employés.</w:t>
      </w:r>
    </w:p>
    <w:p w14:paraId="2C507B08" w14:textId="2FF7AA10" w:rsidR="00E54E9D" w:rsidRPr="00E54E9D" w:rsidRDefault="00E54E9D" w:rsidP="00E54E9D">
      <w:pPr>
        <w:pStyle w:val="CH2"/>
        <w:ind w:left="720" w:firstLine="0"/>
        <w:rPr>
          <w:lang w:val="fr-FR"/>
        </w:rPr>
      </w:pPr>
      <w:bookmarkStart w:id="24" w:name="_Toc520380786"/>
      <w:bookmarkStart w:id="25" w:name="_Toc527548242"/>
      <w:bookmarkEnd w:id="24"/>
      <w:r w:rsidRPr="00E54E9D">
        <w:rPr>
          <w:lang w:val="fr-FR"/>
        </w:rPr>
        <w:lastRenderedPageBreak/>
        <w:t>F.</w:t>
      </w:r>
      <w:r w:rsidRPr="00E54E9D">
        <w:rPr>
          <w:lang w:val="fr-FR"/>
        </w:rPr>
        <w:tab/>
      </w:r>
      <w:r w:rsidRPr="00E84EB9">
        <w:rPr>
          <w:bCs/>
          <w:lang w:val="fr-FR"/>
        </w:rPr>
        <w:t>Calendrier des réparations, des tests et de l</w:t>
      </w:r>
      <w:r>
        <w:rPr>
          <w:bCs/>
          <w:lang w:val="fr-FR"/>
        </w:rPr>
        <w:t>’</w:t>
      </w:r>
      <w:r w:rsidRPr="00E84EB9">
        <w:rPr>
          <w:bCs/>
          <w:lang w:val="fr-FR"/>
        </w:rPr>
        <w:t>entretien</w:t>
      </w:r>
      <w:bookmarkEnd w:id="25"/>
    </w:p>
    <w:p w14:paraId="40A50507" w14:textId="31110302" w:rsidR="000C2F3D" w:rsidRPr="00043E22" w:rsidRDefault="000C2F3D" w:rsidP="003A24CC">
      <w:pPr>
        <w:pStyle w:val="Normalnumber"/>
        <w:numPr>
          <w:ilvl w:val="0"/>
          <w:numId w:val="5"/>
        </w:numPr>
        <w:ind w:left="1247" w:firstLine="0"/>
        <w:rPr>
          <w:lang w:val="fr-FR"/>
        </w:rPr>
      </w:pPr>
      <w:r w:rsidRPr="00043E22">
        <w:rPr>
          <w:lang w:val="fr-FR"/>
        </w:rPr>
        <w:t xml:space="preserve">Il convient de mener des inspections périodiques </w:t>
      </w:r>
      <w:r w:rsidR="008675EA" w:rsidRPr="00043E22">
        <w:rPr>
          <w:lang w:val="fr-FR"/>
        </w:rPr>
        <w:t xml:space="preserve">pour </w:t>
      </w:r>
      <w:r w:rsidRPr="00043E22">
        <w:rPr>
          <w:lang w:val="fr-FR"/>
        </w:rPr>
        <w:t>veiller au bon état de l</w:t>
      </w:r>
      <w:r w:rsidR="006C05FA" w:rsidRPr="00043E22">
        <w:rPr>
          <w:lang w:val="fr-FR"/>
        </w:rPr>
        <w:t>’</w:t>
      </w:r>
      <w:r w:rsidRPr="00043E22">
        <w:rPr>
          <w:lang w:val="fr-FR"/>
        </w:rPr>
        <w:t>installation, et notamment de l</w:t>
      </w:r>
      <w:r w:rsidR="006C05FA" w:rsidRPr="00043E22">
        <w:rPr>
          <w:lang w:val="fr-FR"/>
        </w:rPr>
        <w:t>’</w:t>
      </w:r>
      <w:r w:rsidRPr="00043E22">
        <w:rPr>
          <w:lang w:val="fr-FR"/>
        </w:rPr>
        <w:t>ensemble des équipements. Ces inspections devraient inclure l</w:t>
      </w:r>
      <w:r w:rsidR="006C05FA" w:rsidRPr="00043E22">
        <w:rPr>
          <w:lang w:val="fr-FR"/>
        </w:rPr>
        <w:t>’</w:t>
      </w:r>
      <w:r w:rsidRPr="00043E22">
        <w:rPr>
          <w:lang w:val="fr-FR"/>
        </w:rPr>
        <w:t>examen des conteneurs, des zones de collecte des écoulements accidentels, des sols et des murs pour s</w:t>
      </w:r>
      <w:r w:rsidR="006C05FA" w:rsidRPr="00043E22">
        <w:rPr>
          <w:lang w:val="fr-FR"/>
        </w:rPr>
        <w:t>’</w:t>
      </w:r>
      <w:r w:rsidRPr="00043E22">
        <w:rPr>
          <w:lang w:val="fr-FR"/>
        </w:rPr>
        <w:t>assurer de l</w:t>
      </w:r>
      <w:r w:rsidR="006C05FA" w:rsidRPr="00043E22">
        <w:rPr>
          <w:lang w:val="fr-FR"/>
        </w:rPr>
        <w:t>’</w:t>
      </w:r>
      <w:r w:rsidRPr="00043E22">
        <w:rPr>
          <w:lang w:val="fr-FR"/>
        </w:rPr>
        <w:t xml:space="preserve">absence de rejets de mercure et de dégradations </w:t>
      </w:r>
      <w:r w:rsidR="008675EA" w:rsidRPr="00043E22">
        <w:rPr>
          <w:lang w:val="fr-FR"/>
        </w:rPr>
        <w:t>de l</w:t>
      </w:r>
      <w:r w:rsidR="006C05FA" w:rsidRPr="00043E22">
        <w:rPr>
          <w:lang w:val="fr-FR"/>
        </w:rPr>
        <w:t>’</w:t>
      </w:r>
      <w:r w:rsidR="008675EA" w:rsidRPr="00043E22">
        <w:rPr>
          <w:lang w:val="fr-FR"/>
        </w:rPr>
        <w:t>équipement et d</w:t>
      </w:r>
      <w:r w:rsidRPr="00043E22">
        <w:rPr>
          <w:lang w:val="fr-FR"/>
        </w:rPr>
        <w:t>es revêtements. La sécurité de</w:t>
      </w:r>
      <w:r w:rsidR="008675EA" w:rsidRPr="00043E22">
        <w:rPr>
          <w:lang w:val="fr-FR"/>
        </w:rPr>
        <w:t>s sites doit faire l</w:t>
      </w:r>
      <w:r w:rsidR="006C05FA" w:rsidRPr="00043E22">
        <w:rPr>
          <w:lang w:val="fr-FR"/>
        </w:rPr>
        <w:t>’</w:t>
      </w:r>
      <w:r w:rsidR="008675EA" w:rsidRPr="00043E22">
        <w:rPr>
          <w:lang w:val="fr-FR"/>
        </w:rPr>
        <w:t>objet d</w:t>
      </w:r>
      <w:r w:rsidR="006C05FA" w:rsidRPr="00043E22">
        <w:rPr>
          <w:lang w:val="fr-FR"/>
        </w:rPr>
        <w:t>’</w:t>
      </w:r>
      <w:r w:rsidR="008675EA" w:rsidRPr="00043E22">
        <w:rPr>
          <w:lang w:val="fr-FR"/>
        </w:rPr>
        <w:t>un contrôle</w:t>
      </w:r>
      <w:r w:rsidRPr="00043E22">
        <w:rPr>
          <w:lang w:val="fr-FR"/>
        </w:rPr>
        <w:t xml:space="preserve">. Le calendrier des inspections peut être dicté par les réglementations ou </w:t>
      </w:r>
      <w:r w:rsidR="003637EC" w:rsidRPr="00043E22">
        <w:rPr>
          <w:lang w:val="fr-FR"/>
        </w:rPr>
        <w:t xml:space="preserve">les </w:t>
      </w:r>
      <w:r w:rsidRPr="00043E22">
        <w:rPr>
          <w:lang w:val="fr-FR"/>
        </w:rPr>
        <w:t>instructions nationales, ou par le gérant de l</w:t>
      </w:r>
      <w:r w:rsidR="006C05FA" w:rsidRPr="00043E22">
        <w:rPr>
          <w:lang w:val="fr-FR"/>
        </w:rPr>
        <w:t>’</w:t>
      </w:r>
      <w:r w:rsidRPr="00043E22">
        <w:rPr>
          <w:lang w:val="fr-FR"/>
        </w:rPr>
        <w:t xml:space="preserve">installation. </w:t>
      </w:r>
      <w:r w:rsidR="008675EA" w:rsidRPr="00043E22">
        <w:rPr>
          <w:lang w:val="fr-FR"/>
        </w:rPr>
        <w:t>U</w:t>
      </w:r>
      <w:r w:rsidRPr="00043E22">
        <w:rPr>
          <w:lang w:val="fr-FR"/>
        </w:rPr>
        <w:t xml:space="preserve">n plan clair pour le calendrier de suivi périodique et de réparation avant la mise en </w:t>
      </w:r>
      <w:r w:rsidR="005B4530">
        <w:rPr>
          <w:lang w:val="fr-FR"/>
        </w:rPr>
        <w:t xml:space="preserve">service </w:t>
      </w:r>
      <w:r w:rsidRPr="00043E22">
        <w:rPr>
          <w:lang w:val="fr-FR"/>
        </w:rPr>
        <w:t>de l</w:t>
      </w:r>
      <w:r w:rsidR="006C05FA" w:rsidRPr="00043E22">
        <w:rPr>
          <w:lang w:val="fr-FR"/>
        </w:rPr>
        <w:t>’</w:t>
      </w:r>
      <w:r w:rsidRPr="00043E22">
        <w:rPr>
          <w:lang w:val="fr-FR"/>
        </w:rPr>
        <w:t>installation</w:t>
      </w:r>
      <w:r w:rsidR="008675EA" w:rsidRPr="00043E22">
        <w:rPr>
          <w:lang w:val="fr-FR"/>
        </w:rPr>
        <w:t xml:space="preserve"> devrait être établi</w:t>
      </w:r>
      <w:r w:rsidRPr="00043E22">
        <w:rPr>
          <w:lang w:val="fr-FR"/>
        </w:rPr>
        <w:t xml:space="preserve">. </w:t>
      </w:r>
      <w:r w:rsidR="00767E5B" w:rsidRPr="00043E22">
        <w:rPr>
          <w:lang w:val="fr-FR"/>
        </w:rPr>
        <w:t>Il </w:t>
      </w:r>
      <w:r w:rsidR="008675EA" w:rsidRPr="00043E22">
        <w:rPr>
          <w:lang w:val="fr-FR"/>
        </w:rPr>
        <w:t>convient d</w:t>
      </w:r>
      <w:r w:rsidR="006C05FA" w:rsidRPr="00043E22">
        <w:rPr>
          <w:lang w:val="fr-FR"/>
        </w:rPr>
        <w:t>’</w:t>
      </w:r>
      <w:r w:rsidR="008675EA" w:rsidRPr="00043E22">
        <w:rPr>
          <w:lang w:val="fr-FR"/>
        </w:rPr>
        <w:t xml:space="preserve">évaluer régulièrement </w:t>
      </w:r>
      <w:r w:rsidRPr="00043E22">
        <w:rPr>
          <w:lang w:val="fr-FR"/>
        </w:rPr>
        <w:t>l</w:t>
      </w:r>
      <w:r w:rsidR="006C05FA" w:rsidRPr="00043E22">
        <w:rPr>
          <w:lang w:val="fr-FR"/>
        </w:rPr>
        <w:t>’</w:t>
      </w:r>
      <w:r w:rsidRPr="00043E22">
        <w:rPr>
          <w:lang w:val="fr-FR"/>
        </w:rPr>
        <w:t>entretien courant et de tenir des registres détaillés des</w:t>
      </w:r>
      <w:r w:rsidR="008675EA" w:rsidRPr="00043E22">
        <w:rPr>
          <w:lang w:val="fr-FR"/>
        </w:rPr>
        <w:t xml:space="preserve"> inspections et de l</w:t>
      </w:r>
      <w:r w:rsidR="006C05FA" w:rsidRPr="00043E22">
        <w:rPr>
          <w:lang w:val="fr-FR"/>
        </w:rPr>
        <w:t>’</w:t>
      </w:r>
      <w:r w:rsidR="008675EA" w:rsidRPr="00043E22">
        <w:rPr>
          <w:lang w:val="fr-FR"/>
        </w:rPr>
        <w:t>entretien.</w:t>
      </w:r>
    </w:p>
    <w:p w14:paraId="15BEB18A" w14:textId="51D98EB6" w:rsidR="000C2F3D" w:rsidRPr="00E84EB9" w:rsidRDefault="000C2F3D" w:rsidP="00F474DD">
      <w:pPr>
        <w:pStyle w:val="Normalnumber"/>
        <w:numPr>
          <w:ilvl w:val="0"/>
          <w:numId w:val="5"/>
        </w:numPr>
        <w:ind w:left="1247" w:firstLine="0"/>
        <w:rPr>
          <w:lang w:val="fr-FR"/>
        </w:rPr>
      </w:pPr>
      <w:r w:rsidRPr="00E84EB9">
        <w:rPr>
          <w:lang w:val="fr-FR"/>
        </w:rPr>
        <w:t>Une surveillance de l</w:t>
      </w:r>
      <w:r w:rsidR="006C05FA">
        <w:rPr>
          <w:lang w:val="fr-FR"/>
        </w:rPr>
        <w:t>’</w:t>
      </w:r>
      <w:r w:rsidRPr="00E84EB9">
        <w:rPr>
          <w:lang w:val="fr-FR"/>
        </w:rPr>
        <w:t xml:space="preserve">air intérieur </w:t>
      </w:r>
      <w:r w:rsidR="008675EA" w:rsidRPr="00E84EB9">
        <w:rPr>
          <w:lang w:val="fr-FR"/>
        </w:rPr>
        <w:t xml:space="preserve">devrait </w:t>
      </w:r>
      <w:r w:rsidRPr="00E84EB9">
        <w:rPr>
          <w:lang w:val="fr-FR"/>
        </w:rPr>
        <w:t xml:space="preserve">être </w:t>
      </w:r>
      <w:r w:rsidR="00D00D60" w:rsidRPr="00E84EB9">
        <w:rPr>
          <w:lang w:val="fr-FR"/>
        </w:rPr>
        <w:t xml:space="preserve">envisagée </w:t>
      </w:r>
      <w:r w:rsidRPr="00E84EB9">
        <w:rPr>
          <w:lang w:val="fr-FR"/>
        </w:rPr>
        <w:t>pour rechercher les fuites et protéger les travailleurs sur le site. Ce genre de surveillance est parf</w:t>
      </w:r>
      <w:r w:rsidR="00D00D60" w:rsidRPr="00E84EB9">
        <w:rPr>
          <w:lang w:val="fr-FR"/>
        </w:rPr>
        <w:t>ois requis</w:t>
      </w:r>
      <w:r w:rsidRPr="00E84EB9">
        <w:rPr>
          <w:lang w:val="fr-FR"/>
        </w:rPr>
        <w:t xml:space="preserve"> </w:t>
      </w:r>
      <w:r w:rsidR="00C32D09" w:rsidRPr="00E84EB9">
        <w:rPr>
          <w:lang w:val="fr-FR"/>
        </w:rPr>
        <w:t xml:space="preserve">par </w:t>
      </w:r>
      <w:r w:rsidRPr="00E84EB9">
        <w:rPr>
          <w:lang w:val="fr-FR"/>
        </w:rPr>
        <w:t xml:space="preserve">la législation nationale ou locale. </w:t>
      </w:r>
      <w:r w:rsidR="00C32D09" w:rsidRPr="00E84EB9">
        <w:rPr>
          <w:lang w:val="fr-FR"/>
        </w:rPr>
        <w:t>U</w:t>
      </w:r>
      <w:r w:rsidRPr="00E84EB9">
        <w:rPr>
          <w:lang w:val="fr-FR"/>
        </w:rPr>
        <w:t>n système de surveillance continue de l</w:t>
      </w:r>
      <w:r w:rsidR="006C05FA">
        <w:rPr>
          <w:lang w:val="fr-FR"/>
        </w:rPr>
        <w:t>’</w:t>
      </w:r>
      <w:r w:rsidRPr="00E84EB9">
        <w:rPr>
          <w:lang w:val="fr-FR"/>
        </w:rPr>
        <w:t xml:space="preserve">air intérieur </w:t>
      </w:r>
      <w:r w:rsidR="00C32D09" w:rsidRPr="00E84EB9">
        <w:rPr>
          <w:lang w:val="fr-FR"/>
        </w:rPr>
        <w:t xml:space="preserve">pourrait être utilisé </w:t>
      </w:r>
      <w:r w:rsidRPr="00E84EB9">
        <w:rPr>
          <w:lang w:val="fr-FR"/>
        </w:rPr>
        <w:t xml:space="preserve">pour </w:t>
      </w:r>
      <w:r w:rsidR="00C32D09" w:rsidRPr="00E84EB9">
        <w:rPr>
          <w:lang w:val="fr-FR"/>
        </w:rPr>
        <w:t xml:space="preserve">la détection de </w:t>
      </w:r>
      <w:r w:rsidRPr="00E84EB9">
        <w:rPr>
          <w:lang w:val="fr-FR"/>
        </w:rPr>
        <w:t>fuites dans les meilleurs délais, avec des capteurs placés aux niveaux du sol et de la tête et des systèmes d</w:t>
      </w:r>
      <w:r w:rsidR="006C05FA">
        <w:rPr>
          <w:lang w:val="fr-FR"/>
        </w:rPr>
        <w:t>’</w:t>
      </w:r>
      <w:r w:rsidRPr="00E84EB9">
        <w:rPr>
          <w:lang w:val="fr-FR"/>
        </w:rPr>
        <w:t xml:space="preserve">alarme visuels et sonores. </w:t>
      </w:r>
      <w:r w:rsidR="00177AF2">
        <w:rPr>
          <w:lang w:val="fr-FR"/>
        </w:rPr>
        <w:t>P</w:t>
      </w:r>
      <w:r w:rsidRPr="00E84EB9">
        <w:rPr>
          <w:lang w:val="fr-FR"/>
        </w:rPr>
        <w:t xml:space="preserve">lusieurs systèmes de mesure continue </w:t>
      </w:r>
      <w:r w:rsidR="00177AF2">
        <w:rPr>
          <w:lang w:val="fr-FR"/>
        </w:rPr>
        <w:t xml:space="preserve">sont disponibles </w:t>
      </w:r>
      <w:r w:rsidRPr="00E84EB9">
        <w:rPr>
          <w:lang w:val="fr-FR"/>
        </w:rPr>
        <w:t>dans le commerce pour certains types de surveillance</w:t>
      </w:r>
      <w:r w:rsidR="00D00D60" w:rsidRPr="00E84EB9">
        <w:rPr>
          <w:lang w:val="fr-FR"/>
        </w:rPr>
        <w:t xml:space="preserve"> du mercure</w:t>
      </w:r>
      <w:r w:rsidRPr="00E84EB9">
        <w:rPr>
          <w:lang w:val="fr-FR"/>
        </w:rPr>
        <w:t>. Une autre méthode de surveillance appropriée consiste à prélever des échantillons dans l</w:t>
      </w:r>
      <w:r w:rsidR="006C05FA">
        <w:rPr>
          <w:lang w:val="fr-FR"/>
        </w:rPr>
        <w:t>’</w:t>
      </w:r>
      <w:r w:rsidRPr="00E84EB9">
        <w:rPr>
          <w:lang w:val="fr-FR"/>
        </w:rPr>
        <w:t xml:space="preserve">environnement du site. </w:t>
      </w:r>
      <w:r w:rsidR="00D00D60" w:rsidRPr="00E84EB9">
        <w:rPr>
          <w:lang w:val="fr-FR"/>
        </w:rPr>
        <w:t xml:space="preserve">En cas </w:t>
      </w:r>
      <w:r w:rsidRPr="00E84EB9">
        <w:rPr>
          <w:lang w:val="fr-FR"/>
        </w:rPr>
        <w:t>de détection de fuite, l</w:t>
      </w:r>
      <w:r w:rsidR="006C05FA">
        <w:rPr>
          <w:lang w:val="fr-FR"/>
        </w:rPr>
        <w:t>’</w:t>
      </w:r>
      <w:r w:rsidRPr="00E84EB9">
        <w:rPr>
          <w:lang w:val="fr-FR"/>
        </w:rPr>
        <w:t xml:space="preserve">opérateur devrait prendre immédiatement toutes les mesures nécessaires pour éviter </w:t>
      </w:r>
      <w:r w:rsidR="00C32D09" w:rsidRPr="00E84EB9">
        <w:rPr>
          <w:lang w:val="fr-FR"/>
        </w:rPr>
        <w:t>tout rejet</w:t>
      </w:r>
      <w:r w:rsidRPr="00E84EB9">
        <w:rPr>
          <w:lang w:val="fr-FR"/>
        </w:rPr>
        <w:t xml:space="preserve"> de mercure (UE, 2011).</w:t>
      </w:r>
    </w:p>
    <w:p w14:paraId="4FADC65C" w14:textId="7A4E092E" w:rsidR="000C2F3D" w:rsidRPr="00E84EB9" w:rsidRDefault="000C2F3D" w:rsidP="00F474DD">
      <w:pPr>
        <w:pStyle w:val="Normalnumber"/>
        <w:numPr>
          <w:ilvl w:val="0"/>
          <w:numId w:val="5"/>
        </w:numPr>
        <w:ind w:left="1247" w:firstLine="0"/>
        <w:rPr>
          <w:lang w:val="fr-FR"/>
        </w:rPr>
      </w:pPr>
      <w:r w:rsidRPr="00E84EB9">
        <w:rPr>
          <w:lang w:val="fr-FR"/>
        </w:rPr>
        <w:t>Les informations recueillies par l</w:t>
      </w:r>
      <w:r w:rsidR="006C05FA">
        <w:rPr>
          <w:lang w:val="fr-FR"/>
        </w:rPr>
        <w:t>’</w:t>
      </w:r>
      <w:r w:rsidRPr="00E84EB9">
        <w:rPr>
          <w:lang w:val="fr-FR"/>
        </w:rPr>
        <w:t xml:space="preserve">intermédiaire de la surveillance peuvent être utilisées pour déterminer si le stockage du mercure et des composés est </w:t>
      </w:r>
      <w:r w:rsidR="00D00D60" w:rsidRPr="00E84EB9">
        <w:rPr>
          <w:lang w:val="fr-FR"/>
        </w:rPr>
        <w:t xml:space="preserve">effectué </w:t>
      </w:r>
      <w:r w:rsidRPr="00E84EB9">
        <w:rPr>
          <w:lang w:val="fr-FR"/>
        </w:rPr>
        <w:t>correct</w:t>
      </w:r>
      <w:r w:rsidR="00D00D60" w:rsidRPr="00E84EB9">
        <w:rPr>
          <w:lang w:val="fr-FR"/>
        </w:rPr>
        <w:t>ement</w:t>
      </w:r>
      <w:r w:rsidRPr="00E84EB9">
        <w:rPr>
          <w:lang w:val="fr-FR"/>
        </w:rPr>
        <w:t xml:space="preserve">, </w:t>
      </w:r>
      <w:r w:rsidR="00050F92" w:rsidRPr="00E84EB9">
        <w:rPr>
          <w:lang w:val="fr-FR"/>
        </w:rPr>
        <w:t xml:space="preserve">pour </w:t>
      </w:r>
      <w:r w:rsidRPr="00E84EB9">
        <w:rPr>
          <w:lang w:val="fr-FR"/>
        </w:rPr>
        <w:t xml:space="preserve">mettre en évidence les problèmes potentiels </w:t>
      </w:r>
      <w:r w:rsidR="00D00D60" w:rsidRPr="00E84EB9">
        <w:rPr>
          <w:lang w:val="fr-FR"/>
        </w:rPr>
        <w:t xml:space="preserve">liés aux éventuels rejets ou </w:t>
      </w:r>
      <w:r w:rsidR="00DE2B60" w:rsidRPr="00E84EB9">
        <w:rPr>
          <w:lang w:val="fr-FR"/>
        </w:rPr>
        <w:t xml:space="preserve">émissions de mercure ou à une </w:t>
      </w:r>
      <w:r w:rsidRPr="00E84EB9">
        <w:rPr>
          <w:lang w:val="fr-FR"/>
        </w:rPr>
        <w:t xml:space="preserve">exposition au mercure, et </w:t>
      </w:r>
      <w:r w:rsidR="00050F92" w:rsidRPr="00E84EB9">
        <w:rPr>
          <w:lang w:val="fr-FR"/>
        </w:rPr>
        <w:t xml:space="preserve">pour </w:t>
      </w:r>
      <w:r w:rsidR="000A30CB">
        <w:rPr>
          <w:lang w:val="fr-FR"/>
        </w:rPr>
        <w:t>aid</w:t>
      </w:r>
      <w:r w:rsidRPr="00E84EB9">
        <w:rPr>
          <w:lang w:val="fr-FR"/>
        </w:rPr>
        <w:t>er à évaluer s</w:t>
      </w:r>
      <w:r w:rsidR="006C05FA">
        <w:rPr>
          <w:lang w:val="fr-FR"/>
        </w:rPr>
        <w:t>’</w:t>
      </w:r>
      <w:r w:rsidRPr="00E84EB9">
        <w:rPr>
          <w:lang w:val="fr-FR"/>
        </w:rPr>
        <w:t xml:space="preserve">il </w:t>
      </w:r>
      <w:r w:rsidR="00050F92" w:rsidRPr="00E84EB9">
        <w:rPr>
          <w:lang w:val="fr-FR"/>
        </w:rPr>
        <w:t xml:space="preserve">serait judicieux </w:t>
      </w:r>
      <w:r w:rsidRPr="00E84EB9">
        <w:rPr>
          <w:lang w:val="fr-FR"/>
        </w:rPr>
        <w:t>de modifier la méthode de gestion. Un programme de surveillance aider</w:t>
      </w:r>
      <w:r w:rsidR="00DE2B60" w:rsidRPr="00E84EB9">
        <w:rPr>
          <w:lang w:val="fr-FR"/>
        </w:rPr>
        <w:t>a</w:t>
      </w:r>
      <w:r w:rsidRPr="00E84EB9">
        <w:rPr>
          <w:lang w:val="fr-FR"/>
        </w:rPr>
        <w:t xml:space="preserve"> les gérants des installations à cerner les problèmes et à prendre les mesures requises pour y remédier. Tous les équipements, y compris le matériel de surveillance, devraient faire l</w:t>
      </w:r>
      <w:r w:rsidR="006C05FA">
        <w:rPr>
          <w:lang w:val="fr-FR"/>
        </w:rPr>
        <w:t>’</w:t>
      </w:r>
      <w:r w:rsidRPr="00E84EB9">
        <w:rPr>
          <w:lang w:val="fr-FR"/>
        </w:rPr>
        <w:t>objet d</w:t>
      </w:r>
      <w:r w:rsidR="006C05FA">
        <w:rPr>
          <w:lang w:val="fr-FR"/>
        </w:rPr>
        <w:t>’</w:t>
      </w:r>
      <w:r w:rsidRPr="00E84EB9">
        <w:rPr>
          <w:lang w:val="fr-FR"/>
        </w:rPr>
        <w:t>un entretien régulier, et notamment d</w:t>
      </w:r>
      <w:r w:rsidR="006C05FA">
        <w:rPr>
          <w:lang w:val="fr-FR"/>
        </w:rPr>
        <w:t>’</w:t>
      </w:r>
      <w:r w:rsidRPr="00E84EB9">
        <w:rPr>
          <w:lang w:val="fr-FR"/>
        </w:rPr>
        <w:t xml:space="preserve">essais permettant de vérifier que leur étalonnage est adéquat et leur fonctionnement </w:t>
      </w:r>
      <w:r w:rsidR="00050F92" w:rsidRPr="00E84EB9">
        <w:rPr>
          <w:lang w:val="fr-FR"/>
        </w:rPr>
        <w:t>correct</w:t>
      </w:r>
      <w:r w:rsidRPr="00E84EB9">
        <w:rPr>
          <w:lang w:val="fr-FR"/>
        </w:rPr>
        <w:t xml:space="preserve">. </w:t>
      </w:r>
      <w:r w:rsidR="00DE2B60" w:rsidRPr="00E84EB9">
        <w:rPr>
          <w:lang w:val="fr-FR"/>
        </w:rPr>
        <w:t xml:space="preserve">Une </w:t>
      </w:r>
      <w:r w:rsidRPr="00E84EB9">
        <w:rPr>
          <w:lang w:val="fr-FR"/>
        </w:rPr>
        <w:t xml:space="preserve">surveillance devrait également être menée dans les zones périphériques pour y détecter </w:t>
      </w:r>
      <w:r w:rsidR="00050F92" w:rsidRPr="00E84EB9">
        <w:rPr>
          <w:lang w:val="fr-FR"/>
        </w:rPr>
        <w:t>tout impact éventuel</w:t>
      </w:r>
      <w:r w:rsidRPr="00E84EB9">
        <w:rPr>
          <w:lang w:val="fr-FR"/>
        </w:rPr>
        <w:t>. Si les résultats font ressortir le dépassement de plafonds spécifiques, il conviendra d</w:t>
      </w:r>
      <w:r w:rsidR="006C05FA">
        <w:rPr>
          <w:lang w:val="fr-FR"/>
        </w:rPr>
        <w:t>’</w:t>
      </w:r>
      <w:r w:rsidRPr="00E84EB9">
        <w:rPr>
          <w:lang w:val="fr-FR"/>
        </w:rPr>
        <w:t xml:space="preserve">agir et/ou </w:t>
      </w:r>
      <w:r w:rsidR="00050F92" w:rsidRPr="00E84EB9">
        <w:rPr>
          <w:lang w:val="fr-FR"/>
        </w:rPr>
        <w:t>d</w:t>
      </w:r>
      <w:r w:rsidR="006C05FA">
        <w:rPr>
          <w:lang w:val="fr-FR"/>
        </w:rPr>
        <w:t>’</w:t>
      </w:r>
      <w:r w:rsidR="00050F92" w:rsidRPr="00E84EB9">
        <w:rPr>
          <w:lang w:val="fr-FR"/>
        </w:rPr>
        <w:t xml:space="preserve">appliquer </w:t>
      </w:r>
      <w:r w:rsidRPr="00E84EB9">
        <w:rPr>
          <w:lang w:val="fr-FR"/>
        </w:rPr>
        <w:t>des mesures correctives. Un plan d</w:t>
      </w:r>
      <w:r w:rsidR="006C05FA">
        <w:rPr>
          <w:lang w:val="fr-FR"/>
        </w:rPr>
        <w:t>’</w:t>
      </w:r>
      <w:r w:rsidRPr="00E84EB9">
        <w:rPr>
          <w:lang w:val="fr-FR"/>
        </w:rPr>
        <w:t>urg</w:t>
      </w:r>
      <w:r w:rsidR="00DE2B60" w:rsidRPr="00E84EB9">
        <w:rPr>
          <w:lang w:val="fr-FR"/>
        </w:rPr>
        <w:t>ence devrait être mis en place.</w:t>
      </w:r>
    </w:p>
    <w:p w14:paraId="589F9F59" w14:textId="2D0659EF" w:rsidR="000C2F3D" w:rsidRPr="00E84EB9" w:rsidRDefault="000C2F3D" w:rsidP="00F474DD">
      <w:pPr>
        <w:pStyle w:val="Normalnumber"/>
        <w:numPr>
          <w:ilvl w:val="0"/>
          <w:numId w:val="5"/>
        </w:numPr>
        <w:ind w:left="1247" w:firstLine="0"/>
        <w:rPr>
          <w:lang w:val="fr-FR"/>
        </w:rPr>
      </w:pPr>
      <w:r w:rsidRPr="00E84EB9">
        <w:rPr>
          <w:lang w:val="fr-FR"/>
        </w:rPr>
        <w:t xml:space="preserve">Un rapport sur le suivi des résultats devrait être transmis aux autorités publiques compétentes. Les gouvernements peuvent </w:t>
      </w:r>
      <w:r w:rsidR="00F36544">
        <w:rPr>
          <w:lang w:val="fr-FR"/>
        </w:rPr>
        <w:t>demand</w:t>
      </w:r>
      <w:r w:rsidR="00DE2B60" w:rsidRPr="00E84EB9">
        <w:rPr>
          <w:lang w:val="fr-FR"/>
        </w:rPr>
        <w:t xml:space="preserve">er </w:t>
      </w:r>
      <w:r w:rsidRPr="00E84EB9">
        <w:rPr>
          <w:lang w:val="fr-FR"/>
        </w:rPr>
        <w:t xml:space="preserve">un rapport </w:t>
      </w:r>
      <w:r w:rsidR="00F527EC" w:rsidRPr="00E84EB9">
        <w:rPr>
          <w:lang w:val="fr-FR"/>
        </w:rPr>
        <w:t xml:space="preserve">sur </w:t>
      </w:r>
      <w:r w:rsidRPr="00E84EB9">
        <w:rPr>
          <w:lang w:val="fr-FR"/>
        </w:rPr>
        <w:t xml:space="preserve">les </w:t>
      </w:r>
      <w:r w:rsidR="00F527EC" w:rsidRPr="00E84EB9">
        <w:rPr>
          <w:lang w:val="fr-FR"/>
        </w:rPr>
        <w:t xml:space="preserve">résultats </w:t>
      </w:r>
      <w:r w:rsidRPr="00E84EB9">
        <w:rPr>
          <w:lang w:val="fr-FR"/>
        </w:rPr>
        <w:t>des inspections, des contrôles et des mesures correctives. En outre, il conviendrait d</w:t>
      </w:r>
      <w:r w:rsidR="006C05FA">
        <w:rPr>
          <w:lang w:val="fr-FR"/>
        </w:rPr>
        <w:t>’</w:t>
      </w:r>
      <w:r w:rsidRPr="00E84EB9">
        <w:rPr>
          <w:lang w:val="fr-FR"/>
        </w:rPr>
        <w:t>établir un rapport annuel comportant les conclusions du programme de surveillance, une évaluation de ces conclusions, les mesures correctives éventuelles et l</w:t>
      </w:r>
      <w:r w:rsidR="006C05FA">
        <w:rPr>
          <w:lang w:val="fr-FR"/>
        </w:rPr>
        <w:t>’</w:t>
      </w:r>
      <w:r w:rsidRPr="00E84EB9">
        <w:rPr>
          <w:lang w:val="fr-FR"/>
        </w:rPr>
        <w:t xml:space="preserve">issue </w:t>
      </w:r>
      <w:r w:rsidR="00DE2B60" w:rsidRPr="00E84EB9">
        <w:rPr>
          <w:lang w:val="fr-FR"/>
        </w:rPr>
        <w:t>de ces mesures</w:t>
      </w:r>
      <w:r w:rsidRPr="00E84EB9">
        <w:rPr>
          <w:lang w:val="fr-FR"/>
        </w:rPr>
        <w:t>. Les données devraient être conservées pendant une période convenue.</w:t>
      </w:r>
    </w:p>
    <w:p w14:paraId="63EB1217" w14:textId="49F6F813" w:rsidR="00767E5B" w:rsidRPr="00767E5B" w:rsidRDefault="00767E5B" w:rsidP="00767E5B">
      <w:pPr>
        <w:pStyle w:val="CH2"/>
        <w:ind w:left="720" w:firstLine="0"/>
        <w:rPr>
          <w:lang w:val="fr-FR"/>
        </w:rPr>
      </w:pPr>
      <w:bookmarkStart w:id="26" w:name="_Toc520380787"/>
      <w:bookmarkStart w:id="27" w:name="_Toc527548243"/>
      <w:bookmarkEnd w:id="26"/>
      <w:r w:rsidRPr="00767E5B">
        <w:rPr>
          <w:lang w:val="fr-FR"/>
        </w:rPr>
        <w:t>G.</w:t>
      </w:r>
      <w:r w:rsidRPr="00767E5B">
        <w:rPr>
          <w:lang w:val="fr-FR"/>
        </w:rPr>
        <w:tab/>
      </w:r>
      <w:r w:rsidRPr="00E84EB9">
        <w:rPr>
          <w:bCs/>
          <w:lang w:val="fr-FR"/>
        </w:rPr>
        <w:t>Mesures d</w:t>
      </w:r>
      <w:r>
        <w:rPr>
          <w:bCs/>
          <w:lang w:val="fr-FR"/>
        </w:rPr>
        <w:t>’</w:t>
      </w:r>
      <w:r w:rsidRPr="00E84EB9">
        <w:rPr>
          <w:bCs/>
          <w:lang w:val="fr-FR"/>
        </w:rPr>
        <w:t>urgence, notamment équipements de protection individuelle</w:t>
      </w:r>
      <w:bookmarkEnd w:id="27"/>
    </w:p>
    <w:p w14:paraId="650ED4EC" w14:textId="119B19C3" w:rsidR="000C2F3D" w:rsidRPr="00E84EB9" w:rsidRDefault="000C2F3D" w:rsidP="00F474DD">
      <w:pPr>
        <w:pStyle w:val="Normalnumber"/>
        <w:numPr>
          <w:ilvl w:val="0"/>
          <w:numId w:val="5"/>
        </w:numPr>
        <w:ind w:left="1247" w:firstLine="0"/>
        <w:rPr>
          <w:lang w:val="fr-FR"/>
        </w:rPr>
      </w:pPr>
      <w:r w:rsidRPr="00E84EB9">
        <w:rPr>
          <w:lang w:val="fr-FR"/>
        </w:rPr>
        <w:t>Des plans et procédures propres au site devraient être élaborés pour mettre en œuvre les règles de sécurité fixées pour le stockage du mercure et des composés du mercure, conformément aux normes nationales et avec l</w:t>
      </w:r>
      <w:r w:rsidR="006C05FA">
        <w:rPr>
          <w:lang w:val="fr-FR"/>
        </w:rPr>
        <w:t>’</w:t>
      </w:r>
      <w:r w:rsidRPr="00E84EB9">
        <w:rPr>
          <w:lang w:val="fr-FR"/>
        </w:rPr>
        <w:t>approbation des autorités compétentes en matière de gestion de la sécurité et de l</w:t>
      </w:r>
      <w:r w:rsidR="006C05FA">
        <w:rPr>
          <w:lang w:val="fr-FR"/>
        </w:rPr>
        <w:t>’</w:t>
      </w:r>
      <w:r w:rsidRPr="00E84EB9">
        <w:rPr>
          <w:lang w:val="fr-FR"/>
        </w:rPr>
        <w:t>environnement. Un plan d</w:t>
      </w:r>
      <w:r w:rsidR="006C05FA">
        <w:rPr>
          <w:lang w:val="fr-FR"/>
        </w:rPr>
        <w:t>’</w:t>
      </w:r>
      <w:r w:rsidRPr="00E84EB9">
        <w:rPr>
          <w:lang w:val="fr-FR"/>
        </w:rPr>
        <w:t>urgence réaliste devrait se pencher sur l</w:t>
      </w:r>
      <w:r w:rsidR="006C05FA">
        <w:rPr>
          <w:lang w:val="fr-FR"/>
        </w:rPr>
        <w:t>’</w:t>
      </w:r>
      <w:r w:rsidRPr="00E84EB9">
        <w:rPr>
          <w:lang w:val="fr-FR"/>
        </w:rPr>
        <w:t>évacuation du public et les procédures à suivre en cas d</w:t>
      </w:r>
      <w:r w:rsidR="00ED4774">
        <w:rPr>
          <w:lang w:val="fr-FR"/>
        </w:rPr>
        <w:t>’act</w:t>
      </w:r>
      <w:r w:rsidRPr="00E84EB9">
        <w:rPr>
          <w:lang w:val="fr-FR"/>
        </w:rPr>
        <w:t>e terroris</w:t>
      </w:r>
      <w:r w:rsidR="00ED4774">
        <w:rPr>
          <w:lang w:val="fr-FR"/>
        </w:rPr>
        <w:t>t</w:t>
      </w:r>
      <w:r w:rsidRPr="00E84EB9">
        <w:rPr>
          <w:lang w:val="fr-FR"/>
        </w:rPr>
        <w:t>e, d</w:t>
      </w:r>
      <w:r w:rsidR="006C05FA">
        <w:rPr>
          <w:lang w:val="fr-FR"/>
        </w:rPr>
        <w:t>’</w:t>
      </w:r>
      <w:r w:rsidRPr="00E84EB9">
        <w:rPr>
          <w:lang w:val="fr-FR"/>
        </w:rPr>
        <w:t>incendie ou d</w:t>
      </w:r>
      <w:r w:rsidR="006C05FA">
        <w:rPr>
          <w:lang w:val="fr-FR"/>
        </w:rPr>
        <w:t>’</w:t>
      </w:r>
      <w:r w:rsidRPr="00E84EB9">
        <w:rPr>
          <w:lang w:val="fr-FR"/>
        </w:rPr>
        <w:t>autres sinistres susceptibles d</w:t>
      </w:r>
      <w:r w:rsidR="006C05FA">
        <w:rPr>
          <w:lang w:val="fr-FR"/>
        </w:rPr>
        <w:t>’</w:t>
      </w:r>
      <w:r w:rsidRPr="00E84EB9">
        <w:rPr>
          <w:lang w:val="fr-FR"/>
        </w:rPr>
        <w:t>entraîner d</w:t>
      </w:r>
      <w:r w:rsidR="006C05FA">
        <w:rPr>
          <w:lang w:val="fr-FR"/>
        </w:rPr>
        <w:t>’</w:t>
      </w:r>
      <w:r w:rsidRPr="00E84EB9">
        <w:rPr>
          <w:lang w:val="fr-FR"/>
        </w:rPr>
        <w:t>importants rejets de mercure, tant à l</w:t>
      </w:r>
      <w:r w:rsidR="006C05FA">
        <w:rPr>
          <w:lang w:val="fr-FR"/>
        </w:rPr>
        <w:t>’</w:t>
      </w:r>
      <w:r w:rsidRPr="00E84EB9">
        <w:rPr>
          <w:lang w:val="fr-FR"/>
        </w:rPr>
        <w:t>intérieur qu</w:t>
      </w:r>
      <w:r w:rsidR="006C05FA">
        <w:rPr>
          <w:lang w:val="fr-FR"/>
        </w:rPr>
        <w:t>’</w:t>
      </w:r>
      <w:r w:rsidRPr="00E84EB9">
        <w:rPr>
          <w:lang w:val="fr-FR"/>
        </w:rPr>
        <w:t>à l</w:t>
      </w:r>
      <w:r w:rsidR="006C05FA">
        <w:rPr>
          <w:lang w:val="fr-FR"/>
        </w:rPr>
        <w:t>’</w:t>
      </w:r>
      <w:r w:rsidRPr="00E84EB9">
        <w:rPr>
          <w:lang w:val="fr-FR"/>
        </w:rPr>
        <w:t>extérieur du périmètre de l</w:t>
      </w:r>
      <w:r w:rsidR="006C05FA">
        <w:rPr>
          <w:lang w:val="fr-FR"/>
        </w:rPr>
        <w:t>’</w:t>
      </w:r>
      <w:r w:rsidRPr="00E84EB9">
        <w:rPr>
          <w:lang w:val="fr-FR"/>
        </w:rPr>
        <w:t xml:space="preserve">installation. Un tel plan devrait être en </w:t>
      </w:r>
      <w:r w:rsidR="00ED4774">
        <w:rPr>
          <w:lang w:val="fr-FR"/>
        </w:rPr>
        <w:t>place</w:t>
      </w:r>
      <w:r w:rsidRPr="00E84EB9">
        <w:rPr>
          <w:lang w:val="fr-FR"/>
        </w:rPr>
        <w:t>, et déclenché immédiatement en cas de déversement accidentel ou d</w:t>
      </w:r>
      <w:r w:rsidR="006C05FA">
        <w:rPr>
          <w:lang w:val="fr-FR"/>
        </w:rPr>
        <w:t>’</w:t>
      </w:r>
      <w:r w:rsidRPr="00E84EB9">
        <w:rPr>
          <w:lang w:val="fr-FR"/>
        </w:rPr>
        <w:t>autres situations d</w:t>
      </w:r>
      <w:r w:rsidR="006C05FA">
        <w:rPr>
          <w:lang w:val="fr-FR"/>
        </w:rPr>
        <w:t>’</w:t>
      </w:r>
      <w:r w:rsidRPr="00E84EB9">
        <w:rPr>
          <w:lang w:val="fr-FR"/>
        </w:rPr>
        <w:t xml:space="preserve">urgence (QSC, 2003). </w:t>
      </w:r>
      <w:r w:rsidR="00197BE5" w:rsidRPr="00E84EB9">
        <w:rPr>
          <w:lang w:val="fr-FR"/>
        </w:rPr>
        <w:t>L</w:t>
      </w:r>
      <w:r w:rsidRPr="00E84EB9">
        <w:rPr>
          <w:lang w:val="fr-FR"/>
        </w:rPr>
        <w:t>es communautés voisines</w:t>
      </w:r>
      <w:r w:rsidR="00197BE5" w:rsidRPr="00E84EB9">
        <w:rPr>
          <w:lang w:val="fr-FR"/>
        </w:rPr>
        <w:t xml:space="preserve"> devraient avoir connaissance de ce plan et savoir comment </w:t>
      </w:r>
      <w:r w:rsidRPr="00E84EB9">
        <w:rPr>
          <w:lang w:val="fr-FR"/>
        </w:rPr>
        <w:t xml:space="preserve">suivre </w:t>
      </w:r>
      <w:r w:rsidR="00197BE5" w:rsidRPr="00E84EB9">
        <w:rPr>
          <w:lang w:val="fr-FR"/>
        </w:rPr>
        <w:t xml:space="preserve">son </w:t>
      </w:r>
      <w:r w:rsidRPr="00E84EB9">
        <w:rPr>
          <w:lang w:val="fr-FR"/>
        </w:rPr>
        <w:t>mode opératoire. Il convient de désigner une personne habilité</w:t>
      </w:r>
      <w:r w:rsidR="00197BE5" w:rsidRPr="00E84EB9">
        <w:rPr>
          <w:lang w:val="fr-FR"/>
        </w:rPr>
        <w:t>e</w:t>
      </w:r>
      <w:r w:rsidRPr="00E84EB9">
        <w:rPr>
          <w:lang w:val="fr-FR"/>
        </w:rPr>
        <w:t xml:space="preserve"> à autoriser la modification des proc</w:t>
      </w:r>
      <w:r w:rsidR="008849EE" w:rsidRPr="00E84EB9">
        <w:rPr>
          <w:lang w:val="fr-FR"/>
        </w:rPr>
        <w:t>édures de sécurité qui pourrait se révéler nécessaire</w:t>
      </w:r>
      <w:r w:rsidRPr="00E84EB9">
        <w:rPr>
          <w:lang w:val="fr-FR"/>
        </w:rPr>
        <w:t xml:space="preserve"> pour faciliter le travail du personnel d</w:t>
      </w:r>
      <w:r w:rsidR="006C05FA">
        <w:rPr>
          <w:lang w:val="fr-FR"/>
        </w:rPr>
        <w:t>’</w:t>
      </w:r>
      <w:r w:rsidRPr="00E84EB9">
        <w:rPr>
          <w:lang w:val="fr-FR"/>
        </w:rPr>
        <w:t>intervention d</w:t>
      </w:r>
      <w:r w:rsidR="006C05FA">
        <w:rPr>
          <w:lang w:val="fr-FR"/>
        </w:rPr>
        <w:t>’</w:t>
      </w:r>
      <w:r w:rsidRPr="00E84EB9">
        <w:rPr>
          <w:lang w:val="fr-FR"/>
        </w:rPr>
        <w:t>urgence en cas d</w:t>
      </w:r>
      <w:r w:rsidR="006C05FA">
        <w:rPr>
          <w:lang w:val="fr-FR"/>
        </w:rPr>
        <w:t>’</w:t>
      </w:r>
      <w:r w:rsidRPr="00E84EB9">
        <w:rPr>
          <w:lang w:val="fr-FR"/>
        </w:rPr>
        <w:t xml:space="preserve">incident. Un accès </w:t>
      </w:r>
      <w:r w:rsidR="008849EE" w:rsidRPr="00E84EB9">
        <w:rPr>
          <w:lang w:val="fr-FR"/>
        </w:rPr>
        <w:t xml:space="preserve">approprié </w:t>
      </w:r>
      <w:r w:rsidRPr="00E84EB9">
        <w:rPr>
          <w:lang w:val="fr-FR"/>
        </w:rPr>
        <w:t xml:space="preserve">à la zone </w:t>
      </w:r>
      <w:r w:rsidR="00197BE5" w:rsidRPr="00E84EB9">
        <w:rPr>
          <w:lang w:val="fr-FR"/>
        </w:rPr>
        <w:t>concernée devrait être garanti.</w:t>
      </w:r>
    </w:p>
    <w:p w14:paraId="050B501C" w14:textId="40D6C689" w:rsidR="000C2F3D" w:rsidRPr="00E84EB9" w:rsidRDefault="000C2F3D" w:rsidP="00F474DD">
      <w:pPr>
        <w:pStyle w:val="Normalnumber"/>
        <w:numPr>
          <w:ilvl w:val="0"/>
          <w:numId w:val="5"/>
        </w:numPr>
        <w:ind w:left="1247" w:firstLine="0"/>
        <w:rPr>
          <w:lang w:val="fr-FR"/>
        </w:rPr>
      </w:pPr>
      <w:r w:rsidRPr="00E84EB9">
        <w:rPr>
          <w:lang w:val="fr-FR"/>
        </w:rPr>
        <w:t xml:space="preserve">Les plans </w:t>
      </w:r>
      <w:r w:rsidR="00894CBA" w:rsidRPr="00E84EB9">
        <w:rPr>
          <w:lang w:val="fr-FR"/>
        </w:rPr>
        <w:t xml:space="preserve">ou </w:t>
      </w:r>
      <w:r w:rsidRPr="00E84EB9">
        <w:rPr>
          <w:lang w:val="fr-FR"/>
        </w:rPr>
        <w:t>procédures d</w:t>
      </w:r>
      <w:r w:rsidR="006C05FA">
        <w:rPr>
          <w:lang w:val="fr-FR"/>
        </w:rPr>
        <w:t>’</w:t>
      </w:r>
      <w:r w:rsidRPr="00E84EB9">
        <w:rPr>
          <w:lang w:val="fr-FR"/>
        </w:rPr>
        <w:t>intervention d</w:t>
      </w:r>
      <w:r w:rsidR="006C05FA">
        <w:rPr>
          <w:lang w:val="fr-FR"/>
        </w:rPr>
        <w:t>’</w:t>
      </w:r>
      <w:r w:rsidRPr="00E84EB9">
        <w:rPr>
          <w:lang w:val="fr-FR"/>
        </w:rPr>
        <w:t>urgence devraient respecter les prescriptions locales, régionales et nationales, et prévoir des procédures pour les premiers intervenants, notamment les pompiers, le personnel d</w:t>
      </w:r>
      <w:r w:rsidR="006C05FA">
        <w:rPr>
          <w:lang w:val="fr-FR"/>
        </w:rPr>
        <w:t>’</w:t>
      </w:r>
      <w:r w:rsidRPr="00E84EB9">
        <w:rPr>
          <w:lang w:val="fr-FR"/>
        </w:rPr>
        <w:t>intervention d</w:t>
      </w:r>
      <w:r w:rsidR="006C05FA">
        <w:rPr>
          <w:lang w:val="fr-FR"/>
        </w:rPr>
        <w:t>’</w:t>
      </w:r>
      <w:r w:rsidRPr="00E84EB9">
        <w:rPr>
          <w:lang w:val="fr-FR"/>
        </w:rPr>
        <w:t>urgence, les ambulanciers et les hôpitaux locaux (QSC, 2003). Bien qu</w:t>
      </w:r>
      <w:r w:rsidR="0090175F">
        <w:rPr>
          <w:lang w:val="fr-FR"/>
        </w:rPr>
        <w:t>’ils</w:t>
      </w:r>
      <w:r w:rsidRPr="00E84EB9">
        <w:rPr>
          <w:lang w:val="fr-FR"/>
        </w:rPr>
        <w:t xml:space="preserve"> puissent varier </w:t>
      </w:r>
      <w:r w:rsidR="00ED4774">
        <w:rPr>
          <w:lang w:val="fr-FR"/>
        </w:rPr>
        <w:t>en fonction de</w:t>
      </w:r>
      <w:r w:rsidRPr="00E84EB9">
        <w:rPr>
          <w:lang w:val="fr-FR"/>
        </w:rPr>
        <w:t xml:space="preserve"> l</w:t>
      </w:r>
      <w:r w:rsidR="00ED4774">
        <w:rPr>
          <w:lang w:val="fr-FR"/>
        </w:rPr>
        <w:t xml:space="preserve">’environnement </w:t>
      </w:r>
      <w:r w:rsidRPr="00E84EB9">
        <w:rPr>
          <w:lang w:val="fr-FR"/>
        </w:rPr>
        <w:t xml:space="preserve">physique et social de chaque site, </w:t>
      </w:r>
      <w:r w:rsidR="0090175F">
        <w:rPr>
          <w:lang w:val="fr-FR"/>
        </w:rPr>
        <w:t xml:space="preserve">leurs </w:t>
      </w:r>
      <w:r w:rsidR="00162640">
        <w:rPr>
          <w:lang w:val="fr-FR"/>
        </w:rPr>
        <w:t>principa</w:t>
      </w:r>
      <w:r w:rsidR="0090175F">
        <w:rPr>
          <w:lang w:val="fr-FR"/>
        </w:rPr>
        <w:t>ux élé</w:t>
      </w:r>
      <w:r w:rsidR="00162640">
        <w:rPr>
          <w:lang w:val="fr-FR"/>
        </w:rPr>
        <w:t>ment</w:t>
      </w:r>
      <w:r w:rsidR="0090175F">
        <w:rPr>
          <w:lang w:val="fr-FR"/>
        </w:rPr>
        <w:t>s sont généralement</w:t>
      </w:r>
      <w:r w:rsidR="00162640">
        <w:rPr>
          <w:lang w:val="fr-FR"/>
        </w:rPr>
        <w:t xml:space="preserve"> </w:t>
      </w:r>
      <w:r w:rsidRPr="00E84EB9">
        <w:rPr>
          <w:lang w:val="fr-FR"/>
        </w:rPr>
        <w:t>l</w:t>
      </w:r>
      <w:r w:rsidR="006C05FA">
        <w:rPr>
          <w:lang w:val="fr-FR"/>
        </w:rPr>
        <w:t>’</w:t>
      </w:r>
      <w:r w:rsidRPr="00E84EB9">
        <w:rPr>
          <w:lang w:val="fr-FR"/>
        </w:rPr>
        <w:t xml:space="preserve">identification des dangers potentiels, la législation régissant </w:t>
      </w:r>
      <w:r w:rsidR="0090175F">
        <w:rPr>
          <w:lang w:val="fr-FR"/>
        </w:rPr>
        <w:t>l</w:t>
      </w:r>
      <w:r w:rsidRPr="00E84EB9">
        <w:rPr>
          <w:lang w:val="fr-FR"/>
        </w:rPr>
        <w:t>es plans d</w:t>
      </w:r>
      <w:r w:rsidR="006C05FA">
        <w:rPr>
          <w:lang w:val="fr-FR"/>
        </w:rPr>
        <w:t>’</w:t>
      </w:r>
      <w:r w:rsidRPr="00E84EB9">
        <w:rPr>
          <w:lang w:val="fr-FR"/>
        </w:rPr>
        <w:t>intervention, les mesu</w:t>
      </w:r>
      <w:r w:rsidR="009F5476" w:rsidRPr="00E84EB9">
        <w:rPr>
          <w:lang w:val="fr-FR"/>
        </w:rPr>
        <w:t>res à prendre en cas d</w:t>
      </w:r>
      <w:r w:rsidR="006C05FA">
        <w:rPr>
          <w:lang w:val="fr-FR"/>
        </w:rPr>
        <w:t>’</w:t>
      </w:r>
      <w:r w:rsidR="009F5476" w:rsidRPr="00E84EB9">
        <w:rPr>
          <w:lang w:val="fr-FR"/>
        </w:rPr>
        <w:t>urgence</w:t>
      </w:r>
      <w:r w:rsidR="00894CBA" w:rsidRPr="00E84EB9">
        <w:rPr>
          <w:lang w:val="fr-FR"/>
        </w:rPr>
        <w:t xml:space="preserve"> – notamment les mesures d</w:t>
      </w:r>
      <w:r w:rsidR="006C05FA">
        <w:rPr>
          <w:lang w:val="fr-FR"/>
        </w:rPr>
        <w:t>’</w:t>
      </w:r>
      <w:r w:rsidR="00894CBA" w:rsidRPr="00E84EB9">
        <w:rPr>
          <w:lang w:val="fr-FR"/>
        </w:rPr>
        <w:t>atténuation –</w:t>
      </w:r>
      <w:r w:rsidRPr="00E84EB9">
        <w:rPr>
          <w:lang w:val="fr-FR"/>
        </w:rPr>
        <w:t xml:space="preserve">, les programmes de formation du personnel, les objectifs de communication (pompiers, police, communautés avoisinantes, administrations locales, etc.) et les procédures à suivre en cas </w:t>
      </w:r>
      <w:r w:rsidR="001E29FE" w:rsidRPr="00E84EB9">
        <w:rPr>
          <w:lang w:val="fr-FR"/>
        </w:rPr>
        <w:t>d</w:t>
      </w:r>
      <w:r w:rsidR="006C05FA">
        <w:rPr>
          <w:lang w:val="fr-FR"/>
        </w:rPr>
        <w:t>’</w:t>
      </w:r>
      <w:r w:rsidR="001E29FE" w:rsidRPr="00E84EB9">
        <w:rPr>
          <w:lang w:val="fr-FR"/>
        </w:rPr>
        <w:t>incidents</w:t>
      </w:r>
      <w:r w:rsidRPr="00E84EB9">
        <w:rPr>
          <w:lang w:val="fr-FR"/>
        </w:rPr>
        <w:t xml:space="preserve">, ainsi que les méthodes et la fréquence des tests des équipements </w:t>
      </w:r>
      <w:r w:rsidR="00894CBA" w:rsidRPr="00E84EB9">
        <w:rPr>
          <w:lang w:val="fr-FR"/>
        </w:rPr>
        <w:t>d</w:t>
      </w:r>
      <w:r w:rsidR="006C05FA">
        <w:rPr>
          <w:lang w:val="fr-FR"/>
        </w:rPr>
        <w:t>’</w:t>
      </w:r>
      <w:r w:rsidR="00894CBA" w:rsidRPr="00E84EB9">
        <w:rPr>
          <w:lang w:val="fr-FR"/>
        </w:rPr>
        <w:t>intervention d</w:t>
      </w:r>
      <w:r w:rsidR="006C05FA">
        <w:rPr>
          <w:lang w:val="fr-FR"/>
        </w:rPr>
        <w:t>’</w:t>
      </w:r>
      <w:r w:rsidR="00894CBA" w:rsidRPr="00E84EB9">
        <w:rPr>
          <w:lang w:val="fr-FR"/>
        </w:rPr>
        <w:t>urgence</w:t>
      </w:r>
      <w:r w:rsidRPr="00E84EB9">
        <w:rPr>
          <w:lang w:val="fr-FR"/>
        </w:rPr>
        <w:t xml:space="preserve">. </w:t>
      </w:r>
      <w:r w:rsidR="0090175F" w:rsidRPr="00B43873">
        <w:rPr>
          <w:lang w:val="fr-FR"/>
        </w:rPr>
        <w:t>Des exercices pratiques d’intervention d’urgence devraient être organisés</w:t>
      </w:r>
      <w:r w:rsidR="0090175F">
        <w:rPr>
          <w:lang w:val="fr-FR"/>
        </w:rPr>
        <w:t>.</w:t>
      </w:r>
    </w:p>
    <w:p w14:paraId="1E0CE4A4" w14:textId="59152C09" w:rsidR="000C2F3D" w:rsidRPr="00E84EB9" w:rsidRDefault="000C2F3D" w:rsidP="00F474DD">
      <w:pPr>
        <w:pStyle w:val="Normalnumber"/>
        <w:numPr>
          <w:ilvl w:val="0"/>
          <w:numId w:val="5"/>
        </w:numPr>
        <w:ind w:left="1247" w:firstLine="0"/>
        <w:rPr>
          <w:lang w:val="fr-FR"/>
        </w:rPr>
      </w:pPr>
      <w:r w:rsidRPr="00E84EB9">
        <w:rPr>
          <w:lang w:val="fr-FR"/>
        </w:rPr>
        <w:lastRenderedPageBreak/>
        <w:t>Les plans et procédures d</w:t>
      </w:r>
      <w:r w:rsidR="006C05FA">
        <w:rPr>
          <w:lang w:val="fr-FR"/>
        </w:rPr>
        <w:t>’</w:t>
      </w:r>
      <w:r w:rsidRPr="00E84EB9">
        <w:rPr>
          <w:lang w:val="fr-FR"/>
        </w:rPr>
        <w:t>intervention d</w:t>
      </w:r>
      <w:r w:rsidR="006C05FA">
        <w:rPr>
          <w:lang w:val="fr-FR"/>
        </w:rPr>
        <w:t>’</w:t>
      </w:r>
      <w:r w:rsidRPr="00E84EB9">
        <w:rPr>
          <w:lang w:val="fr-FR"/>
        </w:rPr>
        <w:t xml:space="preserve">urgence devraient couvrir un certain nombre de scénarios différents, </w:t>
      </w:r>
      <w:r w:rsidR="0090175F" w:rsidRPr="00B43873">
        <w:rPr>
          <w:lang w:val="fr-FR"/>
        </w:rPr>
        <w:t>qui pourraient, entre autres, être les suivants :</w:t>
      </w:r>
    </w:p>
    <w:p w14:paraId="6FAC3055" w14:textId="79F6F9B1" w:rsidR="000C2F3D" w:rsidRPr="00E84EB9" w:rsidRDefault="0090175F" w:rsidP="0029020B">
      <w:pPr>
        <w:pStyle w:val="Normalnumber"/>
        <w:numPr>
          <w:ilvl w:val="1"/>
          <w:numId w:val="12"/>
        </w:numPr>
        <w:ind w:left="1247" w:firstLine="624"/>
        <w:rPr>
          <w:lang w:val="fr-FR"/>
        </w:rPr>
      </w:pPr>
      <w:r>
        <w:rPr>
          <w:lang w:val="fr-FR"/>
        </w:rPr>
        <w:t>E</w:t>
      </w:r>
      <w:r w:rsidR="00894CBA" w:rsidRPr="00E84EB9">
        <w:rPr>
          <w:lang w:val="fr-FR"/>
        </w:rPr>
        <w:t xml:space="preserve">ndommagement </w:t>
      </w:r>
      <w:r w:rsidR="000C2F3D" w:rsidRPr="00E84EB9">
        <w:rPr>
          <w:lang w:val="fr-FR"/>
        </w:rPr>
        <w:t xml:space="preserve">de conteneurs de stockage </w:t>
      </w:r>
      <w:r>
        <w:rPr>
          <w:lang w:val="fr-FR"/>
        </w:rPr>
        <w:t>au cours de</w:t>
      </w:r>
      <w:r w:rsidR="000C2F3D" w:rsidRPr="00E84EB9">
        <w:rPr>
          <w:lang w:val="fr-FR"/>
        </w:rPr>
        <w:t xml:space="preserve"> leur </w:t>
      </w:r>
      <w:r w:rsidR="002877EF">
        <w:rPr>
          <w:lang w:val="fr-FR"/>
        </w:rPr>
        <w:t>manutention</w:t>
      </w:r>
      <w:r w:rsidR="000C2F3D" w:rsidRPr="00E84EB9">
        <w:rPr>
          <w:lang w:val="fr-FR"/>
        </w:rPr>
        <w:t xml:space="preserve">, une distinction </w:t>
      </w:r>
      <w:r>
        <w:rPr>
          <w:lang w:val="fr-FR"/>
        </w:rPr>
        <w:t xml:space="preserve">étant faite </w:t>
      </w:r>
      <w:r w:rsidR="000C2F3D" w:rsidRPr="00E84EB9">
        <w:rPr>
          <w:lang w:val="fr-FR"/>
        </w:rPr>
        <w:t>entre dégâts mineurs et majeurs (ruptur</w:t>
      </w:r>
      <w:r w:rsidR="001D788E" w:rsidRPr="00E84EB9">
        <w:rPr>
          <w:lang w:val="fr-FR"/>
        </w:rPr>
        <w:t>e des scellés sur un conteneur</w:t>
      </w:r>
      <w:r w:rsidR="001E29FE" w:rsidRPr="00E84EB9">
        <w:rPr>
          <w:lang w:val="fr-FR"/>
        </w:rPr>
        <w:t>, par exemple</w:t>
      </w:r>
      <w:r w:rsidR="001D788E" w:rsidRPr="00E84EB9">
        <w:rPr>
          <w:lang w:val="fr-FR"/>
        </w:rPr>
        <w:t>) </w:t>
      </w:r>
      <w:r w:rsidR="000C2F3D" w:rsidRPr="00E84EB9">
        <w:rPr>
          <w:lang w:val="fr-FR"/>
        </w:rPr>
        <w:t>;</w:t>
      </w:r>
    </w:p>
    <w:p w14:paraId="3BC71508" w14:textId="159666AF" w:rsidR="000C2F3D" w:rsidRPr="00E84EB9" w:rsidRDefault="0090175F" w:rsidP="0029020B">
      <w:pPr>
        <w:pStyle w:val="Normalnumber"/>
        <w:numPr>
          <w:ilvl w:val="1"/>
          <w:numId w:val="12"/>
        </w:numPr>
        <w:ind w:left="1247" w:firstLine="624"/>
        <w:rPr>
          <w:lang w:val="fr-FR"/>
        </w:rPr>
      </w:pPr>
      <w:r>
        <w:rPr>
          <w:lang w:val="fr-FR"/>
        </w:rPr>
        <w:t>D</w:t>
      </w:r>
      <w:r w:rsidR="000C2F3D" w:rsidRPr="00E84EB9">
        <w:rPr>
          <w:lang w:val="fr-FR"/>
        </w:rPr>
        <w:t>écouverte d</w:t>
      </w:r>
      <w:r w:rsidR="006C05FA">
        <w:rPr>
          <w:lang w:val="fr-FR"/>
        </w:rPr>
        <w:t>’</w:t>
      </w:r>
      <w:r w:rsidR="000C2F3D" w:rsidRPr="00E84EB9">
        <w:rPr>
          <w:lang w:val="fr-FR"/>
        </w:rPr>
        <w:t xml:space="preserve">une fuite dans un conteneur </w:t>
      </w:r>
      <w:r w:rsidR="001E29FE" w:rsidRPr="00E84EB9">
        <w:rPr>
          <w:lang w:val="fr-FR"/>
        </w:rPr>
        <w:t>lors d</w:t>
      </w:r>
      <w:r w:rsidR="006C05FA">
        <w:rPr>
          <w:lang w:val="fr-FR"/>
        </w:rPr>
        <w:t>’</w:t>
      </w:r>
      <w:r w:rsidR="001D788E" w:rsidRPr="00E84EB9">
        <w:rPr>
          <w:lang w:val="fr-FR"/>
        </w:rPr>
        <w:t>une inspection de routine </w:t>
      </w:r>
      <w:r w:rsidR="000C2F3D" w:rsidRPr="00E84EB9">
        <w:rPr>
          <w:lang w:val="fr-FR"/>
        </w:rPr>
        <w:t>;</w:t>
      </w:r>
    </w:p>
    <w:p w14:paraId="5F7E99F6" w14:textId="373528FE" w:rsidR="000C2F3D" w:rsidRPr="00E84EB9" w:rsidRDefault="0090175F" w:rsidP="0029020B">
      <w:pPr>
        <w:pStyle w:val="Normalnumber"/>
        <w:numPr>
          <w:ilvl w:val="1"/>
          <w:numId w:val="12"/>
        </w:numPr>
        <w:ind w:left="1247" w:firstLine="624"/>
        <w:rPr>
          <w:lang w:val="fr-FR"/>
        </w:rPr>
      </w:pPr>
      <w:r>
        <w:rPr>
          <w:lang w:val="fr-FR"/>
        </w:rPr>
        <w:t>R</w:t>
      </w:r>
      <w:r w:rsidR="000C2F3D" w:rsidRPr="00E84EB9">
        <w:rPr>
          <w:lang w:val="fr-FR"/>
        </w:rPr>
        <w:t xml:space="preserve">ejets </w:t>
      </w:r>
      <w:r w:rsidR="001D788E" w:rsidRPr="00E84EB9">
        <w:rPr>
          <w:lang w:val="fr-FR"/>
        </w:rPr>
        <w:t xml:space="preserve">se produisant </w:t>
      </w:r>
      <w:r w:rsidR="000C2F3D" w:rsidRPr="00E84EB9">
        <w:rPr>
          <w:lang w:val="fr-FR"/>
        </w:rPr>
        <w:t xml:space="preserve">durant des opérations </w:t>
      </w:r>
      <w:r w:rsidR="001D788E" w:rsidRPr="00E84EB9">
        <w:rPr>
          <w:lang w:val="fr-FR"/>
        </w:rPr>
        <w:t>de reconditionnement </w:t>
      </w:r>
      <w:r w:rsidR="000C2F3D" w:rsidRPr="00E84EB9">
        <w:rPr>
          <w:lang w:val="fr-FR"/>
        </w:rPr>
        <w:t>; et</w:t>
      </w:r>
    </w:p>
    <w:p w14:paraId="16E56C34" w14:textId="5E06F14A" w:rsidR="000C2F3D" w:rsidRPr="00E84EB9" w:rsidRDefault="0090175F" w:rsidP="0029020B">
      <w:pPr>
        <w:pStyle w:val="Normalnumber"/>
        <w:numPr>
          <w:ilvl w:val="1"/>
          <w:numId w:val="12"/>
        </w:numPr>
        <w:ind w:left="1247" w:firstLine="624"/>
        <w:rPr>
          <w:lang w:val="fr-FR"/>
        </w:rPr>
      </w:pPr>
      <w:r>
        <w:rPr>
          <w:lang w:val="fr-FR"/>
        </w:rPr>
        <w:t>D</w:t>
      </w:r>
      <w:r w:rsidR="000C2F3D" w:rsidRPr="00E84EB9">
        <w:rPr>
          <w:lang w:val="fr-FR"/>
        </w:rPr>
        <w:t>égâts causés à l</w:t>
      </w:r>
      <w:r w:rsidR="006C05FA">
        <w:rPr>
          <w:lang w:val="fr-FR"/>
        </w:rPr>
        <w:t>’</w:t>
      </w:r>
      <w:r w:rsidR="000C2F3D" w:rsidRPr="00E84EB9">
        <w:rPr>
          <w:lang w:val="fr-FR"/>
        </w:rPr>
        <w:t>installation de stockage proprement dite (en raison d</w:t>
      </w:r>
      <w:r w:rsidR="006C05FA">
        <w:rPr>
          <w:lang w:val="fr-FR"/>
        </w:rPr>
        <w:t>’</w:t>
      </w:r>
      <w:r>
        <w:rPr>
          <w:lang w:val="fr-FR"/>
        </w:rPr>
        <w:t xml:space="preserve">une </w:t>
      </w:r>
      <w:r w:rsidR="000C2F3D" w:rsidRPr="00E84EB9">
        <w:rPr>
          <w:lang w:val="fr-FR"/>
        </w:rPr>
        <w:t>inondation, d</w:t>
      </w:r>
      <w:r w:rsidR="006C05FA">
        <w:rPr>
          <w:lang w:val="fr-FR"/>
        </w:rPr>
        <w:t>’</w:t>
      </w:r>
      <w:r>
        <w:rPr>
          <w:lang w:val="fr-FR"/>
        </w:rPr>
        <w:t xml:space="preserve">un </w:t>
      </w:r>
      <w:r w:rsidR="000C2F3D" w:rsidRPr="00E84EB9">
        <w:rPr>
          <w:lang w:val="fr-FR"/>
        </w:rPr>
        <w:t>incendie, de</w:t>
      </w:r>
      <w:r w:rsidR="001D788E" w:rsidRPr="00E84EB9">
        <w:rPr>
          <w:lang w:val="fr-FR"/>
        </w:rPr>
        <w:t xml:space="preserve"> </w:t>
      </w:r>
      <w:r w:rsidR="000C2F3D" w:rsidRPr="00E84EB9">
        <w:rPr>
          <w:lang w:val="fr-FR"/>
        </w:rPr>
        <w:t>conditions météorolo</w:t>
      </w:r>
      <w:r w:rsidR="001D788E" w:rsidRPr="00E84EB9">
        <w:rPr>
          <w:lang w:val="fr-FR"/>
        </w:rPr>
        <w:t xml:space="preserve">giques extrêmement défavorables, </w:t>
      </w:r>
      <w:r w:rsidR="000C2F3D" w:rsidRPr="00E84EB9">
        <w:rPr>
          <w:lang w:val="fr-FR"/>
        </w:rPr>
        <w:t>d</w:t>
      </w:r>
      <w:r w:rsidR="006C05FA">
        <w:rPr>
          <w:lang w:val="fr-FR"/>
        </w:rPr>
        <w:t>’</w:t>
      </w:r>
      <w:r w:rsidR="000C2F3D" w:rsidRPr="00E84EB9">
        <w:rPr>
          <w:lang w:val="fr-FR"/>
        </w:rPr>
        <w:t xml:space="preserve">un accident grave ou </w:t>
      </w:r>
      <w:r>
        <w:rPr>
          <w:lang w:val="fr-FR"/>
        </w:rPr>
        <w:t xml:space="preserve">d’un acte </w:t>
      </w:r>
      <w:r w:rsidR="000C2F3D" w:rsidRPr="00E84EB9">
        <w:rPr>
          <w:lang w:val="fr-FR"/>
        </w:rPr>
        <w:t>de vandalisme compromettant l</w:t>
      </w:r>
      <w:r w:rsidR="006C05FA">
        <w:rPr>
          <w:lang w:val="fr-FR"/>
        </w:rPr>
        <w:t>’</w:t>
      </w:r>
      <w:r w:rsidR="000C2F3D" w:rsidRPr="00E84EB9">
        <w:rPr>
          <w:lang w:val="fr-FR"/>
        </w:rPr>
        <w:t>intégrité physique de l</w:t>
      </w:r>
      <w:r w:rsidR="006C05FA">
        <w:rPr>
          <w:lang w:val="fr-FR"/>
        </w:rPr>
        <w:t>’</w:t>
      </w:r>
      <w:r w:rsidR="000C2F3D" w:rsidRPr="00E84EB9">
        <w:rPr>
          <w:lang w:val="fr-FR"/>
        </w:rPr>
        <w:t>installation).</w:t>
      </w:r>
    </w:p>
    <w:p w14:paraId="7A74C7B3" w14:textId="7C1A9C22" w:rsidR="000C2F3D" w:rsidRPr="00E84EB9" w:rsidRDefault="000C2F3D" w:rsidP="00F474DD">
      <w:pPr>
        <w:pStyle w:val="Normalnumber"/>
        <w:numPr>
          <w:ilvl w:val="0"/>
          <w:numId w:val="5"/>
        </w:numPr>
        <w:ind w:left="1247" w:firstLine="0"/>
        <w:rPr>
          <w:lang w:val="fr-FR"/>
        </w:rPr>
      </w:pPr>
      <w:r w:rsidRPr="00E84EB9">
        <w:rPr>
          <w:lang w:val="fr-FR"/>
        </w:rPr>
        <w:t>Pour chaque scénario, les conseils en matière d</w:t>
      </w:r>
      <w:r w:rsidR="006C05FA">
        <w:rPr>
          <w:lang w:val="fr-FR"/>
        </w:rPr>
        <w:t>’</w:t>
      </w:r>
      <w:r w:rsidR="001D788E" w:rsidRPr="00E84EB9">
        <w:rPr>
          <w:lang w:val="fr-FR"/>
        </w:rPr>
        <w:t>intervention devraient préciser </w:t>
      </w:r>
      <w:r w:rsidRPr="00E84EB9">
        <w:rPr>
          <w:lang w:val="fr-FR"/>
        </w:rPr>
        <w:t xml:space="preserve">: </w:t>
      </w:r>
    </w:p>
    <w:p w14:paraId="6D1E22CC" w14:textId="3507C002" w:rsidR="000C2F3D" w:rsidRPr="00E84EB9" w:rsidRDefault="0090175F" w:rsidP="0029020B">
      <w:pPr>
        <w:pStyle w:val="Normalnumber"/>
        <w:numPr>
          <w:ilvl w:val="1"/>
          <w:numId w:val="13"/>
        </w:numPr>
        <w:ind w:left="1247" w:firstLine="624"/>
        <w:rPr>
          <w:lang w:val="fr-FR"/>
        </w:rPr>
      </w:pPr>
      <w:r w:rsidRPr="00E84EB9">
        <w:rPr>
          <w:lang w:val="fr-FR"/>
        </w:rPr>
        <w:t>L</w:t>
      </w:r>
      <w:r>
        <w:rPr>
          <w:lang w:val="fr-FR"/>
        </w:rPr>
        <w:t>’</w:t>
      </w:r>
      <w:r w:rsidRPr="00E84EB9">
        <w:rPr>
          <w:lang w:val="fr-FR"/>
        </w:rPr>
        <w:t xml:space="preserve">équipement </w:t>
      </w:r>
      <w:r w:rsidR="000C2F3D" w:rsidRPr="00E84EB9">
        <w:rPr>
          <w:lang w:val="fr-FR"/>
        </w:rPr>
        <w:t>et les procédures nécessaires pour faire face aux rejets et au type de me</w:t>
      </w:r>
      <w:r w:rsidR="001D788E" w:rsidRPr="00E84EB9">
        <w:rPr>
          <w:lang w:val="fr-FR"/>
        </w:rPr>
        <w:t>rcure ou de composés du mercure</w:t>
      </w:r>
      <w:r>
        <w:rPr>
          <w:lang w:val="fr-FR"/>
        </w:rPr>
        <w:t xml:space="preserve"> concerné</w:t>
      </w:r>
      <w:r w:rsidR="001D788E" w:rsidRPr="00E84EB9">
        <w:rPr>
          <w:lang w:val="fr-FR"/>
        </w:rPr>
        <w:t> </w:t>
      </w:r>
      <w:r w:rsidR="000C2F3D" w:rsidRPr="00E84EB9">
        <w:rPr>
          <w:lang w:val="fr-FR"/>
        </w:rPr>
        <w:t>;</w:t>
      </w:r>
    </w:p>
    <w:p w14:paraId="3829E738" w14:textId="4FBDEAB2" w:rsidR="000C2F3D" w:rsidRPr="00E84EB9" w:rsidRDefault="0090175F" w:rsidP="0029020B">
      <w:pPr>
        <w:pStyle w:val="Normalnumber"/>
        <w:numPr>
          <w:ilvl w:val="1"/>
          <w:numId w:val="13"/>
        </w:numPr>
        <w:ind w:left="1247" w:firstLine="624"/>
        <w:rPr>
          <w:lang w:val="fr-FR"/>
        </w:rPr>
      </w:pPr>
      <w:r w:rsidRPr="00E84EB9">
        <w:rPr>
          <w:lang w:val="fr-FR"/>
        </w:rPr>
        <w:t>L</w:t>
      </w:r>
      <w:r>
        <w:rPr>
          <w:lang w:val="fr-FR"/>
        </w:rPr>
        <w:t>’</w:t>
      </w:r>
      <w:r w:rsidRPr="00E84EB9">
        <w:rPr>
          <w:lang w:val="fr-FR"/>
        </w:rPr>
        <w:t xml:space="preserve">employé </w:t>
      </w:r>
      <w:r w:rsidR="000C2F3D" w:rsidRPr="00E84EB9">
        <w:rPr>
          <w:lang w:val="fr-FR"/>
        </w:rPr>
        <w:t xml:space="preserve">préposé aux premiers soins et/ou le premier intervenant officiel qui se </w:t>
      </w:r>
      <w:r w:rsidR="001D788E" w:rsidRPr="00E84EB9">
        <w:rPr>
          <w:lang w:val="fr-FR"/>
        </w:rPr>
        <w:t>chargera des urgences médicales </w:t>
      </w:r>
      <w:r w:rsidR="000C2F3D" w:rsidRPr="00E84EB9">
        <w:rPr>
          <w:lang w:val="fr-FR"/>
        </w:rPr>
        <w:t>;</w:t>
      </w:r>
    </w:p>
    <w:p w14:paraId="3A98139B" w14:textId="4EF2BFB2" w:rsidR="000C2F3D" w:rsidRPr="00E84EB9" w:rsidRDefault="0090175F" w:rsidP="0029020B">
      <w:pPr>
        <w:pStyle w:val="Normalnumber"/>
        <w:numPr>
          <w:ilvl w:val="1"/>
          <w:numId w:val="13"/>
        </w:numPr>
        <w:ind w:left="1247" w:firstLine="624"/>
        <w:rPr>
          <w:lang w:val="fr-FR"/>
        </w:rPr>
      </w:pPr>
      <w:r w:rsidRPr="00E84EB9">
        <w:rPr>
          <w:lang w:val="fr-FR"/>
        </w:rPr>
        <w:t xml:space="preserve">Le </w:t>
      </w:r>
      <w:r w:rsidR="000C2F3D" w:rsidRPr="00E84EB9">
        <w:rPr>
          <w:lang w:val="fr-FR"/>
        </w:rPr>
        <w:t>responsable du site chargé de diriger l</w:t>
      </w:r>
      <w:r w:rsidR="006C05FA">
        <w:rPr>
          <w:lang w:val="fr-FR"/>
        </w:rPr>
        <w:t>’</w:t>
      </w:r>
      <w:r w:rsidR="000C2F3D" w:rsidRPr="00E84EB9">
        <w:rPr>
          <w:lang w:val="fr-FR"/>
        </w:rPr>
        <w:t>évaluation de la situation (à savoir s</w:t>
      </w:r>
      <w:r w:rsidR="006C05FA">
        <w:rPr>
          <w:lang w:val="fr-FR"/>
        </w:rPr>
        <w:t>’</w:t>
      </w:r>
      <w:r w:rsidR="000C2F3D" w:rsidRPr="00E84EB9">
        <w:rPr>
          <w:lang w:val="fr-FR"/>
        </w:rPr>
        <w:t>il s</w:t>
      </w:r>
      <w:r w:rsidR="006C05FA">
        <w:rPr>
          <w:lang w:val="fr-FR"/>
        </w:rPr>
        <w:t>’</w:t>
      </w:r>
      <w:r w:rsidR="000C2F3D" w:rsidRPr="00E84EB9">
        <w:rPr>
          <w:lang w:val="fr-FR"/>
        </w:rPr>
        <w:t>agit d</w:t>
      </w:r>
      <w:r w:rsidR="006C05FA">
        <w:rPr>
          <w:lang w:val="fr-FR"/>
        </w:rPr>
        <w:t>’</w:t>
      </w:r>
      <w:r w:rsidR="000C2F3D" w:rsidRPr="00E84EB9">
        <w:rPr>
          <w:lang w:val="fr-FR"/>
        </w:rPr>
        <w:t xml:space="preserve">un rejet mineur ou majeur) et de superviser les travailleurs </w:t>
      </w:r>
      <w:r w:rsidR="001D788E" w:rsidRPr="00E84EB9">
        <w:rPr>
          <w:lang w:val="fr-FR"/>
        </w:rPr>
        <w:t>dans la prise en main d</w:t>
      </w:r>
      <w:r w:rsidR="000C2F3D" w:rsidRPr="00E84EB9">
        <w:rPr>
          <w:lang w:val="fr-FR"/>
        </w:rPr>
        <w:t xml:space="preserve">es rejets ou </w:t>
      </w:r>
      <w:r w:rsidR="001D788E" w:rsidRPr="00E84EB9">
        <w:rPr>
          <w:lang w:val="fr-FR"/>
        </w:rPr>
        <w:t>de l</w:t>
      </w:r>
      <w:r w:rsidR="006C05FA">
        <w:rPr>
          <w:lang w:val="fr-FR"/>
        </w:rPr>
        <w:t>’</w:t>
      </w:r>
      <w:r w:rsidR="001D788E" w:rsidRPr="00E84EB9">
        <w:rPr>
          <w:lang w:val="fr-FR"/>
        </w:rPr>
        <w:t>accident </w:t>
      </w:r>
      <w:r w:rsidR="000C2F3D" w:rsidRPr="00E84EB9">
        <w:rPr>
          <w:lang w:val="fr-FR"/>
        </w:rPr>
        <w:t>;</w:t>
      </w:r>
    </w:p>
    <w:p w14:paraId="7734E6FD" w14:textId="203DF1F6" w:rsidR="000C2F3D" w:rsidRPr="00E84EB9" w:rsidRDefault="0090175F" w:rsidP="0029020B">
      <w:pPr>
        <w:pStyle w:val="Normalnumber"/>
        <w:numPr>
          <w:ilvl w:val="1"/>
          <w:numId w:val="13"/>
        </w:numPr>
        <w:ind w:left="1247" w:firstLine="624"/>
        <w:rPr>
          <w:lang w:val="fr-FR"/>
        </w:rPr>
      </w:pPr>
      <w:r w:rsidRPr="00E84EB9">
        <w:rPr>
          <w:lang w:val="fr-FR"/>
        </w:rPr>
        <w:t xml:space="preserve">Les </w:t>
      </w:r>
      <w:r w:rsidR="006F0FE9" w:rsidRPr="00E84EB9">
        <w:rPr>
          <w:lang w:val="fr-FR"/>
        </w:rPr>
        <w:t>procédures de notification des autres travailleurs dans l</w:t>
      </w:r>
      <w:r w:rsidR="006C05FA">
        <w:rPr>
          <w:lang w:val="fr-FR"/>
        </w:rPr>
        <w:t>’</w:t>
      </w:r>
      <w:r w:rsidR="006F0FE9" w:rsidRPr="00E84EB9">
        <w:rPr>
          <w:lang w:val="fr-FR"/>
        </w:rPr>
        <w:t>installation (en particulier la nécessité de faire revêtir un équipem</w:t>
      </w:r>
      <w:r w:rsidR="001D788E" w:rsidRPr="00E84EB9">
        <w:rPr>
          <w:lang w:val="fr-FR"/>
        </w:rPr>
        <w:t>ent de protection individuelle) </w:t>
      </w:r>
      <w:r w:rsidR="006F0FE9" w:rsidRPr="00E84EB9">
        <w:rPr>
          <w:lang w:val="fr-FR"/>
        </w:rPr>
        <w:t>;</w:t>
      </w:r>
    </w:p>
    <w:p w14:paraId="438E7544" w14:textId="59C5727C" w:rsidR="000C2F3D" w:rsidRPr="00E84EB9" w:rsidRDefault="0090175F" w:rsidP="0029020B">
      <w:pPr>
        <w:pStyle w:val="Normalnumber"/>
        <w:numPr>
          <w:ilvl w:val="1"/>
          <w:numId w:val="13"/>
        </w:numPr>
        <w:ind w:left="1247" w:firstLine="624"/>
        <w:rPr>
          <w:lang w:val="fr-FR"/>
        </w:rPr>
      </w:pPr>
      <w:r w:rsidRPr="00E84EB9">
        <w:rPr>
          <w:lang w:val="fr-FR"/>
        </w:rPr>
        <w:t xml:space="preserve">Quand </w:t>
      </w:r>
      <w:r w:rsidR="000C2F3D" w:rsidRPr="00E84EB9">
        <w:rPr>
          <w:lang w:val="fr-FR"/>
        </w:rPr>
        <w:t>contacter les services locaux d</w:t>
      </w:r>
      <w:r w:rsidR="006C05FA">
        <w:rPr>
          <w:lang w:val="fr-FR"/>
        </w:rPr>
        <w:t>’</w:t>
      </w:r>
      <w:r w:rsidR="000C2F3D" w:rsidRPr="00E84EB9">
        <w:rPr>
          <w:lang w:val="fr-FR"/>
        </w:rPr>
        <w:t>intervention d</w:t>
      </w:r>
      <w:r w:rsidR="006C05FA">
        <w:rPr>
          <w:lang w:val="fr-FR"/>
        </w:rPr>
        <w:t>’</w:t>
      </w:r>
      <w:r w:rsidR="000C2F3D" w:rsidRPr="00E84EB9">
        <w:rPr>
          <w:lang w:val="fr-FR"/>
        </w:rPr>
        <w:t>urgence afin de r</w:t>
      </w:r>
      <w:r w:rsidR="001D788E" w:rsidRPr="00E84EB9">
        <w:rPr>
          <w:lang w:val="fr-FR"/>
        </w:rPr>
        <w:t>ecevoir un appui supplémentaire </w:t>
      </w:r>
      <w:r w:rsidR="000C2F3D" w:rsidRPr="00E84EB9">
        <w:rPr>
          <w:lang w:val="fr-FR"/>
        </w:rPr>
        <w:t>;</w:t>
      </w:r>
    </w:p>
    <w:p w14:paraId="4B358732" w14:textId="20CD1369" w:rsidR="000C2F3D" w:rsidRPr="00E84EB9" w:rsidRDefault="0090175F" w:rsidP="0029020B">
      <w:pPr>
        <w:pStyle w:val="Normalnumber"/>
        <w:numPr>
          <w:ilvl w:val="1"/>
          <w:numId w:val="13"/>
        </w:numPr>
        <w:ind w:left="1247" w:firstLine="624"/>
        <w:rPr>
          <w:lang w:val="fr-FR"/>
        </w:rPr>
      </w:pPr>
      <w:r w:rsidRPr="00E84EB9">
        <w:rPr>
          <w:lang w:val="fr-FR"/>
        </w:rPr>
        <w:t xml:space="preserve">Quand </w:t>
      </w:r>
      <w:r w:rsidR="000C2F3D" w:rsidRPr="00E84EB9">
        <w:rPr>
          <w:lang w:val="fr-FR"/>
        </w:rPr>
        <w:t xml:space="preserve">contacter les permanences nationales de </w:t>
      </w:r>
      <w:r w:rsidR="001D788E" w:rsidRPr="00E84EB9">
        <w:rPr>
          <w:lang w:val="fr-FR"/>
        </w:rPr>
        <w:t>l</w:t>
      </w:r>
      <w:r w:rsidR="006C05FA">
        <w:rPr>
          <w:lang w:val="fr-FR"/>
        </w:rPr>
        <w:t>’</w:t>
      </w:r>
      <w:r w:rsidR="001D788E" w:rsidRPr="00E84EB9">
        <w:rPr>
          <w:lang w:val="fr-FR"/>
        </w:rPr>
        <w:t>environnement, le cas échéant </w:t>
      </w:r>
      <w:r w:rsidR="000C2F3D" w:rsidRPr="00E84EB9">
        <w:rPr>
          <w:lang w:val="fr-FR"/>
        </w:rPr>
        <w:t xml:space="preserve">; </w:t>
      </w:r>
    </w:p>
    <w:p w14:paraId="5F906CAB" w14:textId="5702057B" w:rsidR="000C2F3D" w:rsidRPr="00E84EB9" w:rsidRDefault="0090175F" w:rsidP="0029020B">
      <w:pPr>
        <w:pStyle w:val="Normalnumber"/>
        <w:numPr>
          <w:ilvl w:val="1"/>
          <w:numId w:val="13"/>
        </w:numPr>
        <w:ind w:left="1247" w:firstLine="624"/>
        <w:rPr>
          <w:lang w:val="fr-FR"/>
        </w:rPr>
      </w:pPr>
      <w:r w:rsidRPr="00E84EB9">
        <w:rPr>
          <w:lang w:val="fr-FR"/>
        </w:rPr>
        <w:t xml:space="preserve">Quand </w:t>
      </w:r>
      <w:r w:rsidR="000C2F3D" w:rsidRPr="00E84EB9">
        <w:rPr>
          <w:lang w:val="fr-FR"/>
        </w:rPr>
        <w:t>informer le public et que</w:t>
      </w:r>
      <w:r w:rsidR="001D788E" w:rsidRPr="00E84EB9">
        <w:rPr>
          <w:lang w:val="fr-FR"/>
        </w:rPr>
        <w:t>lles mesures prendre </w:t>
      </w:r>
      <w:r w:rsidR="000C2F3D" w:rsidRPr="00E84EB9">
        <w:rPr>
          <w:lang w:val="fr-FR"/>
        </w:rPr>
        <w:t>;</w:t>
      </w:r>
    </w:p>
    <w:p w14:paraId="42A5BE5A" w14:textId="20FE7B4C" w:rsidR="000C2F3D" w:rsidRPr="00E84EB9" w:rsidRDefault="0090175F" w:rsidP="0029020B">
      <w:pPr>
        <w:pStyle w:val="Normalnumber"/>
        <w:numPr>
          <w:ilvl w:val="1"/>
          <w:numId w:val="13"/>
        </w:numPr>
        <w:ind w:left="1247" w:firstLine="624"/>
        <w:rPr>
          <w:lang w:val="fr-FR"/>
        </w:rPr>
      </w:pPr>
      <w:r w:rsidRPr="00E84EB9">
        <w:rPr>
          <w:lang w:val="fr-FR"/>
        </w:rPr>
        <w:t xml:space="preserve">Quand </w:t>
      </w:r>
      <w:r w:rsidR="000C2F3D" w:rsidRPr="00E84EB9">
        <w:rPr>
          <w:lang w:val="fr-FR"/>
        </w:rPr>
        <w:t>il convient d</w:t>
      </w:r>
      <w:r w:rsidR="006C05FA">
        <w:rPr>
          <w:lang w:val="fr-FR"/>
        </w:rPr>
        <w:t>’</w:t>
      </w:r>
      <w:r w:rsidR="000C2F3D" w:rsidRPr="00E84EB9">
        <w:rPr>
          <w:lang w:val="fr-FR"/>
        </w:rPr>
        <w:t>évacuer le person</w:t>
      </w:r>
      <w:r w:rsidR="001D788E" w:rsidRPr="00E84EB9">
        <w:rPr>
          <w:lang w:val="fr-FR"/>
        </w:rPr>
        <w:t xml:space="preserve">nel </w:t>
      </w:r>
      <w:r>
        <w:rPr>
          <w:lang w:val="fr-FR"/>
        </w:rPr>
        <w:t xml:space="preserve">non essentiel </w:t>
      </w:r>
      <w:r w:rsidRPr="00E84EB9">
        <w:rPr>
          <w:lang w:val="fr-FR"/>
        </w:rPr>
        <w:t>de l</w:t>
      </w:r>
      <w:r>
        <w:rPr>
          <w:lang w:val="fr-FR"/>
        </w:rPr>
        <w:t>’</w:t>
      </w:r>
      <w:r w:rsidRPr="00E84EB9">
        <w:rPr>
          <w:lang w:val="fr-FR"/>
        </w:rPr>
        <w:t>installation</w:t>
      </w:r>
      <w:r w:rsidR="001D788E" w:rsidRPr="00E84EB9">
        <w:rPr>
          <w:lang w:val="fr-FR"/>
        </w:rPr>
        <w:t> </w:t>
      </w:r>
      <w:r w:rsidR="000C2F3D" w:rsidRPr="00E84EB9">
        <w:rPr>
          <w:lang w:val="fr-FR"/>
        </w:rPr>
        <w:t>; et</w:t>
      </w:r>
    </w:p>
    <w:p w14:paraId="6B84618D" w14:textId="5E307F65" w:rsidR="000C2F3D" w:rsidRPr="00E84EB9" w:rsidRDefault="0090175F" w:rsidP="0029020B">
      <w:pPr>
        <w:pStyle w:val="Normalnumber"/>
        <w:numPr>
          <w:ilvl w:val="1"/>
          <w:numId w:val="13"/>
        </w:numPr>
        <w:ind w:left="1247" w:firstLine="624"/>
        <w:rPr>
          <w:lang w:val="fr-FR"/>
        </w:rPr>
      </w:pPr>
      <w:r w:rsidRPr="00E84EB9">
        <w:rPr>
          <w:lang w:val="fr-FR"/>
        </w:rPr>
        <w:t xml:space="preserve">Quand </w:t>
      </w:r>
      <w:r w:rsidR="000C2F3D" w:rsidRPr="00E84EB9">
        <w:rPr>
          <w:lang w:val="fr-FR"/>
        </w:rPr>
        <w:t xml:space="preserve">il </w:t>
      </w:r>
      <w:r w:rsidR="001E29FE" w:rsidRPr="00E84EB9">
        <w:rPr>
          <w:lang w:val="fr-FR"/>
        </w:rPr>
        <w:t>devient</w:t>
      </w:r>
      <w:r w:rsidR="001D788E" w:rsidRPr="00E84EB9">
        <w:rPr>
          <w:lang w:val="fr-FR"/>
        </w:rPr>
        <w:t xml:space="preserve"> </w:t>
      </w:r>
      <w:r w:rsidR="000C2F3D" w:rsidRPr="00E84EB9">
        <w:rPr>
          <w:lang w:val="fr-FR"/>
        </w:rPr>
        <w:t>nécessaire d</w:t>
      </w:r>
      <w:r w:rsidR="006C05FA">
        <w:rPr>
          <w:lang w:val="fr-FR"/>
        </w:rPr>
        <w:t>’</w:t>
      </w:r>
      <w:r w:rsidR="000C2F3D" w:rsidRPr="00E84EB9">
        <w:rPr>
          <w:lang w:val="fr-FR"/>
        </w:rPr>
        <w:t>évacuer l</w:t>
      </w:r>
      <w:r w:rsidR="006C05FA">
        <w:rPr>
          <w:lang w:val="fr-FR"/>
        </w:rPr>
        <w:t>’</w:t>
      </w:r>
      <w:r w:rsidR="000C2F3D" w:rsidRPr="00E84EB9">
        <w:rPr>
          <w:lang w:val="fr-FR"/>
        </w:rPr>
        <w:t>ensemble du personnel de l</w:t>
      </w:r>
      <w:r w:rsidR="006C05FA">
        <w:rPr>
          <w:lang w:val="fr-FR"/>
        </w:rPr>
        <w:t>’</w:t>
      </w:r>
      <w:r w:rsidR="000C2F3D" w:rsidRPr="00E84EB9">
        <w:rPr>
          <w:lang w:val="fr-FR"/>
        </w:rPr>
        <w:t>installation.</w:t>
      </w:r>
    </w:p>
    <w:p w14:paraId="509F5CC7" w14:textId="4FBE8B1F" w:rsidR="000C2F3D" w:rsidRPr="00E84EB9" w:rsidRDefault="000C2F3D" w:rsidP="00F474DD">
      <w:pPr>
        <w:pStyle w:val="Normalnumber"/>
        <w:numPr>
          <w:ilvl w:val="0"/>
          <w:numId w:val="5"/>
        </w:numPr>
        <w:ind w:left="1247" w:firstLine="0"/>
        <w:rPr>
          <w:lang w:val="fr-FR"/>
        </w:rPr>
      </w:pPr>
      <w:r w:rsidRPr="00E84EB9">
        <w:rPr>
          <w:lang w:val="fr-FR"/>
        </w:rPr>
        <w:t>Tous les équipements requis pour faire face aux écoulements accidentels ou aux rejets de mercure ou de composés du mercure devraient être disponibles sur le site et en bon état de fonctionnement. Le type d</w:t>
      </w:r>
      <w:r w:rsidR="006C05FA">
        <w:rPr>
          <w:lang w:val="fr-FR"/>
        </w:rPr>
        <w:t>’</w:t>
      </w:r>
      <w:r w:rsidRPr="00E84EB9">
        <w:rPr>
          <w:lang w:val="fr-FR"/>
        </w:rPr>
        <w:t xml:space="preserve">équipement </w:t>
      </w:r>
      <w:r w:rsidR="00B06DB9" w:rsidRPr="00E84EB9">
        <w:rPr>
          <w:lang w:val="fr-FR"/>
        </w:rPr>
        <w:t xml:space="preserve">requis </w:t>
      </w:r>
      <w:r w:rsidRPr="00E84EB9">
        <w:rPr>
          <w:lang w:val="fr-FR"/>
        </w:rPr>
        <w:t xml:space="preserve">peut dépendre de </w:t>
      </w:r>
      <w:r w:rsidR="007362DD">
        <w:rPr>
          <w:lang w:val="fr-FR"/>
        </w:rPr>
        <w:t xml:space="preserve">la taille </w:t>
      </w:r>
      <w:r w:rsidRPr="00E84EB9">
        <w:rPr>
          <w:lang w:val="fr-FR"/>
        </w:rPr>
        <w:t>de l</w:t>
      </w:r>
      <w:r w:rsidR="006C05FA">
        <w:rPr>
          <w:lang w:val="fr-FR"/>
        </w:rPr>
        <w:t>’</w:t>
      </w:r>
      <w:r w:rsidRPr="00E84EB9">
        <w:rPr>
          <w:lang w:val="fr-FR"/>
        </w:rPr>
        <w:t xml:space="preserve">installation. Il pourra inclure des </w:t>
      </w:r>
      <w:proofErr w:type="spellStart"/>
      <w:r w:rsidRPr="00E84EB9">
        <w:rPr>
          <w:lang w:val="fr-FR"/>
        </w:rPr>
        <w:t>sorbants</w:t>
      </w:r>
      <w:proofErr w:type="spellEnd"/>
      <w:r w:rsidRPr="00E84EB9">
        <w:rPr>
          <w:lang w:val="fr-FR"/>
        </w:rPr>
        <w:t xml:space="preserve">, des réactifs chimiques </w:t>
      </w:r>
      <w:r w:rsidR="001E29FE" w:rsidRPr="00E84EB9">
        <w:rPr>
          <w:lang w:val="fr-FR"/>
        </w:rPr>
        <w:t>à appliquer</w:t>
      </w:r>
      <w:r w:rsidRPr="00E84EB9">
        <w:rPr>
          <w:lang w:val="fr-FR"/>
        </w:rPr>
        <w:t xml:space="preserve"> en cas d</w:t>
      </w:r>
      <w:r w:rsidR="006C05FA">
        <w:rPr>
          <w:lang w:val="fr-FR"/>
        </w:rPr>
        <w:t>’</w:t>
      </w:r>
      <w:r w:rsidRPr="00E84EB9">
        <w:rPr>
          <w:lang w:val="fr-FR"/>
        </w:rPr>
        <w:t xml:space="preserve">écoulement accidentel de mercure </w:t>
      </w:r>
      <w:r w:rsidR="00B06DB9" w:rsidRPr="00E84EB9">
        <w:rPr>
          <w:lang w:val="fr-FR"/>
        </w:rPr>
        <w:t>pour e</w:t>
      </w:r>
      <w:r w:rsidRPr="00E84EB9">
        <w:rPr>
          <w:lang w:val="fr-FR"/>
        </w:rPr>
        <w:t>n réduire la mobilité, des pelles et d</w:t>
      </w:r>
      <w:r w:rsidR="006C05FA">
        <w:rPr>
          <w:lang w:val="fr-FR"/>
        </w:rPr>
        <w:t>’</w:t>
      </w:r>
      <w:r w:rsidRPr="00E84EB9">
        <w:rPr>
          <w:lang w:val="fr-FR"/>
        </w:rPr>
        <w:t xml:space="preserve">autres outils </w:t>
      </w:r>
      <w:r w:rsidR="00FA2825">
        <w:rPr>
          <w:lang w:val="fr-FR"/>
        </w:rPr>
        <w:t xml:space="preserve">pour </w:t>
      </w:r>
      <w:r w:rsidRPr="00E84EB9">
        <w:rPr>
          <w:lang w:val="fr-FR"/>
        </w:rPr>
        <w:t>recueillir les écoulements, et des fûts ou d</w:t>
      </w:r>
      <w:r w:rsidR="006C05FA">
        <w:rPr>
          <w:lang w:val="fr-FR"/>
        </w:rPr>
        <w:t>’</w:t>
      </w:r>
      <w:r w:rsidRPr="00E84EB9">
        <w:rPr>
          <w:lang w:val="fr-FR"/>
        </w:rPr>
        <w:t xml:space="preserve">autres conteneurs </w:t>
      </w:r>
      <w:r w:rsidR="00B06DB9" w:rsidRPr="00E84EB9">
        <w:rPr>
          <w:lang w:val="fr-FR"/>
        </w:rPr>
        <w:t xml:space="preserve">destinés aux </w:t>
      </w:r>
      <w:r w:rsidRPr="00E84EB9">
        <w:rPr>
          <w:lang w:val="fr-FR"/>
        </w:rPr>
        <w:t>substances recueillies. L</w:t>
      </w:r>
      <w:r w:rsidR="006C05FA">
        <w:rPr>
          <w:lang w:val="fr-FR"/>
        </w:rPr>
        <w:t>’</w:t>
      </w:r>
      <w:r w:rsidRPr="00E84EB9">
        <w:rPr>
          <w:lang w:val="fr-FR"/>
        </w:rPr>
        <w:t xml:space="preserve">on utilisera éventuellement des aspirateurs </w:t>
      </w:r>
      <w:r w:rsidR="00B06DB9" w:rsidRPr="00E84EB9">
        <w:rPr>
          <w:lang w:val="fr-FR"/>
        </w:rPr>
        <w:t>spéciaux</w:t>
      </w:r>
      <w:r w:rsidRPr="00E84EB9">
        <w:rPr>
          <w:lang w:val="fr-FR"/>
        </w:rPr>
        <w:t xml:space="preserve"> (avec filtres à charbon dans leur </w:t>
      </w:r>
      <w:r w:rsidR="007362DD">
        <w:rPr>
          <w:lang w:val="fr-FR"/>
        </w:rPr>
        <w:t>conduit d’</w:t>
      </w:r>
      <w:r w:rsidRPr="00E84EB9">
        <w:rPr>
          <w:lang w:val="fr-FR"/>
        </w:rPr>
        <w:t xml:space="preserve">évacuation). Par ailleurs, les installations </w:t>
      </w:r>
      <w:r w:rsidR="007362DD" w:rsidRPr="00B43873">
        <w:rPr>
          <w:lang w:val="fr-FR"/>
        </w:rPr>
        <w:t xml:space="preserve">devraient être dotées des moyens nécessaires pour contenir et gérer </w:t>
      </w:r>
      <w:r w:rsidR="007362DD">
        <w:rPr>
          <w:lang w:val="fr-FR"/>
        </w:rPr>
        <w:t xml:space="preserve">convenablement </w:t>
      </w:r>
      <w:r w:rsidR="007362DD" w:rsidRPr="00B43873">
        <w:rPr>
          <w:lang w:val="fr-FR"/>
        </w:rPr>
        <w:t>les eaux de nettoyage contaminées</w:t>
      </w:r>
      <w:r w:rsidRPr="00E84EB9">
        <w:rPr>
          <w:lang w:val="fr-FR"/>
        </w:rPr>
        <w:t>.</w:t>
      </w:r>
    </w:p>
    <w:p w14:paraId="0CB71031" w14:textId="784122AA" w:rsidR="000C2F3D" w:rsidRPr="00E84EB9" w:rsidRDefault="000C2F3D" w:rsidP="00F474DD">
      <w:pPr>
        <w:pStyle w:val="Normalnumber"/>
        <w:numPr>
          <w:ilvl w:val="0"/>
          <w:numId w:val="5"/>
        </w:numPr>
        <w:ind w:left="1247" w:firstLine="0"/>
        <w:rPr>
          <w:lang w:val="fr-FR"/>
        </w:rPr>
      </w:pPr>
      <w:r w:rsidRPr="00E84EB9">
        <w:rPr>
          <w:lang w:val="fr-FR"/>
        </w:rPr>
        <w:t>En cas d</w:t>
      </w:r>
      <w:r w:rsidR="006C05FA">
        <w:rPr>
          <w:lang w:val="fr-FR"/>
        </w:rPr>
        <w:t>’</w:t>
      </w:r>
      <w:r w:rsidRPr="00E84EB9">
        <w:rPr>
          <w:lang w:val="fr-FR"/>
        </w:rPr>
        <w:t>urgence, la première étape consiste à examiner le site afin de s</w:t>
      </w:r>
      <w:r w:rsidR="006C05FA">
        <w:rPr>
          <w:lang w:val="fr-FR"/>
        </w:rPr>
        <w:t>’</w:t>
      </w:r>
      <w:r w:rsidRPr="00E84EB9">
        <w:rPr>
          <w:lang w:val="fr-FR"/>
        </w:rPr>
        <w:t>assurer que toutes les personnes qui se trouvaient à proximité de l</w:t>
      </w:r>
      <w:r w:rsidR="006C05FA">
        <w:rPr>
          <w:lang w:val="fr-FR"/>
        </w:rPr>
        <w:t>’</w:t>
      </w:r>
      <w:r w:rsidRPr="00E84EB9">
        <w:rPr>
          <w:lang w:val="fr-FR"/>
        </w:rPr>
        <w:t>écoulement accidentel sont sain</w:t>
      </w:r>
      <w:r w:rsidR="00683EDE" w:rsidRPr="00E84EB9">
        <w:rPr>
          <w:lang w:val="fr-FR"/>
        </w:rPr>
        <w:t>es et sauve</w:t>
      </w:r>
      <w:r w:rsidRPr="00E84EB9">
        <w:rPr>
          <w:lang w:val="fr-FR"/>
        </w:rPr>
        <w:t xml:space="preserve">s et ont reçu </w:t>
      </w:r>
      <w:r w:rsidR="00683EDE" w:rsidRPr="00E84EB9">
        <w:rPr>
          <w:lang w:val="fr-FR"/>
        </w:rPr>
        <w:t xml:space="preserve">les </w:t>
      </w:r>
      <w:r w:rsidRPr="00E84EB9">
        <w:rPr>
          <w:lang w:val="fr-FR"/>
        </w:rPr>
        <w:t xml:space="preserve">soins médicaux requis. La </w:t>
      </w:r>
      <w:r w:rsidR="007362DD">
        <w:rPr>
          <w:lang w:val="fr-FR"/>
        </w:rPr>
        <w:t>deuxième</w:t>
      </w:r>
      <w:r w:rsidRPr="00E84EB9">
        <w:rPr>
          <w:lang w:val="fr-FR"/>
        </w:rPr>
        <w:t xml:space="preserve"> étape </w:t>
      </w:r>
      <w:r w:rsidR="00B77262" w:rsidRPr="00E84EB9">
        <w:rPr>
          <w:lang w:val="fr-FR"/>
        </w:rPr>
        <w:t xml:space="preserve">sera de </w:t>
      </w:r>
      <w:r w:rsidRPr="00E84EB9">
        <w:rPr>
          <w:lang w:val="fr-FR"/>
        </w:rPr>
        <w:t xml:space="preserve">prévenir les autorités et </w:t>
      </w:r>
      <w:r w:rsidR="00B77262" w:rsidRPr="00E84EB9">
        <w:rPr>
          <w:lang w:val="fr-FR"/>
        </w:rPr>
        <w:t xml:space="preserve">de </w:t>
      </w:r>
      <w:r w:rsidRPr="00E84EB9">
        <w:rPr>
          <w:lang w:val="fr-FR"/>
        </w:rPr>
        <w:t>maintenir le site sécurisé jusqu</w:t>
      </w:r>
      <w:r w:rsidR="006C05FA">
        <w:rPr>
          <w:lang w:val="fr-FR"/>
        </w:rPr>
        <w:t>’</w:t>
      </w:r>
      <w:r w:rsidRPr="00E84EB9">
        <w:rPr>
          <w:lang w:val="fr-FR"/>
        </w:rPr>
        <w:t>à ce que l</w:t>
      </w:r>
      <w:r w:rsidR="006C05FA">
        <w:rPr>
          <w:lang w:val="fr-FR"/>
        </w:rPr>
        <w:t>’</w:t>
      </w:r>
      <w:r w:rsidRPr="00E84EB9">
        <w:rPr>
          <w:lang w:val="fr-FR"/>
        </w:rPr>
        <w:t xml:space="preserve">agent qualifié considère que la zone </w:t>
      </w:r>
      <w:r w:rsidR="00683EDE" w:rsidRPr="00E84EB9">
        <w:rPr>
          <w:lang w:val="fr-FR"/>
        </w:rPr>
        <w:t xml:space="preserve">peut </w:t>
      </w:r>
      <w:r w:rsidRPr="00E84EB9">
        <w:rPr>
          <w:lang w:val="fr-FR"/>
        </w:rPr>
        <w:t>être</w:t>
      </w:r>
      <w:r w:rsidR="006027C3">
        <w:rPr>
          <w:lang w:val="fr-FR"/>
        </w:rPr>
        <w:t xml:space="preserve"> examinée en toute sécurité. Le </w:t>
      </w:r>
      <w:r w:rsidRPr="00E84EB9">
        <w:rPr>
          <w:lang w:val="fr-FR"/>
        </w:rPr>
        <w:t xml:space="preserve">responsable doit porter un équipement de protection </w:t>
      </w:r>
      <w:r w:rsidR="00162640">
        <w:rPr>
          <w:lang w:val="fr-FR"/>
        </w:rPr>
        <w:t xml:space="preserve">individuelle approprié, </w:t>
      </w:r>
      <w:r w:rsidRPr="00E84EB9">
        <w:rPr>
          <w:lang w:val="fr-FR"/>
        </w:rPr>
        <w:t>s</w:t>
      </w:r>
      <w:r w:rsidR="006C05FA">
        <w:rPr>
          <w:lang w:val="fr-FR"/>
        </w:rPr>
        <w:t>’</w:t>
      </w:r>
      <w:r w:rsidRPr="00E84EB9">
        <w:rPr>
          <w:lang w:val="fr-FR"/>
        </w:rPr>
        <w:t>approcher avec précaution</w:t>
      </w:r>
      <w:r w:rsidR="007362DD">
        <w:rPr>
          <w:lang w:val="fr-FR"/>
        </w:rPr>
        <w:t xml:space="preserve"> en se maintenant au vent</w:t>
      </w:r>
      <w:r w:rsidRPr="00E84EB9">
        <w:rPr>
          <w:lang w:val="fr-FR"/>
        </w:rPr>
        <w:t>, sécuriser les lieux et identifier le danger. Plusieurs sources d</w:t>
      </w:r>
      <w:r w:rsidR="006C05FA">
        <w:rPr>
          <w:lang w:val="fr-FR"/>
        </w:rPr>
        <w:t>’</w:t>
      </w:r>
      <w:r w:rsidR="00683EDE" w:rsidRPr="00E84EB9">
        <w:rPr>
          <w:lang w:val="fr-FR"/>
        </w:rPr>
        <w:t>information peuvent être utiles </w:t>
      </w:r>
      <w:r w:rsidRPr="00E84EB9">
        <w:rPr>
          <w:lang w:val="fr-FR"/>
        </w:rPr>
        <w:t>: affiches, étiquettes des conteneurs, documents de transport, fiches de données de sécurité, tableaux d</w:t>
      </w:r>
      <w:r w:rsidR="006C05FA">
        <w:rPr>
          <w:lang w:val="fr-FR"/>
        </w:rPr>
        <w:t>’</w:t>
      </w:r>
      <w:r w:rsidRPr="00E84EB9">
        <w:rPr>
          <w:lang w:val="fr-FR"/>
        </w:rPr>
        <w:t>identification et personnes compétentes prés</w:t>
      </w:r>
      <w:r w:rsidR="006027C3">
        <w:rPr>
          <w:lang w:val="fr-FR"/>
        </w:rPr>
        <w:t>entes sur les lieux. Il </w:t>
      </w:r>
      <w:r w:rsidR="00683EDE" w:rsidRPr="00E84EB9">
        <w:rPr>
          <w:lang w:val="fr-FR"/>
        </w:rPr>
        <w:t>conviendra</w:t>
      </w:r>
      <w:r w:rsidRPr="00E84EB9">
        <w:rPr>
          <w:lang w:val="fr-FR"/>
        </w:rPr>
        <w:t xml:space="preserve"> ensuite d</w:t>
      </w:r>
      <w:r w:rsidR="006C05FA">
        <w:rPr>
          <w:lang w:val="fr-FR"/>
        </w:rPr>
        <w:t>’</w:t>
      </w:r>
      <w:r w:rsidRPr="00E84EB9">
        <w:rPr>
          <w:lang w:val="fr-FR"/>
        </w:rPr>
        <w:t>évaluer la nécessité d</w:t>
      </w:r>
      <w:r w:rsidR="006C05FA">
        <w:rPr>
          <w:lang w:val="fr-FR"/>
        </w:rPr>
        <w:t>’</w:t>
      </w:r>
      <w:r w:rsidRPr="00E84EB9">
        <w:rPr>
          <w:lang w:val="fr-FR"/>
        </w:rPr>
        <w:t>évacuer, la présence de ressources humaines et d</w:t>
      </w:r>
      <w:r w:rsidR="006C05FA">
        <w:rPr>
          <w:lang w:val="fr-FR"/>
        </w:rPr>
        <w:t>’</w:t>
      </w:r>
      <w:r w:rsidRPr="00E84EB9">
        <w:rPr>
          <w:lang w:val="fr-FR"/>
        </w:rPr>
        <w:t>équipements</w:t>
      </w:r>
      <w:r w:rsidR="00683EDE" w:rsidRPr="00E84EB9">
        <w:rPr>
          <w:lang w:val="fr-FR"/>
        </w:rPr>
        <w:t>,</w:t>
      </w:r>
      <w:r w:rsidRPr="00E84EB9">
        <w:rPr>
          <w:lang w:val="fr-FR"/>
        </w:rPr>
        <w:t xml:space="preserve"> et les mesures immédiates à envisager. Pour assurer la sécurité du public, </w:t>
      </w:r>
      <w:r w:rsidR="007362DD">
        <w:rPr>
          <w:lang w:val="fr-FR"/>
        </w:rPr>
        <w:t>il convient d’</w:t>
      </w:r>
      <w:r w:rsidRPr="00E84EB9">
        <w:rPr>
          <w:lang w:val="fr-FR"/>
        </w:rPr>
        <w:t>appeler un service d</w:t>
      </w:r>
      <w:r w:rsidR="006C05FA">
        <w:rPr>
          <w:lang w:val="fr-FR"/>
        </w:rPr>
        <w:t>’</w:t>
      </w:r>
      <w:r w:rsidRPr="00E84EB9">
        <w:rPr>
          <w:lang w:val="fr-FR"/>
        </w:rPr>
        <w:t xml:space="preserve">urgence et, </w:t>
      </w:r>
      <w:r w:rsidR="00804D9C">
        <w:rPr>
          <w:lang w:val="fr-FR"/>
        </w:rPr>
        <w:t xml:space="preserve">à titre de </w:t>
      </w:r>
      <w:r w:rsidRPr="00E84EB9">
        <w:rPr>
          <w:lang w:val="fr-FR"/>
        </w:rPr>
        <w:t xml:space="preserve">mesure </w:t>
      </w:r>
      <w:r w:rsidR="00804D9C" w:rsidRPr="00E84EB9">
        <w:rPr>
          <w:lang w:val="fr-FR"/>
        </w:rPr>
        <w:t>immédiat</w:t>
      </w:r>
      <w:r w:rsidR="00804D9C">
        <w:rPr>
          <w:lang w:val="fr-FR"/>
        </w:rPr>
        <w:t>e</w:t>
      </w:r>
      <w:r w:rsidR="00804D9C" w:rsidRPr="00E84EB9">
        <w:rPr>
          <w:lang w:val="fr-FR"/>
        </w:rPr>
        <w:t xml:space="preserve"> </w:t>
      </w:r>
      <w:r w:rsidRPr="00E84EB9">
        <w:rPr>
          <w:lang w:val="fr-FR"/>
        </w:rPr>
        <w:t xml:space="preserve">de précaution, </w:t>
      </w:r>
      <w:r w:rsidR="00804D9C">
        <w:rPr>
          <w:lang w:val="fr-FR"/>
        </w:rPr>
        <w:t xml:space="preserve">d’isoler </w:t>
      </w:r>
      <w:r w:rsidRPr="00E84EB9">
        <w:rPr>
          <w:lang w:val="fr-FR"/>
        </w:rPr>
        <w:t xml:space="preserve">le lieu du déversement ou de la fuite </w:t>
      </w:r>
      <w:r w:rsidR="00804D9C">
        <w:rPr>
          <w:lang w:val="fr-FR"/>
        </w:rPr>
        <w:t>sur</w:t>
      </w:r>
      <w:r w:rsidR="00683EDE" w:rsidRPr="00E84EB9">
        <w:rPr>
          <w:lang w:val="fr-FR"/>
        </w:rPr>
        <w:t xml:space="preserve"> </w:t>
      </w:r>
      <w:r w:rsidR="00804D9C">
        <w:rPr>
          <w:lang w:val="fr-FR"/>
        </w:rPr>
        <w:t>un rayon d’</w:t>
      </w:r>
      <w:r w:rsidR="00683EDE" w:rsidRPr="00E84EB9">
        <w:rPr>
          <w:lang w:val="fr-FR"/>
        </w:rPr>
        <w:t>au moins 50 </w:t>
      </w:r>
      <w:r w:rsidRPr="00E84EB9">
        <w:rPr>
          <w:lang w:val="fr-FR"/>
        </w:rPr>
        <w:t>mètres dans toutes les directions.</w:t>
      </w:r>
    </w:p>
    <w:p w14:paraId="65F4EFBB" w14:textId="28646488" w:rsidR="000C2F3D" w:rsidRPr="00E84EB9" w:rsidRDefault="000C2F3D" w:rsidP="00043E22">
      <w:pPr>
        <w:pStyle w:val="Normalnumber"/>
        <w:keepNext/>
        <w:keepLines/>
        <w:numPr>
          <w:ilvl w:val="0"/>
          <w:numId w:val="5"/>
        </w:numPr>
        <w:ind w:left="1247" w:firstLine="0"/>
        <w:rPr>
          <w:lang w:val="fr-FR"/>
        </w:rPr>
      </w:pPr>
      <w:r w:rsidRPr="00E84EB9">
        <w:rPr>
          <w:lang w:val="fr-FR"/>
        </w:rPr>
        <w:lastRenderedPageBreak/>
        <w:t>En cas d</w:t>
      </w:r>
      <w:r w:rsidR="006C05FA">
        <w:rPr>
          <w:lang w:val="fr-FR"/>
        </w:rPr>
        <w:t>’</w:t>
      </w:r>
      <w:r w:rsidRPr="00E84EB9">
        <w:rPr>
          <w:lang w:val="fr-FR"/>
        </w:rPr>
        <w:t>incendie, les travailleurs devraient d</w:t>
      </w:r>
      <w:r w:rsidR="006C05FA">
        <w:rPr>
          <w:lang w:val="fr-FR"/>
        </w:rPr>
        <w:t>’</w:t>
      </w:r>
      <w:r w:rsidR="00804D9C">
        <w:rPr>
          <w:lang w:val="fr-FR"/>
        </w:rPr>
        <w:t>abord</w:t>
      </w:r>
      <w:r w:rsidRPr="00E84EB9">
        <w:rPr>
          <w:lang w:val="fr-FR"/>
        </w:rPr>
        <w:t xml:space="preserve"> </w:t>
      </w:r>
      <w:r w:rsidR="00AD245B">
        <w:rPr>
          <w:lang w:val="fr-FR"/>
        </w:rPr>
        <w:t xml:space="preserve">enfiler </w:t>
      </w:r>
      <w:r w:rsidRPr="00E84EB9">
        <w:rPr>
          <w:lang w:val="fr-FR"/>
        </w:rPr>
        <w:t xml:space="preserve">leurs équipements de protection individuelle. </w:t>
      </w:r>
      <w:r w:rsidR="00683EDE" w:rsidRPr="00E84EB9">
        <w:rPr>
          <w:lang w:val="fr-FR"/>
        </w:rPr>
        <w:t xml:space="preserve">Un </w:t>
      </w:r>
      <w:r w:rsidRPr="00E84EB9">
        <w:rPr>
          <w:lang w:val="fr-FR"/>
        </w:rPr>
        <w:t xml:space="preserve">produit extincteur approprié </w:t>
      </w:r>
      <w:r w:rsidR="00AD6F30" w:rsidRPr="00E84EB9">
        <w:rPr>
          <w:lang w:val="fr-FR"/>
        </w:rPr>
        <w:t xml:space="preserve">au </w:t>
      </w:r>
      <w:r w:rsidRPr="00E84EB9">
        <w:rPr>
          <w:lang w:val="fr-FR"/>
        </w:rPr>
        <w:t>type d</w:t>
      </w:r>
      <w:r w:rsidR="00AD245B">
        <w:rPr>
          <w:lang w:val="fr-FR"/>
        </w:rPr>
        <w:t>e l</w:t>
      </w:r>
      <w:r w:rsidR="006C05FA">
        <w:rPr>
          <w:lang w:val="fr-FR"/>
        </w:rPr>
        <w:t>’</w:t>
      </w:r>
      <w:r w:rsidRPr="00E84EB9">
        <w:rPr>
          <w:lang w:val="fr-FR"/>
        </w:rPr>
        <w:t xml:space="preserve">incendie </w:t>
      </w:r>
      <w:r w:rsidR="00683EDE" w:rsidRPr="00E84EB9">
        <w:rPr>
          <w:lang w:val="fr-FR"/>
        </w:rPr>
        <w:t>devrait être utilisé</w:t>
      </w:r>
      <w:r w:rsidRPr="00E84EB9">
        <w:rPr>
          <w:lang w:val="fr-FR"/>
        </w:rPr>
        <w:t>. Il est recommandé d</w:t>
      </w:r>
      <w:r w:rsidR="006C05FA">
        <w:rPr>
          <w:lang w:val="fr-FR"/>
        </w:rPr>
        <w:t>’</w:t>
      </w:r>
      <w:r w:rsidRPr="00E84EB9">
        <w:rPr>
          <w:lang w:val="fr-FR"/>
        </w:rPr>
        <w:t>équiper l</w:t>
      </w:r>
      <w:r w:rsidR="006C05FA">
        <w:rPr>
          <w:lang w:val="fr-FR"/>
        </w:rPr>
        <w:t>’</w:t>
      </w:r>
      <w:r w:rsidRPr="00E84EB9">
        <w:rPr>
          <w:lang w:val="fr-FR"/>
        </w:rPr>
        <w:t>installation de stockage d</w:t>
      </w:r>
      <w:r w:rsidR="006C05FA">
        <w:rPr>
          <w:lang w:val="fr-FR"/>
        </w:rPr>
        <w:t>’</w:t>
      </w:r>
      <w:r w:rsidRPr="00E84EB9">
        <w:rPr>
          <w:lang w:val="fr-FR"/>
        </w:rPr>
        <w:t>un système d</w:t>
      </w:r>
      <w:r w:rsidR="006C05FA">
        <w:rPr>
          <w:lang w:val="fr-FR"/>
        </w:rPr>
        <w:t>’</w:t>
      </w:r>
      <w:r w:rsidRPr="00E84EB9">
        <w:rPr>
          <w:lang w:val="fr-FR"/>
        </w:rPr>
        <w:t>extinction d</w:t>
      </w:r>
      <w:r w:rsidR="006C05FA">
        <w:rPr>
          <w:lang w:val="fr-FR"/>
        </w:rPr>
        <w:t>’</w:t>
      </w:r>
      <w:r w:rsidRPr="00E84EB9">
        <w:rPr>
          <w:lang w:val="fr-FR"/>
        </w:rPr>
        <w:t>incendie avec colonne sèche (alimentation en eau) et de matériel d</w:t>
      </w:r>
      <w:r w:rsidR="006C05FA">
        <w:rPr>
          <w:lang w:val="fr-FR"/>
        </w:rPr>
        <w:t>’</w:t>
      </w:r>
      <w:r w:rsidRPr="00E84EB9">
        <w:rPr>
          <w:lang w:val="fr-FR"/>
        </w:rPr>
        <w:t>intervention d</w:t>
      </w:r>
      <w:r w:rsidR="006C05FA">
        <w:rPr>
          <w:lang w:val="fr-FR"/>
        </w:rPr>
        <w:t>’</w:t>
      </w:r>
      <w:r w:rsidRPr="00E84EB9">
        <w:rPr>
          <w:lang w:val="fr-FR"/>
        </w:rPr>
        <w:t>urgence. Pour de plus amples renseignements, on consultera l</w:t>
      </w:r>
      <w:r w:rsidR="006C05FA">
        <w:rPr>
          <w:lang w:val="fr-FR"/>
        </w:rPr>
        <w:t>’</w:t>
      </w:r>
      <w:r w:rsidRPr="00E84EB9">
        <w:rPr>
          <w:i/>
          <w:iCs/>
          <w:lang w:val="fr-FR"/>
        </w:rPr>
        <w:t xml:space="preserve">Emergency </w:t>
      </w:r>
      <w:proofErr w:type="spellStart"/>
      <w:r w:rsidRPr="00E84EB9">
        <w:rPr>
          <w:i/>
          <w:iCs/>
          <w:lang w:val="fr-FR"/>
        </w:rPr>
        <w:t>Response</w:t>
      </w:r>
      <w:proofErr w:type="spellEnd"/>
      <w:r w:rsidRPr="00E84EB9">
        <w:rPr>
          <w:i/>
          <w:iCs/>
          <w:lang w:val="fr-FR"/>
        </w:rPr>
        <w:t xml:space="preserve"> </w:t>
      </w:r>
      <w:proofErr w:type="spellStart"/>
      <w:r w:rsidRPr="00E84EB9">
        <w:rPr>
          <w:i/>
          <w:iCs/>
          <w:lang w:val="fr-FR"/>
        </w:rPr>
        <w:t>Guidebook</w:t>
      </w:r>
      <w:proofErr w:type="spellEnd"/>
      <w:r w:rsidRPr="00E84EB9">
        <w:rPr>
          <w:i/>
          <w:iCs/>
          <w:lang w:val="fr-FR"/>
        </w:rPr>
        <w:t xml:space="preserve"> </w:t>
      </w:r>
      <w:r w:rsidRPr="00E84EB9">
        <w:rPr>
          <w:lang w:val="fr-FR"/>
        </w:rPr>
        <w:t>(</w:t>
      </w:r>
      <w:r w:rsidR="00683EDE" w:rsidRPr="00E84EB9">
        <w:rPr>
          <w:lang w:val="fr-FR"/>
        </w:rPr>
        <w:t>US DOT et al. </w:t>
      </w:r>
      <w:r w:rsidRPr="00E84EB9">
        <w:rPr>
          <w:lang w:val="fr-FR"/>
        </w:rPr>
        <w:t>2016). Si l</w:t>
      </w:r>
      <w:r w:rsidR="006C05FA">
        <w:rPr>
          <w:lang w:val="fr-FR"/>
        </w:rPr>
        <w:t>’</w:t>
      </w:r>
      <w:r w:rsidRPr="00E84EB9">
        <w:rPr>
          <w:lang w:val="fr-FR"/>
        </w:rPr>
        <w:t>incendie est limité à un espace donné,</w:t>
      </w:r>
      <w:r w:rsidR="00AD6F30" w:rsidRPr="00E84EB9">
        <w:rPr>
          <w:lang w:val="fr-FR"/>
        </w:rPr>
        <w:t xml:space="preserve"> il conviendra d</w:t>
      </w:r>
      <w:r w:rsidR="006C05FA">
        <w:rPr>
          <w:lang w:val="fr-FR"/>
        </w:rPr>
        <w:t>’</w:t>
      </w:r>
      <w:r w:rsidR="00AD6F30" w:rsidRPr="00E84EB9">
        <w:rPr>
          <w:lang w:val="fr-FR"/>
        </w:rPr>
        <w:t>en éloigner</w:t>
      </w:r>
      <w:r w:rsidRPr="00E84EB9">
        <w:rPr>
          <w:lang w:val="fr-FR"/>
        </w:rPr>
        <w:t xml:space="preserve"> les conteneurs de stockage de mercure et de composés du mercure avec la plus grande précaution. Une fois le feu éteint, il peut être nécessaire de </w:t>
      </w:r>
      <w:r w:rsidR="006F4B44" w:rsidRPr="00E84EB9">
        <w:rPr>
          <w:lang w:val="fr-FR"/>
        </w:rPr>
        <w:t>pulvériser de l</w:t>
      </w:r>
      <w:r w:rsidR="006C05FA">
        <w:rPr>
          <w:lang w:val="fr-FR"/>
        </w:rPr>
        <w:t>’</w:t>
      </w:r>
      <w:r w:rsidR="006F4B44" w:rsidRPr="00E84EB9">
        <w:rPr>
          <w:lang w:val="fr-FR"/>
        </w:rPr>
        <w:t xml:space="preserve">eau sur ces conteneurs </w:t>
      </w:r>
      <w:r w:rsidRPr="00E84EB9">
        <w:rPr>
          <w:lang w:val="fr-FR"/>
        </w:rPr>
        <w:t>jusqu</w:t>
      </w:r>
      <w:r w:rsidR="006C05FA">
        <w:rPr>
          <w:lang w:val="fr-FR"/>
        </w:rPr>
        <w:t>’</w:t>
      </w:r>
      <w:r w:rsidRPr="00E84EB9">
        <w:rPr>
          <w:lang w:val="fr-FR"/>
        </w:rPr>
        <w:t>à ce qu</w:t>
      </w:r>
      <w:r w:rsidR="006C05FA">
        <w:rPr>
          <w:lang w:val="fr-FR"/>
        </w:rPr>
        <w:t>’</w:t>
      </w:r>
      <w:r w:rsidRPr="00E84EB9">
        <w:rPr>
          <w:lang w:val="fr-FR"/>
        </w:rPr>
        <w:t>ils soient suffisamment refroidis (QSC, 2003).</w:t>
      </w:r>
    </w:p>
    <w:p w14:paraId="0CEBA829" w14:textId="10F1F70C" w:rsidR="00AC1820" w:rsidRPr="00E84EB9" w:rsidRDefault="000C2F3D" w:rsidP="00F474DD">
      <w:pPr>
        <w:pStyle w:val="Normalnumber"/>
        <w:numPr>
          <w:ilvl w:val="0"/>
          <w:numId w:val="5"/>
        </w:numPr>
        <w:ind w:left="1247" w:firstLine="0"/>
        <w:rPr>
          <w:lang w:val="fr-FR"/>
        </w:rPr>
      </w:pPr>
      <w:r w:rsidRPr="00E84EB9">
        <w:rPr>
          <w:lang w:val="fr-FR"/>
        </w:rPr>
        <w:t>Tout déversement accidentel de mercure ou de composés du mercure, même en petites quantités, devrait être considéré comme dangereux et nettoyé avec prudence. Les déversements devraie</w:t>
      </w:r>
      <w:r w:rsidR="00D96FEB" w:rsidRPr="00E84EB9">
        <w:rPr>
          <w:lang w:val="fr-FR"/>
        </w:rPr>
        <w:t xml:space="preserve">nt être signalés à la direction ; </w:t>
      </w:r>
      <w:r w:rsidRPr="00E84EB9">
        <w:rPr>
          <w:lang w:val="fr-FR"/>
        </w:rPr>
        <w:t>la date, l</w:t>
      </w:r>
      <w:r w:rsidR="006C05FA">
        <w:rPr>
          <w:lang w:val="fr-FR"/>
        </w:rPr>
        <w:t>’</w:t>
      </w:r>
      <w:r w:rsidRPr="00E84EB9">
        <w:rPr>
          <w:lang w:val="fr-FR"/>
        </w:rPr>
        <w:t>heure, le nom de l</w:t>
      </w:r>
      <w:r w:rsidR="006C05FA">
        <w:rPr>
          <w:lang w:val="fr-FR"/>
        </w:rPr>
        <w:t>’</w:t>
      </w:r>
      <w:r w:rsidRPr="00E84EB9">
        <w:rPr>
          <w:lang w:val="fr-FR"/>
        </w:rPr>
        <w:t xml:space="preserve">inspecteur, le lieu et la quantité approximative de mercure ou de composés du </w:t>
      </w:r>
      <w:r w:rsidR="00D96FEB" w:rsidRPr="00E84EB9">
        <w:rPr>
          <w:lang w:val="fr-FR"/>
        </w:rPr>
        <w:t xml:space="preserve">mercure </w:t>
      </w:r>
      <w:r w:rsidRPr="00E84EB9">
        <w:rPr>
          <w:lang w:val="fr-FR"/>
        </w:rPr>
        <w:t xml:space="preserve">déversée devraient être consignés, et </w:t>
      </w:r>
      <w:r w:rsidR="00D96FEB" w:rsidRPr="00E84EB9">
        <w:rPr>
          <w:lang w:val="fr-FR"/>
        </w:rPr>
        <w:t xml:space="preserve">la </w:t>
      </w:r>
      <w:r w:rsidRPr="00E84EB9">
        <w:rPr>
          <w:lang w:val="fr-FR"/>
        </w:rPr>
        <w:t xml:space="preserve">fréquence </w:t>
      </w:r>
      <w:r w:rsidR="00D96FEB" w:rsidRPr="00E84EB9">
        <w:rPr>
          <w:lang w:val="fr-FR"/>
        </w:rPr>
        <w:t>de ce genre d</w:t>
      </w:r>
      <w:r w:rsidR="006C05FA">
        <w:rPr>
          <w:lang w:val="fr-FR"/>
        </w:rPr>
        <w:t>’</w:t>
      </w:r>
      <w:r w:rsidR="00D96FEB" w:rsidRPr="00E84EB9">
        <w:rPr>
          <w:lang w:val="fr-FR"/>
        </w:rPr>
        <w:t>incident</w:t>
      </w:r>
      <w:r w:rsidR="00AD245B">
        <w:rPr>
          <w:lang w:val="fr-FR"/>
        </w:rPr>
        <w:t>s</w:t>
      </w:r>
      <w:r w:rsidR="00D96FEB" w:rsidRPr="00E84EB9">
        <w:rPr>
          <w:lang w:val="fr-FR"/>
        </w:rPr>
        <w:t xml:space="preserve"> </w:t>
      </w:r>
      <w:r w:rsidR="00AD245B">
        <w:rPr>
          <w:lang w:val="fr-FR"/>
        </w:rPr>
        <w:t>consign</w:t>
      </w:r>
      <w:r w:rsidRPr="00E84EB9">
        <w:rPr>
          <w:lang w:val="fr-FR"/>
        </w:rPr>
        <w:t>ée dans un registre (QSC, 2003). Il est essentiel d</w:t>
      </w:r>
      <w:r w:rsidR="006C05FA">
        <w:rPr>
          <w:lang w:val="fr-FR"/>
        </w:rPr>
        <w:t>’</w:t>
      </w:r>
      <w:r w:rsidRPr="00E84EB9">
        <w:rPr>
          <w:lang w:val="fr-FR"/>
        </w:rPr>
        <w:t>évaluer le type de mercure ou de composé du mercure déversé, l</w:t>
      </w:r>
      <w:r w:rsidR="006C05FA">
        <w:rPr>
          <w:lang w:val="fr-FR"/>
        </w:rPr>
        <w:t>’</w:t>
      </w:r>
      <w:r w:rsidRPr="00E84EB9">
        <w:rPr>
          <w:lang w:val="fr-FR"/>
        </w:rPr>
        <w:t>ampleur et la dispersion de l</w:t>
      </w:r>
      <w:r w:rsidR="006C05FA">
        <w:rPr>
          <w:lang w:val="fr-FR"/>
        </w:rPr>
        <w:t>’</w:t>
      </w:r>
      <w:r w:rsidRPr="00E84EB9">
        <w:rPr>
          <w:lang w:val="fr-FR"/>
        </w:rPr>
        <w:t xml:space="preserve">écoulement, sa proximité </w:t>
      </w:r>
      <w:r w:rsidR="00AD245B">
        <w:rPr>
          <w:lang w:val="fr-FR"/>
        </w:rPr>
        <w:t xml:space="preserve">par rapport aux </w:t>
      </w:r>
      <w:r w:rsidRPr="00E84EB9">
        <w:rPr>
          <w:lang w:val="fr-FR"/>
        </w:rPr>
        <w:t xml:space="preserve">zones </w:t>
      </w:r>
      <w:r w:rsidR="00AD245B">
        <w:rPr>
          <w:lang w:val="fr-FR"/>
        </w:rPr>
        <w:t xml:space="preserve">résidentielles et </w:t>
      </w:r>
      <w:r w:rsidRPr="00E84EB9">
        <w:rPr>
          <w:lang w:val="fr-FR"/>
        </w:rPr>
        <w:t>écologiquement sensibles, et la présence ou non de</w:t>
      </w:r>
      <w:r w:rsidR="00D96FEB" w:rsidRPr="00E84EB9">
        <w:rPr>
          <w:lang w:val="fr-FR"/>
        </w:rPr>
        <w:t>s</w:t>
      </w:r>
      <w:r w:rsidRPr="00E84EB9">
        <w:rPr>
          <w:lang w:val="fr-FR"/>
        </w:rPr>
        <w:t xml:space="preserve"> ressources et compétences requises pour le nettoyage, afin de déterminer le type d</w:t>
      </w:r>
      <w:r w:rsidR="006C05FA">
        <w:rPr>
          <w:lang w:val="fr-FR"/>
        </w:rPr>
        <w:t>’</w:t>
      </w:r>
      <w:r w:rsidRPr="00E84EB9">
        <w:rPr>
          <w:lang w:val="fr-FR"/>
        </w:rPr>
        <w:t>intervention approprié</w:t>
      </w:r>
      <w:r w:rsidR="00D96FEB" w:rsidRPr="00E84EB9">
        <w:rPr>
          <w:lang w:val="fr-FR"/>
        </w:rPr>
        <w:t>e</w:t>
      </w:r>
      <w:r w:rsidRPr="00E84EB9">
        <w:rPr>
          <w:lang w:val="fr-FR"/>
        </w:rPr>
        <w:t>. Si le déversement est peu important et se produit sur une surface non poreuse (telle qu</w:t>
      </w:r>
      <w:r w:rsidR="006C05FA">
        <w:rPr>
          <w:lang w:val="fr-FR"/>
        </w:rPr>
        <w:t>’</w:t>
      </w:r>
      <w:r w:rsidRPr="00E84EB9">
        <w:rPr>
          <w:lang w:val="fr-FR"/>
        </w:rPr>
        <w:t xml:space="preserve">un sol en linoléum), il peut être nettoyé par le personnel </w:t>
      </w:r>
      <w:r w:rsidR="007A762F">
        <w:rPr>
          <w:lang w:val="fr-FR"/>
        </w:rPr>
        <w:t>de</w:t>
      </w:r>
      <w:r w:rsidRPr="00E84EB9">
        <w:rPr>
          <w:lang w:val="fr-FR"/>
        </w:rPr>
        <w:t xml:space="preserve"> l</w:t>
      </w:r>
      <w:r w:rsidR="006C05FA">
        <w:rPr>
          <w:lang w:val="fr-FR"/>
        </w:rPr>
        <w:t>’</w:t>
      </w:r>
      <w:r w:rsidRPr="00E84EB9">
        <w:rPr>
          <w:lang w:val="fr-FR"/>
        </w:rPr>
        <w:t xml:space="preserve">installation </w:t>
      </w:r>
      <w:r w:rsidR="007A762F">
        <w:rPr>
          <w:lang w:val="fr-FR"/>
        </w:rPr>
        <w:t xml:space="preserve">ou des travailleurs extérieurs </w:t>
      </w:r>
      <w:r w:rsidRPr="00E84EB9">
        <w:rPr>
          <w:lang w:val="fr-FR"/>
        </w:rPr>
        <w:t>et éliminé d</w:t>
      </w:r>
      <w:r w:rsidR="006C05FA">
        <w:rPr>
          <w:lang w:val="fr-FR"/>
        </w:rPr>
        <w:t>’</w:t>
      </w:r>
      <w:r w:rsidRPr="00E84EB9">
        <w:rPr>
          <w:lang w:val="fr-FR"/>
        </w:rPr>
        <w:t xml:space="preserve">une manière </w:t>
      </w:r>
      <w:r w:rsidR="00D96FEB" w:rsidRPr="00E84EB9">
        <w:rPr>
          <w:lang w:val="fr-FR"/>
        </w:rPr>
        <w:t>écologiquement rationnelle</w:t>
      </w:r>
      <w:r w:rsidRPr="00E84EB9">
        <w:rPr>
          <w:lang w:val="fr-FR"/>
        </w:rPr>
        <w:t>. En cas d</w:t>
      </w:r>
      <w:r w:rsidR="006C05FA">
        <w:rPr>
          <w:lang w:val="fr-FR"/>
        </w:rPr>
        <w:t>’</w:t>
      </w:r>
      <w:r w:rsidRPr="00E84EB9">
        <w:rPr>
          <w:lang w:val="fr-FR"/>
        </w:rPr>
        <w:t>écoulement important ou dans des crevasses ou des fissures, il est parfois nécessaire de faire appel à un professionnel ayant reçu une formation appropriée, au cas où il ne s</w:t>
      </w:r>
      <w:r w:rsidR="006C05FA">
        <w:rPr>
          <w:lang w:val="fr-FR"/>
        </w:rPr>
        <w:t>’</w:t>
      </w:r>
      <w:r w:rsidRPr="00E84EB9">
        <w:rPr>
          <w:lang w:val="fr-FR"/>
        </w:rPr>
        <w:t xml:space="preserve">en trouverait pas sur place. Les écoulements importants dépassant le volume de mercure ou de composés du mercure généralement contenu dans un produit ménager </w:t>
      </w:r>
      <w:r w:rsidR="00D96FEB" w:rsidRPr="00E84EB9">
        <w:rPr>
          <w:lang w:val="fr-FR"/>
        </w:rPr>
        <w:t xml:space="preserve">usuel </w:t>
      </w:r>
      <w:r w:rsidRPr="00E84EB9">
        <w:rPr>
          <w:lang w:val="fr-FR"/>
        </w:rPr>
        <w:t>devr</w:t>
      </w:r>
      <w:r w:rsidR="007A762F">
        <w:rPr>
          <w:lang w:val="fr-FR"/>
        </w:rPr>
        <w:t>aie</w:t>
      </w:r>
      <w:r w:rsidRPr="00E84EB9">
        <w:rPr>
          <w:lang w:val="fr-FR"/>
        </w:rPr>
        <w:t xml:space="preserve">nt être signalés aux autorités compétentes. En cas de doute </w:t>
      </w:r>
      <w:r w:rsidR="00691364" w:rsidRPr="00E84EB9">
        <w:rPr>
          <w:lang w:val="fr-FR"/>
        </w:rPr>
        <w:t xml:space="preserve">sur le fait de savoir si le </w:t>
      </w:r>
      <w:r w:rsidRPr="00E84EB9">
        <w:rPr>
          <w:lang w:val="fr-FR"/>
        </w:rPr>
        <w:t>déversement</w:t>
      </w:r>
      <w:r w:rsidR="00691364" w:rsidRPr="00E84EB9">
        <w:rPr>
          <w:lang w:val="fr-FR"/>
        </w:rPr>
        <w:t xml:space="preserve"> doit être classé comme « important » ou non</w:t>
      </w:r>
      <w:r w:rsidRPr="00E84EB9">
        <w:rPr>
          <w:lang w:val="fr-FR"/>
        </w:rPr>
        <w:t xml:space="preserve">, </w:t>
      </w:r>
      <w:r w:rsidR="00691364" w:rsidRPr="00E84EB9">
        <w:rPr>
          <w:lang w:val="fr-FR"/>
        </w:rPr>
        <w:t xml:space="preserve">on </w:t>
      </w:r>
      <w:r w:rsidRPr="00E84EB9">
        <w:rPr>
          <w:lang w:val="fr-FR"/>
        </w:rPr>
        <w:t>avertir</w:t>
      </w:r>
      <w:r w:rsidR="00691364" w:rsidRPr="00E84EB9">
        <w:rPr>
          <w:lang w:val="fr-FR"/>
        </w:rPr>
        <w:t>a</w:t>
      </w:r>
      <w:r w:rsidRPr="00E84EB9">
        <w:rPr>
          <w:lang w:val="fr-FR"/>
        </w:rPr>
        <w:t xml:space="preserve"> les autorités compétentes. Dans certaines circonstances décrites dans le plan d</w:t>
      </w:r>
      <w:r w:rsidR="006C05FA">
        <w:rPr>
          <w:lang w:val="fr-FR"/>
        </w:rPr>
        <w:t>’</w:t>
      </w:r>
      <w:r w:rsidRPr="00E84EB9">
        <w:rPr>
          <w:lang w:val="fr-FR"/>
        </w:rPr>
        <w:t>urgence, il peut être souhaitable d</w:t>
      </w:r>
      <w:r w:rsidR="006C05FA">
        <w:rPr>
          <w:lang w:val="fr-FR"/>
        </w:rPr>
        <w:t>’</w:t>
      </w:r>
      <w:r w:rsidRPr="00E84EB9">
        <w:rPr>
          <w:lang w:val="fr-FR"/>
        </w:rPr>
        <w:t>obtenir l</w:t>
      </w:r>
      <w:r w:rsidR="006C05FA">
        <w:rPr>
          <w:lang w:val="fr-FR"/>
        </w:rPr>
        <w:t>’</w:t>
      </w:r>
      <w:r w:rsidRPr="00E84EB9">
        <w:rPr>
          <w:lang w:val="fr-FR"/>
        </w:rPr>
        <w:t>aide de professionnels qualifiés en matière de décontamination ou de surveillance de l</w:t>
      </w:r>
      <w:r w:rsidR="006C05FA">
        <w:rPr>
          <w:lang w:val="fr-FR"/>
        </w:rPr>
        <w:t>’</w:t>
      </w:r>
      <w:r w:rsidRPr="00E84EB9">
        <w:rPr>
          <w:lang w:val="fr-FR"/>
        </w:rPr>
        <w:t>air, quelle que soit l</w:t>
      </w:r>
      <w:r w:rsidR="006C05FA">
        <w:rPr>
          <w:lang w:val="fr-FR"/>
        </w:rPr>
        <w:t>’</w:t>
      </w:r>
      <w:r w:rsidRPr="00E84EB9">
        <w:rPr>
          <w:lang w:val="fr-FR"/>
        </w:rPr>
        <w:t>ampleur de l</w:t>
      </w:r>
      <w:r w:rsidR="006C05FA">
        <w:rPr>
          <w:lang w:val="fr-FR"/>
        </w:rPr>
        <w:t>’</w:t>
      </w:r>
      <w:r w:rsidRPr="00E84EB9">
        <w:rPr>
          <w:lang w:val="fr-FR"/>
        </w:rPr>
        <w:t>incident.</w:t>
      </w:r>
    </w:p>
    <w:p w14:paraId="19BC2FB5" w14:textId="703A1E17" w:rsidR="00AC1820" w:rsidRPr="00E84EB9" w:rsidRDefault="000C2F3D" w:rsidP="00F474DD">
      <w:pPr>
        <w:pStyle w:val="Normalnumber"/>
        <w:numPr>
          <w:ilvl w:val="0"/>
          <w:numId w:val="5"/>
        </w:numPr>
        <w:ind w:left="1247" w:firstLine="0"/>
        <w:rPr>
          <w:lang w:val="fr-FR"/>
        </w:rPr>
      </w:pPr>
      <w:r w:rsidRPr="00E84EB9">
        <w:rPr>
          <w:lang w:val="fr-FR"/>
        </w:rPr>
        <w:t>Les sites Web de Environnement et Changement climatique Canada et de l</w:t>
      </w:r>
      <w:r w:rsidR="006C05FA">
        <w:rPr>
          <w:lang w:val="fr-FR"/>
        </w:rPr>
        <w:t>’</w:t>
      </w:r>
      <w:r w:rsidRPr="00E84EB9">
        <w:rPr>
          <w:lang w:val="fr-FR"/>
        </w:rPr>
        <w:t>Agence de pro</w:t>
      </w:r>
      <w:r w:rsidR="00691364" w:rsidRPr="00E84EB9">
        <w:rPr>
          <w:lang w:val="fr-FR"/>
        </w:rPr>
        <w:t>tection de l</w:t>
      </w:r>
      <w:r w:rsidR="006C05FA">
        <w:rPr>
          <w:lang w:val="fr-FR"/>
        </w:rPr>
        <w:t>’</w:t>
      </w:r>
      <w:r w:rsidR="00691364" w:rsidRPr="00E84EB9">
        <w:rPr>
          <w:lang w:val="fr-FR"/>
        </w:rPr>
        <w:t>environnement des É</w:t>
      </w:r>
      <w:r w:rsidRPr="00E84EB9">
        <w:rPr>
          <w:lang w:val="fr-FR"/>
        </w:rPr>
        <w:t xml:space="preserve">tats Unis </w:t>
      </w:r>
      <w:r w:rsidR="00691364" w:rsidRPr="00E84EB9">
        <w:rPr>
          <w:lang w:val="fr-FR"/>
        </w:rPr>
        <w:t xml:space="preserve">(US EPA) </w:t>
      </w:r>
      <w:r w:rsidR="007A762F">
        <w:rPr>
          <w:lang w:val="fr-FR"/>
        </w:rPr>
        <w:t>contienn</w:t>
      </w:r>
      <w:r w:rsidRPr="00E84EB9">
        <w:rPr>
          <w:lang w:val="fr-FR"/>
        </w:rPr>
        <w:t xml:space="preserve">ent des conseils </w:t>
      </w:r>
      <w:r w:rsidR="00691364" w:rsidRPr="00E84EB9">
        <w:rPr>
          <w:lang w:val="fr-FR"/>
        </w:rPr>
        <w:t xml:space="preserve">sur </w:t>
      </w:r>
      <w:r w:rsidRPr="00E84EB9">
        <w:rPr>
          <w:lang w:val="fr-FR"/>
        </w:rPr>
        <w:t>le nettoyage des déversements ménagers (voir la bibliographie à la fin des présentes directives), qui peuvent être transposés à d</w:t>
      </w:r>
      <w:r w:rsidR="006C05FA">
        <w:rPr>
          <w:lang w:val="fr-FR"/>
        </w:rPr>
        <w:t>’</w:t>
      </w:r>
      <w:r w:rsidRPr="00E84EB9">
        <w:rPr>
          <w:lang w:val="fr-FR"/>
        </w:rPr>
        <w:t>autres situations. Les déversements de mercure élémentaire lors d</w:t>
      </w:r>
      <w:r w:rsidR="006C05FA">
        <w:rPr>
          <w:lang w:val="fr-FR"/>
        </w:rPr>
        <w:t>’</w:t>
      </w:r>
      <w:r w:rsidRPr="00E84EB9">
        <w:rPr>
          <w:lang w:val="fr-FR"/>
        </w:rPr>
        <w:t xml:space="preserve">activités commerciales et chez des particuliers </w:t>
      </w:r>
      <w:r w:rsidR="00691364" w:rsidRPr="00E84EB9">
        <w:rPr>
          <w:lang w:val="fr-FR"/>
        </w:rPr>
        <w:t xml:space="preserve">posent </w:t>
      </w:r>
      <w:r w:rsidRPr="00E84EB9">
        <w:rPr>
          <w:lang w:val="fr-FR"/>
        </w:rPr>
        <w:t>un risque d</w:t>
      </w:r>
      <w:r w:rsidR="006C05FA">
        <w:rPr>
          <w:lang w:val="fr-FR"/>
        </w:rPr>
        <w:t>’</w:t>
      </w:r>
      <w:r w:rsidRPr="00E84EB9">
        <w:rPr>
          <w:lang w:val="fr-FR"/>
        </w:rPr>
        <w:t>exposition à des vapeurs de mercure dangereuses pour les travailleurs et le public. E</w:t>
      </w:r>
      <w:r w:rsidR="00691364" w:rsidRPr="00E84EB9">
        <w:rPr>
          <w:lang w:val="fr-FR"/>
        </w:rPr>
        <w:t xml:space="preserve">n outre, ils </w:t>
      </w:r>
      <w:r w:rsidR="007A762F">
        <w:rPr>
          <w:lang w:val="fr-FR"/>
        </w:rPr>
        <w:t>provoquent des</w:t>
      </w:r>
      <w:r w:rsidR="00691364" w:rsidRPr="00E84EB9">
        <w:rPr>
          <w:lang w:val="fr-FR"/>
        </w:rPr>
        <w:t xml:space="preserve"> perturbat</w:t>
      </w:r>
      <w:r w:rsidR="007A762F">
        <w:rPr>
          <w:lang w:val="fr-FR"/>
        </w:rPr>
        <w:t>ion</w:t>
      </w:r>
      <w:r w:rsidR="00691364" w:rsidRPr="00E84EB9">
        <w:rPr>
          <w:lang w:val="fr-FR"/>
        </w:rPr>
        <w:t>s</w:t>
      </w:r>
      <w:r w:rsidRPr="00E84EB9">
        <w:rPr>
          <w:lang w:val="fr-FR"/>
        </w:rPr>
        <w:t xml:space="preserve"> et entraînent des coûts de nettoyage élevés. Les procédures de décontamination suite à de petits écoulements de mercure et de composés du mercure sont décrites su</w:t>
      </w:r>
      <w:r w:rsidR="00162640">
        <w:rPr>
          <w:lang w:val="fr-FR"/>
        </w:rPr>
        <w:t>r le site Web de l</w:t>
      </w:r>
      <w:r w:rsidR="006C05FA">
        <w:rPr>
          <w:lang w:val="fr-FR"/>
        </w:rPr>
        <w:t>’</w:t>
      </w:r>
      <w:r w:rsidRPr="00E84EB9">
        <w:rPr>
          <w:lang w:val="fr-FR"/>
        </w:rPr>
        <w:t>Agence de protection de l</w:t>
      </w:r>
      <w:r w:rsidR="006C05FA">
        <w:rPr>
          <w:lang w:val="fr-FR"/>
        </w:rPr>
        <w:t>’</w:t>
      </w:r>
      <w:r w:rsidRPr="00E84EB9">
        <w:rPr>
          <w:lang w:val="fr-FR"/>
        </w:rPr>
        <w:t>environnement.</w:t>
      </w:r>
    </w:p>
    <w:p w14:paraId="332B8358" w14:textId="0CA0320C" w:rsidR="000C2F3D" w:rsidRPr="00E84EB9" w:rsidRDefault="004B70A9" w:rsidP="00EE4C8C">
      <w:pPr>
        <w:pStyle w:val="CH1"/>
        <w:rPr>
          <w:lang w:val="fr-FR"/>
        </w:rPr>
      </w:pPr>
      <w:r>
        <w:rPr>
          <w:lang w:val="fr-FR"/>
        </w:rPr>
        <w:tab/>
      </w:r>
      <w:bookmarkStart w:id="28" w:name="_Toc527548244"/>
      <w:r w:rsidR="000C2F3D" w:rsidRPr="00E84EB9">
        <w:rPr>
          <w:lang w:val="fr-FR"/>
        </w:rPr>
        <w:t>V.</w:t>
      </w:r>
      <w:r w:rsidR="000C2F3D" w:rsidRPr="00E84EB9">
        <w:rPr>
          <w:lang w:val="fr-FR"/>
        </w:rPr>
        <w:tab/>
      </w:r>
      <w:r w:rsidR="000C2F3D" w:rsidRPr="00E84EB9">
        <w:rPr>
          <w:bCs/>
          <w:lang w:val="fr-FR"/>
        </w:rPr>
        <w:t xml:space="preserve">Orientations générales </w:t>
      </w:r>
      <w:r w:rsidR="007A762F">
        <w:rPr>
          <w:bCs/>
          <w:lang w:val="fr-FR"/>
        </w:rPr>
        <w:t>concernant</w:t>
      </w:r>
      <w:r w:rsidR="000C2F3D" w:rsidRPr="00E84EB9">
        <w:rPr>
          <w:bCs/>
          <w:lang w:val="fr-FR"/>
        </w:rPr>
        <w:t xml:space="preserve"> la santé et la sécurité</w:t>
      </w:r>
      <w:bookmarkStart w:id="29" w:name="_Toc520380789"/>
      <w:bookmarkEnd w:id="28"/>
      <w:bookmarkEnd w:id="29"/>
    </w:p>
    <w:p w14:paraId="5A1A3F68" w14:textId="19073B86" w:rsidR="000C2F3D" w:rsidRDefault="00ED28C5" w:rsidP="00F474DD">
      <w:pPr>
        <w:pStyle w:val="Normalnumber"/>
        <w:numPr>
          <w:ilvl w:val="0"/>
          <w:numId w:val="5"/>
        </w:numPr>
        <w:ind w:left="1247" w:firstLine="0"/>
        <w:rPr>
          <w:lang w:val="fr-FR"/>
        </w:rPr>
      </w:pPr>
      <w:r w:rsidRPr="00E84EB9">
        <w:rPr>
          <w:lang w:val="fr-FR"/>
        </w:rPr>
        <w:t>L</w:t>
      </w:r>
      <w:r w:rsidR="006C05FA">
        <w:rPr>
          <w:lang w:val="fr-FR"/>
        </w:rPr>
        <w:t>’</w:t>
      </w:r>
      <w:r w:rsidRPr="00E84EB9">
        <w:rPr>
          <w:lang w:val="fr-FR"/>
        </w:rPr>
        <w:t xml:space="preserve">élaboration et la mise en </w:t>
      </w:r>
      <w:r w:rsidR="00E84EB9" w:rsidRPr="00E84EB9">
        <w:rPr>
          <w:lang w:val="fr-FR"/>
        </w:rPr>
        <w:t>œuvre</w:t>
      </w:r>
      <w:r w:rsidRPr="00E84EB9">
        <w:rPr>
          <w:lang w:val="fr-FR"/>
        </w:rPr>
        <w:t xml:space="preserve"> d</w:t>
      </w:r>
      <w:r w:rsidR="006C05FA">
        <w:rPr>
          <w:lang w:val="fr-FR"/>
        </w:rPr>
        <w:t>’</w:t>
      </w:r>
      <w:r w:rsidRPr="00E84EB9">
        <w:rPr>
          <w:lang w:val="fr-FR"/>
        </w:rPr>
        <w:t>activités relatives à la sécurité et à la santé du public et des travailleurs visant à prévenir et à réduire au minimum l</w:t>
      </w:r>
      <w:r w:rsidR="006C05FA">
        <w:rPr>
          <w:lang w:val="fr-FR"/>
        </w:rPr>
        <w:t>’</w:t>
      </w:r>
      <w:r w:rsidRPr="00E84EB9">
        <w:rPr>
          <w:lang w:val="fr-FR"/>
        </w:rPr>
        <w:t>exposition au mercure et aux composés du mercure sont des aspects décisifs du stockage écologiquement rationnel du mercure et</w:t>
      </w:r>
      <w:r w:rsidR="00173AB4" w:rsidRPr="00E84EB9">
        <w:rPr>
          <w:lang w:val="fr-FR"/>
        </w:rPr>
        <w:t xml:space="preserve"> des composés du mercure.</w:t>
      </w:r>
    </w:p>
    <w:p w14:paraId="27D00F71" w14:textId="38DDFC9D" w:rsidR="00C561F4" w:rsidRPr="00C561F4" w:rsidRDefault="006E74CD" w:rsidP="006E74CD">
      <w:pPr>
        <w:pStyle w:val="CH2"/>
        <w:ind w:left="1215" w:hanging="1215"/>
        <w:rPr>
          <w:lang w:val="fr-FR"/>
        </w:rPr>
      </w:pPr>
      <w:r>
        <w:rPr>
          <w:lang w:val="fr-FR"/>
        </w:rPr>
        <w:tab/>
      </w:r>
      <w:bookmarkStart w:id="30" w:name="_Toc527548245"/>
      <w:r w:rsidR="00C561F4" w:rsidRPr="00C561F4">
        <w:rPr>
          <w:lang w:val="fr-FR"/>
        </w:rPr>
        <w:t>A.</w:t>
      </w:r>
      <w:r w:rsidR="00C561F4" w:rsidRPr="00C561F4">
        <w:rPr>
          <w:lang w:val="fr-FR"/>
        </w:rPr>
        <w:tab/>
      </w:r>
      <w:r w:rsidR="00C561F4" w:rsidRPr="00E84EB9">
        <w:rPr>
          <w:bCs/>
          <w:lang w:val="fr-FR"/>
        </w:rPr>
        <w:t xml:space="preserve">Santé et </w:t>
      </w:r>
      <w:proofErr w:type="gramStart"/>
      <w:r w:rsidR="00C561F4" w:rsidRPr="00E84EB9">
        <w:rPr>
          <w:bCs/>
          <w:lang w:val="fr-FR"/>
        </w:rPr>
        <w:t>sécurité publiques</w:t>
      </w:r>
      <w:bookmarkEnd w:id="30"/>
      <w:proofErr w:type="gramEnd"/>
      <w:r w:rsidR="00C561F4" w:rsidRPr="00C561F4">
        <w:rPr>
          <w:lang w:val="fr-FR"/>
        </w:rPr>
        <w:t xml:space="preserve"> </w:t>
      </w:r>
    </w:p>
    <w:p w14:paraId="4D846A43" w14:textId="29A7436E" w:rsidR="000C2F3D" w:rsidRPr="00E84EB9" w:rsidRDefault="001A53E2" w:rsidP="00F474DD">
      <w:pPr>
        <w:pStyle w:val="Normalnumber"/>
        <w:numPr>
          <w:ilvl w:val="0"/>
          <w:numId w:val="5"/>
        </w:numPr>
        <w:ind w:left="1247" w:firstLine="0"/>
        <w:rPr>
          <w:lang w:val="fr-FR"/>
        </w:rPr>
      </w:pPr>
      <w:r w:rsidRPr="00E84EB9">
        <w:rPr>
          <w:lang w:val="fr-FR"/>
        </w:rPr>
        <w:t>Pour garantir la sécurité publique, les exploitants des installations doivent notifier comme il se doit les rejets de mercure tant ordinaires qu</w:t>
      </w:r>
      <w:r w:rsidR="006C05FA">
        <w:rPr>
          <w:lang w:val="fr-FR"/>
        </w:rPr>
        <w:t>’</w:t>
      </w:r>
      <w:r w:rsidRPr="00E84EB9">
        <w:rPr>
          <w:lang w:val="fr-FR"/>
        </w:rPr>
        <w:t xml:space="preserve">accidentels. La communication en temps utile de ces informations aux autorités locales </w:t>
      </w:r>
      <w:r w:rsidR="00B4622F" w:rsidRPr="00E84EB9">
        <w:rPr>
          <w:lang w:val="fr-FR"/>
        </w:rPr>
        <w:t>suppose d</w:t>
      </w:r>
      <w:r w:rsidR="006C05FA">
        <w:rPr>
          <w:lang w:val="fr-FR"/>
        </w:rPr>
        <w:t>’</w:t>
      </w:r>
      <w:r w:rsidR="00B4622F" w:rsidRPr="00E84EB9">
        <w:rPr>
          <w:lang w:val="fr-FR"/>
        </w:rPr>
        <w:t xml:space="preserve">établir </w:t>
      </w:r>
      <w:r w:rsidR="00AD6F30" w:rsidRPr="00E84EB9">
        <w:rPr>
          <w:lang w:val="fr-FR"/>
        </w:rPr>
        <w:t xml:space="preserve">des </w:t>
      </w:r>
      <w:r w:rsidRPr="00E84EB9">
        <w:rPr>
          <w:lang w:val="fr-FR"/>
        </w:rPr>
        <w:t>procédures d</w:t>
      </w:r>
      <w:r w:rsidR="006C05FA">
        <w:rPr>
          <w:lang w:val="fr-FR"/>
        </w:rPr>
        <w:t>’</w:t>
      </w:r>
      <w:r w:rsidRPr="00E84EB9">
        <w:rPr>
          <w:lang w:val="fr-FR"/>
        </w:rPr>
        <w:t xml:space="preserve">urgence et de routine claires pour notifier </w:t>
      </w:r>
      <w:r w:rsidR="00B4622F" w:rsidRPr="00E84EB9">
        <w:rPr>
          <w:lang w:val="fr-FR"/>
        </w:rPr>
        <w:t>c</w:t>
      </w:r>
      <w:r w:rsidRPr="00E84EB9">
        <w:rPr>
          <w:lang w:val="fr-FR"/>
        </w:rPr>
        <w:t>es rejets, notamment aux autorités civiles et aux services d</w:t>
      </w:r>
      <w:r w:rsidR="006C05FA">
        <w:rPr>
          <w:lang w:val="fr-FR"/>
        </w:rPr>
        <w:t>’</w:t>
      </w:r>
      <w:r w:rsidRPr="00E84EB9">
        <w:rPr>
          <w:lang w:val="fr-FR"/>
        </w:rPr>
        <w:t>urgence locaux et ce</w:t>
      </w:r>
      <w:r w:rsidR="008428E0">
        <w:rPr>
          <w:lang w:val="fr-FR"/>
        </w:rPr>
        <w:t>,</w:t>
      </w:r>
      <w:r w:rsidRPr="00E84EB9">
        <w:rPr>
          <w:lang w:val="fr-FR"/>
        </w:rPr>
        <w:t xml:space="preserve"> avant même que l</w:t>
      </w:r>
      <w:r w:rsidR="006C05FA">
        <w:rPr>
          <w:lang w:val="fr-FR"/>
        </w:rPr>
        <w:t>’</w:t>
      </w:r>
      <w:r w:rsidRPr="00E84EB9">
        <w:rPr>
          <w:lang w:val="fr-FR"/>
        </w:rPr>
        <w:t>exploitation d</w:t>
      </w:r>
      <w:r w:rsidR="006C05FA">
        <w:rPr>
          <w:lang w:val="fr-FR"/>
        </w:rPr>
        <w:t>’</w:t>
      </w:r>
      <w:r w:rsidRPr="00E84EB9">
        <w:rPr>
          <w:lang w:val="fr-FR"/>
        </w:rPr>
        <w:t>une installation ne débute. Les personnes qui vivent et travaillent à proximité d</w:t>
      </w:r>
      <w:r w:rsidR="006C05FA">
        <w:rPr>
          <w:lang w:val="fr-FR"/>
        </w:rPr>
        <w:t>’</w:t>
      </w:r>
      <w:r w:rsidRPr="00E84EB9">
        <w:rPr>
          <w:lang w:val="fr-FR"/>
        </w:rPr>
        <w:t>installations de stockage peuvent également être exposées à des risques pour l</w:t>
      </w:r>
      <w:r w:rsidR="006C05FA">
        <w:rPr>
          <w:lang w:val="fr-FR"/>
        </w:rPr>
        <w:t>’</w:t>
      </w:r>
      <w:r w:rsidRPr="00E84EB9">
        <w:rPr>
          <w:lang w:val="fr-FR"/>
        </w:rPr>
        <w:t>environnement et la santé et à des risques d</w:t>
      </w:r>
      <w:r w:rsidR="006C05FA">
        <w:rPr>
          <w:lang w:val="fr-FR"/>
        </w:rPr>
        <w:t>’</w:t>
      </w:r>
      <w:r w:rsidRPr="00E84EB9">
        <w:rPr>
          <w:lang w:val="fr-FR"/>
        </w:rPr>
        <w:t>accident liés principalement à des émissions et des rejets découlant de travaux réalisés dans l</w:t>
      </w:r>
      <w:r w:rsidR="006C05FA">
        <w:rPr>
          <w:lang w:val="fr-FR"/>
        </w:rPr>
        <w:t>’</w:t>
      </w:r>
      <w:r w:rsidRPr="00E84EB9">
        <w:rPr>
          <w:lang w:val="fr-FR"/>
        </w:rPr>
        <w:t>installation</w:t>
      </w:r>
      <w:r w:rsidR="00B4622F" w:rsidRPr="00E84EB9">
        <w:rPr>
          <w:lang w:val="fr-FR"/>
        </w:rPr>
        <w:t>, ainsi que</w:t>
      </w:r>
      <w:r w:rsidRPr="00E84EB9">
        <w:rPr>
          <w:lang w:val="fr-FR"/>
        </w:rPr>
        <w:t xml:space="preserve"> du transport vers et depuis l</w:t>
      </w:r>
      <w:r w:rsidR="006C05FA">
        <w:rPr>
          <w:lang w:val="fr-FR"/>
        </w:rPr>
        <w:t>’</w:t>
      </w:r>
      <w:r w:rsidRPr="00E84EB9">
        <w:rPr>
          <w:lang w:val="fr-FR"/>
        </w:rPr>
        <w:t xml:space="preserve">installation. </w:t>
      </w:r>
      <w:r w:rsidR="00AD6F30" w:rsidRPr="00E84EB9">
        <w:rPr>
          <w:lang w:val="fr-FR"/>
        </w:rPr>
        <w:t xml:space="preserve">Il convient de prendre des </w:t>
      </w:r>
      <w:r w:rsidRPr="00E84EB9">
        <w:rPr>
          <w:lang w:val="fr-FR"/>
        </w:rPr>
        <w:t xml:space="preserve">mesures </w:t>
      </w:r>
      <w:r w:rsidR="00AD6F30" w:rsidRPr="00E84EB9">
        <w:rPr>
          <w:lang w:val="fr-FR"/>
        </w:rPr>
        <w:t xml:space="preserve">appropriées </w:t>
      </w:r>
      <w:r w:rsidRPr="00E84EB9">
        <w:rPr>
          <w:lang w:val="fr-FR"/>
        </w:rPr>
        <w:t>pour prévenir et réduire au minimum leurs incidences sur la santé humaine et l</w:t>
      </w:r>
      <w:r w:rsidR="006C05FA">
        <w:rPr>
          <w:lang w:val="fr-FR"/>
        </w:rPr>
        <w:t>’</w:t>
      </w:r>
      <w:r w:rsidRPr="00E84EB9">
        <w:rPr>
          <w:lang w:val="fr-FR"/>
        </w:rPr>
        <w:t xml:space="preserve">environnement. Des programmes de surveillance peuvent </w:t>
      </w:r>
      <w:r w:rsidR="007952B7">
        <w:rPr>
          <w:lang w:val="fr-FR"/>
        </w:rPr>
        <w:t xml:space="preserve">aider </w:t>
      </w:r>
      <w:r w:rsidRPr="00E84EB9">
        <w:rPr>
          <w:lang w:val="fr-FR"/>
        </w:rPr>
        <w:t>à repérer les problèmes et à prendre les mesures qui s</w:t>
      </w:r>
      <w:r w:rsidR="006C05FA">
        <w:rPr>
          <w:lang w:val="fr-FR"/>
        </w:rPr>
        <w:t>’</w:t>
      </w:r>
      <w:r w:rsidRPr="00E84EB9">
        <w:rPr>
          <w:lang w:val="fr-FR"/>
        </w:rPr>
        <w:t>imposent pour y remédier. Ces programmes pourraient comprendre la surveillance des émissions et rejets de mercure ou composés du mercure hors de l</w:t>
      </w:r>
      <w:r w:rsidR="006C05FA">
        <w:rPr>
          <w:lang w:val="fr-FR"/>
        </w:rPr>
        <w:t>’</w:t>
      </w:r>
      <w:r w:rsidRPr="00E84EB9">
        <w:rPr>
          <w:lang w:val="fr-FR"/>
        </w:rPr>
        <w:t xml:space="preserve">installation </w:t>
      </w:r>
      <w:r w:rsidR="00CE4D0D" w:rsidRPr="00E84EB9">
        <w:rPr>
          <w:lang w:val="fr-FR"/>
        </w:rPr>
        <w:t xml:space="preserve">pour </w:t>
      </w:r>
      <w:r w:rsidRPr="00E84EB9">
        <w:rPr>
          <w:lang w:val="fr-FR"/>
        </w:rPr>
        <w:t xml:space="preserve">déterminer toute exposition </w:t>
      </w:r>
      <w:r w:rsidR="00CE4D0D" w:rsidRPr="00E84EB9">
        <w:rPr>
          <w:lang w:val="fr-FR"/>
        </w:rPr>
        <w:t xml:space="preserve">éventuelle </w:t>
      </w:r>
      <w:r w:rsidRPr="00E84EB9">
        <w:rPr>
          <w:lang w:val="fr-FR"/>
        </w:rPr>
        <w:t>de la population locale. Les exploitants d</w:t>
      </w:r>
      <w:r w:rsidR="006C05FA">
        <w:rPr>
          <w:lang w:val="fr-FR"/>
        </w:rPr>
        <w:t>’</w:t>
      </w:r>
      <w:r w:rsidRPr="00E84EB9">
        <w:rPr>
          <w:lang w:val="fr-FR"/>
        </w:rPr>
        <w:t xml:space="preserve">installations souhaiteront peut-être accueillir des forums de sensibilisation des communautés </w:t>
      </w:r>
      <w:r w:rsidR="009A36B3" w:rsidRPr="00E84EB9">
        <w:rPr>
          <w:lang w:val="fr-FR"/>
        </w:rPr>
        <w:t>pour</w:t>
      </w:r>
      <w:r w:rsidRPr="00E84EB9">
        <w:rPr>
          <w:lang w:val="fr-FR"/>
        </w:rPr>
        <w:t xml:space="preserve"> répondre aux </w:t>
      </w:r>
      <w:r w:rsidR="009A36B3" w:rsidRPr="00E84EB9">
        <w:rPr>
          <w:lang w:val="fr-FR"/>
        </w:rPr>
        <w:t>questions concernant le choix de</w:t>
      </w:r>
      <w:r w:rsidRPr="00E84EB9">
        <w:rPr>
          <w:lang w:val="fr-FR"/>
        </w:rPr>
        <w:t>s sites, le fonctionnement et les plans d</w:t>
      </w:r>
      <w:r w:rsidR="006C05FA">
        <w:rPr>
          <w:lang w:val="fr-FR"/>
        </w:rPr>
        <w:t>’</w:t>
      </w:r>
      <w:r w:rsidRPr="00E84EB9">
        <w:rPr>
          <w:lang w:val="fr-FR"/>
        </w:rPr>
        <w:t>intervent</w:t>
      </w:r>
      <w:r w:rsidR="00E647C3">
        <w:rPr>
          <w:lang w:val="fr-FR"/>
        </w:rPr>
        <w:t>ion d</w:t>
      </w:r>
      <w:r w:rsidR="006C05FA">
        <w:rPr>
          <w:lang w:val="fr-FR"/>
        </w:rPr>
        <w:t>’</w:t>
      </w:r>
      <w:r w:rsidR="00E647C3">
        <w:rPr>
          <w:lang w:val="fr-FR"/>
        </w:rPr>
        <w:t>urgence.</w:t>
      </w:r>
    </w:p>
    <w:p w14:paraId="2C6B819D" w14:textId="23DD7CC7" w:rsidR="00FE051C" w:rsidRPr="00FE051C" w:rsidRDefault="003F5ADA" w:rsidP="003F5ADA">
      <w:pPr>
        <w:pStyle w:val="CH2"/>
        <w:ind w:left="1215" w:hanging="1215"/>
        <w:rPr>
          <w:lang w:val="fr-FR"/>
        </w:rPr>
      </w:pPr>
      <w:r>
        <w:rPr>
          <w:lang w:val="fr-FR"/>
        </w:rPr>
        <w:lastRenderedPageBreak/>
        <w:tab/>
      </w:r>
      <w:bookmarkStart w:id="31" w:name="_Toc527548246"/>
      <w:r w:rsidR="00FE051C" w:rsidRPr="00FE051C">
        <w:rPr>
          <w:lang w:val="fr-FR"/>
        </w:rPr>
        <w:t>B.</w:t>
      </w:r>
      <w:r w:rsidR="00FE051C" w:rsidRPr="00FE051C">
        <w:rPr>
          <w:lang w:val="fr-FR"/>
        </w:rPr>
        <w:tab/>
      </w:r>
      <w:r w:rsidR="00FE051C" w:rsidRPr="00E84EB9">
        <w:rPr>
          <w:bCs/>
          <w:lang w:val="fr-FR"/>
        </w:rPr>
        <w:t>Santé et sécurité des travailleurs</w:t>
      </w:r>
      <w:bookmarkEnd w:id="31"/>
    </w:p>
    <w:p w14:paraId="0BAF98D2" w14:textId="5ABF54C4" w:rsidR="000C2F3D" w:rsidRPr="00E84EB9" w:rsidRDefault="000C2F3D" w:rsidP="00F474DD">
      <w:pPr>
        <w:pStyle w:val="Normalnumber"/>
        <w:numPr>
          <w:ilvl w:val="0"/>
          <w:numId w:val="5"/>
        </w:numPr>
        <w:ind w:left="1247" w:firstLine="0"/>
        <w:rPr>
          <w:lang w:val="fr-FR"/>
        </w:rPr>
      </w:pPr>
      <w:r w:rsidRPr="00E84EB9">
        <w:rPr>
          <w:lang w:val="fr-FR"/>
        </w:rPr>
        <w:t>Les employeurs devraient veiller à la santé et à la sécurité de l</w:t>
      </w:r>
      <w:r w:rsidR="006C05FA">
        <w:rPr>
          <w:lang w:val="fr-FR"/>
        </w:rPr>
        <w:t>’</w:t>
      </w:r>
      <w:r w:rsidRPr="00E84EB9">
        <w:rPr>
          <w:lang w:val="fr-FR"/>
        </w:rPr>
        <w:t xml:space="preserve">ensemble de leurs employés </w:t>
      </w:r>
      <w:r w:rsidR="008428E0">
        <w:rPr>
          <w:lang w:val="fr-FR"/>
        </w:rPr>
        <w:t>dur</w:t>
      </w:r>
      <w:r w:rsidRPr="00E84EB9">
        <w:rPr>
          <w:lang w:val="fr-FR"/>
        </w:rPr>
        <w:t xml:space="preserve">ant leur temps de travail. </w:t>
      </w:r>
      <w:r w:rsidR="00CE4D0D" w:rsidRPr="00E84EB9">
        <w:rPr>
          <w:lang w:val="fr-FR"/>
        </w:rPr>
        <w:t>Il est possible de réaliser u</w:t>
      </w:r>
      <w:r w:rsidRPr="00E84EB9">
        <w:rPr>
          <w:lang w:val="fr-FR"/>
        </w:rPr>
        <w:t>ne évaluation de l</w:t>
      </w:r>
      <w:r w:rsidR="006C05FA">
        <w:rPr>
          <w:lang w:val="fr-FR"/>
        </w:rPr>
        <w:t>’</w:t>
      </w:r>
      <w:r w:rsidRPr="00E84EB9">
        <w:rPr>
          <w:lang w:val="fr-FR"/>
        </w:rPr>
        <w:t xml:space="preserve">exposition pour tous les employés qui sont directement exposés à du mercure ou à des composés du mercure, </w:t>
      </w:r>
      <w:r w:rsidR="00CE4D0D" w:rsidRPr="00E84EB9">
        <w:rPr>
          <w:lang w:val="fr-FR"/>
        </w:rPr>
        <w:t>et d</w:t>
      </w:r>
      <w:r w:rsidR="006C05FA">
        <w:rPr>
          <w:lang w:val="fr-FR"/>
        </w:rPr>
        <w:t>’</w:t>
      </w:r>
      <w:r w:rsidR="00CE4D0D" w:rsidRPr="00E84EB9">
        <w:rPr>
          <w:lang w:val="fr-FR"/>
        </w:rPr>
        <w:t xml:space="preserve">adopter des </w:t>
      </w:r>
      <w:r w:rsidRPr="00E84EB9">
        <w:rPr>
          <w:lang w:val="fr-FR"/>
        </w:rPr>
        <w:t xml:space="preserve">pratiques appropriées </w:t>
      </w:r>
      <w:r w:rsidR="00CE4D0D" w:rsidRPr="00E84EB9">
        <w:rPr>
          <w:lang w:val="fr-FR"/>
        </w:rPr>
        <w:t xml:space="preserve">pour </w:t>
      </w:r>
      <w:r w:rsidRPr="00E84EB9">
        <w:rPr>
          <w:lang w:val="fr-FR"/>
        </w:rPr>
        <w:t>le suivi et l</w:t>
      </w:r>
      <w:r w:rsidR="006C05FA">
        <w:rPr>
          <w:lang w:val="fr-FR"/>
        </w:rPr>
        <w:t>’</w:t>
      </w:r>
      <w:r w:rsidRPr="00E84EB9">
        <w:rPr>
          <w:lang w:val="fr-FR"/>
        </w:rPr>
        <w:t>hygiène industrielle. Des badges colorimétriques et/ou du matériel de surveillance personnelle (dispositifs d</w:t>
      </w:r>
      <w:r w:rsidR="007A762F">
        <w:rPr>
          <w:lang w:val="fr-FR"/>
        </w:rPr>
        <w:t>’échantillonnage</w:t>
      </w:r>
      <w:r w:rsidRPr="00E84EB9">
        <w:rPr>
          <w:lang w:val="fr-FR"/>
        </w:rPr>
        <w:t xml:space="preserve"> de</w:t>
      </w:r>
      <w:r w:rsidR="007A762F">
        <w:rPr>
          <w:lang w:val="fr-FR"/>
        </w:rPr>
        <w:t>s</w:t>
      </w:r>
      <w:r w:rsidRPr="00E84EB9">
        <w:rPr>
          <w:lang w:val="fr-FR"/>
        </w:rPr>
        <w:t xml:space="preserve"> vapeur</w:t>
      </w:r>
      <w:r w:rsidR="007A762F">
        <w:rPr>
          <w:lang w:val="fr-FR"/>
        </w:rPr>
        <w:t>s</w:t>
      </w:r>
      <w:r w:rsidRPr="00E84EB9">
        <w:rPr>
          <w:lang w:val="fr-FR"/>
        </w:rPr>
        <w:t xml:space="preserve">) sont nécessaires pour </w:t>
      </w:r>
      <w:r w:rsidR="005F220A" w:rsidRPr="00E84EB9">
        <w:rPr>
          <w:lang w:val="fr-FR"/>
        </w:rPr>
        <w:t xml:space="preserve">mettre en œuvre un tel </w:t>
      </w:r>
      <w:r w:rsidRPr="00E84EB9">
        <w:rPr>
          <w:lang w:val="fr-FR"/>
        </w:rPr>
        <w:t>programme exhaustif d</w:t>
      </w:r>
      <w:r w:rsidR="006C05FA">
        <w:rPr>
          <w:lang w:val="fr-FR"/>
        </w:rPr>
        <w:t>’</w:t>
      </w:r>
      <w:r w:rsidRPr="00E84EB9">
        <w:rPr>
          <w:lang w:val="fr-FR"/>
        </w:rPr>
        <w:t>évaluation et de suivi</w:t>
      </w:r>
      <w:r w:rsidR="005F220A" w:rsidRPr="00E84EB9">
        <w:rPr>
          <w:lang w:val="fr-FR"/>
        </w:rPr>
        <w:t xml:space="preserve"> de l</w:t>
      </w:r>
      <w:r w:rsidR="006C05FA">
        <w:rPr>
          <w:lang w:val="fr-FR"/>
        </w:rPr>
        <w:t>’</w:t>
      </w:r>
      <w:r w:rsidR="005F220A" w:rsidRPr="00E84EB9">
        <w:rPr>
          <w:lang w:val="fr-FR"/>
        </w:rPr>
        <w:t>exposition</w:t>
      </w:r>
      <w:r w:rsidRPr="00E84EB9">
        <w:rPr>
          <w:lang w:val="fr-FR"/>
        </w:rPr>
        <w:t>. Des examens physiques préalables à l</w:t>
      </w:r>
      <w:r w:rsidR="006C05FA">
        <w:rPr>
          <w:lang w:val="fr-FR"/>
        </w:rPr>
        <w:t>’</w:t>
      </w:r>
      <w:r w:rsidRPr="00E84EB9">
        <w:rPr>
          <w:lang w:val="fr-FR"/>
        </w:rPr>
        <w:t xml:space="preserve">emploi </w:t>
      </w:r>
      <w:r w:rsidR="00CE4D0D" w:rsidRPr="00E84EB9">
        <w:rPr>
          <w:lang w:val="fr-FR"/>
        </w:rPr>
        <w:t xml:space="preserve">seront </w:t>
      </w:r>
      <w:r w:rsidRPr="00E84EB9">
        <w:rPr>
          <w:lang w:val="fr-FR"/>
        </w:rPr>
        <w:t xml:space="preserve">effectués </w:t>
      </w:r>
      <w:r w:rsidR="005C15BF">
        <w:rPr>
          <w:lang w:val="fr-FR"/>
        </w:rPr>
        <w:t xml:space="preserve">afin </w:t>
      </w:r>
      <w:r w:rsidRPr="00E84EB9">
        <w:rPr>
          <w:lang w:val="fr-FR"/>
        </w:rPr>
        <w:t>d</w:t>
      </w:r>
      <w:r w:rsidR="006C05FA">
        <w:rPr>
          <w:lang w:val="fr-FR"/>
        </w:rPr>
        <w:t>’</w:t>
      </w:r>
      <w:r w:rsidRPr="00E84EB9">
        <w:rPr>
          <w:lang w:val="fr-FR"/>
        </w:rPr>
        <w:t>établir une base de référence pour le niveau naturel de mercure chez un individu et d</w:t>
      </w:r>
      <w:r w:rsidR="005C15BF">
        <w:rPr>
          <w:lang w:val="fr-FR"/>
        </w:rPr>
        <w:t>’aider à</w:t>
      </w:r>
      <w:r w:rsidRPr="00E84EB9">
        <w:rPr>
          <w:lang w:val="fr-FR"/>
        </w:rPr>
        <w:t xml:space="preserve"> </w:t>
      </w:r>
      <w:r w:rsidR="005C15BF">
        <w:rPr>
          <w:lang w:val="fr-FR"/>
        </w:rPr>
        <w:t>vérifi</w:t>
      </w:r>
      <w:r w:rsidR="005C15BF" w:rsidRPr="00E84EB9">
        <w:rPr>
          <w:lang w:val="fr-FR"/>
        </w:rPr>
        <w:t xml:space="preserve">er </w:t>
      </w:r>
      <w:r w:rsidRPr="00E84EB9">
        <w:rPr>
          <w:lang w:val="fr-FR"/>
        </w:rPr>
        <w:t>qu</w:t>
      </w:r>
      <w:r w:rsidR="006C05FA">
        <w:rPr>
          <w:lang w:val="fr-FR"/>
        </w:rPr>
        <w:t>’</w:t>
      </w:r>
      <w:r w:rsidRPr="00E84EB9">
        <w:rPr>
          <w:lang w:val="fr-FR"/>
        </w:rPr>
        <w:t>il présente une chimie corporelle normale pour l</w:t>
      </w:r>
      <w:r w:rsidR="006C05FA">
        <w:rPr>
          <w:lang w:val="fr-FR"/>
        </w:rPr>
        <w:t>’</w:t>
      </w:r>
      <w:r w:rsidRPr="00E84EB9">
        <w:rPr>
          <w:lang w:val="fr-FR"/>
        </w:rPr>
        <w:t>élimination du mercure. En fonction des personnes, il peut être nécessaire de prendre en compte d</w:t>
      </w:r>
      <w:r w:rsidR="006C05FA">
        <w:rPr>
          <w:lang w:val="fr-FR"/>
        </w:rPr>
        <w:t>’</w:t>
      </w:r>
      <w:r w:rsidRPr="00E84EB9">
        <w:rPr>
          <w:lang w:val="fr-FR"/>
        </w:rPr>
        <w:t xml:space="preserve">autres aspects, qui devront être traités au cas par cas. </w:t>
      </w:r>
      <w:r w:rsidR="00D51544" w:rsidRPr="00E84EB9">
        <w:rPr>
          <w:lang w:val="fr-FR"/>
        </w:rPr>
        <w:t xml:space="preserve">Les </w:t>
      </w:r>
      <w:r w:rsidRPr="00E84EB9">
        <w:rPr>
          <w:lang w:val="fr-FR"/>
        </w:rPr>
        <w:t>programmes de surveillance médicale devraient également inclure des examens physiques périodiques (par exemple tous les un à trois ans), ainsi que des analyses de sang et d</w:t>
      </w:r>
      <w:r w:rsidR="006C05FA">
        <w:rPr>
          <w:lang w:val="fr-FR"/>
        </w:rPr>
        <w:t>’</w:t>
      </w:r>
      <w:r w:rsidRPr="00E84EB9">
        <w:rPr>
          <w:lang w:val="fr-FR"/>
        </w:rPr>
        <w:t>urine régulières. Il pourrait être envisagé de proposer d</w:t>
      </w:r>
      <w:r w:rsidR="006C05FA">
        <w:rPr>
          <w:lang w:val="fr-FR"/>
        </w:rPr>
        <w:t>’</w:t>
      </w:r>
      <w:r w:rsidRPr="00E84EB9">
        <w:rPr>
          <w:lang w:val="fr-FR"/>
        </w:rPr>
        <w:t>autres possibilités d</w:t>
      </w:r>
      <w:r w:rsidR="006C05FA">
        <w:rPr>
          <w:lang w:val="fr-FR"/>
        </w:rPr>
        <w:t>’</w:t>
      </w:r>
      <w:r w:rsidRPr="00E84EB9">
        <w:rPr>
          <w:lang w:val="fr-FR"/>
        </w:rPr>
        <w:t xml:space="preserve">emploi aux employées enceintes ou </w:t>
      </w:r>
      <w:r w:rsidR="00D51544" w:rsidRPr="00E84EB9">
        <w:rPr>
          <w:lang w:val="fr-FR"/>
        </w:rPr>
        <w:t>qui allaite</w:t>
      </w:r>
      <w:r w:rsidRPr="00E84EB9">
        <w:rPr>
          <w:lang w:val="fr-FR"/>
        </w:rPr>
        <w:t>nt.</w:t>
      </w:r>
    </w:p>
    <w:p w14:paraId="6A866244" w14:textId="4FEE70AB" w:rsidR="000C2F3D" w:rsidRPr="00E84EB9" w:rsidRDefault="000C2F3D" w:rsidP="00F474DD">
      <w:pPr>
        <w:pStyle w:val="Normalnumber"/>
        <w:numPr>
          <w:ilvl w:val="0"/>
          <w:numId w:val="5"/>
        </w:numPr>
        <w:ind w:left="1247" w:firstLine="0"/>
        <w:rPr>
          <w:lang w:val="fr-FR"/>
        </w:rPr>
      </w:pPr>
      <w:r w:rsidRPr="00E84EB9">
        <w:rPr>
          <w:lang w:val="fr-FR"/>
        </w:rPr>
        <w:t xml:space="preserve">Chaque employeur devrait souscrire et </w:t>
      </w:r>
      <w:r w:rsidR="00162640">
        <w:rPr>
          <w:lang w:val="fr-FR"/>
        </w:rPr>
        <w:t xml:space="preserve">maintenir </w:t>
      </w:r>
      <w:r w:rsidRPr="00E84EB9">
        <w:rPr>
          <w:lang w:val="fr-FR"/>
        </w:rPr>
        <w:t>une police d</w:t>
      </w:r>
      <w:r w:rsidR="006C05FA">
        <w:rPr>
          <w:lang w:val="fr-FR"/>
        </w:rPr>
        <w:t>’</w:t>
      </w:r>
      <w:r w:rsidRPr="00E84EB9">
        <w:rPr>
          <w:lang w:val="fr-FR"/>
        </w:rPr>
        <w:t>assurance appro</w:t>
      </w:r>
      <w:r w:rsidR="007C733B" w:rsidRPr="00E84EB9">
        <w:rPr>
          <w:lang w:val="fr-FR"/>
        </w:rPr>
        <w:t>uvée auprès d</w:t>
      </w:r>
      <w:r w:rsidR="006C05FA">
        <w:rPr>
          <w:lang w:val="fr-FR"/>
        </w:rPr>
        <w:t>’</w:t>
      </w:r>
      <w:r w:rsidR="007C733B" w:rsidRPr="00E84EB9">
        <w:rPr>
          <w:lang w:val="fr-FR"/>
        </w:rPr>
        <w:t>un assureur agréé et</w:t>
      </w:r>
      <w:r w:rsidRPr="00E84EB9">
        <w:rPr>
          <w:lang w:val="fr-FR"/>
        </w:rPr>
        <w:t xml:space="preserve"> offrant un</w:t>
      </w:r>
      <w:r w:rsidR="009F5476" w:rsidRPr="00E84EB9">
        <w:rPr>
          <w:lang w:val="fr-FR"/>
        </w:rPr>
        <w:t xml:space="preserve"> niveau de couverture suffisant</w:t>
      </w:r>
      <w:r w:rsidRPr="00E84EB9">
        <w:rPr>
          <w:lang w:val="fr-FR"/>
        </w:rPr>
        <w:t xml:space="preserve"> en cas de responsabilité (notamment </w:t>
      </w:r>
      <w:r w:rsidR="007C733B" w:rsidRPr="00E84EB9">
        <w:rPr>
          <w:lang w:val="fr-FR"/>
        </w:rPr>
        <w:t xml:space="preserve">si une </w:t>
      </w:r>
      <w:r w:rsidRPr="00E84EB9">
        <w:rPr>
          <w:lang w:val="fr-FR"/>
        </w:rPr>
        <w:t>indemnisation</w:t>
      </w:r>
      <w:r w:rsidR="007C733B" w:rsidRPr="00E84EB9">
        <w:rPr>
          <w:lang w:val="fr-FR"/>
        </w:rPr>
        <w:t xml:space="preserve"> est requise</w:t>
      </w:r>
      <w:r w:rsidRPr="00E84EB9">
        <w:rPr>
          <w:lang w:val="fr-FR"/>
        </w:rPr>
        <w:t>) pour les maladies ou dommages corporels subis par ses employés par suite ou au cours de leur activité professionnelle, conformément à la législation nationale. Des plans de santé et de sécurité propres aux sites devraient être mis en place dans toutes les installations impliquant la manipulation de me</w:t>
      </w:r>
      <w:r w:rsidR="00BF4834" w:rsidRPr="00E84EB9">
        <w:rPr>
          <w:lang w:val="fr-FR"/>
        </w:rPr>
        <w:t>rcure ou de composés du mercure</w:t>
      </w:r>
      <w:r w:rsidRPr="00E84EB9">
        <w:rPr>
          <w:lang w:val="fr-FR"/>
        </w:rPr>
        <w:t>, afin de garantir la protection de chacun dans et autour de ces installations. Ces plans devraient être élaborés par des professionnels de la santé et de la sécurité qualifiés bénéficiant d</w:t>
      </w:r>
      <w:r w:rsidR="006C05FA">
        <w:rPr>
          <w:lang w:val="fr-FR"/>
        </w:rPr>
        <w:t>’</w:t>
      </w:r>
      <w:r w:rsidRPr="00E84EB9">
        <w:rPr>
          <w:lang w:val="fr-FR"/>
        </w:rPr>
        <w:t>une expérience en matière de gestion des risques sanitaires associés au mercure et aux composés du mercure.</w:t>
      </w:r>
    </w:p>
    <w:p w14:paraId="4074AA76" w14:textId="6FECF14D" w:rsidR="000C2F3D" w:rsidRPr="00E84EB9" w:rsidRDefault="000C2F3D" w:rsidP="00F474DD">
      <w:pPr>
        <w:pStyle w:val="Normalnumber"/>
        <w:numPr>
          <w:ilvl w:val="0"/>
          <w:numId w:val="5"/>
        </w:numPr>
        <w:ind w:left="1247" w:firstLine="0"/>
        <w:rPr>
          <w:lang w:val="fr-FR"/>
        </w:rPr>
      </w:pPr>
      <w:r w:rsidRPr="00E84EB9">
        <w:rPr>
          <w:lang w:val="fr-FR"/>
        </w:rPr>
        <w:t xml:space="preserve">La protection des travailleurs qui manipulent du mercure ou des composés du mercure et du grand public peut être </w:t>
      </w:r>
      <w:r w:rsidR="00BF4834" w:rsidRPr="00E84EB9">
        <w:rPr>
          <w:lang w:val="fr-FR"/>
        </w:rPr>
        <w:t>assurée par les moyens suivants </w:t>
      </w:r>
      <w:r w:rsidRPr="00E84EB9">
        <w:rPr>
          <w:lang w:val="fr-FR"/>
        </w:rPr>
        <w:t>:</w:t>
      </w:r>
    </w:p>
    <w:p w14:paraId="56BC4FF3" w14:textId="066F4087" w:rsidR="000C2F3D" w:rsidRPr="00E84EB9" w:rsidRDefault="005C15BF" w:rsidP="0029020B">
      <w:pPr>
        <w:pStyle w:val="Normalnumber"/>
        <w:numPr>
          <w:ilvl w:val="1"/>
          <w:numId w:val="14"/>
        </w:numPr>
        <w:ind w:left="1247" w:firstLine="624"/>
        <w:rPr>
          <w:lang w:val="fr-FR"/>
        </w:rPr>
      </w:pPr>
      <w:r w:rsidRPr="00E84EB9">
        <w:rPr>
          <w:lang w:val="fr-FR"/>
        </w:rPr>
        <w:t xml:space="preserve">En </w:t>
      </w:r>
      <w:r w:rsidR="00162640">
        <w:rPr>
          <w:lang w:val="fr-FR"/>
        </w:rPr>
        <w:t>restreignant</w:t>
      </w:r>
      <w:r w:rsidR="00295850" w:rsidRPr="00E84EB9">
        <w:rPr>
          <w:lang w:val="fr-FR"/>
        </w:rPr>
        <w:t xml:space="preserve"> </w:t>
      </w:r>
      <w:r w:rsidR="000C2F3D" w:rsidRPr="00E84EB9">
        <w:rPr>
          <w:lang w:val="fr-FR"/>
        </w:rPr>
        <w:t>l</w:t>
      </w:r>
      <w:r w:rsidR="006C05FA">
        <w:rPr>
          <w:lang w:val="fr-FR"/>
        </w:rPr>
        <w:t>’</w:t>
      </w:r>
      <w:r w:rsidR="000C2F3D" w:rsidRPr="00E84EB9">
        <w:rPr>
          <w:lang w:val="fr-FR"/>
        </w:rPr>
        <w:t>accès aux install</w:t>
      </w:r>
      <w:r w:rsidR="00BF4834" w:rsidRPr="00E84EB9">
        <w:rPr>
          <w:lang w:val="fr-FR"/>
        </w:rPr>
        <w:t>ations au personnel autorisé </w:t>
      </w:r>
      <w:r w:rsidR="000C2F3D" w:rsidRPr="00E84EB9">
        <w:rPr>
          <w:lang w:val="fr-FR"/>
        </w:rPr>
        <w:t xml:space="preserve">; </w:t>
      </w:r>
    </w:p>
    <w:p w14:paraId="11540A60" w14:textId="4BAAD778" w:rsidR="000C2F3D" w:rsidRPr="00E84EB9" w:rsidRDefault="005C15BF" w:rsidP="0029020B">
      <w:pPr>
        <w:pStyle w:val="Normalnumber"/>
        <w:numPr>
          <w:ilvl w:val="1"/>
          <w:numId w:val="14"/>
        </w:numPr>
        <w:ind w:left="1247" w:firstLine="624"/>
        <w:rPr>
          <w:lang w:val="fr-FR"/>
        </w:rPr>
      </w:pPr>
      <w:r w:rsidRPr="00E84EB9">
        <w:rPr>
          <w:lang w:val="fr-FR"/>
        </w:rPr>
        <w:t xml:space="preserve">En </w:t>
      </w:r>
      <w:r w:rsidR="00295850" w:rsidRPr="00E84EB9">
        <w:rPr>
          <w:lang w:val="fr-FR"/>
        </w:rPr>
        <w:t>veillant</w:t>
      </w:r>
      <w:r w:rsidR="000C2F3D" w:rsidRPr="00E84EB9">
        <w:rPr>
          <w:lang w:val="fr-FR"/>
        </w:rPr>
        <w:t xml:space="preserve"> à ce que les limites de l</w:t>
      </w:r>
      <w:r w:rsidR="006C05FA">
        <w:rPr>
          <w:lang w:val="fr-FR"/>
        </w:rPr>
        <w:t>’</w:t>
      </w:r>
      <w:r w:rsidR="000C2F3D" w:rsidRPr="00E84EB9">
        <w:rPr>
          <w:lang w:val="fr-FR"/>
        </w:rPr>
        <w:t xml:space="preserve">exposition professionnelle aux substances dangereuses ne soient pas dépassées, et </w:t>
      </w:r>
      <w:r w:rsidR="00295850" w:rsidRPr="00E84EB9">
        <w:rPr>
          <w:lang w:val="fr-FR"/>
        </w:rPr>
        <w:t>en s</w:t>
      </w:r>
      <w:r w:rsidR="006C05FA">
        <w:rPr>
          <w:lang w:val="fr-FR"/>
        </w:rPr>
        <w:t>’</w:t>
      </w:r>
      <w:r w:rsidR="00295850" w:rsidRPr="00E84EB9">
        <w:rPr>
          <w:lang w:val="fr-FR"/>
        </w:rPr>
        <w:t>assurant</w:t>
      </w:r>
      <w:r w:rsidR="000C2F3D" w:rsidRPr="00E84EB9">
        <w:rPr>
          <w:lang w:val="fr-FR"/>
        </w:rPr>
        <w:t xml:space="preserve"> que tout le personnel utilise des équipements de pro</w:t>
      </w:r>
      <w:r w:rsidR="00BF4834" w:rsidRPr="00E84EB9">
        <w:rPr>
          <w:lang w:val="fr-FR"/>
        </w:rPr>
        <w:t>tection individuelle appropriés</w:t>
      </w:r>
      <w:r w:rsidR="00295850" w:rsidRPr="00E84EB9">
        <w:rPr>
          <w:lang w:val="fr-FR"/>
        </w:rPr>
        <w:t> ;</w:t>
      </w:r>
    </w:p>
    <w:p w14:paraId="601ECA55" w14:textId="7120F6A4" w:rsidR="000C2F3D" w:rsidRPr="00E84EB9" w:rsidRDefault="005C15BF" w:rsidP="0029020B">
      <w:pPr>
        <w:pStyle w:val="Normalnumber"/>
        <w:numPr>
          <w:ilvl w:val="1"/>
          <w:numId w:val="14"/>
        </w:numPr>
        <w:ind w:left="1247" w:firstLine="624"/>
        <w:rPr>
          <w:lang w:val="fr-FR"/>
        </w:rPr>
      </w:pPr>
      <w:r w:rsidRPr="00E84EB9">
        <w:rPr>
          <w:lang w:val="fr-FR"/>
        </w:rPr>
        <w:t xml:space="preserve">En </w:t>
      </w:r>
      <w:r w:rsidR="00E647C3">
        <w:rPr>
          <w:lang w:val="fr-FR"/>
        </w:rPr>
        <w:t xml:space="preserve">garantissant </w:t>
      </w:r>
      <w:r w:rsidR="000C2F3D" w:rsidRPr="00E84EB9">
        <w:rPr>
          <w:lang w:val="fr-FR"/>
        </w:rPr>
        <w:t xml:space="preserve">une bonne ventilation des locaux </w:t>
      </w:r>
      <w:r w:rsidR="00BF4834" w:rsidRPr="00E84EB9">
        <w:rPr>
          <w:lang w:val="fr-FR"/>
        </w:rPr>
        <w:t xml:space="preserve">pour </w:t>
      </w:r>
      <w:r w:rsidR="000C2F3D" w:rsidRPr="00E84EB9">
        <w:rPr>
          <w:lang w:val="fr-FR"/>
        </w:rPr>
        <w:t>réduire au</w:t>
      </w:r>
      <w:r w:rsidR="008428E0">
        <w:rPr>
          <w:lang w:val="fr-FR"/>
        </w:rPr>
        <w:t>tant que possible</w:t>
      </w:r>
      <w:r w:rsidR="000C2F3D" w:rsidRPr="00E84EB9">
        <w:rPr>
          <w:lang w:val="fr-FR"/>
        </w:rPr>
        <w:t xml:space="preserve"> le risque d</w:t>
      </w:r>
      <w:r w:rsidR="006C05FA">
        <w:rPr>
          <w:lang w:val="fr-FR"/>
        </w:rPr>
        <w:t>’</w:t>
      </w:r>
      <w:r w:rsidR="000C2F3D" w:rsidRPr="00E84EB9">
        <w:rPr>
          <w:lang w:val="fr-FR"/>
        </w:rPr>
        <w:t xml:space="preserve">exposition aux substances volatiles ou </w:t>
      </w:r>
      <w:r w:rsidR="00504D82">
        <w:rPr>
          <w:lang w:val="fr-FR"/>
        </w:rPr>
        <w:t>pouvant se mettre</w:t>
      </w:r>
      <w:r>
        <w:rPr>
          <w:lang w:val="fr-FR"/>
        </w:rPr>
        <w:t xml:space="preserve"> en suspension dans l’air</w:t>
      </w:r>
      <w:r w:rsidR="00295850" w:rsidRPr="00E84EB9">
        <w:rPr>
          <w:lang w:val="fr-FR"/>
        </w:rPr>
        <w:t> </w:t>
      </w:r>
      <w:r w:rsidR="000C2F3D" w:rsidRPr="00E84EB9">
        <w:rPr>
          <w:lang w:val="fr-FR"/>
        </w:rPr>
        <w:t>; et</w:t>
      </w:r>
    </w:p>
    <w:p w14:paraId="18450755" w14:textId="1729C047" w:rsidR="000C2F3D" w:rsidRPr="00E84EB9" w:rsidRDefault="005C15BF" w:rsidP="0029020B">
      <w:pPr>
        <w:pStyle w:val="Normalnumber"/>
        <w:numPr>
          <w:ilvl w:val="1"/>
          <w:numId w:val="14"/>
        </w:numPr>
        <w:ind w:left="1247" w:firstLine="624"/>
        <w:rPr>
          <w:lang w:val="fr-FR"/>
        </w:rPr>
      </w:pPr>
      <w:r w:rsidRPr="00E84EB9">
        <w:rPr>
          <w:lang w:val="fr-FR"/>
        </w:rPr>
        <w:t xml:space="preserve">En </w:t>
      </w:r>
      <w:r w:rsidR="00BF4834" w:rsidRPr="00E84EB9">
        <w:rPr>
          <w:lang w:val="fr-FR"/>
        </w:rPr>
        <w:t>v</w:t>
      </w:r>
      <w:r w:rsidR="00295850" w:rsidRPr="00E84EB9">
        <w:rPr>
          <w:lang w:val="fr-FR"/>
        </w:rPr>
        <w:t>eillant</w:t>
      </w:r>
      <w:r w:rsidR="000C2F3D" w:rsidRPr="00E84EB9">
        <w:rPr>
          <w:lang w:val="fr-FR"/>
        </w:rPr>
        <w:t xml:space="preserve"> à ce que les installations soient conformes à toutes les lois nationales et régionales sur la santé et la sécurité au travail.</w:t>
      </w:r>
    </w:p>
    <w:p w14:paraId="2B37034C" w14:textId="3BBE1306" w:rsidR="000C2F3D" w:rsidRPr="00E84EB9" w:rsidRDefault="000C2F3D" w:rsidP="00F474DD">
      <w:pPr>
        <w:pStyle w:val="Normalnumber"/>
        <w:numPr>
          <w:ilvl w:val="0"/>
          <w:numId w:val="5"/>
        </w:numPr>
        <w:ind w:left="1247" w:firstLine="0"/>
        <w:rPr>
          <w:lang w:val="fr-FR"/>
        </w:rPr>
      </w:pPr>
      <w:r w:rsidRPr="00E84EB9">
        <w:rPr>
          <w:lang w:val="fr-FR"/>
        </w:rPr>
        <w:t>Les valeurs normatives pour les concentrations de mercure dans l</w:t>
      </w:r>
      <w:r w:rsidR="006C05FA">
        <w:rPr>
          <w:lang w:val="fr-FR"/>
        </w:rPr>
        <w:t>’</w:t>
      </w:r>
      <w:r w:rsidRPr="00E84EB9">
        <w:rPr>
          <w:lang w:val="fr-FR"/>
        </w:rPr>
        <w:t xml:space="preserve">eau </w:t>
      </w:r>
      <w:r w:rsidR="00504D82">
        <w:rPr>
          <w:lang w:val="fr-FR"/>
        </w:rPr>
        <w:t xml:space="preserve">de boisson </w:t>
      </w:r>
      <w:r w:rsidRPr="00E84EB9">
        <w:rPr>
          <w:lang w:val="fr-FR"/>
        </w:rPr>
        <w:t>et l</w:t>
      </w:r>
      <w:r w:rsidR="006C05FA">
        <w:rPr>
          <w:lang w:val="fr-FR"/>
        </w:rPr>
        <w:t>’</w:t>
      </w:r>
      <w:r w:rsidRPr="00E84EB9">
        <w:rPr>
          <w:lang w:val="fr-FR"/>
        </w:rPr>
        <w:t>air ambiant fixées par l</w:t>
      </w:r>
      <w:r w:rsidR="006C05FA">
        <w:rPr>
          <w:lang w:val="fr-FR"/>
        </w:rPr>
        <w:t>’</w:t>
      </w:r>
      <w:r w:rsidRPr="00E84EB9">
        <w:rPr>
          <w:lang w:val="fr-FR"/>
        </w:rPr>
        <w:t>Organisation mondi</w:t>
      </w:r>
      <w:r w:rsidR="00F73291" w:rsidRPr="00E84EB9">
        <w:rPr>
          <w:lang w:val="fr-FR"/>
        </w:rPr>
        <w:t>ale de la Santé (OMS) sont de 6 </w:t>
      </w:r>
      <w:r w:rsidRPr="00E84EB9">
        <w:rPr>
          <w:lang w:val="fr-FR"/>
        </w:rPr>
        <w:t xml:space="preserve">µg/l pour les composés </w:t>
      </w:r>
      <w:r w:rsidR="00F73291" w:rsidRPr="00E84EB9">
        <w:rPr>
          <w:lang w:val="fr-FR"/>
        </w:rPr>
        <w:t>inorganiques du mercure et de 1 </w:t>
      </w:r>
      <w:proofErr w:type="spellStart"/>
      <w:r w:rsidRPr="00E84EB9">
        <w:rPr>
          <w:lang w:val="fr-FR"/>
        </w:rPr>
        <w:t>μg</w:t>
      </w:r>
      <w:proofErr w:type="spellEnd"/>
      <w:r w:rsidRPr="00E84EB9">
        <w:rPr>
          <w:lang w:val="fr-FR"/>
        </w:rPr>
        <w:t>/m</w:t>
      </w:r>
      <w:r w:rsidRPr="00504D82">
        <w:rPr>
          <w:vertAlign w:val="superscript"/>
          <w:lang w:val="fr-FR"/>
        </w:rPr>
        <w:t>3</w:t>
      </w:r>
      <w:r w:rsidRPr="00E84EB9">
        <w:rPr>
          <w:lang w:val="fr-FR"/>
        </w:rPr>
        <w:t xml:space="preserve"> pour les composés inorganiques </w:t>
      </w:r>
      <w:r w:rsidR="00F73291" w:rsidRPr="00E84EB9">
        <w:rPr>
          <w:lang w:val="fr-FR"/>
        </w:rPr>
        <w:t>en phase vapeur (OMS, 2008 </w:t>
      </w:r>
      <w:r w:rsidRPr="00E84EB9">
        <w:rPr>
          <w:lang w:val="fr-FR"/>
        </w:rPr>
        <w:t>; Bureau régional pour l</w:t>
      </w:r>
      <w:r w:rsidR="006C05FA">
        <w:rPr>
          <w:lang w:val="fr-FR"/>
        </w:rPr>
        <w:t>’</w:t>
      </w:r>
      <w:r w:rsidRPr="00E84EB9">
        <w:rPr>
          <w:lang w:val="fr-FR"/>
        </w:rPr>
        <w:t>Europe de l</w:t>
      </w:r>
      <w:r w:rsidR="006C05FA">
        <w:rPr>
          <w:lang w:val="fr-FR"/>
        </w:rPr>
        <w:t>’</w:t>
      </w:r>
      <w:r w:rsidRPr="00E84EB9">
        <w:rPr>
          <w:lang w:val="fr-FR"/>
        </w:rPr>
        <w:t xml:space="preserve">OMS, 2000). Les gouvernements sont </w:t>
      </w:r>
      <w:r w:rsidR="006C11F3">
        <w:rPr>
          <w:lang w:val="fr-FR"/>
        </w:rPr>
        <w:t xml:space="preserve">encouragés </w:t>
      </w:r>
      <w:r w:rsidRPr="00E84EB9">
        <w:rPr>
          <w:lang w:val="fr-FR"/>
        </w:rPr>
        <w:t>à surveiller la qualité de l</w:t>
      </w:r>
      <w:r w:rsidR="006C05FA">
        <w:rPr>
          <w:lang w:val="fr-FR"/>
        </w:rPr>
        <w:t>’</w:t>
      </w:r>
      <w:r w:rsidRPr="00E84EB9">
        <w:rPr>
          <w:lang w:val="fr-FR"/>
        </w:rPr>
        <w:t>air et de l</w:t>
      </w:r>
      <w:r w:rsidR="006C05FA">
        <w:rPr>
          <w:lang w:val="fr-FR"/>
        </w:rPr>
        <w:t>’</w:t>
      </w:r>
      <w:r w:rsidRPr="00E84EB9">
        <w:rPr>
          <w:lang w:val="fr-FR"/>
        </w:rPr>
        <w:t xml:space="preserve">eau, en particulier près des sites où sont menées des activités </w:t>
      </w:r>
      <w:r w:rsidR="00504D82">
        <w:rPr>
          <w:lang w:val="fr-FR"/>
        </w:rPr>
        <w:t xml:space="preserve">faisant appel à </w:t>
      </w:r>
      <w:r w:rsidRPr="00E84EB9">
        <w:rPr>
          <w:lang w:val="fr-FR"/>
        </w:rPr>
        <w:t xml:space="preserve">du mercure </w:t>
      </w:r>
      <w:r w:rsidR="00504D82">
        <w:rPr>
          <w:lang w:val="fr-FR"/>
        </w:rPr>
        <w:t xml:space="preserve">ou </w:t>
      </w:r>
      <w:r w:rsidRPr="00E84EB9">
        <w:rPr>
          <w:lang w:val="fr-FR"/>
        </w:rPr>
        <w:t xml:space="preserve">des composés du mercure. Certains pays ont </w:t>
      </w:r>
      <w:r w:rsidR="00504D82">
        <w:rPr>
          <w:lang w:val="fr-FR"/>
        </w:rPr>
        <w:t xml:space="preserve">défini </w:t>
      </w:r>
      <w:r w:rsidRPr="00E84EB9">
        <w:rPr>
          <w:lang w:val="fr-FR"/>
        </w:rPr>
        <w:t xml:space="preserve">des niveaux acceptables de mercure </w:t>
      </w:r>
      <w:r w:rsidR="00504D82">
        <w:rPr>
          <w:lang w:val="fr-FR"/>
        </w:rPr>
        <w:t>pour</w:t>
      </w:r>
      <w:r w:rsidRPr="00E84EB9">
        <w:rPr>
          <w:lang w:val="fr-FR"/>
        </w:rPr>
        <w:t xml:space="preserve"> </w:t>
      </w:r>
      <w:r w:rsidR="00504D82">
        <w:rPr>
          <w:lang w:val="fr-FR"/>
        </w:rPr>
        <w:t>les lieux</w:t>
      </w:r>
      <w:r w:rsidRPr="00E84EB9">
        <w:rPr>
          <w:lang w:val="fr-FR"/>
        </w:rPr>
        <w:t xml:space="preserve"> de travail (par exemple</w:t>
      </w:r>
      <w:r w:rsidR="00F73291" w:rsidRPr="00E84EB9">
        <w:rPr>
          <w:lang w:val="fr-FR"/>
        </w:rPr>
        <w:t xml:space="preserve">, au Japon : 0,025 </w:t>
      </w:r>
      <w:r w:rsidRPr="00E84EB9">
        <w:rPr>
          <w:lang w:val="fr-FR"/>
        </w:rPr>
        <w:t>mg/m</w:t>
      </w:r>
      <w:r w:rsidRPr="00E84EB9">
        <w:rPr>
          <w:vertAlign w:val="superscript"/>
          <w:lang w:val="fr-FR"/>
        </w:rPr>
        <w:t>3</w:t>
      </w:r>
      <w:r w:rsidRPr="00E84EB9">
        <w:rPr>
          <w:lang w:val="fr-FR"/>
        </w:rPr>
        <w:t xml:space="preserve"> pour le</w:t>
      </w:r>
      <w:r w:rsidR="00504D82">
        <w:rPr>
          <w:lang w:val="fr-FR"/>
        </w:rPr>
        <w:t>s composés</w:t>
      </w:r>
      <w:r w:rsidRPr="00E84EB9">
        <w:rPr>
          <w:lang w:val="fr-FR"/>
        </w:rPr>
        <w:t xml:space="preserve"> inorganique</w:t>
      </w:r>
      <w:r w:rsidR="00504D82">
        <w:rPr>
          <w:lang w:val="fr-FR"/>
        </w:rPr>
        <w:t xml:space="preserve">s du </w:t>
      </w:r>
      <w:r w:rsidR="00504D82" w:rsidRPr="00E84EB9">
        <w:rPr>
          <w:lang w:val="fr-FR"/>
        </w:rPr>
        <w:t>mercure</w:t>
      </w:r>
      <w:r w:rsidRPr="00E84EB9">
        <w:rPr>
          <w:lang w:val="fr-FR"/>
        </w:rPr>
        <w:t xml:space="preserve"> à l</w:t>
      </w:r>
      <w:r w:rsidR="006C05FA">
        <w:rPr>
          <w:lang w:val="fr-FR"/>
        </w:rPr>
        <w:t>’</w:t>
      </w:r>
      <w:r w:rsidRPr="00E84EB9">
        <w:rPr>
          <w:lang w:val="fr-FR"/>
        </w:rPr>
        <w:t>exclusion du sulfure de mercure</w:t>
      </w:r>
      <w:r w:rsidR="00F73291" w:rsidRPr="00E84EB9">
        <w:rPr>
          <w:lang w:val="fr-FR"/>
        </w:rPr>
        <w:t>, et 0,01 mg/m</w:t>
      </w:r>
      <w:r w:rsidR="00F73291" w:rsidRPr="00E84EB9">
        <w:rPr>
          <w:vertAlign w:val="superscript"/>
          <w:lang w:val="fr-FR"/>
        </w:rPr>
        <w:t>3</w:t>
      </w:r>
      <w:r w:rsidRPr="00E84EB9">
        <w:rPr>
          <w:lang w:val="fr-FR"/>
        </w:rPr>
        <w:t xml:space="preserve"> pour les composés </w:t>
      </w:r>
      <w:proofErr w:type="spellStart"/>
      <w:r w:rsidRPr="00E84EB9">
        <w:rPr>
          <w:lang w:val="fr-FR"/>
        </w:rPr>
        <w:t>alkyl</w:t>
      </w:r>
      <w:r w:rsidR="00504D82">
        <w:rPr>
          <w:lang w:val="fr-FR"/>
        </w:rPr>
        <w:t>és</w:t>
      </w:r>
      <w:proofErr w:type="spellEnd"/>
      <w:r w:rsidR="00504D82">
        <w:rPr>
          <w:lang w:val="fr-FR"/>
        </w:rPr>
        <w:t xml:space="preserve"> du </w:t>
      </w:r>
      <w:r w:rsidRPr="00E84EB9">
        <w:rPr>
          <w:lang w:val="fr-FR"/>
        </w:rPr>
        <w:t xml:space="preserve">mercure). Les opérations de gestion devraient être conduites de façon à respecter les </w:t>
      </w:r>
      <w:r w:rsidR="00F73291" w:rsidRPr="00E84EB9">
        <w:rPr>
          <w:lang w:val="fr-FR"/>
        </w:rPr>
        <w:t xml:space="preserve">exigences applicables en termes de </w:t>
      </w:r>
      <w:r w:rsidRPr="00E84EB9">
        <w:rPr>
          <w:lang w:val="fr-FR"/>
        </w:rPr>
        <w:t>concentrations acceptables de mercure dans l</w:t>
      </w:r>
      <w:r w:rsidR="006C05FA">
        <w:rPr>
          <w:lang w:val="fr-FR"/>
        </w:rPr>
        <w:t>’</w:t>
      </w:r>
      <w:r w:rsidRPr="00E84EB9">
        <w:rPr>
          <w:lang w:val="fr-FR"/>
        </w:rPr>
        <w:t>environnement de travail, et les installations où ces opérations se déroulent devraient être conçues et gérées de manière à réduire les rejets dans l</w:t>
      </w:r>
      <w:r w:rsidR="006C05FA">
        <w:rPr>
          <w:lang w:val="fr-FR"/>
        </w:rPr>
        <w:t>’</w:t>
      </w:r>
      <w:r w:rsidRPr="00E84EB9">
        <w:rPr>
          <w:lang w:val="fr-FR"/>
        </w:rPr>
        <w:t>environnement autant qu</w:t>
      </w:r>
      <w:r w:rsidR="006C05FA">
        <w:rPr>
          <w:lang w:val="fr-FR"/>
        </w:rPr>
        <w:t>’</w:t>
      </w:r>
      <w:r w:rsidR="00F73291" w:rsidRPr="00E84EB9">
        <w:rPr>
          <w:lang w:val="fr-FR"/>
        </w:rPr>
        <w:t>il est techniquement possible.</w:t>
      </w:r>
    </w:p>
    <w:p w14:paraId="72618505" w14:textId="7E76B58C" w:rsidR="0052201B" w:rsidRPr="0052201B" w:rsidRDefault="0052201B" w:rsidP="0052201B">
      <w:pPr>
        <w:pStyle w:val="CH1"/>
        <w:rPr>
          <w:lang w:val="fr-FR"/>
        </w:rPr>
      </w:pPr>
      <w:r w:rsidRPr="00024C21">
        <w:rPr>
          <w:lang w:val="fr-FR"/>
        </w:rPr>
        <w:tab/>
      </w:r>
      <w:bookmarkStart w:id="32" w:name="_Toc527548247"/>
      <w:r w:rsidRPr="0052201B">
        <w:rPr>
          <w:lang w:val="fr-FR"/>
        </w:rPr>
        <w:t>VI.</w:t>
      </w:r>
      <w:r w:rsidRPr="0052201B">
        <w:rPr>
          <w:lang w:val="fr-FR"/>
        </w:rPr>
        <w:tab/>
      </w:r>
      <w:r w:rsidRPr="00E84EB9">
        <w:rPr>
          <w:bCs/>
          <w:lang w:val="fr-FR"/>
        </w:rPr>
        <w:t>Communication sur les risques</w:t>
      </w:r>
      <w:bookmarkEnd w:id="32"/>
    </w:p>
    <w:p w14:paraId="549EEEBB" w14:textId="3DD99DA0" w:rsidR="000C2F3D" w:rsidRPr="00E84EB9" w:rsidRDefault="00D92143" w:rsidP="00F474DD">
      <w:pPr>
        <w:pStyle w:val="Normalnumber"/>
        <w:numPr>
          <w:ilvl w:val="0"/>
          <w:numId w:val="5"/>
        </w:numPr>
        <w:ind w:left="1247" w:firstLine="0"/>
        <w:rPr>
          <w:lang w:val="fr-FR"/>
        </w:rPr>
      </w:pPr>
      <w:r w:rsidRPr="00E84EB9">
        <w:rPr>
          <w:lang w:val="fr-FR"/>
        </w:rPr>
        <w:t>Les gouvernements, les dirigeants d</w:t>
      </w:r>
      <w:r w:rsidR="006C05FA">
        <w:rPr>
          <w:lang w:val="fr-FR"/>
        </w:rPr>
        <w:t>’</w:t>
      </w:r>
      <w:r w:rsidRPr="00E84EB9">
        <w:rPr>
          <w:lang w:val="fr-FR"/>
        </w:rPr>
        <w:t xml:space="preserve">entreprise, les consommateurs, les experts, les ONG et les autres </w:t>
      </w:r>
      <w:r w:rsidR="00A32A5F" w:rsidRPr="00E84EB9">
        <w:rPr>
          <w:lang w:val="fr-FR"/>
        </w:rPr>
        <w:t>Partie</w:t>
      </w:r>
      <w:r w:rsidRPr="00E84EB9">
        <w:rPr>
          <w:lang w:val="fr-FR"/>
        </w:rPr>
        <w:t xml:space="preserve">s prenantes doivent </w:t>
      </w:r>
      <w:r w:rsidR="00E84EB9" w:rsidRPr="00E84EB9">
        <w:rPr>
          <w:lang w:val="fr-FR"/>
        </w:rPr>
        <w:t>œuvrer</w:t>
      </w:r>
      <w:r w:rsidRPr="00E84EB9">
        <w:rPr>
          <w:lang w:val="fr-FR"/>
        </w:rPr>
        <w:t xml:space="preserve"> de concert pour promouvoir la réduction des risques environnementaux de manière </w:t>
      </w:r>
      <w:r w:rsidR="008428E0">
        <w:rPr>
          <w:lang w:val="fr-FR"/>
        </w:rPr>
        <w:t>ordonné</w:t>
      </w:r>
      <w:r w:rsidRPr="00E84EB9">
        <w:rPr>
          <w:lang w:val="fr-FR"/>
        </w:rPr>
        <w:t>e et efficace. C</w:t>
      </w:r>
      <w:r w:rsidR="006C05FA">
        <w:rPr>
          <w:lang w:val="fr-FR"/>
        </w:rPr>
        <w:t>’</w:t>
      </w:r>
      <w:r w:rsidRPr="00E84EB9">
        <w:rPr>
          <w:lang w:val="fr-FR"/>
        </w:rPr>
        <w:t xml:space="preserve">est pourquoi il importe de comprendre </w:t>
      </w:r>
      <w:r w:rsidR="00AD47B4" w:rsidRPr="00E84EB9">
        <w:rPr>
          <w:lang w:val="fr-FR"/>
        </w:rPr>
        <w:t xml:space="preserve">tant </w:t>
      </w:r>
      <w:r w:rsidRPr="00E84EB9">
        <w:rPr>
          <w:lang w:val="fr-FR"/>
        </w:rPr>
        <w:t xml:space="preserve">les risques </w:t>
      </w:r>
      <w:r w:rsidR="00AD47B4" w:rsidRPr="00E84EB9">
        <w:rPr>
          <w:lang w:val="fr-FR"/>
        </w:rPr>
        <w:t xml:space="preserve">que </w:t>
      </w:r>
      <w:r w:rsidRPr="00E84EB9">
        <w:rPr>
          <w:lang w:val="fr-FR"/>
        </w:rPr>
        <w:t xml:space="preserve">les perspectives de chacun, et la communication </w:t>
      </w:r>
      <w:r w:rsidR="00295850" w:rsidRPr="00E84EB9">
        <w:rPr>
          <w:lang w:val="fr-FR"/>
        </w:rPr>
        <w:t xml:space="preserve">en la matière </w:t>
      </w:r>
      <w:r w:rsidR="00513202">
        <w:rPr>
          <w:lang w:val="fr-FR"/>
        </w:rPr>
        <w:t>est un aspect majeur. La </w:t>
      </w:r>
      <w:r w:rsidRPr="00E84EB9">
        <w:rPr>
          <w:lang w:val="fr-FR"/>
        </w:rPr>
        <w:t>communication sur les risques liés au stockage provisoire du mercure et des composés du mercure suppose, par exemple, d</w:t>
      </w:r>
      <w:r w:rsidR="006C05FA">
        <w:rPr>
          <w:lang w:val="fr-FR"/>
        </w:rPr>
        <w:t>’</w:t>
      </w:r>
      <w:r w:rsidRPr="00E84EB9">
        <w:rPr>
          <w:lang w:val="fr-FR"/>
        </w:rPr>
        <w:t>échanger des informations sur les risques liés au choix du site, à l</w:t>
      </w:r>
      <w:r w:rsidR="006C05FA">
        <w:rPr>
          <w:lang w:val="fr-FR"/>
        </w:rPr>
        <w:t>’</w:t>
      </w:r>
      <w:r w:rsidRPr="00E84EB9">
        <w:rPr>
          <w:lang w:val="fr-FR"/>
        </w:rPr>
        <w:t xml:space="preserve">exploitation et </w:t>
      </w:r>
      <w:r w:rsidR="008428E0">
        <w:rPr>
          <w:lang w:val="fr-FR"/>
        </w:rPr>
        <w:t>à la mise hors service</w:t>
      </w:r>
      <w:r w:rsidRPr="00E84EB9">
        <w:rPr>
          <w:lang w:val="fr-FR"/>
        </w:rPr>
        <w:t xml:space="preserve"> des installations de stockage, </w:t>
      </w:r>
      <w:r w:rsidR="00AD47B4" w:rsidRPr="00E84EB9">
        <w:rPr>
          <w:lang w:val="fr-FR"/>
        </w:rPr>
        <w:t>ainsi qu</w:t>
      </w:r>
      <w:r w:rsidR="006C05FA">
        <w:rPr>
          <w:lang w:val="fr-FR"/>
        </w:rPr>
        <w:t>’</w:t>
      </w:r>
      <w:r w:rsidRPr="00E84EB9">
        <w:rPr>
          <w:lang w:val="fr-FR"/>
        </w:rPr>
        <w:t xml:space="preserve">au transport du mercure et des composés du mercure, </w:t>
      </w:r>
      <w:r w:rsidR="00AD47B4" w:rsidRPr="00E84EB9">
        <w:rPr>
          <w:lang w:val="fr-FR"/>
        </w:rPr>
        <w:t xml:space="preserve">et </w:t>
      </w:r>
      <w:r w:rsidRPr="00E84EB9">
        <w:rPr>
          <w:lang w:val="fr-FR"/>
        </w:rPr>
        <w:t xml:space="preserve">de faire connaître la </w:t>
      </w:r>
      <w:r w:rsidR="008428E0">
        <w:rPr>
          <w:lang w:val="fr-FR"/>
        </w:rPr>
        <w:t>concept</w:t>
      </w:r>
      <w:r w:rsidRPr="00E84EB9">
        <w:rPr>
          <w:lang w:val="fr-FR"/>
        </w:rPr>
        <w:t>ion qu</w:t>
      </w:r>
      <w:r w:rsidR="006C05FA">
        <w:rPr>
          <w:lang w:val="fr-FR"/>
        </w:rPr>
        <w:t>’</w:t>
      </w:r>
      <w:r w:rsidRPr="00E84EB9">
        <w:rPr>
          <w:lang w:val="fr-FR"/>
        </w:rPr>
        <w:t xml:space="preserve">ont les </w:t>
      </w:r>
      <w:r w:rsidR="008428E0">
        <w:rPr>
          <w:lang w:val="fr-FR"/>
        </w:rPr>
        <w:t>p</w:t>
      </w:r>
      <w:r w:rsidR="00A32A5F" w:rsidRPr="00E84EB9">
        <w:rPr>
          <w:lang w:val="fr-FR"/>
        </w:rPr>
        <w:t>artie</w:t>
      </w:r>
      <w:r w:rsidRPr="00E84EB9">
        <w:rPr>
          <w:lang w:val="fr-FR"/>
        </w:rPr>
        <w:t xml:space="preserve">s prenantes de ces risques, en vue de promouvoir des mesures rationnelles. Pour </w:t>
      </w:r>
      <w:r w:rsidR="00AD47B4" w:rsidRPr="00E84EB9">
        <w:rPr>
          <w:lang w:val="fr-FR"/>
        </w:rPr>
        <w:t xml:space="preserve">étayer </w:t>
      </w:r>
      <w:r w:rsidR="00295850" w:rsidRPr="00E84EB9">
        <w:rPr>
          <w:lang w:val="fr-FR"/>
        </w:rPr>
        <w:t xml:space="preserve">cette </w:t>
      </w:r>
      <w:r w:rsidRPr="00E84EB9">
        <w:rPr>
          <w:lang w:val="fr-FR"/>
        </w:rPr>
        <w:t>communication, il importe d</w:t>
      </w:r>
      <w:r w:rsidR="006C05FA">
        <w:rPr>
          <w:lang w:val="fr-FR"/>
        </w:rPr>
        <w:t>’</w:t>
      </w:r>
      <w:r w:rsidRPr="00E84EB9">
        <w:rPr>
          <w:lang w:val="fr-FR"/>
        </w:rPr>
        <w:t xml:space="preserve">approfondir la compréhension du concept de risque, exprimé en tant que probabilité, </w:t>
      </w:r>
      <w:r w:rsidR="00852134">
        <w:rPr>
          <w:lang w:val="fr-FR"/>
        </w:rPr>
        <w:t xml:space="preserve">par </w:t>
      </w:r>
      <w:r w:rsidR="00852134" w:rsidRPr="00E84EB9">
        <w:rPr>
          <w:lang w:val="fr-FR"/>
        </w:rPr>
        <w:t>les parties prenantes</w:t>
      </w:r>
      <w:r w:rsidR="00852134">
        <w:rPr>
          <w:lang w:val="fr-FR"/>
        </w:rPr>
        <w:t>,</w:t>
      </w:r>
      <w:r w:rsidR="00852134" w:rsidRPr="00E84EB9">
        <w:rPr>
          <w:lang w:val="fr-FR"/>
        </w:rPr>
        <w:t xml:space="preserve"> </w:t>
      </w:r>
      <w:r w:rsidRPr="00E84EB9">
        <w:rPr>
          <w:lang w:val="fr-FR"/>
        </w:rPr>
        <w:t xml:space="preserve">afin de </w:t>
      </w:r>
      <w:r w:rsidRPr="00E84EB9">
        <w:rPr>
          <w:lang w:val="fr-FR"/>
        </w:rPr>
        <w:lastRenderedPageBreak/>
        <w:t>fournir en temps utile des i</w:t>
      </w:r>
      <w:r w:rsidR="00295850" w:rsidRPr="00E84EB9">
        <w:rPr>
          <w:lang w:val="fr-FR"/>
        </w:rPr>
        <w:t>nformations à chaque étape de l</w:t>
      </w:r>
      <w:r w:rsidR="00852134">
        <w:rPr>
          <w:lang w:val="fr-FR"/>
        </w:rPr>
        <w:t>’</w:t>
      </w:r>
      <w:r w:rsidRPr="00E84EB9">
        <w:rPr>
          <w:lang w:val="fr-FR"/>
        </w:rPr>
        <w:t xml:space="preserve">évaluation </w:t>
      </w:r>
      <w:r w:rsidR="00852134">
        <w:rPr>
          <w:lang w:val="fr-FR"/>
        </w:rPr>
        <w:t xml:space="preserve">des risques </w:t>
      </w:r>
      <w:r w:rsidRPr="00E84EB9">
        <w:rPr>
          <w:lang w:val="fr-FR"/>
        </w:rPr>
        <w:t>et de disposer d</w:t>
      </w:r>
      <w:r w:rsidR="006C05FA">
        <w:rPr>
          <w:lang w:val="fr-FR"/>
        </w:rPr>
        <w:t>’</w:t>
      </w:r>
      <w:r w:rsidRPr="00E84EB9">
        <w:rPr>
          <w:lang w:val="fr-FR"/>
        </w:rPr>
        <w:t>un système de communication interactif.</w:t>
      </w:r>
    </w:p>
    <w:p w14:paraId="66D52DF9" w14:textId="5264A763" w:rsidR="000C2F3D" w:rsidRPr="00E84EB9" w:rsidRDefault="0052201B" w:rsidP="00A7665E">
      <w:pPr>
        <w:pStyle w:val="CH1"/>
        <w:keepNext w:val="0"/>
        <w:keepLines w:val="0"/>
        <w:rPr>
          <w:lang w:val="fr-FR"/>
        </w:rPr>
      </w:pPr>
      <w:r>
        <w:rPr>
          <w:lang w:val="fr-FR"/>
        </w:rPr>
        <w:tab/>
      </w:r>
      <w:bookmarkStart w:id="33" w:name="_Toc527548248"/>
      <w:r w:rsidR="0029471C" w:rsidRPr="00E84EB9">
        <w:rPr>
          <w:lang w:val="fr-FR"/>
        </w:rPr>
        <w:t>VII.</w:t>
      </w:r>
      <w:r w:rsidR="0029471C" w:rsidRPr="00E84EB9">
        <w:rPr>
          <w:lang w:val="fr-FR"/>
        </w:rPr>
        <w:tab/>
      </w:r>
      <w:r w:rsidR="00A15A4C" w:rsidRPr="00E84EB9">
        <w:rPr>
          <w:bCs/>
          <w:lang w:val="fr-FR"/>
        </w:rPr>
        <w:t>F</w:t>
      </w:r>
      <w:r w:rsidR="0029471C" w:rsidRPr="00E84EB9">
        <w:rPr>
          <w:bCs/>
          <w:lang w:val="fr-FR"/>
        </w:rPr>
        <w:t>ermeture d</w:t>
      </w:r>
      <w:r w:rsidR="006C05FA">
        <w:rPr>
          <w:bCs/>
          <w:lang w:val="fr-FR"/>
        </w:rPr>
        <w:t>’</w:t>
      </w:r>
      <w:r w:rsidR="0029471C" w:rsidRPr="00E84EB9">
        <w:rPr>
          <w:bCs/>
          <w:lang w:val="fr-FR"/>
        </w:rPr>
        <w:t>une installation</w:t>
      </w:r>
      <w:bookmarkEnd w:id="33"/>
    </w:p>
    <w:p w14:paraId="38709CCB" w14:textId="0709430A" w:rsidR="00C62C91" w:rsidRPr="00E84EB9" w:rsidRDefault="000C2F3D" w:rsidP="00A7665E">
      <w:pPr>
        <w:pStyle w:val="Normalnumber"/>
        <w:numPr>
          <w:ilvl w:val="0"/>
          <w:numId w:val="5"/>
        </w:numPr>
        <w:ind w:left="1247" w:firstLine="0"/>
        <w:rPr>
          <w:lang w:val="fr-FR"/>
        </w:rPr>
      </w:pPr>
      <w:r w:rsidRPr="00E84EB9">
        <w:rPr>
          <w:lang w:val="fr-FR"/>
        </w:rPr>
        <w:t xml:space="preserve">Un plan de </w:t>
      </w:r>
      <w:r w:rsidR="00852134">
        <w:rPr>
          <w:lang w:val="fr-FR"/>
        </w:rPr>
        <w:t>ferme</w:t>
      </w:r>
      <w:r w:rsidRPr="00E84EB9">
        <w:rPr>
          <w:lang w:val="fr-FR"/>
        </w:rPr>
        <w:t>ture devrait être élaboré durant la phase de conception de l</w:t>
      </w:r>
      <w:r w:rsidR="006C05FA">
        <w:rPr>
          <w:lang w:val="fr-FR"/>
        </w:rPr>
        <w:t>’</w:t>
      </w:r>
      <w:r w:rsidRPr="00E84EB9">
        <w:rPr>
          <w:lang w:val="fr-FR"/>
        </w:rPr>
        <w:t xml:space="preserve">installation de stockage provisoire. Il convient de le mettre régulièrement à jour pour </w:t>
      </w:r>
      <w:r w:rsidR="005F2CD7" w:rsidRPr="00E84EB9">
        <w:rPr>
          <w:lang w:val="fr-FR"/>
        </w:rPr>
        <w:t xml:space="preserve">prendre en compte </w:t>
      </w:r>
      <w:r w:rsidRPr="00E84EB9">
        <w:rPr>
          <w:lang w:val="fr-FR"/>
        </w:rPr>
        <w:t>toute modification de l</w:t>
      </w:r>
      <w:r w:rsidR="006C05FA">
        <w:rPr>
          <w:lang w:val="fr-FR"/>
        </w:rPr>
        <w:t>’</w:t>
      </w:r>
      <w:r w:rsidRPr="00E84EB9">
        <w:rPr>
          <w:lang w:val="fr-FR"/>
        </w:rPr>
        <w:t>état du site, depuis la phase de conception jusqu</w:t>
      </w:r>
      <w:r w:rsidR="006C05FA">
        <w:rPr>
          <w:lang w:val="fr-FR"/>
        </w:rPr>
        <w:t>’</w:t>
      </w:r>
      <w:r w:rsidRPr="00E84EB9">
        <w:rPr>
          <w:lang w:val="fr-FR"/>
        </w:rPr>
        <w:t xml:space="preserve">à la phase de fermeture. </w:t>
      </w:r>
      <w:r w:rsidR="00D8525A">
        <w:rPr>
          <w:lang w:val="fr-FR"/>
        </w:rPr>
        <w:t>Celle-ci a lieu à</w:t>
      </w:r>
      <w:r w:rsidRPr="00E84EB9">
        <w:rPr>
          <w:lang w:val="fr-FR"/>
        </w:rPr>
        <w:t xml:space="preserve"> la fin de la vie </w:t>
      </w:r>
      <w:r w:rsidR="00D8525A">
        <w:rPr>
          <w:lang w:val="fr-FR"/>
        </w:rPr>
        <w:t xml:space="preserve">utile </w:t>
      </w:r>
      <w:r w:rsidRPr="00E84EB9">
        <w:rPr>
          <w:lang w:val="fr-FR"/>
        </w:rPr>
        <w:t>d</w:t>
      </w:r>
      <w:r w:rsidR="006C05FA">
        <w:rPr>
          <w:lang w:val="fr-FR"/>
        </w:rPr>
        <w:t>’</w:t>
      </w:r>
      <w:r w:rsidRPr="00E84EB9">
        <w:rPr>
          <w:lang w:val="fr-FR"/>
        </w:rPr>
        <w:t>une installation</w:t>
      </w:r>
      <w:r w:rsidR="00D8525A">
        <w:rPr>
          <w:lang w:val="fr-FR"/>
        </w:rPr>
        <w:t xml:space="preserve"> et devrait comprendre l’élimination de </w:t>
      </w:r>
      <w:r w:rsidRPr="00E84EB9">
        <w:rPr>
          <w:lang w:val="fr-FR"/>
        </w:rPr>
        <w:t>la totalité du mercure, des composés du mercure et des matériaux contaminés par le mercure</w:t>
      </w:r>
      <w:r w:rsidR="00D8525A">
        <w:rPr>
          <w:lang w:val="fr-FR"/>
        </w:rPr>
        <w:t xml:space="preserve"> qui s’y trouvent</w:t>
      </w:r>
      <w:r w:rsidRPr="00E84EB9">
        <w:rPr>
          <w:lang w:val="fr-FR"/>
        </w:rPr>
        <w:t>. Il est possible de mesurer la pollution de l</w:t>
      </w:r>
      <w:r w:rsidR="006C05FA">
        <w:rPr>
          <w:lang w:val="fr-FR"/>
        </w:rPr>
        <w:t>’</w:t>
      </w:r>
      <w:r w:rsidRPr="00E84EB9">
        <w:rPr>
          <w:lang w:val="fr-FR"/>
        </w:rPr>
        <w:t>air, des équipements et des sols pour confirmer que la fermeture du site a été effectuée d</w:t>
      </w:r>
      <w:r w:rsidR="006C05FA">
        <w:rPr>
          <w:lang w:val="fr-FR"/>
        </w:rPr>
        <w:t>’</w:t>
      </w:r>
      <w:r w:rsidRPr="00E84EB9">
        <w:rPr>
          <w:lang w:val="fr-FR"/>
        </w:rPr>
        <w:t xml:space="preserve">une manière écologiquement rationnelle. </w:t>
      </w:r>
      <w:r w:rsidR="00504D82">
        <w:rPr>
          <w:lang w:val="fr-FR"/>
        </w:rPr>
        <w:t>Si</w:t>
      </w:r>
      <w:r w:rsidRPr="00E84EB9">
        <w:rPr>
          <w:lang w:val="fr-FR"/>
        </w:rPr>
        <w:t xml:space="preserve"> </w:t>
      </w:r>
      <w:r w:rsidR="00D8525A">
        <w:rPr>
          <w:lang w:val="fr-FR"/>
        </w:rPr>
        <w:t>les mesures montrent l’existence d’une contamination</w:t>
      </w:r>
      <w:r w:rsidRPr="00E84EB9">
        <w:rPr>
          <w:lang w:val="fr-FR"/>
        </w:rPr>
        <w:t xml:space="preserve">, le site devrait être </w:t>
      </w:r>
      <w:r w:rsidR="00D8525A">
        <w:rPr>
          <w:lang w:val="fr-FR"/>
        </w:rPr>
        <w:t>traité en conséquence</w:t>
      </w:r>
      <w:r w:rsidRPr="00E84EB9">
        <w:rPr>
          <w:lang w:val="fr-FR"/>
        </w:rPr>
        <w:t>.</w:t>
      </w:r>
    </w:p>
    <w:p w14:paraId="152F25DF" w14:textId="5704E64E" w:rsidR="000C2F3D" w:rsidRPr="00E84EB9" w:rsidRDefault="0052201B" w:rsidP="0029471C">
      <w:pPr>
        <w:pStyle w:val="CH1"/>
        <w:rPr>
          <w:lang w:val="fr-FR"/>
        </w:rPr>
      </w:pPr>
      <w:bookmarkStart w:id="34" w:name="_Toc520380794"/>
      <w:r>
        <w:rPr>
          <w:lang w:val="fr-FR"/>
        </w:rPr>
        <w:tab/>
      </w:r>
      <w:bookmarkStart w:id="35" w:name="_Toc527548249"/>
      <w:r w:rsidR="0029471C" w:rsidRPr="00E84EB9">
        <w:rPr>
          <w:lang w:val="fr-FR"/>
        </w:rPr>
        <w:t>VIII.</w:t>
      </w:r>
      <w:r w:rsidR="00A15A4C" w:rsidRPr="00E84EB9">
        <w:rPr>
          <w:lang w:val="fr-FR"/>
        </w:rPr>
        <w:tab/>
      </w:r>
      <w:r w:rsidR="0029471C" w:rsidRPr="00E84EB9">
        <w:rPr>
          <w:bCs/>
          <w:lang w:val="fr-FR"/>
        </w:rPr>
        <w:t>Informations concernant le transport de mercure et de composés du mercure</w:t>
      </w:r>
      <w:bookmarkEnd w:id="34"/>
      <w:bookmarkEnd w:id="35"/>
    </w:p>
    <w:p w14:paraId="27E947FE" w14:textId="04FAEAC0" w:rsidR="00C62C91" w:rsidRPr="00E84EB9" w:rsidRDefault="00C62C91" w:rsidP="00F474DD">
      <w:pPr>
        <w:pStyle w:val="Normalnumber"/>
        <w:numPr>
          <w:ilvl w:val="0"/>
          <w:numId w:val="5"/>
        </w:numPr>
        <w:ind w:left="1247" w:firstLine="0"/>
        <w:rPr>
          <w:lang w:val="fr-FR"/>
        </w:rPr>
      </w:pPr>
      <w:r w:rsidRPr="00E84EB9">
        <w:rPr>
          <w:lang w:val="fr-FR"/>
        </w:rPr>
        <w:t>Les dernières versions des documents ci-après devraien</w:t>
      </w:r>
      <w:r w:rsidR="00730E2E" w:rsidRPr="00E84EB9">
        <w:rPr>
          <w:lang w:val="fr-FR"/>
        </w:rPr>
        <w:t>t être consultées pour définir l</w:t>
      </w:r>
      <w:r w:rsidRPr="00E84EB9">
        <w:rPr>
          <w:lang w:val="fr-FR"/>
        </w:rPr>
        <w:t xml:space="preserve">es dispositions particulières </w:t>
      </w:r>
      <w:r w:rsidR="00730E2E" w:rsidRPr="00E84EB9">
        <w:rPr>
          <w:lang w:val="fr-FR"/>
        </w:rPr>
        <w:t xml:space="preserve">à prendre pour le </w:t>
      </w:r>
      <w:r w:rsidRPr="00E84EB9">
        <w:rPr>
          <w:lang w:val="fr-FR"/>
        </w:rPr>
        <w:t xml:space="preserve">transport et </w:t>
      </w:r>
      <w:r w:rsidR="00730E2E" w:rsidRPr="00E84EB9">
        <w:rPr>
          <w:lang w:val="fr-FR"/>
        </w:rPr>
        <w:t xml:space="preserve">les </w:t>
      </w:r>
      <w:r w:rsidRPr="00E84EB9">
        <w:rPr>
          <w:lang w:val="fr-FR"/>
        </w:rPr>
        <w:t>mouvements transfrontières d</w:t>
      </w:r>
      <w:r w:rsidR="00720573">
        <w:rPr>
          <w:lang w:val="fr-FR"/>
        </w:rPr>
        <w:t>e</w:t>
      </w:r>
      <w:r w:rsidRPr="00E84EB9">
        <w:rPr>
          <w:lang w:val="fr-FR"/>
        </w:rPr>
        <w:t xml:space="preserve"> mer</w:t>
      </w:r>
      <w:r w:rsidR="00730E2E" w:rsidRPr="00E84EB9">
        <w:rPr>
          <w:lang w:val="fr-FR"/>
        </w:rPr>
        <w:t>cure et de composés du mercure </w:t>
      </w:r>
      <w:r w:rsidRPr="00E84EB9">
        <w:rPr>
          <w:lang w:val="fr-FR"/>
        </w:rPr>
        <w:t>:</w:t>
      </w:r>
    </w:p>
    <w:p w14:paraId="3B7B987E" w14:textId="3330B047" w:rsidR="00C62C91" w:rsidRPr="00E84EB9" w:rsidRDefault="00C62C91" w:rsidP="00EE4C8C">
      <w:pPr>
        <w:pStyle w:val="Normalnumber"/>
        <w:numPr>
          <w:ilvl w:val="0"/>
          <w:numId w:val="8"/>
        </w:numPr>
        <w:ind w:left="1247" w:firstLine="624"/>
        <w:rPr>
          <w:lang w:val="fr-FR"/>
        </w:rPr>
      </w:pPr>
      <w:r w:rsidRPr="00E84EB9">
        <w:rPr>
          <w:i/>
          <w:iCs/>
          <w:lang w:val="fr-FR"/>
        </w:rPr>
        <w:t>Code maritime international des marchandises dangereuses</w:t>
      </w:r>
      <w:r w:rsidRPr="00E84EB9">
        <w:rPr>
          <w:lang w:val="fr-FR"/>
        </w:rPr>
        <w:t xml:space="preserve"> (Organi</w:t>
      </w:r>
      <w:r w:rsidR="005F2CD7" w:rsidRPr="00E84EB9">
        <w:rPr>
          <w:lang w:val="fr-FR"/>
        </w:rPr>
        <w:t>sation maritime internationale) </w:t>
      </w:r>
      <w:r w:rsidRPr="00E84EB9">
        <w:rPr>
          <w:lang w:val="fr-FR"/>
        </w:rPr>
        <w:t>;</w:t>
      </w:r>
    </w:p>
    <w:p w14:paraId="0F95DC9D" w14:textId="7E534F74" w:rsidR="00C62C91" w:rsidRPr="00E84EB9" w:rsidRDefault="00C62C91" w:rsidP="00EE4C8C">
      <w:pPr>
        <w:pStyle w:val="Normalnumber"/>
        <w:numPr>
          <w:ilvl w:val="0"/>
          <w:numId w:val="8"/>
        </w:numPr>
        <w:ind w:left="1247" w:firstLine="624"/>
        <w:rPr>
          <w:lang w:val="fr-FR"/>
        </w:rPr>
      </w:pPr>
      <w:r w:rsidRPr="00E84EB9">
        <w:rPr>
          <w:i/>
          <w:iCs/>
          <w:lang w:val="fr-FR"/>
        </w:rPr>
        <w:t xml:space="preserve">Instructions techniques pour la sécurité du transport aérien des marchandises dangereuses </w:t>
      </w:r>
      <w:r w:rsidRPr="00E84EB9">
        <w:rPr>
          <w:lang w:val="fr-FR"/>
        </w:rPr>
        <w:t>(Organisation de l</w:t>
      </w:r>
      <w:r w:rsidR="006C05FA">
        <w:rPr>
          <w:lang w:val="fr-FR"/>
        </w:rPr>
        <w:t>’</w:t>
      </w:r>
      <w:r w:rsidR="00730E2E" w:rsidRPr="00E84EB9">
        <w:rPr>
          <w:lang w:val="fr-FR"/>
        </w:rPr>
        <w:t>Aviation civile internationale) </w:t>
      </w:r>
      <w:r w:rsidRPr="00E84EB9">
        <w:rPr>
          <w:lang w:val="fr-FR"/>
        </w:rPr>
        <w:t xml:space="preserve">; </w:t>
      </w:r>
    </w:p>
    <w:p w14:paraId="033D276A" w14:textId="044DB1CD" w:rsidR="00C62C91" w:rsidRPr="00E84EB9" w:rsidRDefault="00C62C91" w:rsidP="00EE4C8C">
      <w:pPr>
        <w:pStyle w:val="Normalnumber"/>
        <w:numPr>
          <w:ilvl w:val="0"/>
          <w:numId w:val="8"/>
        </w:numPr>
        <w:ind w:left="1247" w:firstLine="624"/>
        <w:rPr>
          <w:lang w:val="fr-FR"/>
        </w:rPr>
      </w:pPr>
      <w:r w:rsidRPr="00E84EB9">
        <w:rPr>
          <w:i/>
          <w:iCs/>
          <w:lang w:val="fr-FR"/>
        </w:rPr>
        <w:t xml:space="preserve">Réglementation pour le transport des marchandises dangereuses </w:t>
      </w:r>
      <w:r w:rsidRPr="00E84EB9">
        <w:rPr>
          <w:lang w:val="fr-FR"/>
        </w:rPr>
        <w:t>(Association du transp</w:t>
      </w:r>
      <w:r w:rsidR="00730E2E" w:rsidRPr="00E84EB9">
        <w:rPr>
          <w:lang w:val="fr-FR"/>
        </w:rPr>
        <w:t>ort aérien international, 2016) </w:t>
      </w:r>
      <w:r w:rsidRPr="00E84EB9">
        <w:rPr>
          <w:lang w:val="fr-FR"/>
        </w:rPr>
        <w:t>; et</w:t>
      </w:r>
    </w:p>
    <w:p w14:paraId="3217E8CD" w14:textId="35A8E96B" w:rsidR="002C7219" w:rsidRPr="00E84EB9" w:rsidRDefault="002C7219" w:rsidP="00EE4C8C">
      <w:pPr>
        <w:pStyle w:val="Normalnumber"/>
        <w:numPr>
          <w:ilvl w:val="0"/>
          <w:numId w:val="8"/>
        </w:numPr>
        <w:ind w:left="1247" w:firstLine="624"/>
        <w:rPr>
          <w:lang w:val="fr-FR"/>
        </w:rPr>
      </w:pPr>
      <w:r w:rsidRPr="00E84EB9">
        <w:rPr>
          <w:i/>
          <w:iCs/>
          <w:lang w:val="fr-FR"/>
        </w:rPr>
        <w:t>Recommandations relatives au transpo</w:t>
      </w:r>
      <w:r w:rsidR="00730E2E" w:rsidRPr="00E84EB9">
        <w:rPr>
          <w:i/>
          <w:iCs/>
          <w:lang w:val="fr-FR"/>
        </w:rPr>
        <w:t>rt des marchandises dangereuses </w:t>
      </w:r>
      <w:r w:rsidRPr="00E84EB9">
        <w:rPr>
          <w:i/>
          <w:iCs/>
          <w:lang w:val="fr-FR"/>
        </w:rPr>
        <w:t xml:space="preserve">: Règlement type </w:t>
      </w:r>
      <w:r w:rsidRPr="00E84EB9">
        <w:rPr>
          <w:lang w:val="fr-FR"/>
        </w:rPr>
        <w:t>(Nations Unies, 2017).</w:t>
      </w:r>
    </w:p>
    <w:p w14:paraId="0C46F0F5" w14:textId="57D0631C" w:rsidR="000C2F3D" w:rsidRPr="00E84EB9" w:rsidRDefault="000C2F3D" w:rsidP="00F474DD">
      <w:pPr>
        <w:pStyle w:val="Normalnumber"/>
        <w:numPr>
          <w:ilvl w:val="0"/>
          <w:numId w:val="5"/>
        </w:numPr>
        <w:ind w:left="1247" w:firstLine="0"/>
        <w:rPr>
          <w:lang w:val="fr-FR"/>
        </w:rPr>
      </w:pPr>
      <w:r w:rsidRPr="00E84EB9">
        <w:rPr>
          <w:lang w:val="fr-FR"/>
        </w:rPr>
        <w:t>Le mercure et les composés du mercure devraient être transportés d</w:t>
      </w:r>
      <w:r w:rsidR="006C05FA">
        <w:rPr>
          <w:lang w:val="fr-FR"/>
        </w:rPr>
        <w:t>’</w:t>
      </w:r>
      <w:r w:rsidRPr="00E84EB9">
        <w:rPr>
          <w:lang w:val="fr-FR"/>
        </w:rPr>
        <w:t>une manière sûre et écologiquement rationnelle afin d</w:t>
      </w:r>
      <w:r w:rsidR="006C05FA">
        <w:rPr>
          <w:lang w:val="fr-FR"/>
        </w:rPr>
        <w:t>’</w:t>
      </w:r>
      <w:r w:rsidRPr="00E84EB9">
        <w:rPr>
          <w:lang w:val="fr-FR"/>
        </w:rPr>
        <w:t>évi</w:t>
      </w:r>
      <w:r w:rsidR="00730E2E" w:rsidRPr="00E84EB9">
        <w:rPr>
          <w:lang w:val="fr-FR"/>
        </w:rPr>
        <w:t>ter tout déversement accidentel </w:t>
      </w:r>
      <w:r w:rsidRPr="00E84EB9">
        <w:rPr>
          <w:lang w:val="fr-FR"/>
        </w:rPr>
        <w:t>;</w:t>
      </w:r>
      <w:r w:rsidR="00730E2E" w:rsidRPr="00E84EB9">
        <w:rPr>
          <w:lang w:val="fr-FR"/>
        </w:rPr>
        <w:t xml:space="preserve"> leur suivi devrait être assuré</w:t>
      </w:r>
      <w:r w:rsidRPr="00E84EB9">
        <w:rPr>
          <w:lang w:val="fr-FR"/>
        </w:rPr>
        <w:t xml:space="preserve"> durant </w:t>
      </w:r>
      <w:r w:rsidR="00730E2E" w:rsidRPr="00E84EB9">
        <w:rPr>
          <w:lang w:val="fr-FR"/>
        </w:rPr>
        <w:t xml:space="preserve">le </w:t>
      </w:r>
      <w:r w:rsidRPr="00E84EB9">
        <w:rPr>
          <w:lang w:val="fr-FR"/>
        </w:rPr>
        <w:t>transport jusqu</w:t>
      </w:r>
      <w:r w:rsidR="006C05FA">
        <w:rPr>
          <w:lang w:val="fr-FR"/>
        </w:rPr>
        <w:t>’</w:t>
      </w:r>
      <w:r w:rsidRPr="00E84EB9">
        <w:rPr>
          <w:lang w:val="fr-FR"/>
        </w:rPr>
        <w:t xml:space="preserve">à leur destination finale. Avant le transport, </w:t>
      </w:r>
      <w:r w:rsidR="00730E2E" w:rsidRPr="00E84EB9">
        <w:rPr>
          <w:lang w:val="fr-FR"/>
        </w:rPr>
        <w:t xml:space="preserve">des </w:t>
      </w:r>
      <w:r w:rsidRPr="00E84EB9">
        <w:rPr>
          <w:lang w:val="fr-FR"/>
        </w:rPr>
        <w:t>plans d</w:t>
      </w:r>
      <w:r w:rsidR="006C05FA">
        <w:rPr>
          <w:lang w:val="fr-FR"/>
        </w:rPr>
        <w:t>’</w:t>
      </w:r>
      <w:r w:rsidRPr="00E84EB9">
        <w:rPr>
          <w:lang w:val="fr-FR"/>
        </w:rPr>
        <w:t>urgence devraient être élaborés pour réduire autant que possible les impacts environnementaux associés aux accidents de la route, déversements, incendies et autres situations d</w:t>
      </w:r>
      <w:r w:rsidR="006C05FA">
        <w:rPr>
          <w:lang w:val="fr-FR"/>
        </w:rPr>
        <w:t>’</w:t>
      </w:r>
      <w:r w:rsidRPr="00E84EB9">
        <w:rPr>
          <w:lang w:val="fr-FR"/>
        </w:rPr>
        <w:t>urgence potentielles. Durant le transport, le mercure et les composés du mercure devraient être identifiés, emballés et transportés conformément aux réglementations nationales applicables au transport des marchandises dangereuses, qui s</w:t>
      </w:r>
      <w:r w:rsidR="006C05FA">
        <w:rPr>
          <w:lang w:val="fr-FR"/>
        </w:rPr>
        <w:t>’</w:t>
      </w:r>
      <w:r w:rsidRPr="00E84EB9">
        <w:rPr>
          <w:lang w:val="fr-FR"/>
        </w:rPr>
        <w:t xml:space="preserve">inspirent généralement des </w:t>
      </w:r>
      <w:r w:rsidRPr="00E84EB9">
        <w:rPr>
          <w:i/>
          <w:lang w:val="fr-FR"/>
        </w:rPr>
        <w:t>Recommandations relatives au transpo</w:t>
      </w:r>
      <w:r w:rsidR="00730E2E" w:rsidRPr="00E84EB9">
        <w:rPr>
          <w:i/>
          <w:lang w:val="fr-FR"/>
        </w:rPr>
        <w:t>rt des marchandises dangereuses </w:t>
      </w:r>
      <w:r w:rsidRPr="00E84EB9">
        <w:rPr>
          <w:i/>
          <w:lang w:val="fr-FR"/>
        </w:rPr>
        <w:t xml:space="preserve">: Règlements types </w:t>
      </w:r>
      <w:r w:rsidRPr="00E84EB9">
        <w:rPr>
          <w:lang w:val="fr-FR"/>
        </w:rPr>
        <w:t>(Nations Unies, 2017). Les présentes directives ne comportent pas de prescriptions détaillées sur le transport, car</w:t>
      </w:r>
      <w:r w:rsidR="00A75A0B" w:rsidRPr="00E84EB9">
        <w:rPr>
          <w:lang w:val="fr-FR"/>
        </w:rPr>
        <w:t xml:space="preserve"> </w:t>
      </w:r>
      <w:r w:rsidR="007343A1">
        <w:rPr>
          <w:lang w:val="fr-FR"/>
        </w:rPr>
        <w:t>il est jugé</w:t>
      </w:r>
      <w:r w:rsidRPr="00E84EB9">
        <w:rPr>
          <w:lang w:val="fr-FR"/>
        </w:rPr>
        <w:t xml:space="preserve"> plus approprié de se référer à la source </w:t>
      </w:r>
      <w:r w:rsidR="005F2CD7" w:rsidRPr="00E84EB9">
        <w:rPr>
          <w:lang w:val="fr-FR"/>
        </w:rPr>
        <w:t xml:space="preserve">principale </w:t>
      </w:r>
      <w:r w:rsidR="00A75A0B" w:rsidRPr="00E84EB9">
        <w:rPr>
          <w:lang w:val="fr-FR"/>
        </w:rPr>
        <w:t>en la matière</w:t>
      </w:r>
      <w:r w:rsidR="007343A1">
        <w:rPr>
          <w:lang w:val="fr-FR"/>
        </w:rPr>
        <w:t xml:space="preserve"> </w:t>
      </w:r>
      <w:r w:rsidR="007343A1" w:rsidRPr="00E84EB9">
        <w:rPr>
          <w:lang w:val="fr-FR"/>
        </w:rPr>
        <w:t xml:space="preserve">pour </w:t>
      </w:r>
      <w:r w:rsidR="007343A1">
        <w:rPr>
          <w:lang w:val="fr-FR"/>
        </w:rPr>
        <w:t xml:space="preserve">obtenir </w:t>
      </w:r>
      <w:r w:rsidR="007343A1" w:rsidRPr="00E84EB9">
        <w:rPr>
          <w:lang w:val="fr-FR"/>
        </w:rPr>
        <w:t>de telles informations</w:t>
      </w:r>
      <w:r w:rsidRPr="00E84EB9">
        <w:rPr>
          <w:lang w:val="fr-FR"/>
        </w:rPr>
        <w:t>.</w:t>
      </w:r>
    </w:p>
    <w:p w14:paraId="18969337" w14:textId="7A7619DF" w:rsidR="000C2F3D" w:rsidRPr="00E84EB9" w:rsidRDefault="000C2F3D" w:rsidP="00F474DD">
      <w:pPr>
        <w:pStyle w:val="Normalnumber"/>
        <w:numPr>
          <w:ilvl w:val="0"/>
          <w:numId w:val="5"/>
        </w:numPr>
        <w:ind w:left="1247" w:firstLine="0"/>
        <w:rPr>
          <w:lang w:val="fr-FR"/>
        </w:rPr>
      </w:pPr>
      <w:r w:rsidRPr="00E84EB9">
        <w:rPr>
          <w:lang w:val="fr-FR"/>
        </w:rPr>
        <w:t xml:space="preserve">Les entreprises </w:t>
      </w:r>
      <w:r w:rsidR="00216C82">
        <w:rPr>
          <w:lang w:val="fr-FR"/>
        </w:rPr>
        <w:t xml:space="preserve">qui </w:t>
      </w:r>
      <w:r w:rsidRPr="00E84EB9">
        <w:rPr>
          <w:lang w:val="fr-FR"/>
        </w:rPr>
        <w:t>transport</w:t>
      </w:r>
      <w:r w:rsidR="00216C82">
        <w:rPr>
          <w:lang w:val="fr-FR"/>
        </w:rPr>
        <w:t>e</w:t>
      </w:r>
      <w:r w:rsidR="007343A1">
        <w:rPr>
          <w:lang w:val="fr-FR"/>
        </w:rPr>
        <w:t>nt</w:t>
      </w:r>
      <w:r w:rsidRPr="00E84EB9">
        <w:rPr>
          <w:lang w:val="fr-FR"/>
        </w:rPr>
        <w:t xml:space="preserve"> du mercure ou des composés du mercure </w:t>
      </w:r>
      <w:r w:rsidR="007343A1">
        <w:rPr>
          <w:lang w:val="fr-FR"/>
        </w:rPr>
        <w:t>dans</w:t>
      </w:r>
      <w:r w:rsidRPr="00E84EB9">
        <w:rPr>
          <w:lang w:val="fr-FR"/>
        </w:rPr>
        <w:t xml:space="preserve"> leur propre pays devraient détenir une autorisation de transport de marchandises dangereuses et leur personnel devrait posséder les qualifications et la certification requises pour la manipulation de marchandises dangereuses conformément à la législation nationale et </w:t>
      </w:r>
      <w:r w:rsidR="00A75A0B" w:rsidRPr="00E84EB9">
        <w:rPr>
          <w:lang w:val="fr-FR"/>
        </w:rPr>
        <w:t xml:space="preserve">aux </w:t>
      </w:r>
      <w:r w:rsidRPr="00E84EB9">
        <w:rPr>
          <w:lang w:val="fr-FR"/>
        </w:rPr>
        <w:t xml:space="preserve">règlements locaux en vigueur. Les transporteurs devraient gérer le mercure et les composés du mercure </w:t>
      </w:r>
      <w:r w:rsidR="00A75A0B" w:rsidRPr="00E84EB9">
        <w:rPr>
          <w:lang w:val="fr-FR"/>
        </w:rPr>
        <w:t>d</w:t>
      </w:r>
      <w:r w:rsidR="006C05FA">
        <w:rPr>
          <w:lang w:val="fr-FR"/>
        </w:rPr>
        <w:t>’</w:t>
      </w:r>
      <w:r w:rsidR="00A75A0B" w:rsidRPr="00E84EB9">
        <w:rPr>
          <w:lang w:val="fr-FR"/>
        </w:rPr>
        <w:t xml:space="preserve">une </w:t>
      </w:r>
      <w:r w:rsidRPr="00E84EB9">
        <w:rPr>
          <w:lang w:val="fr-FR"/>
        </w:rPr>
        <w:t xml:space="preserve">manière </w:t>
      </w:r>
      <w:r w:rsidR="00A75A0B" w:rsidRPr="00E84EB9">
        <w:rPr>
          <w:lang w:val="fr-FR"/>
        </w:rPr>
        <w:t>qui empêche</w:t>
      </w:r>
      <w:r w:rsidRPr="00E84EB9">
        <w:rPr>
          <w:lang w:val="fr-FR"/>
        </w:rPr>
        <w:t xml:space="preserve"> la rupture des conteneurs, les rejets dans l</w:t>
      </w:r>
      <w:r w:rsidR="006C05FA">
        <w:rPr>
          <w:lang w:val="fr-FR"/>
        </w:rPr>
        <w:t>’</w:t>
      </w:r>
      <w:r w:rsidRPr="00E84EB9">
        <w:rPr>
          <w:lang w:val="fr-FR"/>
        </w:rPr>
        <w:t>environnement et l</w:t>
      </w:r>
      <w:r w:rsidR="006C05FA">
        <w:rPr>
          <w:lang w:val="fr-FR"/>
        </w:rPr>
        <w:t>’</w:t>
      </w:r>
      <w:r w:rsidRPr="00E84EB9">
        <w:rPr>
          <w:lang w:val="fr-FR"/>
        </w:rPr>
        <w:t>exposition à l</w:t>
      </w:r>
      <w:r w:rsidR="006C05FA">
        <w:rPr>
          <w:lang w:val="fr-FR"/>
        </w:rPr>
        <w:t>’</w:t>
      </w:r>
      <w:r w:rsidRPr="00E84EB9">
        <w:rPr>
          <w:lang w:val="fr-FR"/>
        </w:rPr>
        <w:t>humidité. L</w:t>
      </w:r>
      <w:r w:rsidR="007343A1">
        <w:rPr>
          <w:lang w:val="fr-FR"/>
        </w:rPr>
        <w:t>es</w:t>
      </w:r>
      <w:r w:rsidRPr="00E84EB9">
        <w:rPr>
          <w:lang w:val="fr-FR"/>
        </w:rPr>
        <w:t xml:space="preserve"> législation</w:t>
      </w:r>
      <w:r w:rsidR="007343A1">
        <w:rPr>
          <w:lang w:val="fr-FR"/>
        </w:rPr>
        <w:t>s</w:t>
      </w:r>
      <w:r w:rsidRPr="00E84EB9">
        <w:rPr>
          <w:lang w:val="fr-FR"/>
        </w:rPr>
        <w:t xml:space="preserve"> nationale</w:t>
      </w:r>
      <w:r w:rsidR="007343A1">
        <w:rPr>
          <w:lang w:val="fr-FR"/>
        </w:rPr>
        <w:t>s</w:t>
      </w:r>
      <w:r w:rsidRPr="00E84EB9">
        <w:rPr>
          <w:lang w:val="fr-FR"/>
        </w:rPr>
        <w:t xml:space="preserve"> </w:t>
      </w:r>
      <w:r w:rsidR="00A75A0B" w:rsidRPr="00E84EB9">
        <w:rPr>
          <w:lang w:val="fr-FR"/>
        </w:rPr>
        <w:t>relative</w:t>
      </w:r>
      <w:r w:rsidR="007343A1">
        <w:rPr>
          <w:lang w:val="fr-FR"/>
        </w:rPr>
        <w:t>s</w:t>
      </w:r>
      <w:r w:rsidR="00A75A0B" w:rsidRPr="00E84EB9">
        <w:rPr>
          <w:lang w:val="fr-FR"/>
        </w:rPr>
        <w:t xml:space="preserve"> aux </w:t>
      </w:r>
      <w:r w:rsidRPr="00E84EB9">
        <w:rPr>
          <w:lang w:val="fr-FR"/>
        </w:rPr>
        <w:t>substances ou marchandises dangereuses prévoient souvent des contrôles des emballages et de l</w:t>
      </w:r>
      <w:r w:rsidR="006C05FA">
        <w:rPr>
          <w:lang w:val="fr-FR"/>
        </w:rPr>
        <w:t>’</w:t>
      </w:r>
      <w:r w:rsidRPr="00E84EB9">
        <w:rPr>
          <w:lang w:val="fr-FR"/>
        </w:rPr>
        <w:t xml:space="preserve">étiquetage pour le transport </w:t>
      </w:r>
      <w:r w:rsidR="007343A1">
        <w:rPr>
          <w:lang w:val="fr-FR"/>
        </w:rPr>
        <w:t>au niveau national</w:t>
      </w:r>
      <w:r w:rsidRPr="00E84EB9">
        <w:rPr>
          <w:lang w:val="fr-FR"/>
        </w:rPr>
        <w:t>. S</w:t>
      </w:r>
      <w:r w:rsidR="007343A1">
        <w:rPr>
          <w:lang w:val="fr-FR"/>
        </w:rPr>
        <w:t>i</w:t>
      </w:r>
      <w:r w:rsidRPr="00E84EB9">
        <w:rPr>
          <w:lang w:val="fr-FR"/>
        </w:rPr>
        <w:t xml:space="preserve"> aucune directive national</w:t>
      </w:r>
      <w:r w:rsidR="007343A1">
        <w:rPr>
          <w:lang w:val="fr-FR"/>
        </w:rPr>
        <w:t xml:space="preserve">e </w:t>
      </w:r>
      <w:r w:rsidR="007343A1" w:rsidRPr="00E84EB9">
        <w:rPr>
          <w:lang w:val="fr-FR"/>
        </w:rPr>
        <w:t>n</w:t>
      </w:r>
      <w:r w:rsidR="007343A1">
        <w:rPr>
          <w:lang w:val="fr-FR"/>
        </w:rPr>
        <w:t>’</w:t>
      </w:r>
      <w:r w:rsidR="007343A1" w:rsidRPr="00E84EB9">
        <w:rPr>
          <w:lang w:val="fr-FR"/>
        </w:rPr>
        <w:t>existe</w:t>
      </w:r>
      <w:r w:rsidRPr="00E84EB9">
        <w:rPr>
          <w:lang w:val="fr-FR"/>
        </w:rPr>
        <w:t xml:space="preserve">, </w:t>
      </w:r>
      <w:r w:rsidR="007343A1">
        <w:rPr>
          <w:lang w:val="fr-FR"/>
        </w:rPr>
        <w:t xml:space="preserve">il est possible de consulter </w:t>
      </w:r>
      <w:r w:rsidRPr="00E84EB9">
        <w:rPr>
          <w:lang w:val="fr-FR"/>
        </w:rPr>
        <w:t xml:space="preserve">les documents de base pour le transport transfrontière de marchandises dangereuses énumérés au paragraphe 74 ci-dessus. </w:t>
      </w:r>
      <w:r w:rsidR="00216C82">
        <w:rPr>
          <w:lang w:val="fr-FR"/>
        </w:rPr>
        <w:t xml:space="preserve">Il convient </w:t>
      </w:r>
      <w:r w:rsidRPr="00E84EB9">
        <w:rPr>
          <w:lang w:val="fr-FR"/>
        </w:rPr>
        <w:t xml:space="preserve">également </w:t>
      </w:r>
      <w:r w:rsidR="00216C82">
        <w:rPr>
          <w:lang w:val="fr-FR"/>
        </w:rPr>
        <w:t xml:space="preserve">de tenir </w:t>
      </w:r>
      <w:r w:rsidRPr="00E84EB9">
        <w:rPr>
          <w:lang w:val="fr-FR"/>
        </w:rPr>
        <w:t>compte</w:t>
      </w:r>
      <w:r w:rsidR="00216C82">
        <w:rPr>
          <w:lang w:val="fr-FR"/>
        </w:rPr>
        <w:t>,</w:t>
      </w:r>
      <w:r w:rsidR="00216C82" w:rsidRPr="00216C82">
        <w:rPr>
          <w:lang w:val="fr-FR"/>
        </w:rPr>
        <w:t xml:space="preserve"> </w:t>
      </w:r>
      <w:r w:rsidR="00216C82">
        <w:rPr>
          <w:lang w:val="fr-FR"/>
        </w:rPr>
        <w:t>s’il y a lieu,</w:t>
      </w:r>
      <w:r w:rsidRPr="00E84EB9">
        <w:rPr>
          <w:lang w:val="fr-FR"/>
        </w:rPr>
        <w:t xml:space="preserve"> du Système général harmonisé de classification et d</w:t>
      </w:r>
      <w:r w:rsidR="006C05FA">
        <w:rPr>
          <w:lang w:val="fr-FR"/>
        </w:rPr>
        <w:t>’</w:t>
      </w:r>
      <w:r w:rsidRPr="00E84EB9">
        <w:rPr>
          <w:lang w:val="fr-FR"/>
        </w:rPr>
        <w:t>étiquetage des produits chimi</w:t>
      </w:r>
      <w:r w:rsidR="00513202">
        <w:rPr>
          <w:lang w:val="fr-FR"/>
        </w:rPr>
        <w:t>ques (Nations Unies, 2015). Les </w:t>
      </w:r>
      <w:r w:rsidRPr="00E84EB9">
        <w:rPr>
          <w:lang w:val="fr-FR"/>
        </w:rPr>
        <w:t>documents d</w:t>
      </w:r>
      <w:r w:rsidR="006C05FA">
        <w:rPr>
          <w:lang w:val="fr-FR"/>
        </w:rPr>
        <w:t>’</w:t>
      </w:r>
      <w:r w:rsidRPr="00E84EB9">
        <w:rPr>
          <w:lang w:val="fr-FR"/>
        </w:rPr>
        <w:t>expédition devraient comporter un numéro de téléphone pour les interventions d</w:t>
      </w:r>
      <w:r w:rsidR="006C05FA">
        <w:rPr>
          <w:lang w:val="fr-FR"/>
        </w:rPr>
        <w:t>’</w:t>
      </w:r>
      <w:r w:rsidRPr="00E84EB9">
        <w:rPr>
          <w:lang w:val="fr-FR"/>
        </w:rPr>
        <w:t>urgence et une certification indiquant que l</w:t>
      </w:r>
      <w:r w:rsidR="006C05FA">
        <w:rPr>
          <w:lang w:val="fr-FR"/>
        </w:rPr>
        <w:t>’</w:t>
      </w:r>
      <w:r w:rsidRPr="00E84EB9">
        <w:rPr>
          <w:lang w:val="fr-FR"/>
        </w:rPr>
        <w:t xml:space="preserve">envoi est conforme à toutes les réglementations. En outre, le chargeur devrait </w:t>
      </w:r>
      <w:r w:rsidR="00216C82">
        <w:rPr>
          <w:lang w:val="fr-FR"/>
        </w:rPr>
        <w:t>appos</w:t>
      </w:r>
      <w:r w:rsidRPr="00E84EB9">
        <w:rPr>
          <w:lang w:val="fr-FR"/>
        </w:rPr>
        <w:t xml:space="preserve">er sur les conteneurs les </w:t>
      </w:r>
      <w:r w:rsidR="00216C82">
        <w:rPr>
          <w:lang w:val="fr-FR"/>
        </w:rPr>
        <w:t>marquages appropriés</w:t>
      </w:r>
      <w:r w:rsidRPr="00E84EB9">
        <w:rPr>
          <w:lang w:val="fr-FR"/>
        </w:rPr>
        <w:t xml:space="preserve">, </w:t>
      </w:r>
      <w:r w:rsidR="00216C82">
        <w:rPr>
          <w:lang w:val="fr-FR"/>
        </w:rPr>
        <w:t>y compris</w:t>
      </w:r>
      <w:r w:rsidRPr="00E84EB9">
        <w:rPr>
          <w:lang w:val="fr-FR"/>
        </w:rPr>
        <w:t xml:space="preserve"> l</w:t>
      </w:r>
      <w:r w:rsidR="006C05FA">
        <w:rPr>
          <w:lang w:val="fr-FR"/>
        </w:rPr>
        <w:t>’</w:t>
      </w:r>
      <w:r w:rsidRPr="00E84EB9">
        <w:rPr>
          <w:lang w:val="fr-FR"/>
        </w:rPr>
        <w:t>étiquette prescrite, la désignation officielle de transport et le numéro ONU</w:t>
      </w:r>
      <w:r w:rsidR="00216C82">
        <w:rPr>
          <w:lang w:val="fr-FR"/>
        </w:rPr>
        <w:t xml:space="preserve"> qui, dans le cas du</w:t>
      </w:r>
      <w:r w:rsidRPr="00E84EB9">
        <w:rPr>
          <w:lang w:val="fr-FR"/>
        </w:rPr>
        <w:t xml:space="preserve"> merc</w:t>
      </w:r>
      <w:r w:rsidR="00A75A0B" w:rsidRPr="00E84EB9">
        <w:rPr>
          <w:lang w:val="fr-FR"/>
        </w:rPr>
        <w:t xml:space="preserve">ure, </w:t>
      </w:r>
      <w:r w:rsidR="00216C82">
        <w:rPr>
          <w:lang w:val="fr-FR"/>
        </w:rPr>
        <w:t xml:space="preserve">sont respectivement les suivants : </w:t>
      </w:r>
      <w:r w:rsidR="00A75A0B" w:rsidRPr="00E84EB9">
        <w:rPr>
          <w:lang w:val="fr-FR"/>
        </w:rPr>
        <w:t>« corrosif »</w:t>
      </w:r>
      <w:r w:rsidRPr="00E84EB9">
        <w:rPr>
          <w:lang w:val="fr-FR"/>
        </w:rPr>
        <w:t xml:space="preserve">, </w:t>
      </w:r>
      <w:r w:rsidR="00A75A0B" w:rsidRPr="00E84EB9">
        <w:rPr>
          <w:lang w:val="fr-FR"/>
        </w:rPr>
        <w:t>« mercure » et « ONU 2809 »</w:t>
      </w:r>
      <w:r w:rsidRPr="00E84EB9">
        <w:rPr>
          <w:lang w:val="fr-FR"/>
        </w:rPr>
        <w:t xml:space="preserve"> (QSC, 2003).</w:t>
      </w:r>
    </w:p>
    <w:p w14:paraId="639A5EE6" w14:textId="10A45EE8" w:rsidR="000C2F3D" w:rsidRPr="00E84EB9" w:rsidRDefault="000C2F3D" w:rsidP="003F5ADA">
      <w:pPr>
        <w:pStyle w:val="Normalnumber"/>
        <w:keepNext/>
        <w:keepLines/>
        <w:numPr>
          <w:ilvl w:val="0"/>
          <w:numId w:val="5"/>
        </w:numPr>
        <w:ind w:left="1247" w:firstLine="0"/>
        <w:rPr>
          <w:lang w:val="fr-FR"/>
        </w:rPr>
      </w:pPr>
      <w:r w:rsidRPr="00E84EB9">
        <w:rPr>
          <w:lang w:val="fr-FR"/>
        </w:rPr>
        <w:lastRenderedPageBreak/>
        <w:t>L</w:t>
      </w:r>
      <w:r w:rsidR="007D69AF">
        <w:rPr>
          <w:lang w:val="fr-FR"/>
        </w:rPr>
        <w:t>a cargaison</w:t>
      </w:r>
      <w:r w:rsidR="00216C82">
        <w:rPr>
          <w:lang w:val="fr-FR"/>
        </w:rPr>
        <w:t xml:space="preserve"> de</w:t>
      </w:r>
      <w:r w:rsidRPr="00E84EB9">
        <w:rPr>
          <w:lang w:val="fr-FR"/>
        </w:rPr>
        <w:t xml:space="preserve"> </w:t>
      </w:r>
      <w:r w:rsidR="00A75A0B" w:rsidRPr="00E84EB9">
        <w:rPr>
          <w:lang w:val="fr-FR"/>
        </w:rPr>
        <w:t xml:space="preserve">mercure devrait être </w:t>
      </w:r>
      <w:r w:rsidR="00D91900" w:rsidRPr="00E84EB9">
        <w:rPr>
          <w:lang w:val="fr-FR"/>
        </w:rPr>
        <w:t>accompagné</w:t>
      </w:r>
      <w:r w:rsidR="007D69AF">
        <w:rPr>
          <w:lang w:val="fr-FR"/>
        </w:rPr>
        <w:t>e</w:t>
      </w:r>
      <w:r w:rsidR="00D91900" w:rsidRPr="00E84EB9">
        <w:rPr>
          <w:lang w:val="fr-FR"/>
        </w:rPr>
        <w:t xml:space="preserve"> </w:t>
      </w:r>
      <w:r w:rsidRPr="00E84EB9">
        <w:rPr>
          <w:lang w:val="fr-FR"/>
        </w:rPr>
        <w:t>d</w:t>
      </w:r>
      <w:r w:rsidR="006C05FA">
        <w:rPr>
          <w:lang w:val="fr-FR"/>
        </w:rPr>
        <w:t>’</w:t>
      </w:r>
      <w:r w:rsidRPr="00E84EB9">
        <w:rPr>
          <w:lang w:val="fr-FR"/>
        </w:rPr>
        <w:t>un rapport d</w:t>
      </w:r>
      <w:r w:rsidR="006C05FA">
        <w:rPr>
          <w:lang w:val="fr-FR"/>
        </w:rPr>
        <w:t>’</w:t>
      </w:r>
      <w:r w:rsidRPr="00E84EB9">
        <w:rPr>
          <w:lang w:val="fr-FR"/>
        </w:rPr>
        <w:t xml:space="preserve">analyse chimique </w:t>
      </w:r>
      <w:r w:rsidR="00216C82">
        <w:rPr>
          <w:lang w:val="fr-FR"/>
        </w:rPr>
        <w:t>indiqu</w:t>
      </w:r>
      <w:r w:rsidRPr="00E84EB9">
        <w:rPr>
          <w:lang w:val="fr-FR"/>
        </w:rPr>
        <w:t xml:space="preserve">ant le niveau de pureté </w:t>
      </w:r>
      <w:r w:rsidR="00216C82">
        <w:rPr>
          <w:lang w:val="fr-FR"/>
        </w:rPr>
        <w:t>de celui-ci</w:t>
      </w:r>
      <w:r w:rsidRPr="00E84EB9">
        <w:rPr>
          <w:lang w:val="fr-FR"/>
        </w:rPr>
        <w:t xml:space="preserve"> et </w:t>
      </w:r>
      <w:r w:rsidR="00216C82">
        <w:rPr>
          <w:lang w:val="fr-FR"/>
        </w:rPr>
        <w:t>tout</w:t>
      </w:r>
      <w:r w:rsidR="00A75A0B" w:rsidRPr="00E84EB9">
        <w:rPr>
          <w:lang w:val="fr-FR"/>
        </w:rPr>
        <w:t xml:space="preserve"> contaminant</w:t>
      </w:r>
      <w:r w:rsidR="00216C82">
        <w:rPr>
          <w:lang w:val="fr-FR"/>
        </w:rPr>
        <w:t xml:space="preserve"> présent</w:t>
      </w:r>
      <w:r w:rsidR="00A75A0B" w:rsidRPr="00E84EB9">
        <w:rPr>
          <w:lang w:val="fr-FR"/>
        </w:rPr>
        <w:t>.</w:t>
      </w:r>
    </w:p>
    <w:p w14:paraId="3437870E" w14:textId="0E5EB35D" w:rsidR="000C2F3D" w:rsidRPr="00E84EB9" w:rsidRDefault="000C2F3D" w:rsidP="003F5ADA">
      <w:pPr>
        <w:pStyle w:val="Normalnumber"/>
        <w:keepNext/>
        <w:keepLines/>
        <w:numPr>
          <w:ilvl w:val="0"/>
          <w:numId w:val="5"/>
        </w:numPr>
        <w:ind w:left="1247" w:firstLine="0"/>
        <w:rPr>
          <w:lang w:val="fr-FR"/>
        </w:rPr>
      </w:pPr>
      <w:r w:rsidRPr="00E84EB9">
        <w:rPr>
          <w:lang w:val="fr-FR"/>
        </w:rPr>
        <w:t xml:space="preserve">À son arrivée, </w:t>
      </w:r>
      <w:r w:rsidR="006C11F3">
        <w:rPr>
          <w:lang w:val="fr-FR"/>
        </w:rPr>
        <w:t>le véhicule de transport devra</w:t>
      </w:r>
      <w:r w:rsidR="00216C82">
        <w:rPr>
          <w:lang w:val="fr-FR"/>
        </w:rPr>
        <w:t>it</w:t>
      </w:r>
      <w:r w:rsidRPr="00E84EB9">
        <w:rPr>
          <w:lang w:val="fr-FR"/>
        </w:rPr>
        <w:t xml:space="preserve"> </w:t>
      </w:r>
      <w:r w:rsidR="004D30B2" w:rsidRPr="00E84EB9">
        <w:rPr>
          <w:lang w:val="fr-FR"/>
        </w:rPr>
        <w:t>faire l</w:t>
      </w:r>
      <w:r w:rsidR="006C05FA">
        <w:rPr>
          <w:lang w:val="fr-FR"/>
        </w:rPr>
        <w:t>’</w:t>
      </w:r>
      <w:r w:rsidR="004D30B2" w:rsidRPr="00E84EB9">
        <w:rPr>
          <w:lang w:val="fr-FR"/>
        </w:rPr>
        <w:t>objet d</w:t>
      </w:r>
      <w:r w:rsidR="006C05FA">
        <w:rPr>
          <w:lang w:val="fr-FR"/>
        </w:rPr>
        <w:t>’</w:t>
      </w:r>
      <w:r w:rsidR="004D30B2" w:rsidRPr="00E84EB9">
        <w:rPr>
          <w:lang w:val="fr-FR"/>
        </w:rPr>
        <w:t>un contrôle visuel</w:t>
      </w:r>
      <w:r w:rsidRPr="00E84EB9">
        <w:rPr>
          <w:lang w:val="fr-FR"/>
        </w:rPr>
        <w:t xml:space="preserve"> </w:t>
      </w:r>
      <w:r w:rsidR="00D91900" w:rsidRPr="00E84EB9">
        <w:rPr>
          <w:lang w:val="fr-FR"/>
        </w:rPr>
        <w:t xml:space="preserve">pour </w:t>
      </w:r>
      <w:r w:rsidRPr="00E84EB9">
        <w:rPr>
          <w:lang w:val="fr-FR"/>
        </w:rPr>
        <w:t xml:space="preserve">détecter </w:t>
      </w:r>
      <w:r w:rsidR="007D69AF">
        <w:rPr>
          <w:lang w:val="fr-FR"/>
        </w:rPr>
        <w:t>les</w:t>
      </w:r>
      <w:r w:rsidRPr="00E84EB9">
        <w:rPr>
          <w:lang w:val="fr-FR"/>
        </w:rPr>
        <w:t xml:space="preserve"> </w:t>
      </w:r>
      <w:r w:rsidR="007D69AF">
        <w:rPr>
          <w:lang w:val="fr-FR"/>
        </w:rPr>
        <w:t xml:space="preserve">éventuels </w:t>
      </w:r>
      <w:r w:rsidRPr="00E84EB9">
        <w:rPr>
          <w:lang w:val="fr-FR"/>
        </w:rPr>
        <w:t>fuites, écoulement</w:t>
      </w:r>
      <w:r w:rsidR="004D30B2" w:rsidRPr="00E84EB9">
        <w:rPr>
          <w:lang w:val="fr-FR"/>
        </w:rPr>
        <w:t>s</w:t>
      </w:r>
      <w:r w:rsidRPr="00E84EB9">
        <w:rPr>
          <w:lang w:val="fr-FR"/>
        </w:rPr>
        <w:t xml:space="preserve">, gouttelettes et </w:t>
      </w:r>
      <w:r w:rsidR="007D69AF">
        <w:rPr>
          <w:lang w:val="fr-FR"/>
        </w:rPr>
        <w:t>flaques</w:t>
      </w:r>
      <w:r w:rsidRPr="00E84EB9">
        <w:rPr>
          <w:lang w:val="fr-FR"/>
        </w:rPr>
        <w:t xml:space="preserve"> de mercure élémentaire libre, et toute suspicion de rejets de mercure devra</w:t>
      </w:r>
      <w:r w:rsidR="007D69AF">
        <w:rPr>
          <w:lang w:val="fr-FR"/>
        </w:rPr>
        <w:t>it</w:t>
      </w:r>
      <w:r w:rsidRPr="00E84EB9">
        <w:rPr>
          <w:lang w:val="fr-FR"/>
        </w:rPr>
        <w:t xml:space="preserve"> être consignée et signalée à l</w:t>
      </w:r>
      <w:r w:rsidR="006C05FA">
        <w:rPr>
          <w:lang w:val="fr-FR"/>
        </w:rPr>
        <w:t>’</w:t>
      </w:r>
      <w:r w:rsidRPr="00E84EB9">
        <w:rPr>
          <w:lang w:val="fr-FR"/>
        </w:rPr>
        <w:t xml:space="preserve">administration. </w:t>
      </w:r>
      <w:r w:rsidR="00C3714D" w:rsidRPr="00E84EB9">
        <w:rPr>
          <w:lang w:val="fr-FR"/>
        </w:rPr>
        <w:t>À l</w:t>
      </w:r>
      <w:r w:rsidR="00C3714D">
        <w:rPr>
          <w:lang w:val="fr-FR"/>
        </w:rPr>
        <w:t>’</w:t>
      </w:r>
      <w:r w:rsidR="00C3714D" w:rsidRPr="00E84EB9">
        <w:rPr>
          <w:lang w:val="fr-FR"/>
        </w:rPr>
        <w:t>issue de l</w:t>
      </w:r>
      <w:r w:rsidR="00C3714D">
        <w:rPr>
          <w:lang w:val="fr-FR"/>
        </w:rPr>
        <w:t>’</w:t>
      </w:r>
      <w:r w:rsidR="00C3714D" w:rsidRPr="00E84EB9">
        <w:rPr>
          <w:lang w:val="fr-FR"/>
        </w:rPr>
        <w:t>inspection</w:t>
      </w:r>
      <w:r w:rsidR="00C3714D">
        <w:rPr>
          <w:lang w:val="fr-FR"/>
        </w:rPr>
        <w:t>,</w:t>
      </w:r>
      <w:r w:rsidR="00C3714D" w:rsidRPr="00E84EB9">
        <w:rPr>
          <w:lang w:val="fr-FR"/>
        </w:rPr>
        <w:t xml:space="preserve"> </w:t>
      </w:r>
      <w:r w:rsidR="00C3714D">
        <w:rPr>
          <w:lang w:val="fr-FR"/>
        </w:rPr>
        <w:t>l</w:t>
      </w:r>
      <w:r w:rsidRPr="00E84EB9">
        <w:rPr>
          <w:lang w:val="fr-FR"/>
        </w:rPr>
        <w:t xml:space="preserve">a cargaison </w:t>
      </w:r>
      <w:r w:rsidR="007D69AF">
        <w:rPr>
          <w:lang w:val="fr-FR"/>
        </w:rPr>
        <w:t>peut être accept</w:t>
      </w:r>
      <w:r w:rsidRPr="00E84EB9">
        <w:rPr>
          <w:lang w:val="fr-FR"/>
        </w:rPr>
        <w:t xml:space="preserve">ée </w:t>
      </w:r>
      <w:r w:rsidR="007D69AF">
        <w:rPr>
          <w:lang w:val="fr-FR"/>
        </w:rPr>
        <w:t xml:space="preserve">comme </w:t>
      </w:r>
      <w:r w:rsidRPr="00E84EB9">
        <w:rPr>
          <w:lang w:val="fr-FR"/>
        </w:rPr>
        <w:t>conforme ou re</w:t>
      </w:r>
      <w:r w:rsidR="00F41843">
        <w:rPr>
          <w:lang w:val="fr-FR"/>
        </w:rPr>
        <w:t>fus</w:t>
      </w:r>
      <w:r w:rsidRPr="00E84EB9">
        <w:rPr>
          <w:lang w:val="fr-FR"/>
        </w:rPr>
        <w:t xml:space="preserve">ée </w:t>
      </w:r>
      <w:r w:rsidR="007D69AF">
        <w:rPr>
          <w:lang w:val="fr-FR"/>
        </w:rPr>
        <w:t>pour</w:t>
      </w:r>
      <w:r w:rsidRPr="00E84EB9">
        <w:rPr>
          <w:lang w:val="fr-FR"/>
        </w:rPr>
        <w:t xml:space="preserve"> </w:t>
      </w:r>
      <w:r w:rsidR="00F41843">
        <w:rPr>
          <w:lang w:val="fr-FR"/>
        </w:rPr>
        <w:t xml:space="preserve">cause de </w:t>
      </w:r>
      <w:r w:rsidRPr="00E84EB9">
        <w:rPr>
          <w:lang w:val="fr-FR"/>
        </w:rPr>
        <w:t>non</w:t>
      </w:r>
      <w:r w:rsidR="007D69AF">
        <w:rPr>
          <w:lang w:val="fr-FR"/>
        </w:rPr>
        <w:t>-</w:t>
      </w:r>
      <w:r w:rsidRPr="00E84EB9">
        <w:rPr>
          <w:lang w:val="fr-FR"/>
        </w:rPr>
        <w:t>conform</w:t>
      </w:r>
      <w:r w:rsidR="007D69AF">
        <w:rPr>
          <w:lang w:val="fr-FR"/>
        </w:rPr>
        <w:t>ité</w:t>
      </w:r>
      <w:r w:rsidR="004D30B2" w:rsidRPr="00E84EB9">
        <w:rPr>
          <w:lang w:val="fr-FR"/>
        </w:rPr>
        <w:t> </w:t>
      </w:r>
      <w:r w:rsidRPr="00E84EB9">
        <w:rPr>
          <w:lang w:val="fr-FR"/>
        </w:rPr>
        <w:t>; un rapport écrit incluant toutes les informations pertinentes devrait être conservé par l</w:t>
      </w:r>
      <w:r w:rsidR="006C05FA">
        <w:rPr>
          <w:lang w:val="fr-FR"/>
        </w:rPr>
        <w:t>’</w:t>
      </w:r>
      <w:r w:rsidRPr="00E84EB9">
        <w:rPr>
          <w:lang w:val="fr-FR"/>
        </w:rPr>
        <w:t xml:space="preserve">installation (QSC, 2003). </w:t>
      </w:r>
      <w:r w:rsidR="00F41843">
        <w:rPr>
          <w:lang w:val="fr-FR"/>
        </w:rPr>
        <w:t>Si</w:t>
      </w:r>
      <w:r w:rsidR="00513202">
        <w:rPr>
          <w:lang w:val="fr-FR"/>
        </w:rPr>
        <w:t> </w:t>
      </w:r>
      <w:r w:rsidR="007D69AF">
        <w:rPr>
          <w:lang w:val="fr-FR"/>
        </w:rPr>
        <w:t>la cargaison</w:t>
      </w:r>
      <w:r w:rsidR="00F41843">
        <w:rPr>
          <w:lang w:val="fr-FR"/>
        </w:rPr>
        <w:t xml:space="preserve"> est refusée</w:t>
      </w:r>
      <w:r w:rsidRPr="00E84EB9">
        <w:rPr>
          <w:lang w:val="fr-FR"/>
        </w:rPr>
        <w:t xml:space="preserve">, </w:t>
      </w:r>
      <w:r w:rsidR="00F41843">
        <w:rPr>
          <w:lang w:val="fr-FR"/>
        </w:rPr>
        <w:t xml:space="preserve">il convient que </w:t>
      </w:r>
      <w:r w:rsidRPr="00E84EB9">
        <w:rPr>
          <w:lang w:val="fr-FR"/>
        </w:rPr>
        <w:t>l</w:t>
      </w:r>
      <w:r w:rsidR="006C05FA">
        <w:rPr>
          <w:lang w:val="fr-FR"/>
        </w:rPr>
        <w:t>’</w:t>
      </w:r>
      <w:r w:rsidRPr="00E84EB9">
        <w:rPr>
          <w:lang w:val="fr-FR"/>
        </w:rPr>
        <w:t xml:space="preserve">exploitant </w:t>
      </w:r>
      <w:r w:rsidR="004D30B2" w:rsidRPr="00E84EB9">
        <w:rPr>
          <w:lang w:val="fr-FR"/>
        </w:rPr>
        <w:t>de l</w:t>
      </w:r>
      <w:r w:rsidR="006C05FA">
        <w:rPr>
          <w:lang w:val="fr-FR"/>
        </w:rPr>
        <w:t>’</w:t>
      </w:r>
      <w:r w:rsidRPr="00E84EB9">
        <w:rPr>
          <w:lang w:val="fr-FR"/>
        </w:rPr>
        <w:t>installation s</w:t>
      </w:r>
      <w:r w:rsidR="006C05FA">
        <w:rPr>
          <w:lang w:val="fr-FR"/>
        </w:rPr>
        <w:t>’</w:t>
      </w:r>
      <w:r w:rsidRPr="00E84EB9">
        <w:rPr>
          <w:lang w:val="fr-FR"/>
        </w:rPr>
        <w:t xml:space="preserve">assure que les mesures </w:t>
      </w:r>
      <w:r w:rsidR="00C3714D">
        <w:rPr>
          <w:lang w:val="fr-FR"/>
        </w:rPr>
        <w:t xml:space="preserve">prescrites </w:t>
      </w:r>
      <w:r w:rsidR="00F41843">
        <w:rPr>
          <w:lang w:val="fr-FR"/>
        </w:rPr>
        <w:t>dans</w:t>
      </w:r>
      <w:r w:rsidR="00C3714D">
        <w:rPr>
          <w:lang w:val="fr-FR"/>
        </w:rPr>
        <w:t xml:space="preserve"> le</w:t>
      </w:r>
      <w:r w:rsidRPr="00E84EB9">
        <w:rPr>
          <w:lang w:val="fr-FR"/>
        </w:rPr>
        <w:t xml:space="preserve"> plan d</w:t>
      </w:r>
      <w:r w:rsidR="006C05FA">
        <w:rPr>
          <w:lang w:val="fr-FR"/>
        </w:rPr>
        <w:t>’</w:t>
      </w:r>
      <w:r w:rsidRPr="00E84EB9">
        <w:rPr>
          <w:lang w:val="fr-FR"/>
        </w:rPr>
        <w:t>intervention d</w:t>
      </w:r>
      <w:r w:rsidR="006C05FA">
        <w:rPr>
          <w:lang w:val="fr-FR"/>
        </w:rPr>
        <w:t>’</w:t>
      </w:r>
      <w:r w:rsidRPr="00E84EB9">
        <w:rPr>
          <w:lang w:val="fr-FR"/>
        </w:rPr>
        <w:t xml:space="preserve">urgence ont été prises </w:t>
      </w:r>
      <w:r w:rsidR="00656A63">
        <w:rPr>
          <w:lang w:val="fr-FR"/>
        </w:rPr>
        <w:t xml:space="preserve">sans entraîner </w:t>
      </w:r>
      <w:r w:rsidRPr="00E84EB9">
        <w:rPr>
          <w:lang w:val="fr-FR"/>
        </w:rPr>
        <w:t xml:space="preserve">une propagation </w:t>
      </w:r>
      <w:r w:rsidR="00F41843" w:rsidRPr="00E84EB9">
        <w:rPr>
          <w:lang w:val="fr-FR"/>
        </w:rPr>
        <w:t xml:space="preserve">plus </w:t>
      </w:r>
      <w:r w:rsidR="00656A63">
        <w:rPr>
          <w:lang w:val="fr-FR"/>
        </w:rPr>
        <w:t>étendu</w:t>
      </w:r>
      <w:r w:rsidR="00F41843">
        <w:rPr>
          <w:lang w:val="fr-FR"/>
        </w:rPr>
        <w:t xml:space="preserve">e </w:t>
      </w:r>
      <w:r w:rsidRPr="00E84EB9">
        <w:rPr>
          <w:lang w:val="fr-FR"/>
        </w:rPr>
        <w:t xml:space="preserve">de </w:t>
      </w:r>
      <w:r w:rsidR="00656A63">
        <w:rPr>
          <w:lang w:val="fr-FR"/>
        </w:rPr>
        <w:t>polluants</w:t>
      </w:r>
      <w:r w:rsidRPr="00E84EB9">
        <w:rPr>
          <w:lang w:val="fr-FR"/>
        </w:rPr>
        <w:t xml:space="preserve"> à l</w:t>
      </w:r>
      <w:r w:rsidR="006C05FA">
        <w:rPr>
          <w:lang w:val="fr-FR"/>
        </w:rPr>
        <w:t>’</w:t>
      </w:r>
      <w:r w:rsidRPr="00E84EB9">
        <w:rPr>
          <w:lang w:val="fr-FR"/>
        </w:rPr>
        <w:t>extérieur de l</w:t>
      </w:r>
      <w:r w:rsidR="006C05FA">
        <w:rPr>
          <w:lang w:val="fr-FR"/>
        </w:rPr>
        <w:t>’</w:t>
      </w:r>
      <w:r w:rsidRPr="00E84EB9">
        <w:rPr>
          <w:lang w:val="fr-FR"/>
        </w:rPr>
        <w:t>établissement.</w:t>
      </w:r>
    </w:p>
    <w:p w14:paraId="67A1509E" w14:textId="298CD130" w:rsidR="00EB1D96" w:rsidRDefault="00EF457B" w:rsidP="00A32A5F">
      <w:pPr>
        <w:pStyle w:val="Normalnumber"/>
        <w:numPr>
          <w:ilvl w:val="0"/>
          <w:numId w:val="5"/>
        </w:numPr>
        <w:ind w:left="1247" w:firstLine="0"/>
        <w:rPr>
          <w:lang w:val="fr-FR"/>
        </w:rPr>
      </w:pPr>
      <w:r w:rsidRPr="00E84EB9">
        <w:rPr>
          <w:lang w:val="fr-FR"/>
        </w:rPr>
        <w:t xml:space="preserve">Pour </w:t>
      </w:r>
      <w:r w:rsidR="000C2F3D" w:rsidRPr="00E84EB9">
        <w:rPr>
          <w:lang w:val="fr-FR"/>
        </w:rPr>
        <w:t>réduire au minimum les rejets provenant de la manutention et du transport du mercure ou des composés du mercure, il est important de sensibiliser les personnes concernées (par exemple les transporteurs, les recycl</w:t>
      </w:r>
      <w:r w:rsidR="00F41843">
        <w:rPr>
          <w:lang w:val="fr-FR"/>
        </w:rPr>
        <w:t>eurs</w:t>
      </w:r>
      <w:r w:rsidR="000C2F3D" w:rsidRPr="00E84EB9">
        <w:rPr>
          <w:lang w:val="fr-FR"/>
        </w:rPr>
        <w:t xml:space="preserve"> et les agents chargés du traitement) </w:t>
      </w:r>
      <w:r w:rsidRPr="00E84EB9">
        <w:rPr>
          <w:lang w:val="fr-FR"/>
        </w:rPr>
        <w:t xml:space="preserve">aux </w:t>
      </w:r>
      <w:r w:rsidR="000C2F3D" w:rsidRPr="00E84EB9">
        <w:rPr>
          <w:lang w:val="fr-FR"/>
        </w:rPr>
        <w:t xml:space="preserve">risques liés au mercure. Cette sensibilisation </w:t>
      </w:r>
      <w:r w:rsidR="005574CD" w:rsidRPr="00E84EB9">
        <w:rPr>
          <w:lang w:val="fr-FR"/>
        </w:rPr>
        <w:t>p</w:t>
      </w:r>
      <w:r w:rsidR="00F41843">
        <w:rPr>
          <w:lang w:val="fr-FR"/>
        </w:rPr>
        <w:t>eut</w:t>
      </w:r>
      <w:r w:rsidR="005574CD" w:rsidRPr="00E84EB9">
        <w:rPr>
          <w:lang w:val="fr-FR"/>
        </w:rPr>
        <w:t xml:space="preserve"> </w:t>
      </w:r>
      <w:r w:rsidR="000C2F3D" w:rsidRPr="00E84EB9">
        <w:rPr>
          <w:lang w:val="fr-FR"/>
        </w:rPr>
        <w:t xml:space="preserve">se faire </w:t>
      </w:r>
      <w:r w:rsidR="00656A63">
        <w:rPr>
          <w:lang w:val="fr-FR"/>
        </w:rPr>
        <w:t>au moyen d’</w:t>
      </w:r>
      <w:r w:rsidR="005574CD" w:rsidRPr="00E84EB9">
        <w:rPr>
          <w:lang w:val="fr-FR"/>
        </w:rPr>
        <w:t>activités de formation</w:t>
      </w:r>
      <w:r w:rsidR="00F41843">
        <w:rPr>
          <w:lang w:val="fr-FR"/>
        </w:rPr>
        <w:t>,</w:t>
      </w:r>
      <w:r w:rsidR="005574CD" w:rsidRPr="00E84EB9">
        <w:rPr>
          <w:lang w:val="fr-FR"/>
        </w:rPr>
        <w:t xml:space="preserve"> </w:t>
      </w:r>
      <w:r w:rsidR="000C2F3D" w:rsidRPr="00E84EB9">
        <w:rPr>
          <w:lang w:val="fr-FR"/>
        </w:rPr>
        <w:t>tel</w:t>
      </w:r>
      <w:r w:rsidR="005574CD" w:rsidRPr="00E84EB9">
        <w:rPr>
          <w:lang w:val="fr-FR"/>
        </w:rPr>
        <w:t>le</w:t>
      </w:r>
      <w:r w:rsidR="000C2F3D" w:rsidRPr="00E84EB9">
        <w:rPr>
          <w:lang w:val="fr-FR"/>
        </w:rPr>
        <w:t xml:space="preserve">s que des séminaires sur les nouveaux systèmes et règlements et </w:t>
      </w:r>
      <w:r w:rsidR="00F41843">
        <w:rPr>
          <w:lang w:val="fr-FR"/>
        </w:rPr>
        <w:t>des forums</w:t>
      </w:r>
      <w:r w:rsidR="005574CD" w:rsidRPr="00E84EB9">
        <w:rPr>
          <w:lang w:val="fr-FR"/>
        </w:rPr>
        <w:t xml:space="preserve"> d</w:t>
      </w:r>
      <w:r w:rsidR="006C05FA">
        <w:rPr>
          <w:lang w:val="fr-FR"/>
        </w:rPr>
        <w:t>’</w:t>
      </w:r>
      <w:r w:rsidR="005574CD" w:rsidRPr="00E84EB9">
        <w:rPr>
          <w:lang w:val="fr-FR"/>
        </w:rPr>
        <w:t>échange d</w:t>
      </w:r>
      <w:r w:rsidR="00F41843">
        <w:rPr>
          <w:lang w:val="fr-FR"/>
        </w:rPr>
        <w:t>’</w:t>
      </w:r>
      <w:r w:rsidR="005574CD" w:rsidRPr="00E84EB9">
        <w:rPr>
          <w:lang w:val="fr-FR"/>
        </w:rPr>
        <w:t xml:space="preserve">informations, </w:t>
      </w:r>
      <w:r w:rsidR="00656A63">
        <w:rPr>
          <w:lang w:val="fr-FR"/>
        </w:rPr>
        <w:t>de</w:t>
      </w:r>
      <w:r w:rsidR="00F41843">
        <w:rPr>
          <w:lang w:val="fr-FR"/>
        </w:rPr>
        <w:t xml:space="preserve"> </w:t>
      </w:r>
      <w:r w:rsidR="000C2F3D" w:rsidRPr="00E84EB9">
        <w:rPr>
          <w:lang w:val="fr-FR"/>
        </w:rPr>
        <w:t xml:space="preserve">la conception et </w:t>
      </w:r>
      <w:r w:rsidR="00656A63">
        <w:rPr>
          <w:lang w:val="fr-FR"/>
        </w:rPr>
        <w:t xml:space="preserve">de </w:t>
      </w:r>
      <w:r w:rsidR="000C2F3D" w:rsidRPr="00E84EB9">
        <w:rPr>
          <w:lang w:val="fr-FR"/>
        </w:rPr>
        <w:t xml:space="preserve">la distribution de brochures, et </w:t>
      </w:r>
      <w:r w:rsidR="00656A63">
        <w:rPr>
          <w:lang w:val="fr-FR"/>
        </w:rPr>
        <w:t xml:space="preserve">de </w:t>
      </w:r>
      <w:r w:rsidR="000C2F3D" w:rsidRPr="00E84EB9">
        <w:rPr>
          <w:lang w:val="fr-FR"/>
        </w:rPr>
        <w:t>la diffusion</w:t>
      </w:r>
      <w:r w:rsidR="006C11F3">
        <w:rPr>
          <w:lang w:val="fr-FR"/>
        </w:rPr>
        <w:t xml:space="preserve"> d</w:t>
      </w:r>
      <w:r w:rsidR="006C05FA">
        <w:rPr>
          <w:lang w:val="fr-FR"/>
        </w:rPr>
        <w:t>’</w:t>
      </w:r>
      <w:r w:rsidR="006C11F3">
        <w:rPr>
          <w:lang w:val="fr-FR"/>
        </w:rPr>
        <w:t xml:space="preserve">informations sur </w:t>
      </w:r>
      <w:r w:rsidRPr="00E84EB9">
        <w:rPr>
          <w:lang w:val="fr-FR"/>
        </w:rPr>
        <w:t>Internet.</w:t>
      </w:r>
    </w:p>
    <w:p w14:paraId="1B321495" w14:textId="77777777" w:rsidR="00EB1D96" w:rsidRDefault="00EB1D96">
      <w:pPr>
        <w:tabs>
          <w:tab w:val="clear" w:pos="1247"/>
          <w:tab w:val="clear" w:pos="1814"/>
          <w:tab w:val="clear" w:pos="2381"/>
          <w:tab w:val="clear" w:pos="2948"/>
          <w:tab w:val="clear" w:pos="3515"/>
        </w:tabs>
        <w:rPr>
          <w:bCs/>
          <w:lang w:val="fr-FR"/>
        </w:rPr>
      </w:pPr>
      <w:r>
        <w:rPr>
          <w:lang w:val="fr-FR"/>
        </w:rPr>
        <w:br w:type="page"/>
      </w:r>
    </w:p>
    <w:p w14:paraId="0CA0885B" w14:textId="1200EC4D" w:rsidR="000C2F3D" w:rsidRPr="00E84EB9" w:rsidRDefault="00AD6F30" w:rsidP="00AD6F30">
      <w:pPr>
        <w:pStyle w:val="CH1"/>
        <w:ind w:firstLine="0"/>
        <w:rPr>
          <w:lang w:val="fr-FR"/>
        </w:rPr>
      </w:pPr>
      <w:bookmarkStart w:id="36" w:name="_Toc527548250"/>
      <w:r w:rsidRPr="00E84EB9">
        <w:rPr>
          <w:bCs/>
          <w:lang w:val="fr-FR"/>
        </w:rPr>
        <w:lastRenderedPageBreak/>
        <w:t xml:space="preserve">Bibliographie </w:t>
      </w:r>
      <w:r w:rsidR="00EE4C8C" w:rsidRPr="00E84EB9">
        <w:rPr>
          <w:bCs/>
          <w:lang w:val="fr-FR"/>
        </w:rPr>
        <w:t>et autres ressources</w:t>
      </w:r>
      <w:bookmarkStart w:id="37" w:name="_Toc520380795"/>
      <w:bookmarkEnd w:id="36"/>
      <w:bookmarkEnd w:id="37"/>
    </w:p>
    <w:p w14:paraId="707C9A7C" w14:textId="70EEAE17" w:rsidR="00261C6B" w:rsidRPr="00E84EB9" w:rsidRDefault="000C2F3D" w:rsidP="00261C6B">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Centre canadien d</w:t>
      </w:r>
      <w:r w:rsidR="006C05FA">
        <w:rPr>
          <w:lang w:val="fr-FR"/>
        </w:rPr>
        <w:t>’</w:t>
      </w:r>
      <w:r w:rsidRPr="00E84EB9">
        <w:rPr>
          <w:lang w:val="fr-FR"/>
        </w:rPr>
        <w:t xml:space="preserve">hygiène et de sécurité au travail (non daté). </w:t>
      </w:r>
      <w:r w:rsidR="00AF2D01" w:rsidRPr="00E84EB9">
        <w:rPr>
          <w:i/>
          <w:lang w:val="fr-FR"/>
        </w:rPr>
        <w:t xml:space="preserve">OHS Fact </w:t>
      </w:r>
      <w:proofErr w:type="spellStart"/>
      <w:proofErr w:type="gramStart"/>
      <w:r w:rsidR="00AF2D01" w:rsidRPr="00E84EB9">
        <w:rPr>
          <w:i/>
          <w:lang w:val="fr-FR"/>
        </w:rPr>
        <w:t>Sheets</w:t>
      </w:r>
      <w:proofErr w:type="spellEnd"/>
      <w:r w:rsidR="00AF2D01" w:rsidRPr="00E84EB9">
        <w:rPr>
          <w:i/>
          <w:lang w:val="fr-FR"/>
        </w:rPr>
        <w:t>:</w:t>
      </w:r>
      <w:proofErr w:type="gramEnd"/>
      <w:r w:rsidR="00AF2D01" w:rsidRPr="00E84EB9">
        <w:rPr>
          <w:i/>
          <w:lang w:val="fr-FR"/>
        </w:rPr>
        <w:t xml:space="preserve"> Mercury</w:t>
      </w:r>
      <w:r w:rsidRPr="00E84EB9">
        <w:rPr>
          <w:lang w:val="fr-FR"/>
        </w:rPr>
        <w:t>. À consulter sur le site http://www.ccohs.ca/oshanswers/chemicals/chem_profiles/mercury.html.</w:t>
      </w:r>
    </w:p>
    <w:p w14:paraId="773F7CD5" w14:textId="7F3D147D" w:rsidR="00261C6B" w:rsidRPr="00E84EB9" w:rsidRDefault="00261C6B"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Environnement e</w:t>
      </w:r>
      <w:r w:rsidR="00AF2D01" w:rsidRPr="00E84EB9">
        <w:rPr>
          <w:lang w:val="fr-FR"/>
        </w:rPr>
        <w:t>t Changement climatique Canada. « </w:t>
      </w:r>
      <w:r w:rsidRPr="00E84EB9">
        <w:rPr>
          <w:lang w:val="fr-FR"/>
        </w:rPr>
        <w:t>Nettoyage des déversements</w:t>
      </w:r>
      <w:r w:rsidR="00AF2D01" w:rsidRPr="00E84EB9">
        <w:rPr>
          <w:lang w:val="fr-FR"/>
        </w:rPr>
        <w:t xml:space="preserve"> de mercure de petite envergure »</w:t>
      </w:r>
      <w:r w:rsidRPr="00E84EB9">
        <w:rPr>
          <w:lang w:val="fr-FR"/>
        </w:rPr>
        <w:t xml:space="preserve"> (site Web)</w:t>
      </w:r>
      <w:r w:rsidR="00AF2D01" w:rsidRPr="00E84EB9">
        <w:rPr>
          <w:lang w:val="fr-FR"/>
        </w:rPr>
        <w:t>.</w:t>
      </w:r>
      <w:r w:rsidRPr="00E84EB9">
        <w:rPr>
          <w:lang w:val="fr-FR"/>
        </w:rPr>
        <w:t xml:space="preserve"> À consulter sur le site https://www.ec.gc.ca/mercure-mercury/default.asp?lang=En&amp;n=D2B2AD47-1.</w:t>
      </w:r>
    </w:p>
    <w:p w14:paraId="5E108330" w14:textId="4D56BFCF" w:rsidR="000A0AFC" w:rsidRPr="00D53DA1" w:rsidRDefault="000A0AFC" w:rsidP="000C2F3D">
      <w:pPr>
        <w:pStyle w:val="Normal-pool"/>
        <w:tabs>
          <w:tab w:val="clear" w:pos="1247"/>
          <w:tab w:val="clear" w:pos="1814"/>
          <w:tab w:val="clear" w:pos="2381"/>
          <w:tab w:val="clear" w:pos="2948"/>
          <w:tab w:val="clear" w:pos="3515"/>
          <w:tab w:val="clear" w:pos="4082"/>
        </w:tabs>
        <w:spacing w:after="120"/>
        <w:ind w:left="1247"/>
        <w:rPr>
          <w:rStyle w:val="Lienhypertexte"/>
          <w:lang w:val="en-US"/>
        </w:rPr>
      </w:pPr>
      <w:r w:rsidRPr="00D53DA1">
        <w:rPr>
          <w:lang w:val="en-US"/>
        </w:rPr>
        <w:t xml:space="preserve">Euro </w:t>
      </w:r>
      <w:proofErr w:type="spellStart"/>
      <w:r w:rsidRPr="00D53DA1">
        <w:rPr>
          <w:lang w:val="en-US"/>
        </w:rPr>
        <w:t>Chlor</w:t>
      </w:r>
      <w:proofErr w:type="spellEnd"/>
      <w:r w:rsidRPr="00D53DA1">
        <w:rPr>
          <w:lang w:val="en-US"/>
        </w:rPr>
        <w:t xml:space="preserve"> (2007). </w:t>
      </w:r>
      <w:r w:rsidRPr="00D53DA1">
        <w:rPr>
          <w:i/>
          <w:iCs/>
          <w:lang w:val="en-US"/>
        </w:rPr>
        <w:t>Guidelines for the preparation for permanent storage of metallic mercury above ground or in underground mines.</w:t>
      </w:r>
      <w:r w:rsidRPr="00D53DA1">
        <w:rPr>
          <w:lang w:val="en-US"/>
        </w:rPr>
        <w:t xml:space="preserve"> http://www.worldchlorine.org/wp-content/uploads/20</w:t>
      </w:r>
      <w:r w:rsidR="001E2986" w:rsidRPr="00D53DA1">
        <w:rPr>
          <w:lang w:val="en-US"/>
        </w:rPr>
        <w:t>15/08/Env-Prot-19-Edition-1.pdf.</w:t>
      </w:r>
    </w:p>
    <w:p w14:paraId="4502E742" w14:textId="118BAE3D"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D53DA1">
        <w:rPr>
          <w:lang w:val="en-US"/>
        </w:rPr>
        <w:t xml:space="preserve">Union </w:t>
      </w:r>
      <w:proofErr w:type="spellStart"/>
      <w:r w:rsidRPr="00D53DA1">
        <w:rPr>
          <w:lang w:val="en-US"/>
        </w:rPr>
        <w:t>européenne</w:t>
      </w:r>
      <w:proofErr w:type="spellEnd"/>
      <w:r w:rsidRPr="00D53DA1">
        <w:rPr>
          <w:lang w:val="en-US"/>
        </w:rPr>
        <w:t xml:space="preserve"> (UE) (2010). </w:t>
      </w:r>
      <w:r w:rsidRPr="00D53DA1">
        <w:rPr>
          <w:i/>
          <w:iCs/>
          <w:lang w:val="en-US"/>
        </w:rPr>
        <w:t>Extended summary on possible storage options for liquid and solidified mercury and the corresponding acceptance criteria and facility-related requirements.</w:t>
      </w:r>
      <w:r w:rsidRPr="00D53DA1">
        <w:rPr>
          <w:lang w:val="en-US"/>
        </w:rPr>
        <w:t xml:space="preserve"> </w:t>
      </w:r>
      <w:r w:rsidRPr="00E84EB9">
        <w:rPr>
          <w:lang w:val="fr-FR"/>
        </w:rPr>
        <w:t>Disponible à l</w:t>
      </w:r>
      <w:r w:rsidR="006C05FA">
        <w:rPr>
          <w:lang w:val="fr-FR"/>
        </w:rPr>
        <w:t>’</w:t>
      </w:r>
      <w:r w:rsidRPr="00E84EB9">
        <w:rPr>
          <w:lang w:val="fr-FR"/>
        </w:rPr>
        <w:t>adresse http://ec.europa.eu/environment/chemicals/mercury/p</w:t>
      </w:r>
      <w:r w:rsidR="001E2986" w:rsidRPr="00E84EB9">
        <w:rPr>
          <w:lang w:val="fr-FR"/>
        </w:rPr>
        <w:t>df/bipro study20100416 sum.pdf.</w:t>
      </w:r>
    </w:p>
    <w:p w14:paraId="1B6EA4FF" w14:textId="692B4BDB" w:rsidR="000C2F3D" w:rsidRPr="00E84EB9" w:rsidRDefault="00605180"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Union européenne (UE) (2011). Direc</w:t>
      </w:r>
      <w:r w:rsidR="00AF2D01" w:rsidRPr="00E84EB9">
        <w:rPr>
          <w:lang w:val="fr-FR"/>
        </w:rPr>
        <w:t>tive 2011/97/UE du Conseil du 5 </w:t>
      </w:r>
      <w:r w:rsidRPr="00E84EB9">
        <w:rPr>
          <w:lang w:val="fr-FR"/>
        </w:rPr>
        <w:t>décembre 2011 modifiant la directive 1999/31/CE en ce qui concerne les critères spécifiques applicables au stockage</w:t>
      </w:r>
      <w:r w:rsidR="00AF2D01" w:rsidRPr="00E84EB9">
        <w:rPr>
          <w:lang w:val="fr-FR"/>
        </w:rPr>
        <w:t xml:space="preserve"> </w:t>
      </w:r>
      <w:r w:rsidRPr="00E84EB9">
        <w:rPr>
          <w:lang w:val="fr-FR"/>
        </w:rPr>
        <w:t xml:space="preserve">du mercure métallique considéré comme un déchet. </w:t>
      </w:r>
      <w:r w:rsidRPr="00E84EB9">
        <w:rPr>
          <w:i/>
          <w:iCs/>
          <w:lang w:val="fr-FR"/>
        </w:rPr>
        <w:t>Journal officiel de l</w:t>
      </w:r>
      <w:r w:rsidR="006C05FA">
        <w:rPr>
          <w:i/>
          <w:iCs/>
          <w:lang w:val="fr-FR"/>
        </w:rPr>
        <w:t>’</w:t>
      </w:r>
      <w:r w:rsidRPr="00E84EB9">
        <w:rPr>
          <w:i/>
          <w:iCs/>
          <w:lang w:val="fr-FR"/>
        </w:rPr>
        <w:t>Union européenne</w:t>
      </w:r>
      <w:r w:rsidR="00AF2D01" w:rsidRPr="00E84EB9">
        <w:rPr>
          <w:lang w:val="fr-FR"/>
        </w:rPr>
        <w:t xml:space="preserve">, L 328, 10/12/2011, p. 49. À consulter sur le site </w:t>
      </w:r>
      <w:r w:rsidRPr="00E84EB9">
        <w:rPr>
          <w:lang w:val="fr-FR"/>
        </w:rPr>
        <w:t>http://eur-lex.europa.eu/LexUriServ/LexUriServ.d</w:t>
      </w:r>
      <w:r w:rsidR="00AF2D01" w:rsidRPr="00E84EB9">
        <w:rPr>
          <w:lang w:val="fr-FR"/>
        </w:rPr>
        <w:t>o?uri=OJ:L:2011:328:0049:0052:FR</w:t>
      </w:r>
      <w:r w:rsidRPr="00E84EB9">
        <w:rPr>
          <w:lang w:val="fr-FR"/>
        </w:rPr>
        <w:t>:PDF.</w:t>
      </w:r>
    </w:p>
    <w:p w14:paraId="0D944557" w14:textId="63206AA0" w:rsidR="00F224A0" w:rsidRPr="00E84EB9" w:rsidRDefault="00F224A0" w:rsidP="00F224A0">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Organisation des Nations Unies pour l</w:t>
      </w:r>
      <w:r w:rsidR="006C05FA">
        <w:rPr>
          <w:lang w:val="fr-FR"/>
        </w:rPr>
        <w:t>’</w:t>
      </w:r>
      <w:r w:rsidRPr="00E84EB9">
        <w:rPr>
          <w:lang w:val="fr-FR"/>
        </w:rPr>
        <w:t>alimentation et l</w:t>
      </w:r>
      <w:r w:rsidR="006C05FA">
        <w:rPr>
          <w:lang w:val="fr-FR"/>
        </w:rPr>
        <w:t>’</w:t>
      </w:r>
      <w:r w:rsidRPr="00E84EB9">
        <w:rPr>
          <w:lang w:val="fr-FR"/>
        </w:rPr>
        <w:t xml:space="preserve">agriculture (FAO) (1985). </w:t>
      </w:r>
      <w:r w:rsidRPr="00E84EB9">
        <w:rPr>
          <w:i/>
          <w:iCs/>
          <w:lang w:val="fr-FR"/>
        </w:rPr>
        <w:t>Directives sur le conditionnement et l</w:t>
      </w:r>
      <w:r w:rsidR="006C05FA">
        <w:rPr>
          <w:i/>
          <w:iCs/>
          <w:lang w:val="fr-FR"/>
        </w:rPr>
        <w:t>’</w:t>
      </w:r>
      <w:r w:rsidRPr="00E84EB9">
        <w:rPr>
          <w:i/>
          <w:iCs/>
          <w:lang w:val="fr-FR"/>
        </w:rPr>
        <w:t>entreposage des pesticides.</w:t>
      </w:r>
      <w:r w:rsidRPr="00E84EB9">
        <w:rPr>
          <w:lang w:val="fr-FR"/>
        </w:rPr>
        <w:t xml:space="preserve"> À consulter sur le site http://www.bvsde.paho.org/bvs</w:t>
      </w:r>
      <w:r w:rsidR="001E2986" w:rsidRPr="00E84EB9">
        <w:rPr>
          <w:lang w:val="fr-FR"/>
        </w:rPr>
        <w:t>tox/i/fulltext/fao12/fao12.pdf.</w:t>
      </w:r>
    </w:p>
    <w:p w14:paraId="7EBC9231" w14:textId="3884A77A"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Association du transport aérien international (IATA)</w:t>
      </w:r>
      <w:r w:rsidR="009F5476" w:rsidRPr="00E84EB9">
        <w:rPr>
          <w:lang w:val="fr-FR"/>
        </w:rPr>
        <w:t>.</w:t>
      </w:r>
      <w:r w:rsidRPr="00E84EB9">
        <w:rPr>
          <w:lang w:val="fr-FR"/>
        </w:rPr>
        <w:t xml:space="preserve"> </w:t>
      </w:r>
      <w:r w:rsidRPr="00E84EB9">
        <w:rPr>
          <w:i/>
          <w:iCs/>
          <w:lang w:val="fr-FR"/>
        </w:rPr>
        <w:t>Réglementation pour le transport des marchandises dangereuses.</w:t>
      </w:r>
    </w:p>
    <w:p w14:paraId="23414D8D" w14:textId="48600D7B"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Organisation de l</w:t>
      </w:r>
      <w:r w:rsidR="006C05FA">
        <w:rPr>
          <w:lang w:val="fr-FR"/>
        </w:rPr>
        <w:t>’</w:t>
      </w:r>
      <w:r w:rsidRPr="00E84EB9">
        <w:rPr>
          <w:lang w:val="fr-FR"/>
        </w:rPr>
        <w:t xml:space="preserve">aviation civile internationale. </w:t>
      </w:r>
      <w:r w:rsidRPr="00E84EB9">
        <w:rPr>
          <w:i/>
          <w:iCs/>
          <w:lang w:val="fr-FR"/>
        </w:rPr>
        <w:t>Instructions techniques pour la sécurité du transport aérien des marchandises dangereuses.</w:t>
      </w:r>
      <w:r w:rsidRPr="00E84EB9">
        <w:rPr>
          <w:lang w:val="fr-FR"/>
        </w:rPr>
        <w:t xml:space="preserve"> La dernière version peut être consultée sur le site https://www.icao.int/safety/DangerousGoods/Pages/technical-instructions.aspx.</w:t>
      </w:r>
    </w:p>
    <w:p w14:paraId="1B48D57E" w14:textId="7026476B"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Organisation internationale du travail, Centre international d</w:t>
      </w:r>
      <w:r w:rsidR="006C05FA">
        <w:rPr>
          <w:lang w:val="fr-FR"/>
        </w:rPr>
        <w:t>’</w:t>
      </w:r>
      <w:r w:rsidRPr="00E84EB9">
        <w:rPr>
          <w:lang w:val="fr-FR"/>
        </w:rPr>
        <w:t>informations de sécurité et d</w:t>
      </w:r>
      <w:r w:rsidR="006C05FA">
        <w:rPr>
          <w:lang w:val="fr-FR"/>
        </w:rPr>
        <w:t>’</w:t>
      </w:r>
      <w:r w:rsidRPr="00E84EB9">
        <w:rPr>
          <w:lang w:val="fr-FR"/>
        </w:rPr>
        <w:t xml:space="preserve">hygiène du travail (2001). </w:t>
      </w:r>
      <w:r w:rsidRPr="00E84EB9">
        <w:rPr>
          <w:i/>
          <w:iCs/>
          <w:lang w:val="fr-FR"/>
        </w:rPr>
        <w:t>Oxyde mercurique</w:t>
      </w:r>
      <w:r w:rsidR="00AF2D01" w:rsidRPr="00E84EB9">
        <w:rPr>
          <w:lang w:val="fr-FR"/>
        </w:rPr>
        <w:t>.</w:t>
      </w:r>
    </w:p>
    <w:p w14:paraId="54331040" w14:textId="680B0D50"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Organisation maritime internationale. </w:t>
      </w:r>
      <w:r w:rsidRPr="00E84EB9">
        <w:rPr>
          <w:i/>
          <w:iCs/>
          <w:lang w:val="fr-FR"/>
        </w:rPr>
        <w:t>Code maritime international des marchandises dangereuses.</w:t>
      </w:r>
      <w:r w:rsidRPr="00E84EB9">
        <w:rPr>
          <w:lang w:val="fr-FR"/>
        </w:rPr>
        <w:t xml:space="preserve"> Dernière version disponible sur le site http://www.imo.org/en/Publications/IMDGCode/Pages/Default.aspx.</w:t>
      </w:r>
    </w:p>
    <w:p w14:paraId="46033A0C" w14:textId="214F29E7"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Organisation de coopération et de développement économiques (2001). </w:t>
      </w:r>
      <w:r w:rsidRPr="00E84EB9">
        <w:rPr>
          <w:i/>
          <w:iCs/>
          <w:lang w:val="fr-FR"/>
        </w:rPr>
        <w:t>Système de Classification harmonisé et intégré des dangers pour la santé humaine et l</w:t>
      </w:r>
      <w:r w:rsidR="006C05FA">
        <w:rPr>
          <w:i/>
          <w:iCs/>
          <w:lang w:val="fr-FR"/>
        </w:rPr>
        <w:t>’</w:t>
      </w:r>
      <w:r w:rsidRPr="00E84EB9">
        <w:rPr>
          <w:i/>
          <w:iCs/>
          <w:lang w:val="fr-FR"/>
        </w:rPr>
        <w:t>environnement des Substances et mélanges chimiques.</w:t>
      </w:r>
      <w:r w:rsidRPr="00E84EB9">
        <w:rPr>
          <w:lang w:val="fr-FR"/>
        </w:rPr>
        <w:t xml:space="preserve"> </w:t>
      </w:r>
      <w:r w:rsidRPr="00D53DA1">
        <w:rPr>
          <w:lang w:val="en-US"/>
        </w:rPr>
        <w:t>OCDE, Seri</w:t>
      </w:r>
      <w:r w:rsidR="00AF2D01" w:rsidRPr="00D53DA1">
        <w:rPr>
          <w:lang w:val="en-US"/>
        </w:rPr>
        <w:t>es on Testing and Assessment N° </w:t>
      </w:r>
      <w:r w:rsidRPr="00D53DA1">
        <w:rPr>
          <w:lang w:val="en-US"/>
        </w:rPr>
        <w:t xml:space="preserve">33, OECD Publishing, Paris. </w:t>
      </w:r>
      <w:r w:rsidRPr="00E84EB9">
        <w:rPr>
          <w:lang w:val="fr-FR"/>
        </w:rPr>
        <w:t xml:space="preserve">Consultable </w:t>
      </w:r>
      <w:r w:rsidR="00AF2D01" w:rsidRPr="00E84EB9">
        <w:rPr>
          <w:lang w:val="fr-FR"/>
        </w:rPr>
        <w:t>à l</w:t>
      </w:r>
      <w:r w:rsidR="006C05FA">
        <w:rPr>
          <w:lang w:val="fr-FR"/>
        </w:rPr>
        <w:t>’</w:t>
      </w:r>
      <w:r w:rsidR="00AF2D01" w:rsidRPr="00E84EB9">
        <w:rPr>
          <w:lang w:val="fr-FR"/>
        </w:rPr>
        <w:t>adresse suivante </w:t>
      </w:r>
      <w:r w:rsidRPr="00E84EB9">
        <w:rPr>
          <w:lang w:val="fr-FR"/>
        </w:rPr>
        <w:t>: http://dx.doi.org/10.1787/9789264266919-en.</w:t>
      </w:r>
    </w:p>
    <w:p w14:paraId="04D6AD30" w14:textId="77777777"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proofErr w:type="spellStart"/>
      <w:r w:rsidRPr="00E84EB9">
        <w:rPr>
          <w:lang w:val="fr-FR"/>
        </w:rPr>
        <w:t>Quicksilver</w:t>
      </w:r>
      <w:proofErr w:type="spellEnd"/>
      <w:r w:rsidRPr="00E84EB9">
        <w:rPr>
          <w:lang w:val="fr-FR"/>
        </w:rPr>
        <w:t xml:space="preserve"> Caucus (QSC) (octobre 2003). </w:t>
      </w:r>
      <w:r w:rsidRPr="00E84EB9">
        <w:rPr>
          <w:i/>
          <w:iCs/>
          <w:lang w:val="fr-FR"/>
        </w:rPr>
        <w:t xml:space="preserve">Mercury </w:t>
      </w:r>
      <w:proofErr w:type="spellStart"/>
      <w:r w:rsidRPr="00E84EB9">
        <w:rPr>
          <w:i/>
          <w:iCs/>
          <w:lang w:val="fr-FR"/>
        </w:rPr>
        <w:t>Stewardship</w:t>
      </w:r>
      <w:proofErr w:type="spellEnd"/>
      <w:r w:rsidRPr="00E84EB9">
        <w:rPr>
          <w:i/>
          <w:iCs/>
          <w:lang w:val="fr-FR"/>
        </w:rPr>
        <w:t xml:space="preserve"> Best Management Practices,</w:t>
      </w:r>
      <w:r w:rsidRPr="00E84EB9">
        <w:rPr>
          <w:lang w:val="fr-FR"/>
        </w:rPr>
        <w:t xml:space="preserve"> octobre (disponible sur demande).</w:t>
      </w:r>
    </w:p>
    <w:p w14:paraId="35B3BBBA" w14:textId="30A1D3A8" w:rsidR="008D5EAB" w:rsidRPr="00E84EB9" w:rsidRDefault="008D5EAB" w:rsidP="008D5EAB">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Nations Unies (2015). </w:t>
      </w:r>
      <w:r w:rsidRPr="00E84EB9">
        <w:rPr>
          <w:i/>
          <w:iCs/>
          <w:lang w:val="fr-FR"/>
        </w:rPr>
        <w:t>Système général harmonisé de classification et d</w:t>
      </w:r>
      <w:r w:rsidR="006C05FA">
        <w:rPr>
          <w:i/>
          <w:iCs/>
          <w:lang w:val="fr-FR"/>
        </w:rPr>
        <w:t>’</w:t>
      </w:r>
      <w:r w:rsidRPr="00E84EB9">
        <w:rPr>
          <w:i/>
          <w:iCs/>
          <w:lang w:val="fr-FR"/>
        </w:rPr>
        <w:t>étiquetage des produits chimiques</w:t>
      </w:r>
      <w:r w:rsidRPr="00E84EB9">
        <w:rPr>
          <w:lang w:val="fr-FR"/>
        </w:rPr>
        <w:t xml:space="preserve">, </w:t>
      </w:r>
      <w:r w:rsidR="00AF2D01" w:rsidRPr="00E84EB9">
        <w:rPr>
          <w:lang w:val="fr-FR"/>
        </w:rPr>
        <w:t>6</w:t>
      </w:r>
      <w:r w:rsidR="00AF2D01" w:rsidRPr="00E84EB9">
        <w:rPr>
          <w:vertAlign w:val="superscript"/>
          <w:lang w:val="fr-FR"/>
        </w:rPr>
        <w:t>e</w:t>
      </w:r>
      <w:r w:rsidR="00AF2D01" w:rsidRPr="00E84EB9">
        <w:rPr>
          <w:lang w:val="fr-FR"/>
        </w:rPr>
        <w:t> </w:t>
      </w:r>
      <w:proofErr w:type="spellStart"/>
      <w:r w:rsidRPr="00E84EB9">
        <w:rPr>
          <w:lang w:val="fr-FR"/>
        </w:rPr>
        <w:t>ed</w:t>
      </w:r>
      <w:proofErr w:type="spellEnd"/>
      <w:r w:rsidRPr="00E84EB9">
        <w:rPr>
          <w:lang w:val="fr-FR"/>
        </w:rPr>
        <w:t xml:space="preserve">. </w:t>
      </w:r>
      <w:proofErr w:type="spellStart"/>
      <w:proofErr w:type="gramStart"/>
      <w:r w:rsidRPr="00E84EB9">
        <w:rPr>
          <w:lang w:val="fr-FR"/>
        </w:rPr>
        <w:t>rev</w:t>
      </w:r>
      <w:proofErr w:type="spellEnd"/>
      <w:proofErr w:type="gramEnd"/>
      <w:r w:rsidRPr="00E84EB9">
        <w:rPr>
          <w:lang w:val="fr-FR"/>
        </w:rPr>
        <w:t>. (</w:t>
      </w:r>
      <w:proofErr w:type="gramStart"/>
      <w:r w:rsidRPr="00E84EB9">
        <w:rPr>
          <w:lang w:val="fr-FR"/>
        </w:rPr>
        <w:t>publication</w:t>
      </w:r>
      <w:proofErr w:type="gramEnd"/>
      <w:r w:rsidRPr="00E84EB9">
        <w:rPr>
          <w:lang w:val="fr-FR"/>
        </w:rPr>
        <w:t xml:space="preserve"> des</w:t>
      </w:r>
      <w:r w:rsidR="00AF2D01" w:rsidRPr="00E84EB9">
        <w:rPr>
          <w:lang w:val="fr-FR"/>
        </w:rPr>
        <w:t xml:space="preserve"> Nations Unies, numéro de vente </w:t>
      </w:r>
      <w:r w:rsidRPr="00E84EB9">
        <w:rPr>
          <w:lang w:val="fr-FR"/>
        </w:rPr>
        <w:t>: E.15.II.E.5.) À consulter sur le site https://www.unece.org/fileadmin/DAM/trans/danger/publi/ghs/ghs_rev06/English/ST-SG-AC10-30-Rev6e.pdf.</w:t>
      </w:r>
    </w:p>
    <w:p w14:paraId="3ABEC136" w14:textId="3214118C"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Nations Unies (2017b). </w:t>
      </w:r>
      <w:r w:rsidRPr="00E84EB9">
        <w:rPr>
          <w:i/>
          <w:iCs/>
          <w:lang w:val="fr-FR"/>
        </w:rPr>
        <w:t>Recommandations relatives au transpo</w:t>
      </w:r>
      <w:r w:rsidR="00AF2D01" w:rsidRPr="00E84EB9">
        <w:rPr>
          <w:i/>
          <w:iCs/>
          <w:lang w:val="fr-FR"/>
        </w:rPr>
        <w:t>rt des marchandises dangereuses </w:t>
      </w:r>
      <w:r w:rsidRPr="00E84EB9">
        <w:rPr>
          <w:i/>
          <w:iCs/>
          <w:lang w:val="fr-FR"/>
        </w:rPr>
        <w:t>: Règlement type</w:t>
      </w:r>
      <w:r w:rsidR="00AF2D01" w:rsidRPr="00E84EB9">
        <w:rPr>
          <w:lang w:val="fr-FR"/>
        </w:rPr>
        <w:t>, 20</w:t>
      </w:r>
      <w:r w:rsidR="00AF2D01" w:rsidRPr="00E84EB9">
        <w:rPr>
          <w:vertAlign w:val="superscript"/>
          <w:lang w:val="fr-FR"/>
        </w:rPr>
        <w:t>e</w:t>
      </w:r>
      <w:r w:rsidR="00AF2D01" w:rsidRPr="00E84EB9">
        <w:rPr>
          <w:lang w:val="fr-FR"/>
        </w:rPr>
        <w:t> </w:t>
      </w:r>
      <w:r w:rsidRPr="00E84EB9">
        <w:rPr>
          <w:lang w:val="fr-FR"/>
        </w:rPr>
        <w:t>édition révisée (</w:t>
      </w:r>
      <w:r w:rsidR="00AF2D01" w:rsidRPr="00E84EB9">
        <w:rPr>
          <w:lang w:val="fr-FR"/>
        </w:rPr>
        <w:t>publication des Nations Unies</w:t>
      </w:r>
      <w:r w:rsidR="00015196" w:rsidRPr="00E84EB9">
        <w:rPr>
          <w:lang w:val="fr-FR"/>
        </w:rPr>
        <w:t>, n° </w:t>
      </w:r>
      <w:r w:rsidRPr="00E84EB9">
        <w:rPr>
          <w:lang w:val="fr-FR"/>
        </w:rPr>
        <w:t>de vente E.17.VIII.1). Disponible à l</w:t>
      </w:r>
      <w:r w:rsidR="006C05FA">
        <w:rPr>
          <w:lang w:val="fr-FR"/>
        </w:rPr>
        <w:t>’</w:t>
      </w:r>
      <w:r w:rsidRPr="00E84EB9">
        <w:rPr>
          <w:lang w:val="fr-FR"/>
        </w:rPr>
        <w:t>adresse https://www.unece.org/trans/danger/publi/unrec/rev20/20files_e.html.</w:t>
      </w:r>
    </w:p>
    <w:p w14:paraId="7F7D9EC9" w14:textId="6694A5C1"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b/>
          <w:lang w:val="fr-FR"/>
        </w:rPr>
      </w:pPr>
      <w:r w:rsidRPr="00E84EB9">
        <w:rPr>
          <w:lang w:val="fr-FR"/>
        </w:rPr>
        <w:t xml:space="preserve">Programme </w:t>
      </w:r>
      <w:r w:rsidR="00D72C62" w:rsidRPr="00E84EB9">
        <w:rPr>
          <w:lang w:val="fr-FR"/>
        </w:rPr>
        <w:t xml:space="preserve">des Nations Unies </w:t>
      </w:r>
      <w:r w:rsidR="00D72C62">
        <w:rPr>
          <w:lang w:val="fr-FR"/>
        </w:rPr>
        <w:t xml:space="preserve">pour le </w:t>
      </w:r>
      <w:r w:rsidRPr="00E84EB9">
        <w:rPr>
          <w:lang w:val="fr-FR"/>
        </w:rPr>
        <w:t xml:space="preserve">développement (PNUD) (2010). </w:t>
      </w:r>
      <w:r w:rsidRPr="00D53DA1">
        <w:rPr>
          <w:i/>
          <w:iCs/>
          <w:lang w:val="en-US"/>
        </w:rPr>
        <w:t>UNDP GEF Global Healthcare Waste Project: Guidance on the cleanup, temporary or intermediate storage, and transport of mercury waste from health-care facilities.</w:t>
      </w:r>
      <w:r w:rsidRPr="00D53DA1">
        <w:rPr>
          <w:lang w:val="en-US"/>
        </w:rPr>
        <w:t xml:space="preserve"> </w:t>
      </w:r>
      <w:r w:rsidRPr="00E84EB9">
        <w:rPr>
          <w:lang w:val="fr-FR"/>
        </w:rPr>
        <w:t>À consulter sur le site https://noharm-global.org/sites/default/files/documents-files/1030/GEF_Guidance_Cleanup</w:t>
      </w:r>
      <w:r w:rsidR="00AF2D01" w:rsidRPr="00E84EB9">
        <w:rPr>
          <w:lang w:val="fr-FR"/>
        </w:rPr>
        <w:t>_Storage_Transport_Mercury.pdf.</w:t>
      </w:r>
    </w:p>
    <w:p w14:paraId="3F89AB0B" w14:textId="1E340D76" w:rsidR="000853CA" w:rsidRPr="00E84EB9" w:rsidRDefault="000C2F3D" w:rsidP="000853CA">
      <w:pPr>
        <w:pStyle w:val="Normal-pool"/>
        <w:tabs>
          <w:tab w:val="clear" w:pos="1247"/>
          <w:tab w:val="clear" w:pos="1814"/>
          <w:tab w:val="clear" w:pos="2381"/>
          <w:tab w:val="clear" w:pos="2948"/>
          <w:tab w:val="clear" w:pos="3515"/>
        </w:tabs>
        <w:spacing w:after="120"/>
        <w:ind w:left="1247"/>
        <w:rPr>
          <w:bCs/>
          <w:lang w:val="fr-FR"/>
        </w:rPr>
      </w:pPr>
      <w:r w:rsidRPr="00E84EB9">
        <w:rPr>
          <w:lang w:val="fr-FR"/>
        </w:rPr>
        <w:t>Programme des Nations Unies pour l</w:t>
      </w:r>
      <w:r w:rsidR="006C05FA">
        <w:rPr>
          <w:lang w:val="fr-FR"/>
        </w:rPr>
        <w:t>’</w:t>
      </w:r>
      <w:r w:rsidRPr="00E84EB9">
        <w:rPr>
          <w:lang w:val="fr-FR"/>
        </w:rPr>
        <w:t xml:space="preserve">environnement (PNUE) (2015). </w:t>
      </w:r>
      <w:r w:rsidRPr="00E84EB9">
        <w:rPr>
          <w:i/>
          <w:iCs/>
          <w:lang w:val="fr-FR"/>
        </w:rPr>
        <w:t>Directives techniques pour la gestion écologiquement rationnelle des déchets constitués de mercure ou de composés de mercure, en contenant o</w:t>
      </w:r>
      <w:r w:rsidR="00AF2D01" w:rsidRPr="00E84EB9">
        <w:rPr>
          <w:i/>
          <w:iCs/>
          <w:lang w:val="fr-FR"/>
        </w:rPr>
        <w:t>u contaminés par ces substances </w:t>
      </w:r>
      <w:r w:rsidRPr="00E84EB9">
        <w:rPr>
          <w:i/>
          <w:iCs/>
          <w:lang w:val="fr-FR"/>
        </w:rPr>
        <w:t>: note du secrétariat.</w:t>
      </w:r>
      <w:r w:rsidRPr="00E84EB9">
        <w:rPr>
          <w:lang w:val="fr-FR"/>
        </w:rPr>
        <w:t xml:space="preserve"> UNEP/CHW.12/INF/8. Disponible à l</w:t>
      </w:r>
      <w:r w:rsidR="006C05FA">
        <w:rPr>
          <w:lang w:val="fr-FR"/>
        </w:rPr>
        <w:t>’</w:t>
      </w:r>
      <w:r w:rsidRPr="00E84EB9">
        <w:rPr>
          <w:lang w:val="fr-FR"/>
        </w:rPr>
        <w:t>adresse http://www.basel.int/TheConvention/Conferenceofthe</w:t>
      </w:r>
      <w:r w:rsidR="00A32A5F" w:rsidRPr="00E84EB9">
        <w:rPr>
          <w:lang w:val="fr-FR"/>
        </w:rPr>
        <w:t>Partie</w:t>
      </w:r>
      <w:r w:rsidRPr="00E84EB9">
        <w:rPr>
          <w:lang w:val="fr-FR"/>
        </w:rPr>
        <w:t>s/Meetings/COP12/tabid/4248/mctl/ViewDetails/EventModID/8051/EventID/542/xmid/13027/Default.aspx.</w:t>
      </w:r>
    </w:p>
    <w:p w14:paraId="748FF09D" w14:textId="5370DF3D" w:rsidR="00AC1BE8" w:rsidRPr="00E84EB9" w:rsidRDefault="00AC1BE8" w:rsidP="00AC1BE8">
      <w:pPr>
        <w:pStyle w:val="Normal-pool"/>
        <w:tabs>
          <w:tab w:val="clear" w:pos="1247"/>
          <w:tab w:val="clear" w:pos="1814"/>
          <w:tab w:val="clear" w:pos="2381"/>
          <w:tab w:val="clear" w:pos="2948"/>
          <w:tab w:val="clear" w:pos="3515"/>
        </w:tabs>
        <w:spacing w:after="120"/>
        <w:ind w:left="1247"/>
        <w:rPr>
          <w:bCs/>
          <w:lang w:val="fr-FR"/>
        </w:rPr>
      </w:pPr>
      <w:r w:rsidRPr="00E84EB9">
        <w:rPr>
          <w:lang w:val="fr-FR"/>
        </w:rPr>
        <w:lastRenderedPageBreak/>
        <w:t>Programme des Nations Unies pour l</w:t>
      </w:r>
      <w:r w:rsidR="006C05FA">
        <w:rPr>
          <w:lang w:val="fr-FR"/>
        </w:rPr>
        <w:t>’</w:t>
      </w:r>
      <w:r w:rsidRPr="00E84EB9">
        <w:rPr>
          <w:lang w:val="fr-FR"/>
        </w:rPr>
        <w:t xml:space="preserve">environnement (PNUE) (2017a). </w:t>
      </w:r>
      <w:r w:rsidRPr="00D53DA1">
        <w:rPr>
          <w:i/>
          <w:iCs/>
          <w:lang w:val="en-US"/>
        </w:rPr>
        <w:t>Guidance Document: Developing a National Action Plan to Reduce and, Where Feasible, Eliminat</w:t>
      </w:r>
      <w:r w:rsidR="009F5476" w:rsidRPr="00D53DA1">
        <w:rPr>
          <w:i/>
          <w:iCs/>
          <w:lang w:val="en-US"/>
        </w:rPr>
        <w:t xml:space="preserve">e Mercury Use in Artisanal and </w:t>
      </w:r>
      <w:r w:rsidRPr="00D53DA1">
        <w:rPr>
          <w:i/>
          <w:iCs/>
          <w:lang w:val="en-US"/>
        </w:rPr>
        <w:t>Small-Scale Gold Mining.</w:t>
      </w:r>
      <w:r w:rsidRPr="00D53DA1">
        <w:rPr>
          <w:lang w:val="en-US"/>
        </w:rPr>
        <w:t xml:space="preserve"> </w:t>
      </w:r>
      <w:r w:rsidRPr="00E84EB9">
        <w:rPr>
          <w:lang w:val="fr-FR"/>
        </w:rPr>
        <w:t>À consulter sur le site https://wedocs.unep.org/bitstream/handle/20.500.11822/17203/AQ_GlobalReport_Summary.pdf?sequence=1&amp;isAllowed=y.</w:t>
      </w:r>
    </w:p>
    <w:p w14:paraId="3E7E9100" w14:textId="7FC2BBCE" w:rsidR="008273BB" w:rsidRPr="00E84EB9" w:rsidRDefault="008273BB" w:rsidP="000853CA">
      <w:pPr>
        <w:pStyle w:val="Normal-pool"/>
        <w:tabs>
          <w:tab w:val="clear" w:pos="1247"/>
          <w:tab w:val="clear" w:pos="1814"/>
          <w:tab w:val="clear" w:pos="2381"/>
          <w:tab w:val="clear" w:pos="2948"/>
          <w:tab w:val="clear" w:pos="3515"/>
        </w:tabs>
        <w:spacing w:after="120"/>
        <w:ind w:left="1247"/>
        <w:rPr>
          <w:bCs/>
          <w:lang w:val="fr-FR"/>
        </w:rPr>
      </w:pPr>
      <w:r w:rsidRPr="00E84EB9">
        <w:rPr>
          <w:lang w:val="fr-FR"/>
        </w:rPr>
        <w:t>Programme des Nations Unies pour l</w:t>
      </w:r>
      <w:r w:rsidR="006C05FA">
        <w:rPr>
          <w:lang w:val="fr-FR"/>
        </w:rPr>
        <w:t>’</w:t>
      </w:r>
      <w:r w:rsidRPr="00E84EB9">
        <w:rPr>
          <w:lang w:val="fr-FR"/>
        </w:rPr>
        <w:t xml:space="preserve">environnement (PNUE) (2017b). </w:t>
      </w:r>
      <w:r w:rsidRPr="00D53DA1">
        <w:rPr>
          <w:i/>
          <w:iCs/>
          <w:lang w:val="en-US"/>
        </w:rPr>
        <w:t>Guidance on the identification of individual stocks of mercury or mercury compounds exceeding 50 metric tons and sources of mercury supply generating stocks exceeding 10 metric tons per year.</w:t>
      </w:r>
      <w:r w:rsidRPr="00D53DA1">
        <w:rPr>
          <w:lang w:val="en-US"/>
        </w:rPr>
        <w:t xml:space="preserve"> </w:t>
      </w:r>
      <w:r w:rsidR="009F5476" w:rsidRPr="00E84EB9">
        <w:rPr>
          <w:lang w:val="fr-FR"/>
        </w:rPr>
        <w:t>Disponible à l</w:t>
      </w:r>
      <w:r w:rsidR="006C05FA">
        <w:rPr>
          <w:lang w:val="fr-FR"/>
        </w:rPr>
        <w:t>’</w:t>
      </w:r>
      <w:r w:rsidR="009F5476" w:rsidRPr="00E84EB9">
        <w:rPr>
          <w:lang w:val="fr-FR"/>
        </w:rPr>
        <w:t>adresse suivante </w:t>
      </w:r>
      <w:r w:rsidRPr="00E84EB9">
        <w:rPr>
          <w:lang w:val="fr-FR"/>
        </w:rPr>
        <w:t>: http://www.pic.int/LaConvention/Respect/tabid/3607/language/fr-CH/Default.aspx.</w:t>
      </w:r>
    </w:p>
    <w:p w14:paraId="71B722AA" w14:textId="16260625" w:rsidR="0026034B" w:rsidRPr="00E84EB9" w:rsidRDefault="0009029E" w:rsidP="00782802">
      <w:pPr>
        <w:pStyle w:val="Normal-pool"/>
        <w:tabs>
          <w:tab w:val="clear" w:pos="1247"/>
          <w:tab w:val="clear" w:pos="1814"/>
          <w:tab w:val="clear" w:pos="2381"/>
          <w:tab w:val="clear" w:pos="2948"/>
          <w:tab w:val="clear" w:pos="3515"/>
        </w:tabs>
        <w:spacing w:after="120"/>
        <w:ind w:left="1247"/>
        <w:rPr>
          <w:bCs/>
          <w:lang w:val="fr-FR"/>
        </w:rPr>
      </w:pPr>
      <w:r w:rsidRPr="00E84EB9">
        <w:rPr>
          <w:lang w:val="fr-FR"/>
        </w:rPr>
        <w:t>Programme des Nations Unies pour l</w:t>
      </w:r>
      <w:r w:rsidR="006C05FA">
        <w:rPr>
          <w:lang w:val="fr-FR"/>
        </w:rPr>
        <w:t>’</w:t>
      </w:r>
      <w:r w:rsidRPr="00E84EB9">
        <w:rPr>
          <w:lang w:val="fr-FR"/>
        </w:rPr>
        <w:t xml:space="preserve">environnement (PNUE) (2017c). </w:t>
      </w:r>
      <w:r w:rsidRPr="00D53DA1">
        <w:rPr>
          <w:i/>
          <w:iCs/>
          <w:lang w:val="en-US"/>
        </w:rPr>
        <w:t>Toolkit for identification and quantification of mercury sources</w:t>
      </w:r>
      <w:r w:rsidR="009F5476" w:rsidRPr="00D53DA1">
        <w:rPr>
          <w:i/>
          <w:iCs/>
          <w:lang w:val="en-US"/>
        </w:rPr>
        <w:t>, guideline for inventory level </w:t>
      </w:r>
      <w:r w:rsidRPr="00D53DA1">
        <w:rPr>
          <w:i/>
          <w:iCs/>
          <w:lang w:val="en-US"/>
        </w:rPr>
        <w:t>1, version 2.0.</w:t>
      </w:r>
      <w:r w:rsidRPr="00D53DA1">
        <w:rPr>
          <w:lang w:val="en-US"/>
        </w:rPr>
        <w:t xml:space="preserve"> </w:t>
      </w:r>
      <w:r w:rsidRPr="00E84EB9">
        <w:rPr>
          <w:lang w:val="fr-FR"/>
        </w:rPr>
        <w:t xml:space="preserve">UN Environment </w:t>
      </w:r>
      <w:proofErr w:type="spellStart"/>
      <w:r w:rsidRPr="00E84EB9">
        <w:rPr>
          <w:lang w:val="fr-FR"/>
        </w:rPr>
        <w:t>Chemicals</w:t>
      </w:r>
      <w:proofErr w:type="spellEnd"/>
      <w:r w:rsidRPr="00E84EB9">
        <w:rPr>
          <w:lang w:val="fr-FR"/>
        </w:rPr>
        <w:t xml:space="preserve"> Branch, Genève, Suisse. À consulter sur le site https://wedocs.unep.org/bitstream/handle/20.500.11822/14777/Hg-Toolkit-Guideline-IL1-January2</w:t>
      </w:r>
      <w:r w:rsidR="009F5476" w:rsidRPr="00E84EB9">
        <w:rPr>
          <w:lang w:val="fr-FR"/>
        </w:rPr>
        <w:t>017.pdf?sequence=1&amp;isAllowed=y.</w:t>
      </w:r>
    </w:p>
    <w:p w14:paraId="44091E85" w14:textId="38DD9D1B" w:rsidR="000C2F3D" w:rsidRPr="00E84EB9" w:rsidRDefault="00BE65B6" w:rsidP="00442F76">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Organisation des Nations Unies pour le développement industriel (ONUDI), (2008). </w:t>
      </w:r>
      <w:r w:rsidRPr="00D53DA1">
        <w:rPr>
          <w:i/>
          <w:iCs/>
          <w:lang w:val="en-US"/>
        </w:rPr>
        <w:t>UNIDO Technical Guidelines on Mercury Management in Artisanal and Small-Scale Gold Mining.</w:t>
      </w:r>
      <w:r w:rsidRPr="00D53DA1">
        <w:rPr>
          <w:lang w:val="en-US"/>
        </w:rPr>
        <w:t xml:space="preserve"> </w:t>
      </w:r>
      <w:r w:rsidRPr="00E84EB9">
        <w:rPr>
          <w:lang w:val="fr-FR"/>
        </w:rPr>
        <w:t>À consulter sur le site https://wedocs.unep.org/bitstream/handle/20.500.11822/14777/Hg-Toolkit-Guideline-IL1-January2017.pdf?sequence=1&amp;isAllowed=y.</w:t>
      </w:r>
    </w:p>
    <w:p w14:paraId="2CE4BAE5" w14:textId="166FC37E" w:rsidR="000C2F3D" w:rsidRPr="00E84EB9" w:rsidRDefault="000C2F3D" w:rsidP="000C2F3D">
      <w:pPr>
        <w:pStyle w:val="Normal-pool"/>
        <w:tabs>
          <w:tab w:val="clear" w:pos="1247"/>
          <w:tab w:val="clear" w:pos="1814"/>
          <w:tab w:val="clear" w:pos="2381"/>
          <w:tab w:val="clear" w:pos="2948"/>
          <w:tab w:val="clear" w:pos="3515"/>
          <w:tab w:val="clear" w:pos="4082"/>
        </w:tabs>
        <w:spacing w:after="120"/>
        <w:ind w:left="1247"/>
        <w:rPr>
          <w:b/>
          <w:lang w:val="fr-FR"/>
        </w:rPr>
      </w:pPr>
      <w:r w:rsidRPr="00E84EB9">
        <w:rPr>
          <w:lang w:val="fr-FR"/>
        </w:rPr>
        <w:t>Départ</w:t>
      </w:r>
      <w:r w:rsidR="009F5476" w:rsidRPr="00E84EB9">
        <w:rPr>
          <w:lang w:val="fr-FR"/>
        </w:rPr>
        <w:t>ement de l</w:t>
      </w:r>
      <w:r w:rsidR="006C05FA">
        <w:rPr>
          <w:lang w:val="fr-FR"/>
        </w:rPr>
        <w:t>’</w:t>
      </w:r>
      <w:r w:rsidR="009F5476" w:rsidRPr="00E84EB9">
        <w:rPr>
          <w:lang w:val="fr-FR"/>
        </w:rPr>
        <w:t>énergie des É</w:t>
      </w:r>
      <w:r w:rsidRPr="00E84EB9">
        <w:rPr>
          <w:lang w:val="fr-FR"/>
        </w:rPr>
        <w:t xml:space="preserve">tats-Unis (US DOE) (2009). </w:t>
      </w:r>
      <w:r w:rsidRPr="00D53DA1">
        <w:rPr>
          <w:i/>
          <w:iCs/>
          <w:lang w:val="en-US"/>
        </w:rPr>
        <w:t>US Department of Energy Interim Guidance on Packaging, Transportation, Receipt, Management, and Long-Term Storage of Elemental Mercury.</w:t>
      </w:r>
      <w:r w:rsidRPr="00D53DA1">
        <w:rPr>
          <w:lang w:val="en-US"/>
        </w:rPr>
        <w:t xml:space="preserve"> </w:t>
      </w:r>
      <w:r w:rsidRPr="00E84EB9">
        <w:rPr>
          <w:lang w:val="fr-FR"/>
        </w:rPr>
        <w:t>À consulter sur le site https://energy.gov/sites/prod/files/2014/05/f15/Elementalmercurystorage%20Interim%20Guidance%</w:t>
      </w:r>
      <w:r w:rsidR="007B6662" w:rsidRPr="00E84EB9">
        <w:rPr>
          <w:lang w:val="fr-FR"/>
        </w:rPr>
        <w:t>20%28dated%202009-11-13%29.pdf.</w:t>
      </w:r>
    </w:p>
    <w:p w14:paraId="5C8F23B1" w14:textId="708EFCC9" w:rsidR="000C2F3D" w:rsidRPr="00E84EB9" w:rsidRDefault="000C2F3D" w:rsidP="00204E62">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Département d</w:t>
      </w:r>
      <w:r w:rsidR="009F5476" w:rsidRPr="00E84EB9">
        <w:rPr>
          <w:lang w:val="fr-FR"/>
        </w:rPr>
        <w:t>es transports des É</w:t>
      </w:r>
      <w:r w:rsidRPr="00E84EB9">
        <w:rPr>
          <w:lang w:val="fr-FR"/>
        </w:rPr>
        <w:t>tats-Unis, Transports Canada et Secrétariat des Communications et des transports du Mexique (2016)</w:t>
      </w:r>
      <w:r w:rsidR="009F5476" w:rsidRPr="00E84EB9">
        <w:rPr>
          <w:lang w:val="fr-FR"/>
        </w:rPr>
        <w:t>.</w:t>
      </w:r>
      <w:r w:rsidRPr="00E84EB9">
        <w:rPr>
          <w:lang w:val="fr-FR"/>
        </w:rPr>
        <w:t xml:space="preserve"> </w:t>
      </w:r>
      <w:r w:rsidRPr="00E84EB9">
        <w:rPr>
          <w:i/>
          <w:iCs/>
          <w:lang w:val="fr-FR"/>
        </w:rPr>
        <w:t xml:space="preserve">Emergency </w:t>
      </w:r>
      <w:proofErr w:type="spellStart"/>
      <w:r w:rsidRPr="00E84EB9">
        <w:rPr>
          <w:i/>
          <w:iCs/>
          <w:lang w:val="fr-FR"/>
        </w:rPr>
        <w:t>Response</w:t>
      </w:r>
      <w:proofErr w:type="spellEnd"/>
      <w:r w:rsidRPr="00E84EB9">
        <w:rPr>
          <w:i/>
          <w:iCs/>
          <w:lang w:val="fr-FR"/>
        </w:rPr>
        <w:t xml:space="preserve"> </w:t>
      </w:r>
      <w:proofErr w:type="spellStart"/>
      <w:r w:rsidRPr="00E84EB9">
        <w:rPr>
          <w:i/>
          <w:iCs/>
          <w:lang w:val="fr-FR"/>
        </w:rPr>
        <w:t>Guidebook</w:t>
      </w:r>
      <w:proofErr w:type="spellEnd"/>
      <w:r w:rsidRPr="00E84EB9">
        <w:rPr>
          <w:i/>
          <w:iCs/>
          <w:lang w:val="fr-FR"/>
        </w:rPr>
        <w:t>.</w:t>
      </w:r>
      <w:r w:rsidRPr="00E84EB9">
        <w:rPr>
          <w:lang w:val="fr-FR"/>
        </w:rPr>
        <w:t xml:space="preserve"> À consulter sur le site https://www.tc.gc.ca/eng/canutec/guide-menu-227.htm.</w:t>
      </w:r>
    </w:p>
    <w:p w14:paraId="45538420" w14:textId="4769B6A0" w:rsidR="00873982" w:rsidRPr="00E84EB9" w:rsidRDefault="00873982" w:rsidP="00873982">
      <w:pPr>
        <w:pStyle w:val="Normal-pool"/>
        <w:tabs>
          <w:tab w:val="clear" w:pos="1247"/>
          <w:tab w:val="clear" w:pos="1814"/>
          <w:tab w:val="clear" w:pos="2381"/>
          <w:tab w:val="clear" w:pos="2948"/>
          <w:tab w:val="clear" w:pos="3515"/>
        </w:tabs>
        <w:spacing w:after="120"/>
        <w:ind w:left="1247"/>
        <w:rPr>
          <w:lang w:val="fr-FR"/>
        </w:rPr>
      </w:pPr>
      <w:r w:rsidRPr="00D53DA1">
        <w:rPr>
          <w:lang w:val="en-US"/>
        </w:rPr>
        <w:t>United States Environment Prote</w:t>
      </w:r>
      <w:r w:rsidR="009F5476" w:rsidRPr="00D53DA1">
        <w:rPr>
          <w:lang w:val="en-US"/>
        </w:rPr>
        <w:t>ction Agency (USEPA). « Mercury in your environment »</w:t>
      </w:r>
      <w:r w:rsidRPr="00D53DA1">
        <w:rPr>
          <w:lang w:val="en-US"/>
        </w:rPr>
        <w:t xml:space="preserve"> (site Web). </w:t>
      </w:r>
      <w:r w:rsidRPr="00E84EB9">
        <w:rPr>
          <w:lang w:val="fr-FR"/>
        </w:rPr>
        <w:t>Disponible à l</w:t>
      </w:r>
      <w:r w:rsidR="006C05FA">
        <w:rPr>
          <w:lang w:val="fr-FR"/>
        </w:rPr>
        <w:t>’</w:t>
      </w:r>
      <w:r w:rsidRPr="00E84EB9">
        <w:rPr>
          <w:lang w:val="fr-FR"/>
        </w:rPr>
        <w:t>adresse suivant</w:t>
      </w:r>
      <w:r w:rsidR="009F5476" w:rsidRPr="00E84EB9">
        <w:rPr>
          <w:lang w:val="fr-FR"/>
        </w:rPr>
        <w:t>e : https://www.epa.gov/benmap.</w:t>
      </w:r>
    </w:p>
    <w:p w14:paraId="2DF2EFAE" w14:textId="53908171" w:rsidR="00E34254" w:rsidRPr="00E84EB9" w:rsidRDefault="00A54338" w:rsidP="00807075">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United States Environment Protection Agency (USEPA)</w:t>
      </w:r>
      <w:r w:rsidR="009F5476" w:rsidRPr="00E84EB9">
        <w:rPr>
          <w:lang w:val="fr-FR"/>
        </w:rPr>
        <w:t xml:space="preserve">. </w:t>
      </w:r>
      <w:r w:rsidR="009F5476" w:rsidRPr="00D53DA1">
        <w:rPr>
          <w:lang w:val="en-US"/>
        </w:rPr>
        <w:t>« </w:t>
      </w:r>
      <w:r w:rsidRPr="00D53DA1">
        <w:rPr>
          <w:lang w:val="en-US"/>
        </w:rPr>
        <w:t xml:space="preserve">What to do </w:t>
      </w:r>
      <w:r w:rsidR="009F5476" w:rsidRPr="00D53DA1">
        <w:rPr>
          <w:lang w:val="en-US"/>
        </w:rPr>
        <w:t>if a mercury thermometer breaks »</w:t>
      </w:r>
      <w:r w:rsidRPr="00D53DA1">
        <w:rPr>
          <w:lang w:val="en-US"/>
        </w:rPr>
        <w:t xml:space="preserve"> (site Web). </w:t>
      </w:r>
      <w:r w:rsidRPr="00E84EB9">
        <w:rPr>
          <w:lang w:val="fr-FR"/>
        </w:rPr>
        <w:t>Disponible à l</w:t>
      </w:r>
      <w:r w:rsidR="006C05FA">
        <w:rPr>
          <w:lang w:val="fr-FR"/>
        </w:rPr>
        <w:t>’</w:t>
      </w:r>
      <w:r w:rsidRPr="00E84EB9">
        <w:rPr>
          <w:lang w:val="fr-FR"/>
        </w:rPr>
        <w:t>adresse https://www.epa.gov/mercury/what-do-if-mercury-thermometer-breaks.</w:t>
      </w:r>
    </w:p>
    <w:p w14:paraId="49079931" w14:textId="6A0FBCC2" w:rsidR="002C0B45" w:rsidRPr="00E84EB9" w:rsidRDefault="000C2F3D" w:rsidP="00807075">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 xml:space="preserve">World </w:t>
      </w:r>
      <w:proofErr w:type="spellStart"/>
      <w:r w:rsidRPr="00E84EB9">
        <w:rPr>
          <w:lang w:val="fr-FR"/>
        </w:rPr>
        <w:t>Chlorine</w:t>
      </w:r>
      <w:proofErr w:type="spellEnd"/>
      <w:r w:rsidRPr="00E84EB9">
        <w:rPr>
          <w:lang w:val="fr-FR"/>
        </w:rPr>
        <w:t xml:space="preserve"> Council (www.worldchlorine.org) – Des informations sur certains sujets liés au mercure peuvent être consultées à l</w:t>
      </w:r>
      <w:r w:rsidR="006C05FA">
        <w:rPr>
          <w:lang w:val="fr-FR"/>
        </w:rPr>
        <w:t>’</w:t>
      </w:r>
      <w:r w:rsidRPr="00E84EB9">
        <w:rPr>
          <w:lang w:val="fr-FR"/>
        </w:rPr>
        <w:t>aide de la fonction de recherche.</w:t>
      </w:r>
    </w:p>
    <w:p w14:paraId="31B2F57E" w14:textId="7E3DE1DC" w:rsidR="000C2F3D" w:rsidRPr="00E84EB9" w:rsidRDefault="000C2F3D" w:rsidP="00807075">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Organisation mondiale de la santé (OMS) (2008). Directives de qu</w:t>
      </w:r>
      <w:r w:rsidR="009F5476" w:rsidRPr="00E84EB9">
        <w:rPr>
          <w:lang w:val="fr-FR"/>
        </w:rPr>
        <w:t>alité pour l</w:t>
      </w:r>
      <w:r w:rsidR="006C05FA">
        <w:rPr>
          <w:lang w:val="fr-FR"/>
        </w:rPr>
        <w:t>’</w:t>
      </w:r>
      <w:r w:rsidR="009F5476" w:rsidRPr="00E84EB9">
        <w:rPr>
          <w:lang w:val="fr-FR"/>
        </w:rPr>
        <w:t>eau de boisson, 3</w:t>
      </w:r>
      <w:r w:rsidR="009F5476" w:rsidRPr="00E84EB9">
        <w:rPr>
          <w:vertAlign w:val="superscript"/>
          <w:lang w:val="fr-FR"/>
        </w:rPr>
        <w:t>e</w:t>
      </w:r>
      <w:r w:rsidR="009F5476" w:rsidRPr="00E84EB9">
        <w:rPr>
          <w:lang w:val="fr-FR"/>
        </w:rPr>
        <w:t> </w:t>
      </w:r>
      <w:proofErr w:type="spellStart"/>
      <w:r w:rsidR="009F5476" w:rsidRPr="00E84EB9">
        <w:rPr>
          <w:lang w:val="fr-FR"/>
        </w:rPr>
        <w:t>ed</w:t>
      </w:r>
      <w:proofErr w:type="spellEnd"/>
      <w:r w:rsidR="009F5476" w:rsidRPr="00E84EB9">
        <w:rPr>
          <w:lang w:val="fr-FR"/>
        </w:rPr>
        <w:t>., vol. </w:t>
      </w:r>
      <w:r w:rsidRPr="00E84EB9">
        <w:rPr>
          <w:lang w:val="fr-FR"/>
        </w:rPr>
        <w:t xml:space="preserve">1. </w:t>
      </w:r>
      <w:r w:rsidR="009F5476" w:rsidRPr="00E84EB9">
        <w:rPr>
          <w:lang w:val="fr-FR"/>
        </w:rPr>
        <w:t>Disponible à l</w:t>
      </w:r>
      <w:r w:rsidR="006C05FA">
        <w:rPr>
          <w:lang w:val="fr-FR"/>
        </w:rPr>
        <w:t>’</w:t>
      </w:r>
      <w:r w:rsidR="009F5476" w:rsidRPr="00E84EB9">
        <w:rPr>
          <w:lang w:val="fr-FR"/>
        </w:rPr>
        <w:t>adresse suivante </w:t>
      </w:r>
      <w:r w:rsidRPr="00E84EB9">
        <w:rPr>
          <w:lang w:val="fr-FR"/>
        </w:rPr>
        <w:t>: http://www.who.int/water_sanitation_hea</w:t>
      </w:r>
      <w:r w:rsidR="009F5476" w:rsidRPr="00E84EB9">
        <w:rPr>
          <w:lang w:val="fr-FR"/>
        </w:rPr>
        <w:t>lth/publications/ssp-manual/fr/</w:t>
      </w:r>
      <w:r w:rsidR="001E2986" w:rsidRPr="00E84EB9">
        <w:rPr>
          <w:lang w:val="fr-FR"/>
        </w:rPr>
        <w:t>.</w:t>
      </w:r>
    </w:p>
    <w:p w14:paraId="38322FAB" w14:textId="14FDABC0" w:rsidR="00442F76" w:rsidRPr="00E84EB9" w:rsidRDefault="00A76B09" w:rsidP="007B6662">
      <w:pPr>
        <w:pStyle w:val="Normal-pool"/>
        <w:tabs>
          <w:tab w:val="clear" w:pos="1247"/>
          <w:tab w:val="clear" w:pos="1814"/>
          <w:tab w:val="clear" w:pos="2381"/>
          <w:tab w:val="clear" w:pos="2948"/>
          <w:tab w:val="clear" w:pos="3515"/>
          <w:tab w:val="clear" w:pos="4082"/>
        </w:tabs>
        <w:spacing w:after="120"/>
        <w:ind w:left="1247"/>
        <w:rPr>
          <w:lang w:val="fr-FR"/>
        </w:rPr>
      </w:pPr>
      <w:r w:rsidRPr="00E84EB9">
        <w:rPr>
          <w:lang w:val="fr-FR"/>
        </w:rPr>
        <w:t>Organisation mondiale de la Santé (OMS), Bureau régional pour l</w:t>
      </w:r>
      <w:r w:rsidR="006C05FA">
        <w:rPr>
          <w:lang w:val="fr-FR"/>
        </w:rPr>
        <w:t>’</w:t>
      </w:r>
      <w:r w:rsidR="009F5476" w:rsidRPr="00E84EB9">
        <w:rPr>
          <w:lang w:val="fr-FR"/>
        </w:rPr>
        <w:t>Europe (2000). « Mercure »</w:t>
      </w:r>
      <w:r w:rsidRPr="00E84EB9">
        <w:rPr>
          <w:lang w:val="fr-FR"/>
        </w:rPr>
        <w:t xml:space="preserve">, </w:t>
      </w:r>
      <w:r w:rsidR="009F5476" w:rsidRPr="00E84EB9">
        <w:rPr>
          <w:lang w:val="fr-FR"/>
        </w:rPr>
        <w:t>Normes de qualité de l</w:t>
      </w:r>
      <w:r w:rsidR="006C05FA">
        <w:rPr>
          <w:lang w:val="fr-FR"/>
        </w:rPr>
        <w:t>’</w:t>
      </w:r>
      <w:r w:rsidR="009F5476" w:rsidRPr="00E84EB9">
        <w:rPr>
          <w:lang w:val="fr-FR"/>
        </w:rPr>
        <w:t>air, 2</w:t>
      </w:r>
      <w:r w:rsidR="000B709A">
        <w:rPr>
          <w:vertAlign w:val="superscript"/>
          <w:lang w:val="fr-FR"/>
        </w:rPr>
        <w:t>e</w:t>
      </w:r>
      <w:r w:rsidR="009F5476" w:rsidRPr="00E84EB9">
        <w:rPr>
          <w:lang w:val="fr-FR"/>
        </w:rPr>
        <w:t> </w:t>
      </w:r>
      <w:proofErr w:type="spellStart"/>
      <w:r w:rsidRPr="00E84EB9">
        <w:rPr>
          <w:lang w:val="fr-FR"/>
        </w:rPr>
        <w:t>ed</w:t>
      </w:r>
      <w:proofErr w:type="spellEnd"/>
      <w:r w:rsidRPr="00E84EB9">
        <w:rPr>
          <w:lang w:val="fr-FR"/>
        </w:rPr>
        <w:t>. Disponible à l</w:t>
      </w:r>
      <w:r w:rsidR="006C05FA">
        <w:rPr>
          <w:lang w:val="fr-FR"/>
        </w:rPr>
        <w:t>’</w:t>
      </w:r>
      <w:r w:rsidRPr="00E84EB9">
        <w:rPr>
          <w:lang w:val="fr-FR"/>
        </w:rPr>
        <w:t>ad</w:t>
      </w:r>
      <w:r w:rsidR="009F5476" w:rsidRPr="00E84EB9">
        <w:rPr>
          <w:lang w:val="fr-FR"/>
        </w:rPr>
        <w:t>resse http://www.euro.who.int/data/assets/pdf</w:t>
      </w:r>
      <w:r w:rsidRPr="00E84EB9">
        <w:rPr>
          <w:lang w:val="fr-FR"/>
        </w:rPr>
        <w:t>ndEd 6 9Mercury.PDF file/0004/123079/AQG2</w:t>
      </w:r>
      <w:r w:rsidR="001E2986" w:rsidRPr="00E84EB9">
        <w:rPr>
          <w:lang w:val="fr-FR"/>
        </w:rPr>
        <w:t>.</w:t>
      </w:r>
    </w:p>
    <w:tbl>
      <w:tblPr>
        <w:tblW w:w="0" w:type="auto"/>
        <w:tblLayout w:type="fixed"/>
        <w:tblLook w:val="04A0" w:firstRow="1" w:lastRow="0" w:firstColumn="1" w:lastColumn="0" w:noHBand="0" w:noVBand="1"/>
      </w:tblPr>
      <w:tblGrid>
        <w:gridCol w:w="1942"/>
        <w:gridCol w:w="1942"/>
        <w:gridCol w:w="1942"/>
        <w:gridCol w:w="1943"/>
        <w:gridCol w:w="1943"/>
      </w:tblGrid>
      <w:tr w:rsidR="000C2F3D" w:rsidRPr="00D23400" w14:paraId="29FC053F" w14:textId="77777777" w:rsidTr="00351DE5">
        <w:tc>
          <w:tcPr>
            <w:tcW w:w="1942" w:type="dxa"/>
            <w:shd w:val="clear" w:color="auto" w:fill="auto"/>
          </w:tcPr>
          <w:p w14:paraId="39809E44" w14:textId="77777777" w:rsidR="000C2F3D" w:rsidRPr="00E84EB9" w:rsidRDefault="000C2F3D" w:rsidP="00442F76">
            <w:pPr>
              <w:pStyle w:val="Normal-pool"/>
              <w:spacing w:before="520"/>
              <w:rPr>
                <w:lang w:val="fr-FR"/>
              </w:rPr>
            </w:pPr>
          </w:p>
        </w:tc>
        <w:tc>
          <w:tcPr>
            <w:tcW w:w="1942" w:type="dxa"/>
            <w:shd w:val="clear" w:color="auto" w:fill="auto"/>
          </w:tcPr>
          <w:p w14:paraId="16447916" w14:textId="77777777" w:rsidR="000C2F3D" w:rsidRPr="00E84EB9" w:rsidRDefault="000C2F3D" w:rsidP="00442F76">
            <w:pPr>
              <w:pStyle w:val="Normal-pool"/>
              <w:spacing w:before="520"/>
              <w:rPr>
                <w:lang w:val="fr-FR"/>
              </w:rPr>
            </w:pPr>
          </w:p>
        </w:tc>
        <w:tc>
          <w:tcPr>
            <w:tcW w:w="1942" w:type="dxa"/>
            <w:tcBorders>
              <w:bottom w:val="single" w:sz="4" w:space="0" w:color="auto"/>
            </w:tcBorders>
            <w:shd w:val="clear" w:color="auto" w:fill="auto"/>
          </w:tcPr>
          <w:p w14:paraId="5BE6076C" w14:textId="77777777" w:rsidR="000C2F3D" w:rsidRPr="00E84EB9" w:rsidRDefault="000C2F3D" w:rsidP="00442F76">
            <w:pPr>
              <w:pStyle w:val="Normal-pool"/>
              <w:spacing w:before="520"/>
              <w:rPr>
                <w:lang w:val="fr-FR"/>
              </w:rPr>
            </w:pPr>
          </w:p>
        </w:tc>
        <w:tc>
          <w:tcPr>
            <w:tcW w:w="1943" w:type="dxa"/>
            <w:shd w:val="clear" w:color="auto" w:fill="auto"/>
          </w:tcPr>
          <w:p w14:paraId="22B7B08C" w14:textId="77777777" w:rsidR="000C2F3D" w:rsidRPr="00E84EB9" w:rsidRDefault="000C2F3D" w:rsidP="00442F76">
            <w:pPr>
              <w:pStyle w:val="Normal-pool"/>
              <w:spacing w:before="520"/>
              <w:rPr>
                <w:lang w:val="fr-FR"/>
              </w:rPr>
            </w:pPr>
          </w:p>
        </w:tc>
        <w:tc>
          <w:tcPr>
            <w:tcW w:w="1943" w:type="dxa"/>
            <w:shd w:val="clear" w:color="auto" w:fill="auto"/>
          </w:tcPr>
          <w:p w14:paraId="7BFCBD6D" w14:textId="77777777" w:rsidR="000C2F3D" w:rsidRPr="00E84EB9" w:rsidRDefault="000C2F3D" w:rsidP="00442F76">
            <w:pPr>
              <w:pStyle w:val="Normal-pool"/>
              <w:spacing w:before="520"/>
              <w:rPr>
                <w:lang w:val="fr-FR"/>
              </w:rPr>
            </w:pPr>
          </w:p>
        </w:tc>
      </w:tr>
    </w:tbl>
    <w:p w14:paraId="0D5DEC54" w14:textId="77777777" w:rsidR="000C2F3D" w:rsidRPr="00E84EB9" w:rsidRDefault="000C2F3D">
      <w:pPr>
        <w:tabs>
          <w:tab w:val="clear" w:pos="1247"/>
          <w:tab w:val="clear" w:pos="1814"/>
          <w:tab w:val="clear" w:pos="2381"/>
          <w:tab w:val="clear" w:pos="2948"/>
          <w:tab w:val="clear" w:pos="3515"/>
        </w:tabs>
        <w:rPr>
          <w:lang w:val="fr-FR"/>
        </w:rPr>
      </w:pPr>
    </w:p>
    <w:sectPr w:rsidR="000C2F3D" w:rsidRPr="00E84EB9" w:rsidSect="00CB5E63">
      <w:headerReference w:type="even" r:id="rId21"/>
      <w:headerReference w:type="default" r:id="rId22"/>
      <w:headerReference w:type="first" r:id="rId23"/>
      <w:footerReference w:type="first" r:id="rId24"/>
      <w:pgSz w:w="11906" w:h="16838" w:code="9"/>
      <w:pgMar w:top="907" w:right="849"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6950" w14:textId="77777777" w:rsidR="0070160D" w:rsidRDefault="0070160D">
      <w:r>
        <w:separator/>
      </w:r>
    </w:p>
  </w:endnote>
  <w:endnote w:type="continuationSeparator" w:id="0">
    <w:p w14:paraId="50ED9547" w14:textId="77777777" w:rsidR="0070160D" w:rsidRDefault="0070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66CC3C2" w:rsidR="00AD245B" w:rsidRDefault="00AD245B">
    <w:pPr>
      <w:pStyle w:val="Pieddepage"/>
    </w:pPr>
    <w:r>
      <w:rPr>
        <w:rStyle w:val="Numrodepage"/>
      </w:rPr>
      <w:fldChar w:fldCharType="begin"/>
    </w:r>
    <w:r>
      <w:rPr>
        <w:rStyle w:val="Numrodepage"/>
      </w:rPr>
      <w:instrText xml:space="preserve"> PAGE </w:instrText>
    </w:r>
    <w:r>
      <w:rPr>
        <w:rStyle w:val="Numrodepage"/>
      </w:rPr>
      <w:fldChar w:fldCharType="separate"/>
    </w:r>
    <w:r w:rsidR="00476453">
      <w:rPr>
        <w:rStyle w:val="Numrodepage"/>
        <w:noProof/>
      </w:rPr>
      <w:t>18</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7C100E9C" w:rsidR="00AD245B" w:rsidRDefault="00AD245B"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76453">
      <w:rPr>
        <w:rStyle w:val="Numrodepage"/>
        <w:noProof/>
      </w:rPr>
      <w:t>19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5185" w14:textId="2A7745C6" w:rsidR="00AD245B" w:rsidRDefault="00AD245B" w:rsidP="00F20536">
    <w:pPr>
      <w:pStyle w:val="Normal-pool"/>
    </w:pPr>
    <w:r>
      <w:t>K1801892</w:t>
    </w:r>
    <w:r>
      <w:tab/>
    </w:r>
    <w:r w:rsidR="00D23400">
      <w:t>17</w:t>
    </w:r>
    <w:r>
      <w:t>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0904349"/>
      <w:docPartObj>
        <w:docPartGallery w:val="Page Numbers (Bottom of Page)"/>
        <w:docPartUnique/>
      </w:docPartObj>
    </w:sdtPr>
    <w:sdtEndPr>
      <w:rPr>
        <w:b/>
        <w:noProof/>
      </w:rPr>
    </w:sdtEndPr>
    <w:sdtContent>
      <w:p w14:paraId="5F82B7D8" w14:textId="5A237E2E" w:rsidR="00AD245B" w:rsidRPr="007544F3" w:rsidRDefault="00AD245B" w:rsidP="007544F3">
        <w:pPr>
          <w:pStyle w:val="Normal-pool"/>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476453">
          <w:rPr>
            <w:b/>
            <w:noProof/>
            <w:sz w:val="18"/>
            <w:szCs w:val="18"/>
          </w:rPr>
          <w:t>2</w:t>
        </w:r>
        <w:r w:rsidRPr="007544F3">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1826143"/>
      <w:docPartObj>
        <w:docPartGallery w:val="Page Numbers (Bottom of Page)"/>
        <w:docPartUnique/>
      </w:docPartObj>
    </w:sdtPr>
    <w:sdtEndPr>
      <w:rPr>
        <w:b/>
        <w:noProof/>
      </w:rPr>
    </w:sdtEndPr>
    <w:sdtContent>
      <w:p w14:paraId="75913683" w14:textId="5D17F35D" w:rsidR="00AD245B" w:rsidRPr="007544F3" w:rsidRDefault="00AD245B" w:rsidP="007544F3">
        <w:pPr>
          <w:pStyle w:val="Normal-pool"/>
          <w:jc w:val="right"/>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476453">
          <w:rPr>
            <w:b/>
            <w:noProof/>
            <w:sz w:val="18"/>
            <w:szCs w:val="18"/>
          </w:rPr>
          <w:t>3</w:t>
        </w:r>
        <w:r w:rsidRPr="007544F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EF4F" w14:textId="77777777" w:rsidR="0070160D" w:rsidRPr="00776099" w:rsidRDefault="0070160D"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76099">
        <w:rPr>
          <w:sz w:val="18"/>
          <w:szCs w:val="18"/>
        </w:rPr>
        <w:separator/>
      </w:r>
    </w:p>
  </w:footnote>
  <w:footnote w:type="continuationSeparator" w:id="0">
    <w:p w14:paraId="3686E0C8" w14:textId="77777777" w:rsidR="0070160D" w:rsidRDefault="0070160D">
      <w:r>
        <w:continuationSeparator/>
      </w:r>
    </w:p>
  </w:footnote>
  <w:footnote w:id="1">
    <w:p w14:paraId="51864388" w14:textId="2C3F87F9" w:rsidR="00AD245B" w:rsidRPr="00743EE5" w:rsidRDefault="00AD245B" w:rsidP="00776099">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743EE5">
        <w:rPr>
          <w:sz w:val="18"/>
          <w:szCs w:val="18"/>
          <w:lang w:val="fr-FR"/>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7F72FA4E" w:rsidR="00AD245B" w:rsidRPr="00CA5CA9" w:rsidRDefault="00AD245B"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8F9902C" w:rsidR="00AD245B" w:rsidRPr="00CA5CA9" w:rsidRDefault="00AD245B"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9E98A7F" w:rsidR="00AD245B" w:rsidRDefault="00AD245B"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93FB" w14:textId="04241547" w:rsidR="00AD245B" w:rsidRDefault="0070160D" w:rsidP="00A108C4">
    <w:pPr>
      <w:pStyle w:val="En-tte"/>
      <w:jc w:val="right"/>
    </w:pPr>
    <w:r>
      <w:rPr>
        <w:noProof/>
      </w:rPr>
      <w:pict w14:anchorId="401A6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20.65pt;height:148.75pt;rotation:315;z-index:-2516449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D245B" w:rsidRPr="00F20536">
      <w:rPr>
        <w:bCs/>
      </w:rPr>
      <w:t>UNEP/</w:t>
    </w:r>
    <w:r w:rsidR="00AD245B">
      <w:t>MC/COP.2/5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5F6" w14:textId="7750E6F5" w:rsidR="00AD245B" w:rsidRDefault="0070160D" w:rsidP="00A108C4">
    <w:pPr>
      <w:pStyle w:val="En-tte"/>
      <w:jc w:val="right"/>
    </w:pPr>
    <w:r>
      <w:rPr>
        <w:noProof/>
      </w:rPr>
      <w:pict w14:anchorId="74F0E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20.65pt;height:148.75pt;rotation:315;z-index:-25163980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D245B" w:rsidRPr="00F20536">
      <w:rPr>
        <w:bCs/>
      </w:rPr>
      <w:t>UNEP/</w:t>
    </w:r>
    <w:r w:rsidR="00AD245B">
      <w:t>MC/COP.2/5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AE3E" w14:textId="191CE258" w:rsidR="00AD245B" w:rsidRPr="00F20536" w:rsidRDefault="00AD245B" w:rsidP="00F20536">
    <w:pPr>
      <w:pStyle w:val="En-tte"/>
    </w:pPr>
    <w:r w:rsidRPr="00F20536">
      <w:rPr>
        <w:bCs/>
      </w:rPr>
      <w:t>UNEP/</w:t>
    </w:r>
    <w:r w:rsidRPr="00F20536">
      <w:t>MC/COP.2/5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2D1" w14:textId="05ACB805" w:rsidR="00AD245B" w:rsidRDefault="00AD245B" w:rsidP="00A108C4">
    <w:pPr>
      <w:pStyle w:val="En-tte"/>
    </w:pPr>
    <w:r w:rsidRPr="00F20536">
      <w:rPr>
        <w:bCs/>
      </w:rPr>
      <w:t>UNEP/</w:t>
    </w:r>
    <w:r>
      <w:t>MC/COP.2/5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611A" w14:textId="77777777" w:rsidR="00D72C62" w:rsidRDefault="00D72C62">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975" w14:textId="3D6BB9E7" w:rsidR="00AD245B" w:rsidRPr="00F20536" w:rsidRDefault="00AD245B" w:rsidP="00CC728F">
    <w:pPr>
      <w:pStyle w:val="En-tte"/>
      <w:jc w:val="right"/>
    </w:pPr>
    <w:r w:rsidRPr="00F20536">
      <w:rPr>
        <w:bCs/>
      </w:rPr>
      <w:t>UNEP/</w:t>
    </w:r>
    <w:r w:rsidRPr="00F20536">
      <w:t>MC/COP.2/5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1B6"/>
    <w:multiLevelType w:val="hybridMultilevel"/>
    <w:tmpl w:val="D45EBAC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15:restartNumberingAfterBreak="0">
    <w:nsid w:val="199926A8"/>
    <w:multiLevelType w:val="hybridMultilevel"/>
    <w:tmpl w:val="26AAC7AE"/>
    <w:lvl w:ilvl="0" w:tplc="040C0017">
      <w:start w:val="1"/>
      <w:numFmt w:val="lowerLetter"/>
      <w:lvlText w:val="%1)"/>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19C97BFF"/>
    <w:multiLevelType w:val="hybridMultilevel"/>
    <w:tmpl w:val="1AACAC20"/>
    <w:lvl w:ilvl="0" w:tplc="371454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1DDD565F"/>
    <w:multiLevelType w:val="hybridMultilevel"/>
    <w:tmpl w:val="5212F094"/>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1DFB6B5A"/>
    <w:multiLevelType w:val="hybridMultilevel"/>
    <w:tmpl w:val="02527A84"/>
    <w:lvl w:ilvl="0" w:tplc="16C86898">
      <w:start w:val="1"/>
      <w:numFmt w:val="lowerLetter"/>
      <w:lvlText w:val="(%1)"/>
      <w:lvlJc w:val="left"/>
      <w:pPr>
        <w:ind w:left="720"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63FA0"/>
    <w:multiLevelType w:val="hybridMultilevel"/>
    <w:tmpl w:val="17CAE464"/>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201C7F90"/>
    <w:multiLevelType w:val="hybridMultilevel"/>
    <w:tmpl w:val="F79CAF2A"/>
    <w:lvl w:ilvl="0" w:tplc="4BF0A130">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9" w15:restartNumberingAfterBreak="0">
    <w:nsid w:val="3C682D8B"/>
    <w:multiLevelType w:val="hybridMultilevel"/>
    <w:tmpl w:val="88442362"/>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51B00FFD"/>
    <w:multiLevelType w:val="hybridMultilevel"/>
    <w:tmpl w:val="837495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597C2E03"/>
    <w:multiLevelType w:val="hybridMultilevel"/>
    <w:tmpl w:val="C72C9056"/>
    <w:lvl w:ilvl="0" w:tplc="C344A51C">
      <w:start w:val="1"/>
      <w:numFmt w:val="upp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C1414B"/>
    <w:multiLevelType w:val="hybridMultilevel"/>
    <w:tmpl w:val="B49C60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BC34F6"/>
    <w:multiLevelType w:val="hybridMultilevel"/>
    <w:tmpl w:val="62500DF0"/>
    <w:lvl w:ilvl="0" w:tplc="040C0017">
      <w:start w:val="1"/>
      <w:numFmt w:val="lowerLetter"/>
      <w:lvlText w:val="%1)"/>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78355806"/>
    <w:multiLevelType w:val="hybridMultilevel"/>
    <w:tmpl w:val="11D6A83A"/>
    <w:lvl w:ilvl="0" w:tplc="7C74CB04">
      <w:start w:val="1"/>
      <w:numFmt w:val="upp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5E4E74"/>
    <w:multiLevelType w:val="hybridMultilevel"/>
    <w:tmpl w:val="B95EE438"/>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11"/>
  </w:num>
  <w:num w:numId="2">
    <w:abstractNumId w:val="3"/>
  </w:num>
  <w:num w:numId="3">
    <w:abstractNumId w:val="8"/>
  </w:num>
  <w:num w:numId="4">
    <w:abstractNumId w:val="7"/>
    <w:lvlOverride w:ilvl="0">
      <w:lvl w:ilvl="0" w:tplc="4BF0A130">
        <w:start w:val="1"/>
        <w:numFmt w:val="decimal"/>
        <w:pStyle w:val="Normalnumber"/>
        <w:lvlText w:val="%1."/>
        <w:lvlJc w:val="left"/>
        <w:pPr>
          <w:ind w:left="3905"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7"/>
    <w:lvlOverride w:ilvl="0">
      <w:startOverride w:val="1"/>
    </w:lvlOverride>
  </w:num>
  <w:num w:numId="6">
    <w:abstractNumId w:val="5"/>
  </w:num>
  <w:num w:numId="7">
    <w:abstractNumId w:val="14"/>
  </w:num>
  <w:num w:numId="8">
    <w:abstractNumId w:val="1"/>
  </w:num>
  <w:num w:numId="9">
    <w:abstractNumId w:val="7"/>
    <w:lvlOverride w:ilvl="0">
      <w:startOverride w:val="1"/>
    </w:lvlOverride>
  </w:num>
  <w:num w:numId="10">
    <w:abstractNumId w:val="16"/>
  </w:num>
  <w:num w:numId="11">
    <w:abstractNumId w:val="4"/>
  </w:num>
  <w:num w:numId="12">
    <w:abstractNumId w:val="6"/>
  </w:num>
  <w:num w:numId="13">
    <w:abstractNumId w:val="9"/>
  </w:num>
  <w:num w:numId="14">
    <w:abstractNumId w:val="0"/>
  </w:num>
  <w:num w:numId="15">
    <w:abstractNumId w:val="7"/>
  </w:num>
  <w:num w:numId="16">
    <w:abstractNumId w:val="7"/>
  </w:num>
  <w:num w:numId="17">
    <w:abstractNumId w:val="7"/>
  </w:num>
  <w:num w:numId="18">
    <w:abstractNumId w:val="7"/>
  </w:num>
  <w:num w:numId="19">
    <w:abstractNumId w:val="13"/>
  </w:num>
  <w:num w:numId="20">
    <w:abstractNumId w:val="2"/>
  </w:num>
  <w:num w:numId="21">
    <w:abstractNumId w:val="15"/>
  </w:num>
  <w:num w:numId="22">
    <w:abstractNumId w:val="12"/>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CA" w:vendorID="64" w:dllVersion="0" w:nlCheck="1" w:checkStyle="1"/>
  <w:activeWritingStyle w:appName="MSWord" w:lang="fr-CA" w:vendorID="64" w:dllVersion="0" w:nlCheck="1" w:checkStyle="0"/>
  <w:activeWritingStyle w:appName="MSWord" w:lang="fr-FR"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DF8"/>
    <w:rsid w:val="000024A3"/>
    <w:rsid w:val="000024AA"/>
    <w:rsid w:val="00003492"/>
    <w:rsid w:val="000057BB"/>
    <w:rsid w:val="000077AD"/>
    <w:rsid w:val="00011A16"/>
    <w:rsid w:val="00012C0D"/>
    <w:rsid w:val="000133B8"/>
    <w:rsid w:val="0001498C"/>
    <w:rsid w:val="000149E6"/>
    <w:rsid w:val="00015196"/>
    <w:rsid w:val="00016A08"/>
    <w:rsid w:val="000204FC"/>
    <w:rsid w:val="000213B8"/>
    <w:rsid w:val="00023DA9"/>
    <w:rsid w:val="000247B0"/>
    <w:rsid w:val="00024C21"/>
    <w:rsid w:val="00026533"/>
    <w:rsid w:val="00026997"/>
    <w:rsid w:val="00026A08"/>
    <w:rsid w:val="00032E4E"/>
    <w:rsid w:val="00033E0B"/>
    <w:rsid w:val="00033E82"/>
    <w:rsid w:val="00035ED3"/>
    <w:rsid w:val="00035EDE"/>
    <w:rsid w:val="000418A7"/>
    <w:rsid w:val="00043E22"/>
    <w:rsid w:val="000509B4"/>
    <w:rsid w:val="00050F92"/>
    <w:rsid w:val="000531BC"/>
    <w:rsid w:val="00054DF6"/>
    <w:rsid w:val="0006035B"/>
    <w:rsid w:val="000603E8"/>
    <w:rsid w:val="0006096F"/>
    <w:rsid w:val="00062C33"/>
    <w:rsid w:val="000649C5"/>
    <w:rsid w:val="000656DE"/>
    <w:rsid w:val="00071886"/>
    <w:rsid w:val="00073509"/>
    <w:rsid w:val="000742BC"/>
    <w:rsid w:val="00076225"/>
    <w:rsid w:val="00076CC6"/>
    <w:rsid w:val="00077886"/>
    <w:rsid w:val="00082A0C"/>
    <w:rsid w:val="00083504"/>
    <w:rsid w:val="000853CA"/>
    <w:rsid w:val="00085E78"/>
    <w:rsid w:val="0009029E"/>
    <w:rsid w:val="00092E91"/>
    <w:rsid w:val="0009640C"/>
    <w:rsid w:val="000A0AFC"/>
    <w:rsid w:val="000A1DB4"/>
    <w:rsid w:val="000A30CB"/>
    <w:rsid w:val="000A5D65"/>
    <w:rsid w:val="000A7957"/>
    <w:rsid w:val="000B0923"/>
    <w:rsid w:val="000B22A2"/>
    <w:rsid w:val="000B2444"/>
    <w:rsid w:val="000B3672"/>
    <w:rsid w:val="000B541B"/>
    <w:rsid w:val="000B709A"/>
    <w:rsid w:val="000B73F9"/>
    <w:rsid w:val="000C2A52"/>
    <w:rsid w:val="000C2A88"/>
    <w:rsid w:val="000C2F3D"/>
    <w:rsid w:val="000C4293"/>
    <w:rsid w:val="000D03C4"/>
    <w:rsid w:val="000D33C0"/>
    <w:rsid w:val="000D46B5"/>
    <w:rsid w:val="000D4CF6"/>
    <w:rsid w:val="000D6941"/>
    <w:rsid w:val="000E2B05"/>
    <w:rsid w:val="000E4020"/>
    <w:rsid w:val="000E6266"/>
    <w:rsid w:val="000E7204"/>
    <w:rsid w:val="000F38EF"/>
    <w:rsid w:val="000F3DCD"/>
    <w:rsid w:val="000F4829"/>
    <w:rsid w:val="000F5942"/>
    <w:rsid w:val="000F5AD9"/>
    <w:rsid w:val="000F6546"/>
    <w:rsid w:val="000F6B21"/>
    <w:rsid w:val="00100A1C"/>
    <w:rsid w:val="00102EFB"/>
    <w:rsid w:val="00105ECF"/>
    <w:rsid w:val="001069D3"/>
    <w:rsid w:val="001122E5"/>
    <w:rsid w:val="001202E3"/>
    <w:rsid w:val="00123699"/>
    <w:rsid w:val="001241FB"/>
    <w:rsid w:val="001257EA"/>
    <w:rsid w:val="0013059D"/>
    <w:rsid w:val="0013265C"/>
    <w:rsid w:val="001357E1"/>
    <w:rsid w:val="00136187"/>
    <w:rsid w:val="001404F8"/>
    <w:rsid w:val="00141A55"/>
    <w:rsid w:val="0014293F"/>
    <w:rsid w:val="0014397D"/>
    <w:rsid w:val="001446A3"/>
    <w:rsid w:val="00150125"/>
    <w:rsid w:val="00150ABC"/>
    <w:rsid w:val="00152B6B"/>
    <w:rsid w:val="00154116"/>
    <w:rsid w:val="00155395"/>
    <w:rsid w:val="00155810"/>
    <w:rsid w:val="00155A2F"/>
    <w:rsid w:val="00156B6B"/>
    <w:rsid w:val="00160D74"/>
    <w:rsid w:val="00160E54"/>
    <w:rsid w:val="00162640"/>
    <w:rsid w:val="001646EA"/>
    <w:rsid w:val="001653BA"/>
    <w:rsid w:val="00167D02"/>
    <w:rsid w:val="00172908"/>
    <w:rsid w:val="00173AB4"/>
    <w:rsid w:val="00173D00"/>
    <w:rsid w:val="001759D8"/>
    <w:rsid w:val="00175F0F"/>
    <w:rsid w:val="00177AF2"/>
    <w:rsid w:val="00177C9F"/>
    <w:rsid w:val="00177D7F"/>
    <w:rsid w:val="00180C3F"/>
    <w:rsid w:val="00181EC8"/>
    <w:rsid w:val="00184349"/>
    <w:rsid w:val="001912CF"/>
    <w:rsid w:val="00195F33"/>
    <w:rsid w:val="001962C1"/>
    <w:rsid w:val="00197BE5"/>
    <w:rsid w:val="001A1EDC"/>
    <w:rsid w:val="001A47E5"/>
    <w:rsid w:val="001A53E2"/>
    <w:rsid w:val="001B1617"/>
    <w:rsid w:val="001B18EF"/>
    <w:rsid w:val="001B2BF5"/>
    <w:rsid w:val="001B3798"/>
    <w:rsid w:val="001B504B"/>
    <w:rsid w:val="001B6F98"/>
    <w:rsid w:val="001B70E6"/>
    <w:rsid w:val="001C191A"/>
    <w:rsid w:val="001C54DA"/>
    <w:rsid w:val="001D3874"/>
    <w:rsid w:val="001D788E"/>
    <w:rsid w:val="001D7E75"/>
    <w:rsid w:val="001E0D73"/>
    <w:rsid w:val="001E195A"/>
    <w:rsid w:val="001E2986"/>
    <w:rsid w:val="001E29FE"/>
    <w:rsid w:val="001E3DE7"/>
    <w:rsid w:val="001E447F"/>
    <w:rsid w:val="001E45BD"/>
    <w:rsid w:val="001E4FB8"/>
    <w:rsid w:val="001E5528"/>
    <w:rsid w:val="001E56D2"/>
    <w:rsid w:val="001E7D56"/>
    <w:rsid w:val="001F18D5"/>
    <w:rsid w:val="001F3A93"/>
    <w:rsid w:val="001F5186"/>
    <w:rsid w:val="001F683A"/>
    <w:rsid w:val="001F75DE"/>
    <w:rsid w:val="00200D58"/>
    <w:rsid w:val="002011C1"/>
    <w:rsid w:val="002013BE"/>
    <w:rsid w:val="00201EDC"/>
    <w:rsid w:val="00204E62"/>
    <w:rsid w:val="0020513E"/>
    <w:rsid w:val="002063A4"/>
    <w:rsid w:val="0021145B"/>
    <w:rsid w:val="00211E4A"/>
    <w:rsid w:val="00216C82"/>
    <w:rsid w:val="00220C23"/>
    <w:rsid w:val="002211CC"/>
    <w:rsid w:val="002247F6"/>
    <w:rsid w:val="002256B6"/>
    <w:rsid w:val="00225E21"/>
    <w:rsid w:val="00225E44"/>
    <w:rsid w:val="00234E78"/>
    <w:rsid w:val="0024034F"/>
    <w:rsid w:val="00243D36"/>
    <w:rsid w:val="00245242"/>
    <w:rsid w:val="00246151"/>
    <w:rsid w:val="00247707"/>
    <w:rsid w:val="002501BC"/>
    <w:rsid w:val="00251404"/>
    <w:rsid w:val="00252181"/>
    <w:rsid w:val="00252456"/>
    <w:rsid w:val="002573B1"/>
    <w:rsid w:val="0026018E"/>
    <w:rsid w:val="0026034B"/>
    <w:rsid w:val="00261C6B"/>
    <w:rsid w:val="002627C5"/>
    <w:rsid w:val="00264EC0"/>
    <w:rsid w:val="00273F68"/>
    <w:rsid w:val="00285849"/>
    <w:rsid w:val="00285F6B"/>
    <w:rsid w:val="00286740"/>
    <w:rsid w:val="002877EF"/>
    <w:rsid w:val="00290208"/>
    <w:rsid w:val="0029020B"/>
    <w:rsid w:val="00290368"/>
    <w:rsid w:val="00291719"/>
    <w:rsid w:val="00291EAE"/>
    <w:rsid w:val="002921D2"/>
    <w:rsid w:val="002929D8"/>
    <w:rsid w:val="0029471C"/>
    <w:rsid w:val="00295850"/>
    <w:rsid w:val="00296470"/>
    <w:rsid w:val="002A050D"/>
    <w:rsid w:val="002A237D"/>
    <w:rsid w:val="002A4C53"/>
    <w:rsid w:val="002A5445"/>
    <w:rsid w:val="002A643B"/>
    <w:rsid w:val="002B0672"/>
    <w:rsid w:val="002B1042"/>
    <w:rsid w:val="002B247F"/>
    <w:rsid w:val="002B50D4"/>
    <w:rsid w:val="002B58BF"/>
    <w:rsid w:val="002B5ABC"/>
    <w:rsid w:val="002B7D95"/>
    <w:rsid w:val="002C0B45"/>
    <w:rsid w:val="002C145D"/>
    <w:rsid w:val="002C2C3E"/>
    <w:rsid w:val="002C533E"/>
    <w:rsid w:val="002C7219"/>
    <w:rsid w:val="002D027F"/>
    <w:rsid w:val="002D3E15"/>
    <w:rsid w:val="002D5C89"/>
    <w:rsid w:val="002D7A85"/>
    <w:rsid w:val="002D7B60"/>
    <w:rsid w:val="002E0469"/>
    <w:rsid w:val="002E4D22"/>
    <w:rsid w:val="002E588D"/>
    <w:rsid w:val="002F4761"/>
    <w:rsid w:val="002F5C79"/>
    <w:rsid w:val="002F68EE"/>
    <w:rsid w:val="0030066A"/>
    <w:rsid w:val="003019E2"/>
    <w:rsid w:val="003043A8"/>
    <w:rsid w:val="0030652D"/>
    <w:rsid w:val="00310BEB"/>
    <w:rsid w:val="00310F08"/>
    <w:rsid w:val="0031117A"/>
    <w:rsid w:val="00311A50"/>
    <w:rsid w:val="00312B3A"/>
    <w:rsid w:val="0031413F"/>
    <w:rsid w:val="00314854"/>
    <w:rsid w:val="003148BB"/>
    <w:rsid w:val="00315480"/>
    <w:rsid w:val="00317976"/>
    <w:rsid w:val="00320F2F"/>
    <w:rsid w:val="0032457E"/>
    <w:rsid w:val="00325D38"/>
    <w:rsid w:val="003330C6"/>
    <w:rsid w:val="00336ECA"/>
    <w:rsid w:val="0033729C"/>
    <w:rsid w:val="00350EF3"/>
    <w:rsid w:val="00351343"/>
    <w:rsid w:val="00351DE5"/>
    <w:rsid w:val="0035218D"/>
    <w:rsid w:val="0035277E"/>
    <w:rsid w:val="00355EA9"/>
    <w:rsid w:val="00356741"/>
    <w:rsid w:val="003578DE"/>
    <w:rsid w:val="00361688"/>
    <w:rsid w:val="0036206D"/>
    <w:rsid w:val="0036328C"/>
    <w:rsid w:val="00363618"/>
    <w:rsid w:val="003637EC"/>
    <w:rsid w:val="0036598C"/>
    <w:rsid w:val="00367FD2"/>
    <w:rsid w:val="00372021"/>
    <w:rsid w:val="00373F8C"/>
    <w:rsid w:val="003766FD"/>
    <w:rsid w:val="00380921"/>
    <w:rsid w:val="003877D5"/>
    <w:rsid w:val="00387A71"/>
    <w:rsid w:val="0039155A"/>
    <w:rsid w:val="003929B8"/>
    <w:rsid w:val="00393432"/>
    <w:rsid w:val="00396132"/>
    <w:rsid w:val="00396257"/>
    <w:rsid w:val="00397EB8"/>
    <w:rsid w:val="003A16BF"/>
    <w:rsid w:val="003A24CC"/>
    <w:rsid w:val="003A41BB"/>
    <w:rsid w:val="003A4FD0"/>
    <w:rsid w:val="003A69D1"/>
    <w:rsid w:val="003A7705"/>
    <w:rsid w:val="003A77F1"/>
    <w:rsid w:val="003A7D2B"/>
    <w:rsid w:val="003B1545"/>
    <w:rsid w:val="003B1991"/>
    <w:rsid w:val="003B58D8"/>
    <w:rsid w:val="003B777A"/>
    <w:rsid w:val="003C0916"/>
    <w:rsid w:val="003C3219"/>
    <w:rsid w:val="003C409D"/>
    <w:rsid w:val="003C4544"/>
    <w:rsid w:val="003C5583"/>
    <w:rsid w:val="003C5BA6"/>
    <w:rsid w:val="003C74CF"/>
    <w:rsid w:val="003D3752"/>
    <w:rsid w:val="003D50A9"/>
    <w:rsid w:val="003E00E1"/>
    <w:rsid w:val="003E091C"/>
    <w:rsid w:val="003E20F5"/>
    <w:rsid w:val="003E31FC"/>
    <w:rsid w:val="003E35DA"/>
    <w:rsid w:val="003E3875"/>
    <w:rsid w:val="003E455D"/>
    <w:rsid w:val="003E5819"/>
    <w:rsid w:val="003F0E85"/>
    <w:rsid w:val="003F5ADA"/>
    <w:rsid w:val="003F5EA4"/>
    <w:rsid w:val="00400E8E"/>
    <w:rsid w:val="00404952"/>
    <w:rsid w:val="004058B6"/>
    <w:rsid w:val="00410A37"/>
    <w:rsid w:val="00410C55"/>
    <w:rsid w:val="00412560"/>
    <w:rsid w:val="00416854"/>
    <w:rsid w:val="0041692C"/>
    <w:rsid w:val="00417725"/>
    <w:rsid w:val="00417975"/>
    <w:rsid w:val="0042266F"/>
    <w:rsid w:val="004266F6"/>
    <w:rsid w:val="00430E82"/>
    <w:rsid w:val="004325E5"/>
    <w:rsid w:val="00434321"/>
    <w:rsid w:val="00437F26"/>
    <w:rsid w:val="00442A7E"/>
    <w:rsid w:val="00442C89"/>
    <w:rsid w:val="00442F76"/>
    <w:rsid w:val="00444097"/>
    <w:rsid w:val="00445487"/>
    <w:rsid w:val="00447E0D"/>
    <w:rsid w:val="00452368"/>
    <w:rsid w:val="0045314A"/>
    <w:rsid w:val="00453C40"/>
    <w:rsid w:val="00453EA8"/>
    <w:rsid w:val="00454769"/>
    <w:rsid w:val="00457585"/>
    <w:rsid w:val="00462679"/>
    <w:rsid w:val="00466991"/>
    <w:rsid w:val="004679A0"/>
    <w:rsid w:val="0047064C"/>
    <w:rsid w:val="00472720"/>
    <w:rsid w:val="00476453"/>
    <w:rsid w:val="00476F81"/>
    <w:rsid w:val="00480343"/>
    <w:rsid w:val="004820DE"/>
    <w:rsid w:val="004822B7"/>
    <w:rsid w:val="0048449A"/>
    <w:rsid w:val="00484ABF"/>
    <w:rsid w:val="00485612"/>
    <w:rsid w:val="00487B33"/>
    <w:rsid w:val="00492B91"/>
    <w:rsid w:val="0049469E"/>
    <w:rsid w:val="004A2217"/>
    <w:rsid w:val="004A24F9"/>
    <w:rsid w:val="004A343D"/>
    <w:rsid w:val="004A42E1"/>
    <w:rsid w:val="004B162C"/>
    <w:rsid w:val="004B2ABE"/>
    <w:rsid w:val="004B30AC"/>
    <w:rsid w:val="004B70A9"/>
    <w:rsid w:val="004C3DBE"/>
    <w:rsid w:val="004C5C96"/>
    <w:rsid w:val="004C7455"/>
    <w:rsid w:val="004D06A4"/>
    <w:rsid w:val="004D30B2"/>
    <w:rsid w:val="004E5F31"/>
    <w:rsid w:val="004F1A81"/>
    <w:rsid w:val="004F5D88"/>
    <w:rsid w:val="004F7401"/>
    <w:rsid w:val="00501354"/>
    <w:rsid w:val="00504D82"/>
    <w:rsid w:val="00504F0D"/>
    <w:rsid w:val="005050D2"/>
    <w:rsid w:val="005068E1"/>
    <w:rsid w:val="0050715B"/>
    <w:rsid w:val="005079D5"/>
    <w:rsid w:val="00513202"/>
    <w:rsid w:val="0051663B"/>
    <w:rsid w:val="0051726A"/>
    <w:rsid w:val="00521286"/>
    <w:rsid w:val="005218D9"/>
    <w:rsid w:val="0052201B"/>
    <w:rsid w:val="00522EB9"/>
    <w:rsid w:val="005308EB"/>
    <w:rsid w:val="0053408E"/>
    <w:rsid w:val="00536186"/>
    <w:rsid w:val="005405D3"/>
    <w:rsid w:val="00544CBB"/>
    <w:rsid w:val="00544F17"/>
    <w:rsid w:val="00545036"/>
    <w:rsid w:val="00551B65"/>
    <w:rsid w:val="005557A6"/>
    <w:rsid w:val="00556704"/>
    <w:rsid w:val="005574CD"/>
    <w:rsid w:val="00563D3C"/>
    <w:rsid w:val="0056432A"/>
    <w:rsid w:val="005656D7"/>
    <w:rsid w:val="005660A8"/>
    <w:rsid w:val="0057044A"/>
    <w:rsid w:val="00571679"/>
    <w:rsid w:val="00573153"/>
    <w:rsid w:val="0057315F"/>
    <w:rsid w:val="00576104"/>
    <w:rsid w:val="00584681"/>
    <w:rsid w:val="00586418"/>
    <w:rsid w:val="00586D3F"/>
    <w:rsid w:val="00590BFA"/>
    <w:rsid w:val="00591EF5"/>
    <w:rsid w:val="00592B21"/>
    <w:rsid w:val="00593BC7"/>
    <w:rsid w:val="005A05F6"/>
    <w:rsid w:val="005A1B62"/>
    <w:rsid w:val="005A1CB1"/>
    <w:rsid w:val="005A49CC"/>
    <w:rsid w:val="005A68F8"/>
    <w:rsid w:val="005B2DF4"/>
    <w:rsid w:val="005B44BF"/>
    <w:rsid w:val="005B4530"/>
    <w:rsid w:val="005C15BF"/>
    <w:rsid w:val="005C22EF"/>
    <w:rsid w:val="005C67C8"/>
    <w:rsid w:val="005C6DB2"/>
    <w:rsid w:val="005C77F9"/>
    <w:rsid w:val="005D0249"/>
    <w:rsid w:val="005D1097"/>
    <w:rsid w:val="005D18FA"/>
    <w:rsid w:val="005D4FD4"/>
    <w:rsid w:val="005D6E8C"/>
    <w:rsid w:val="005D768B"/>
    <w:rsid w:val="005E3004"/>
    <w:rsid w:val="005F100C"/>
    <w:rsid w:val="005F220A"/>
    <w:rsid w:val="005F2AF3"/>
    <w:rsid w:val="005F2CD7"/>
    <w:rsid w:val="005F39E5"/>
    <w:rsid w:val="005F68DA"/>
    <w:rsid w:val="005F7419"/>
    <w:rsid w:val="00601BC9"/>
    <w:rsid w:val="006027C3"/>
    <w:rsid w:val="00603526"/>
    <w:rsid w:val="00605180"/>
    <w:rsid w:val="0060773B"/>
    <w:rsid w:val="00610803"/>
    <w:rsid w:val="006111FE"/>
    <w:rsid w:val="00613FD6"/>
    <w:rsid w:val="00614299"/>
    <w:rsid w:val="006157B5"/>
    <w:rsid w:val="00615839"/>
    <w:rsid w:val="006160EF"/>
    <w:rsid w:val="00617224"/>
    <w:rsid w:val="0062295E"/>
    <w:rsid w:val="00625917"/>
    <w:rsid w:val="00625AD7"/>
    <w:rsid w:val="006268B3"/>
    <w:rsid w:val="00626FC6"/>
    <w:rsid w:val="006303B4"/>
    <w:rsid w:val="00630ADC"/>
    <w:rsid w:val="00633D3D"/>
    <w:rsid w:val="006352E5"/>
    <w:rsid w:val="0063541A"/>
    <w:rsid w:val="00641703"/>
    <w:rsid w:val="00642762"/>
    <w:rsid w:val="006431A6"/>
    <w:rsid w:val="00643E3A"/>
    <w:rsid w:val="0064454B"/>
    <w:rsid w:val="006459F6"/>
    <w:rsid w:val="00650148"/>
    <w:rsid w:val="006501AD"/>
    <w:rsid w:val="00651BFA"/>
    <w:rsid w:val="00654475"/>
    <w:rsid w:val="0065620F"/>
    <w:rsid w:val="00656A63"/>
    <w:rsid w:val="00656DF0"/>
    <w:rsid w:val="00660A68"/>
    <w:rsid w:val="00660E9D"/>
    <w:rsid w:val="00661751"/>
    <w:rsid w:val="006642B2"/>
    <w:rsid w:val="00665A4B"/>
    <w:rsid w:val="00670FAE"/>
    <w:rsid w:val="00673399"/>
    <w:rsid w:val="00673E45"/>
    <w:rsid w:val="00674EB8"/>
    <w:rsid w:val="00683041"/>
    <w:rsid w:val="00683EDE"/>
    <w:rsid w:val="00684344"/>
    <w:rsid w:val="00691364"/>
    <w:rsid w:val="00692277"/>
    <w:rsid w:val="00692E2A"/>
    <w:rsid w:val="0069496A"/>
    <w:rsid w:val="00696C1C"/>
    <w:rsid w:val="006A3DD0"/>
    <w:rsid w:val="006A5ABB"/>
    <w:rsid w:val="006A76F2"/>
    <w:rsid w:val="006B7D29"/>
    <w:rsid w:val="006C05FA"/>
    <w:rsid w:val="006C11F3"/>
    <w:rsid w:val="006C29BF"/>
    <w:rsid w:val="006D0ECB"/>
    <w:rsid w:val="006D19D4"/>
    <w:rsid w:val="006D1E0A"/>
    <w:rsid w:val="006D5644"/>
    <w:rsid w:val="006D5C23"/>
    <w:rsid w:val="006D7EFB"/>
    <w:rsid w:val="006E00E7"/>
    <w:rsid w:val="006E43C0"/>
    <w:rsid w:val="006E6672"/>
    <w:rsid w:val="006E6722"/>
    <w:rsid w:val="006E74CD"/>
    <w:rsid w:val="006E7D2E"/>
    <w:rsid w:val="006F0FE9"/>
    <w:rsid w:val="006F4B44"/>
    <w:rsid w:val="006F7AFF"/>
    <w:rsid w:val="0070160D"/>
    <w:rsid w:val="00701B93"/>
    <w:rsid w:val="007027B9"/>
    <w:rsid w:val="0070465E"/>
    <w:rsid w:val="007066B5"/>
    <w:rsid w:val="007079DD"/>
    <w:rsid w:val="00713534"/>
    <w:rsid w:val="007145DA"/>
    <w:rsid w:val="00715E88"/>
    <w:rsid w:val="00716D8B"/>
    <w:rsid w:val="00720573"/>
    <w:rsid w:val="007247F8"/>
    <w:rsid w:val="00725656"/>
    <w:rsid w:val="00730E2E"/>
    <w:rsid w:val="007343A1"/>
    <w:rsid w:val="00734CAA"/>
    <w:rsid w:val="007362DD"/>
    <w:rsid w:val="00736BCE"/>
    <w:rsid w:val="00740EE2"/>
    <w:rsid w:val="007424C0"/>
    <w:rsid w:val="00742680"/>
    <w:rsid w:val="00743EE5"/>
    <w:rsid w:val="007544F3"/>
    <w:rsid w:val="0075533C"/>
    <w:rsid w:val="00755A18"/>
    <w:rsid w:val="00757581"/>
    <w:rsid w:val="007602F5"/>
    <w:rsid w:val="00760BC2"/>
    <w:rsid w:val="00760D36"/>
    <w:rsid w:val="007611A0"/>
    <w:rsid w:val="00761DCE"/>
    <w:rsid w:val="0076226E"/>
    <w:rsid w:val="007662F2"/>
    <w:rsid w:val="00766590"/>
    <w:rsid w:val="00767E5B"/>
    <w:rsid w:val="00772093"/>
    <w:rsid w:val="00772574"/>
    <w:rsid w:val="00773E54"/>
    <w:rsid w:val="00776099"/>
    <w:rsid w:val="00776788"/>
    <w:rsid w:val="00782802"/>
    <w:rsid w:val="00783CEE"/>
    <w:rsid w:val="00784894"/>
    <w:rsid w:val="00785420"/>
    <w:rsid w:val="0078583E"/>
    <w:rsid w:val="00787688"/>
    <w:rsid w:val="00791D84"/>
    <w:rsid w:val="007935E6"/>
    <w:rsid w:val="007952B7"/>
    <w:rsid w:val="00796D1B"/>
    <w:rsid w:val="00796D3F"/>
    <w:rsid w:val="00796FAE"/>
    <w:rsid w:val="00797F98"/>
    <w:rsid w:val="007A1683"/>
    <w:rsid w:val="007A5C12"/>
    <w:rsid w:val="007A762F"/>
    <w:rsid w:val="007A7CB0"/>
    <w:rsid w:val="007B25B7"/>
    <w:rsid w:val="007B6662"/>
    <w:rsid w:val="007B68A3"/>
    <w:rsid w:val="007C00E1"/>
    <w:rsid w:val="007C075A"/>
    <w:rsid w:val="007C1783"/>
    <w:rsid w:val="007C2541"/>
    <w:rsid w:val="007C3926"/>
    <w:rsid w:val="007C733B"/>
    <w:rsid w:val="007C74B9"/>
    <w:rsid w:val="007C7A01"/>
    <w:rsid w:val="007D0BD4"/>
    <w:rsid w:val="007D615C"/>
    <w:rsid w:val="007D656A"/>
    <w:rsid w:val="007D66A8"/>
    <w:rsid w:val="007D69AF"/>
    <w:rsid w:val="007E003F"/>
    <w:rsid w:val="007E04C6"/>
    <w:rsid w:val="007E152E"/>
    <w:rsid w:val="007E55EA"/>
    <w:rsid w:val="007F0CF8"/>
    <w:rsid w:val="007F5E1B"/>
    <w:rsid w:val="007F62CB"/>
    <w:rsid w:val="00802523"/>
    <w:rsid w:val="00804D9C"/>
    <w:rsid w:val="00804DE6"/>
    <w:rsid w:val="00807075"/>
    <w:rsid w:val="008142EC"/>
    <w:rsid w:val="008164F2"/>
    <w:rsid w:val="00820F96"/>
    <w:rsid w:val="00821395"/>
    <w:rsid w:val="00824003"/>
    <w:rsid w:val="008273BB"/>
    <w:rsid w:val="00830DB6"/>
    <w:rsid w:val="00830E26"/>
    <w:rsid w:val="00830FB5"/>
    <w:rsid w:val="00831311"/>
    <w:rsid w:val="008320DB"/>
    <w:rsid w:val="00832582"/>
    <w:rsid w:val="00834299"/>
    <w:rsid w:val="00834368"/>
    <w:rsid w:val="0083441A"/>
    <w:rsid w:val="00840BD2"/>
    <w:rsid w:val="008428E0"/>
    <w:rsid w:val="00843576"/>
    <w:rsid w:val="00843B64"/>
    <w:rsid w:val="00845261"/>
    <w:rsid w:val="008478FC"/>
    <w:rsid w:val="00850DB6"/>
    <w:rsid w:val="00851C51"/>
    <w:rsid w:val="00852134"/>
    <w:rsid w:val="00852ED8"/>
    <w:rsid w:val="008538F7"/>
    <w:rsid w:val="00855E52"/>
    <w:rsid w:val="00856358"/>
    <w:rsid w:val="00856C90"/>
    <w:rsid w:val="0086402E"/>
    <w:rsid w:val="00865D2C"/>
    <w:rsid w:val="00866FE3"/>
    <w:rsid w:val="008675EA"/>
    <w:rsid w:val="00867BFF"/>
    <w:rsid w:val="008701B3"/>
    <w:rsid w:val="00871542"/>
    <w:rsid w:val="00871616"/>
    <w:rsid w:val="00872BF6"/>
    <w:rsid w:val="00873982"/>
    <w:rsid w:val="00873B91"/>
    <w:rsid w:val="008840CC"/>
    <w:rsid w:val="0088480A"/>
    <w:rsid w:val="008849EE"/>
    <w:rsid w:val="00885E74"/>
    <w:rsid w:val="0088757A"/>
    <w:rsid w:val="0089431B"/>
    <w:rsid w:val="00894CBA"/>
    <w:rsid w:val="00895668"/>
    <w:rsid w:val="008957DD"/>
    <w:rsid w:val="00896412"/>
    <w:rsid w:val="00897A34"/>
    <w:rsid w:val="00897CE4"/>
    <w:rsid w:val="00897D98"/>
    <w:rsid w:val="008A4452"/>
    <w:rsid w:val="008A6DF2"/>
    <w:rsid w:val="008A7807"/>
    <w:rsid w:val="008B0A34"/>
    <w:rsid w:val="008B4CC9"/>
    <w:rsid w:val="008C082C"/>
    <w:rsid w:val="008C0B15"/>
    <w:rsid w:val="008C3255"/>
    <w:rsid w:val="008C5C20"/>
    <w:rsid w:val="008D1368"/>
    <w:rsid w:val="008D3454"/>
    <w:rsid w:val="008D5EAB"/>
    <w:rsid w:val="008D75E4"/>
    <w:rsid w:val="008D7C99"/>
    <w:rsid w:val="008E0975"/>
    <w:rsid w:val="008E0FCB"/>
    <w:rsid w:val="008E2520"/>
    <w:rsid w:val="008E71B0"/>
    <w:rsid w:val="008F1D13"/>
    <w:rsid w:val="008F32EB"/>
    <w:rsid w:val="008F6DFE"/>
    <w:rsid w:val="0090175F"/>
    <w:rsid w:val="0090529F"/>
    <w:rsid w:val="00906673"/>
    <w:rsid w:val="009071F4"/>
    <w:rsid w:val="0091045C"/>
    <w:rsid w:val="009168DE"/>
    <w:rsid w:val="0092178C"/>
    <w:rsid w:val="00921B21"/>
    <w:rsid w:val="0092355B"/>
    <w:rsid w:val="00930B88"/>
    <w:rsid w:val="00931564"/>
    <w:rsid w:val="00935376"/>
    <w:rsid w:val="009355C8"/>
    <w:rsid w:val="009408B8"/>
    <w:rsid w:val="00940DCC"/>
    <w:rsid w:val="0094179A"/>
    <w:rsid w:val="0094459E"/>
    <w:rsid w:val="009447E0"/>
    <w:rsid w:val="009449EE"/>
    <w:rsid w:val="00944DBC"/>
    <w:rsid w:val="00945814"/>
    <w:rsid w:val="00950977"/>
    <w:rsid w:val="00951A7B"/>
    <w:rsid w:val="00955512"/>
    <w:rsid w:val="009557E9"/>
    <w:rsid w:val="00956093"/>
    <w:rsid w:val="009564A6"/>
    <w:rsid w:val="00957EF8"/>
    <w:rsid w:val="00962AFC"/>
    <w:rsid w:val="00965C1F"/>
    <w:rsid w:val="00966A53"/>
    <w:rsid w:val="00967621"/>
    <w:rsid w:val="00967E6A"/>
    <w:rsid w:val="009702C0"/>
    <w:rsid w:val="00970CC3"/>
    <w:rsid w:val="00981389"/>
    <w:rsid w:val="00984AC6"/>
    <w:rsid w:val="00986F7D"/>
    <w:rsid w:val="009907B9"/>
    <w:rsid w:val="00990918"/>
    <w:rsid w:val="0099285F"/>
    <w:rsid w:val="00995BB3"/>
    <w:rsid w:val="00997734"/>
    <w:rsid w:val="009A08A3"/>
    <w:rsid w:val="009A36B3"/>
    <w:rsid w:val="009A3A83"/>
    <w:rsid w:val="009A5BB5"/>
    <w:rsid w:val="009B2281"/>
    <w:rsid w:val="009B4A0F"/>
    <w:rsid w:val="009C11D2"/>
    <w:rsid w:val="009C6817"/>
    <w:rsid w:val="009C6C70"/>
    <w:rsid w:val="009C7B0A"/>
    <w:rsid w:val="009D0B63"/>
    <w:rsid w:val="009D1C0D"/>
    <w:rsid w:val="009D3250"/>
    <w:rsid w:val="009D5CB8"/>
    <w:rsid w:val="009E1612"/>
    <w:rsid w:val="009E307E"/>
    <w:rsid w:val="009E53AF"/>
    <w:rsid w:val="009F5476"/>
    <w:rsid w:val="009F7331"/>
    <w:rsid w:val="00A00DEF"/>
    <w:rsid w:val="00A0125A"/>
    <w:rsid w:val="00A07870"/>
    <w:rsid w:val="00A07C54"/>
    <w:rsid w:val="00A07F19"/>
    <w:rsid w:val="00A108C4"/>
    <w:rsid w:val="00A124BB"/>
    <w:rsid w:val="00A1348D"/>
    <w:rsid w:val="00A13C99"/>
    <w:rsid w:val="00A15A4C"/>
    <w:rsid w:val="00A20C6D"/>
    <w:rsid w:val="00A232EE"/>
    <w:rsid w:val="00A316BE"/>
    <w:rsid w:val="00A32A5F"/>
    <w:rsid w:val="00A32C24"/>
    <w:rsid w:val="00A36F6E"/>
    <w:rsid w:val="00A37FD7"/>
    <w:rsid w:val="00A4175F"/>
    <w:rsid w:val="00A42832"/>
    <w:rsid w:val="00A44411"/>
    <w:rsid w:val="00A454A7"/>
    <w:rsid w:val="00A469FA"/>
    <w:rsid w:val="00A47A6E"/>
    <w:rsid w:val="00A47CA1"/>
    <w:rsid w:val="00A51FD3"/>
    <w:rsid w:val="00A53662"/>
    <w:rsid w:val="00A54338"/>
    <w:rsid w:val="00A54C0D"/>
    <w:rsid w:val="00A54E84"/>
    <w:rsid w:val="00A5555E"/>
    <w:rsid w:val="00A55B01"/>
    <w:rsid w:val="00A56B5B"/>
    <w:rsid w:val="00A603FF"/>
    <w:rsid w:val="00A619B6"/>
    <w:rsid w:val="00A62AF4"/>
    <w:rsid w:val="00A648CA"/>
    <w:rsid w:val="00A657DD"/>
    <w:rsid w:val="00A66313"/>
    <w:rsid w:val="00A666A6"/>
    <w:rsid w:val="00A675FD"/>
    <w:rsid w:val="00A72437"/>
    <w:rsid w:val="00A72765"/>
    <w:rsid w:val="00A75A0B"/>
    <w:rsid w:val="00A7665E"/>
    <w:rsid w:val="00A76B09"/>
    <w:rsid w:val="00A8048B"/>
    <w:rsid w:val="00A80611"/>
    <w:rsid w:val="00A8085B"/>
    <w:rsid w:val="00A80BE9"/>
    <w:rsid w:val="00A84B48"/>
    <w:rsid w:val="00A85B07"/>
    <w:rsid w:val="00A85C28"/>
    <w:rsid w:val="00A85D65"/>
    <w:rsid w:val="00A87CF3"/>
    <w:rsid w:val="00A92415"/>
    <w:rsid w:val="00A93151"/>
    <w:rsid w:val="00A95CAB"/>
    <w:rsid w:val="00AA4E62"/>
    <w:rsid w:val="00AA5BF4"/>
    <w:rsid w:val="00AB22C4"/>
    <w:rsid w:val="00AB481C"/>
    <w:rsid w:val="00AB5340"/>
    <w:rsid w:val="00AB646E"/>
    <w:rsid w:val="00AB7DAA"/>
    <w:rsid w:val="00AC0106"/>
    <w:rsid w:val="00AC0A89"/>
    <w:rsid w:val="00AC0E99"/>
    <w:rsid w:val="00AC1820"/>
    <w:rsid w:val="00AC1BE8"/>
    <w:rsid w:val="00AC45AF"/>
    <w:rsid w:val="00AC559D"/>
    <w:rsid w:val="00AC62DA"/>
    <w:rsid w:val="00AC6862"/>
    <w:rsid w:val="00AC7C96"/>
    <w:rsid w:val="00AD0F46"/>
    <w:rsid w:val="00AD1D82"/>
    <w:rsid w:val="00AD245B"/>
    <w:rsid w:val="00AD3593"/>
    <w:rsid w:val="00AD3D89"/>
    <w:rsid w:val="00AD47B4"/>
    <w:rsid w:val="00AD6F30"/>
    <w:rsid w:val="00AE0812"/>
    <w:rsid w:val="00AE237D"/>
    <w:rsid w:val="00AE3C85"/>
    <w:rsid w:val="00AE502A"/>
    <w:rsid w:val="00AE52D0"/>
    <w:rsid w:val="00AE7CCA"/>
    <w:rsid w:val="00AF0010"/>
    <w:rsid w:val="00AF1AA8"/>
    <w:rsid w:val="00AF2C1F"/>
    <w:rsid w:val="00AF2D01"/>
    <w:rsid w:val="00AF5345"/>
    <w:rsid w:val="00AF56DD"/>
    <w:rsid w:val="00AF7C07"/>
    <w:rsid w:val="00B02512"/>
    <w:rsid w:val="00B06C64"/>
    <w:rsid w:val="00B06DB9"/>
    <w:rsid w:val="00B07089"/>
    <w:rsid w:val="00B07D8E"/>
    <w:rsid w:val="00B10E5F"/>
    <w:rsid w:val="00B11CAC"/>
    <w:rsid w:val="00B130A3"/>
    <w:rsid w:val="00B13543"/>
    <w:rsid w:val="00B15A29"/>
    <w:rsid w:val="00B17527"/>
    <w:rsid w:val="00B22C93"/>
    <w:rsid w:val="00B27589"/>
    <w:rsid w:val="00B373A3"/>
    <w:rsid w:val="00B405B7"/>
    <w:rsid w:val="00B40BB1"/>
    <w:rsid w:val="00B42AE3"/>
    <w:rsid w:val="00B43427"/>
    <w:rsid w:val="00B451CD"/>
    <w:rsid w:val="00B4622F"/>
    <w:rsid w:val="00B468C0"/>
    <w:rsid w:val="00B47C92"/>
    <w:rsid w:val="00B50E03"/>
    <w:rsid w:val="00B50FE9"/>
    <w:rsid w:val="00B51C43"/>
    <w:rsid w:val="00B52222"/>
    <w:rsid w:val="00B531DA"/>
    <w:rsid w:val="00B535EB"/>
    <w:rsid w:val="00B53A3F"/>
    <w:rsid w:val="00B54895"/>
    <w:rsid w:val="00B54FE7"/>
    <w:rsid w:val="00B61A53"/>
    <w:rsid w:val="00B62F0B"/>
    <w:rsid w:val="00B647C6"/>
    <w:rsid w:val="00B655F9"/>
    <w:rsid w:val="00B66901"/>
    <w:rsid w:val="00B66F60"/>
    <w:rsid w:val="00B71E6D"/>
    <w:rsid w:val="00B72070"/>
    <w:rsid w:val="00B76C7D"/>
    <w:rsid w:val="00B77262"/>
    <w:rsid w:val="00B7785F"/>
    <w:rsid w:val="00B779E1"/>
    <w:rsid w:val="00B81650"/>
    <w:rsid w:val="00B81E3A"/>
    <w:rsid w:val="00B85CFB"/>
    <w:rsid w:val="00B914E9"/>
    <w:rsid w:val="00B91EE1"/>
    <w:rsid w:val="00B94602"/>
    <w:rsid w:val="00B97888"/>
    <w:rsid w:val="00BA0090"/>
    <w:rsid w:val="00BA1A67"/>
    <w:rsid w:val="00BA30C6"/>
    <w:rsid w:val="00BA4679"/>
    <w:rsid w:val="00BA6A80"/>
    <w:rsid w:val="00BB4ABB"/>
    <w:rsid w:val="00BB5AFB"/>
    <w:rsid w:val="00BC210B"/>
    <w:rsid w:val="00BC62BA"/>
    <w:rsid w:val="00BD100B"/>
    <w:rsid w:val="00BD1BAB"/>
    <w:rsid w:val="00BE12BB"/>
    <w:rsid w:val="00BE5B5F"/>
    <w:rsid w:val="00BE65B6"/>
    <w:rsid w:val="00BE7993"/>
    <w:rsid w:val="00BF0B63"/>
    <w:rsid w:val="00BF38B8"/>
    <w:rsid w:val="00BF4834"/>
    <w:rsid w:val="00BF5697"/>
    <w:rsid w:val="00BF5D42"/>
    <w:rsid w:val="00C04482"/>
    <w:rsid w:val="00C04776"/>
    <w:rsid w:val="00C05718"/>
    <w:rsid w:val="00C06050"/>
    <w:rsid w:val="00C11971"/>
    <w:rsid w:val="00C12B8E"/>
    <w:rsid w:val="00C179DE"/>
    <w:rsid w:val="00C229F7"/>
    <w:rsid w:val="00C23A95"/>
    <w:rsid w:val="00C26F55"/>
    <w:rsid w:val="00C30C63"/>
    <w:rsid w:val="00C30FF3"/>
    <w:rsid w:val="00C32D09"/>
    <w:rsid w:val="00C34D5C"/>
    <w:rsid w:val="00C354AB"/>
    <w:rsid w:val="00C36B8B"/>
    <w:rsid w:val="00C3714D"/>
    <w:rsid w:val="00C37CA9"/>
    <w:rsid w:val="00C415C1"/>
    <w:rsid w:val="00C435E2"/>
    <w:rsid w:val="00C47A2B"/>
    <w:rsid w:val="00C47DBF"/>
    <w:rsid w:val="00C52F99"/>
    <w:rsid w:val="00C552FF"/>
    <w:rsid w:val="00C558DA"/>
    <w:rsid w:val="00C55AF3"/>
    <w:rsid w:val="00C561F4"/>
    <w:rsid w:val="00C576E8"/>
    <w:rsid w:val="00C6053B"/>
    <w:rsid w:val="00C62C91"/>
    <w:rsid w:val="00C639C1"/>
    <w:rsid w:val="00C64485"/>
    <w:rsid w:val="00C6685C"/>
    <w:rsid w:val="00C771A9"/>
    <w:rsid w:val="00C773C9"/>
    <w:rsid w:val="00C80CBE"/>
    <w:rsid w:val="00C82943"/>
    <w:rsid w:val="00C842EA"/>
    <w:rsid w:val="00C84759"/>
    <w:rsid w:val="00C85055"/>
    <w:rsid w:val="00C85B76"/>
    <w:rsid w:val="00C8671F"/>
    <w:rsid w:val="00C93096"/>
    <w:rsid w:val="00C95844"/>
    <w:rsid w:val="00CA48DC"/>
    <w:rsid w:val="00CA5CA9"/>
    <w:rsid w:val="00CA6C7F"/>
    <w:rsid w:val="00CB007D"/>
    <w:rsid w:val="00CB2697"/>
    <w:rsid w:val="00CB5E63"/>
    <w:rsid w:val="00CB60CA"/>
    <w:rsid w:val="00CB7271"/>
    <w:rsid w:val="00CC0FC7"/>
    <w:rsid w:val="00CC10A6"/>
    <w:rsid w:val="00CC5A25"/>
    <w:rsid w:val="00CC728F"/>
    <w:rsid w:val="00CD0518"/>
    <w:rsid w:val="00CD5EB8"/>
    <w:rsid w:val="00CD6180"/>
    <w:rsid w:val="00CD7044"/>
    <w:rsid w:val="00CE08B9"/>
    <w:rsid w:val="00CE3515"/>
    <w:rsid w:val="00CE4844"/>
    <w:rsid w:val="00CE4A76"/>
    <w:rsid w:val="00CE4D0D"/>
    <w:rsid w:val="00CE524C"/>
    <w:rsid w:val="00CE6589"/>
    <w:rsid w:val="00CF00EE"/>
    <w:rsid w:val="00CF141F"/>
    <w:rsid w:val="00CF1AC9"/>
    <w:rsid w:val="00CF4777"/>
    <w:rsid w:val="00CF65C8"/>
    <w:rsid w:val="00D00D60"/>
    <w:rsid w:val="00D013F5"/>
    <w:rsid w:val="00D018DA"/>
    <w:rsid w:val="00D0382D"/>
    <w:rsid w:val="00D05E3F"/>
    <w:rsid w:val="00D067BB"/>
    <w:rsid w:val="00D1352A"/>
    <w:rsid w:val="00D142FA"/>
    <w:rsid w:val="00D1638E"/>
    <w:rsid w:val="00D169AF"/>
    <w:rsid w:val="00D200EF"/>
    <w:rsid w:val="00D23400"/>
    <w:rsid w:val="00D25175"/>
    <w:rsid w:val="00D25249"/>
    <w:rsid w:val="00D26854"/>
    <w:rsid w:val="00D27DAD"/>
    <w:rsid w:val="00D30643"/>
    <w:rsid w:val="00D32353"/>
    <w:rsid w:val="00D36C41"/>
    <w:rsid w:val="00D44172"/>
    <w:rsid w:val="00D466F4"/>
    <w:rsid w:val="00D47BE3"/>
    <w:rsid w:val="00D51544"/>
    <w:rsid w:val="00D5250E"/>
    <w:rsid w:val="00D53DA1"/>
    <w:rsid w:val="00D5439A"/>
    <w:rsid w:val="00D552E2"/>
    <w:rsid w:val="00D56C33"/>
    <w:rsid w:val="00D5725F"/>
    <w:rsid w:val="00D63B8C"/>
    <w:rsid w:val="00D66695"/>
    <w:rsid w:val="00D7287C"/>
    <w:rsid w:val="00D72C62"/>
    <w:rsid w:val="00D739CC"/>
    <w:rsid w:val="00D806F9"/>
    <w:rsid w:val="00D80770"/>
    <w:rsid w:val="00D8093D"/>
    <w:rsid w:val="00D8108C"/>
    <w:rsid w:val="00D82E28"/>
    <w:rsid w:val="00D83B90"/>
    <w:rsid w:val="00D842AE"/>
    <w:rsid w:val="00D8525A"/>
    <w:rsid w:val="00D907F9"/>
    <w:rsid w:val="00D91900"/>
    <w:rsid w:val="00D91D5F"/>
    <w:rsid w:val="00D9211C"/>
    <w:rsid w:val="00D92143"/>
    <w:rsid w:val="00D92DE0"/>
    <w:rsid w:val="00D92FEF"/>
    <w:rsid w:val="00D931F9"/>
    <w:rsid w:val="00D93A0F"/>
    <w:rsid w:val="00D9697F"/>
    <w:rsid w:val="00D96C77"/>
    <w:rsid w:val="00D96FEB"/>
    <w:rsid w:val="00DA1BCA"/>
    <w:rsid w:val="00DA3663"/>
    <w:rsid w:val="00DA5904"/>
    <w:rsid w:val="00DA6A8D"/>
    <w:rsid w:val="00DA704F"/>
    <w:rsid w:val="00DB06CF"/>
    <w:rsid w:val="00DC1792"/>
    <w:rsid w:val="00DC24DF"/>
    <w:rsid w:val="00DC274A"/>
    <w:rsid w:val="00DC46FF"/>
    <w:rsid w:val="00DC5254"/>
    <w:rsid w:val="00DC569D"/>
    <w:rsid w:val="00DD1A4F"/>
    <w:rsid w:val="00DD3107"/>
    <w:rsid w:val="00DD5313"/>
    <w:rsid w:val="00DD7C2C"/>
    <w:rsid w:val="00DE02FE"/>
    <w:rsid w:val="00DE2B60"/>
    <w:rsid w:val="00DE5BDA"/>
    <w:rsid w:val="00DF433C"/>
    <w:rsid w:val="00DF519F"/>
    <w:rsid w:val="00DF5202"/>
    <w:rsid w:val="00E0035A"/>
    <w:rsid w:val="00E02E5A"/>
    <w:rsid w:val="00E043F6"/>
    <w:rsid w:val="00E0459B"/>
    <w:rsid w:val="00E04EB3"/>
    <w:rsid w:val="00E0643B"/>
    <w:rsid w:val="00E06797"/>
    <w:rsid w:val="00E1230B"/>
    <w:rsid w:val="00E1265B"/>
    <w:rsid w:val="00E12844"/>
    <w:rsid w:val="00E12E09"/>
    <w:rsid w:val="00E13B48"/>
    <w:rsid w:val="00E13C29"/>
    <w:rsid w:val="00E1404F"/>
    <w:rsid w:val="00E17BED"/>
    <w:rsid w:val="00E17E15"/>
    <w:rsid w:val="00E21C83"/>
    <w:rsid w:val="00E22D47"/>
    <w:rsid w:val="00E24ADA"/>
    <w:rsid w:val="00E25BF5"/>
    <w:rsid w:val="00E26D27"/>
    <w:rsid w:val="00E26F3B"/>
    <w:rsid w:val="00E27348"/>
    <w:rsid w:val="00E3035E"/>
    <w:rsid w:val="00E32F59"/>
    <w:rsid w:val="00E332FE"/>
    <w:rsid w:val="00E34254"/>
    <w:rsid w:val="00E34C9C"/>
    <w:rsid w:val="00E34E77"/>
    <w:rsid w:val="00E378E6"/>
    <w:rsid w:val="00E41908"/>
    <w:rsid w:val="00E45B8B"/>
    <w:rsid w:val="00E46D9A"/>
    <w:rsid w:val="00E52011"/>
    <w:rsid w:val="00E54866"/>
    <w:rsid w:val="00E54E9D"/>
    <w:rsid w:val="00E565FF"/>
    <w:rsid w:val="00E56D85"/>
    <w:rsid w:val="00E6063B"/>
    <w:rsid w:val="00E63276"/>
    <w:rsid w:val="00E638A5"/>
    <w:rsid w:val="00E647C3"/>
    <w:rsid w:val="00E65388"/>
    <w:rsid w:val="00E672BF"/>
    <w:rsid w:val="00E71795"/>
    <w:rsid w:val="00E71ECB"/>
    <w:rsid w:val="00E743AA"/>
    <w:rsid w:val="00E7741D"/>
    <w:rsid w:val="00E77C34"/>
    <w:rsid w:val="00E808CD"/>
    <w:rsid w:val="00E8348F"/>
    <w:rsid w:val="00E84EB9"/>
    <w:rsid w:val="00E85B7D"/>
    <w:rsid w:val="00E860EC"/>
    <w:rsid w:val="00E86D16"/>
    <w:rsid w:val="00E9121B"/>
    <w:rsid w:val="00E92781"/>
    <w:rsid w:val="00E9302E"/>
    <w:rsid w:val="00E976AB"/>
    <w:rsid w:val="00EA01CA"/>
    <w:rsid w:val="00EA0AE2"/>
    <w:rsid w:val="00EA39E5"/>
    <w:rsid w:val="00EA3ACD"/>
    <w:rsid w:val="00EA48E3"/>
    <w:rsid w:val="00EA57A3"/>
    <w:rsid w:val="00EB1D96"/>
    <w:rsid w:val="00EB3DC1"/>
    <w:rsid w:val="00EB61AC"/>
    <w:rsid w:val="00EC2813"/>
    <w:rsid w:val="00EC5A46"/>
    <w:rsid w:val="00EC63E2"/>
    <w:rsid w:val="00ED0225"/>
    <w:rsid w:val="00ED28C5"/>
    <w:rsid w:val="00ED366A"/>
    <w:rsid w:val="00ED426B"/>
    <w:rsid w:val="00ED4774"/>
    <w:rsid w:val="00ED565B"/>
    <w:rsid w:val="00ED6BB7"/>
    <w:rsid w:val="00EE1A9F"/>
    <w:rsid w:val="00EE4C8C"/>
    <w:rsid w:val="00EF22B3"/>
    <w:rsid w:val="00EF457B"/>
    <w:rsid w:val="00EF6279"/>
    <w:rsid w:val="00F03B69"/>
    <w:rsid w:val="00F07807"/>
    <w:rsid w:val="00F07A50"/>
    <w:rsid w:val="00F113DA"/>
    <w:rsid w:val="00F14405"/>
    <w:rsid w:val="00F14B07"/>
    <w:rsid w:val="00F1547F"/>
    <w:rsid w:val="00F15578"/>
    <w:rsid w:val="00F20536"/>
    <w:rsid w:val="00F224A0"/>
    <w:rsid w:val="00F266FC"/>
    <w:rsid w:val="00F27677"/>
    <w:rsid w:val="00F3037A"/>
    <w:rsid w:val="00F33A0E"/>
    <w:rsid w:val="00F3465A"/>
    <w:rsid w:val="00F36544"/>
    <w:rsid w:val="00F37DC8"/>
    <w:rsid w:val="00F41843"/>
    <w:rsid w:val="00F4225C"/>
    <w:rsid w:val="00F439B3"/>
    <w:rsid w:val="00F474DD"/>
    <w:rsid w:val="00F50FE3"/>
    <w:rsid w:val="00F527EC"/>
    <w:rsid w:val="00F552EB"/>
    <w:rsid w:val="00F650C3"/>
    <w:rsid w:val="00F65D85"/>
    <w:rsid w:val="00F6700B"/>
    <w:rsid w:val="00F71377"/>
    <w:rsid w:val="00F7137B"/>
    <w:rsid w:val="00F73291"/>
    <w:rsid w:val="00F75A9D"/>
    <w:rsid w:val="00F77DCF"/>
    <w:rsid w:val="00F8091E"/>
    <w:rsid w:val="00F84118"/>
    <w:rsid w:val="00F8615C"/>
    <w:rsid w:val="00F91A2A"/>
    <w:rsid w:val="00F91C54"/>
    <w:rsid w:val="00F969E5"/>
    <w:rsid w:val="00F96B6D"/>
    <w:rsid w:val="00FA2825"/>
    <w:rsid w:val="00FA29CD"/>
    <w:rsid w:val="00FA34FB"/>
    <w:rsid w:val="00FA4972"/>
    <w:rsid w:val="00FA6B08"/>
    <w:rsid w:val="00FA6BB0"/>
    <w:rsid w:val="00FB0CC4"/>
    <w:rsid w:val="00FB2DBD"/>
    <w:rsid w:val="00FB5592"/>
    <w:rsid w:val="00FC4FC9"/>
    <w:rsid w:val="00FD22BA"/>
    <w:rsid w:val="00FD39B9"/>
    <w:rsid w:val="00FD48DF"/>
    <w:rsid w:val="00FD5860"/>
    <w:rsid w:val="00FE051C"/>
    <w:rsid w:val="00FE352D"/>
    <w:rsid w:val="00FE40EB"/>
    <w:rsid w:val="00FE4D02"/>
    <w:rsid w:val="00FE7D62"/>
    <w:rsid w:val="00FF0DA0"/>
    <w:rsid w:val="00FF204A"/>
    <w:rsid w:val="00FF32AC"/>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4406B4B"/>
  <w15:docId w15:val="{3BF68E4D-AFBE-4761-82CE-61D02505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ind w:left="315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Policepardfaut"/>
    <w:uiPriority w:val="99"/>
    <w:semiHidden/>
    <w:unhideWhenUsed/>
    <w:rsid w:val="00956093"/>
    <w:rPr>
      <w:color w:val="808080"/>
      <w:shd w:val="clear" w:color="auto" w:fill="E6E6E6"/>
    </w:rPr>
  </w:style>
  <w:style w:type="character" w:customStyle="1" w:styleId="NormalnumberChar">
    <w:name w:val="Normal_number Char"/>
    <w:link w:val="Normalnumber"/>
    <w:locked/>
    <w:rsid w:val="0029471C"/>
    <w:rPr>
      <w:bCs/>
      <w:lang w:eastAsia="en-US"/>
    </w:rPr>
  </w:style>
  <w:style w:type="paragraph" w:styleId="En-ttedetabledesmatires">
    <w:name w:val="TOC Heading"/>
    <w:basedOn w:val="Titre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ous-titre">
    <w:name w:val="Subtitle"/>
    <w:basedOn w:val="Normal"/>
    <w:next w:val="Normal"/>
    <w:link w:val="Sous-titreCar"/>
    <w:qFormat/>
    <w:rsid w:val="000C2F3D"/>
    <w:pPr>
      <w:spacing w:after="60"/>
      <w:jc w:val="center"/>
      <w:outlineLvl w:val="1"/>
    </w:pPr>
    <w:rPr>
      <w:rFonts w:ascii="Cambria" w:eastAsia="SimSun" w:hAnsi="Cambria"/>
      <w:sz w:val="24"/>
      <w:szCs w:val="24"/>
    </w:rPr>
  </w:style>
  <w:style w:type="character" w:customStyle="1" w:styleId="Sous-titreCar">
    <w:name w:val="Sous-titre Car"/>
    <w:basedOn w:val="Policepardfaut"/>
    <w:link w:val="Sous-titre"/>
    <w:rsid w:val="000C2F3D"/>
    <w:rPr>
      <w:rFonts w:ascii="Cambria" w:eastAsia="SimSun" w:hAnsi="Cambria"/>
      <w:sz w:val="24"/>
      <w:szCs w:val="24"/>
      <w:lang w:eastAsia="en-US"/>
    </w:rPr>
  </w:style>
  <w:style w:type="character" w:customStyle="1" w:styleId="PieddepageCar">
    <w:name w:val="Pied de page Car"/>
    <w:basedOn w:val="Policepardfaut"/>
    <w:link w:val="Pieddepage"/>
    <w:uiPriority w:val="99"/>
    <w:rsid w:val="000C2F3D"/>
    <w:rPr>
      <w:sz w:val="18"/>
      <w:lang w:eastAsia="en-US"/>
    </w:rPr>
  </w:style>
  <w:style w:type="character" w:styleId="Lienhypertextesuivivisit">
    <w:name w:val="FollowedHyperlink"/>
    <w:basedOn w:val="Policepardfaut"/>
    <w:semiHidden/>
    <w:unhideWhenUsed/>
    <w:rsid w:val="00E12844"/>
    <w:rPr>
      <w:color w:val="800080" w:themeColor="followedHyperlink"/>
      <w:u w:val="single"/>
    </w:rPr>
  </w:style>
  <w:style w:type="character" w:customStyle="1" w:styleId="UnresolvedMention2">
    <w:name w:val="Unresolved Mention2"/>
    <w:basedOn w:val="Policepardfaut"/>
    <w:uiPriority w:val="99"/>
    <w:semiHidden/>
    <w:unhideWhenUsed/>
    <w:rsid w:val="00112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2D80-67F4-4987-9EBF-C919E336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12306</Words>
  <Characters>67684</Characters>
  <Application>Microsoft Office Word</Application>
  <DocSecurity>0</DocSecurity>
  <Lines>564</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79831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2018-10-17T11:27:00Z</cp:lastPrinted>
  <dcterms:created xsi:type="dcterms:W3CDTF">2018-10-22T16:44:00Z</dcterms:created>
  <dcterms:modified xsi:type="dcterms:W3CDTF">2018-10-22T16:44:00Z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pascaline.truc</vt:lpwstr>
  </property>
  <property fmtid="{D5CDD505-2E9C-101B-9397-08002B2CF9AE}" pid="4" name="GeneratedDate">
    <vt:lpwstr>10/2/2018 1:33:18 PM</vt:lpwstr>
  </property>
  <property fmtid="{D5CDD505-2E9C-101B-9397-08002B2CF9AE}" pid="5" name="OriginalDocID">
    <vt:lpwstr>76165e59-2061-4a5b-ae07-b57cd8b1b6cd</vt:lpwstr>
  </property>
</Properties>
</file>