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40"/>
        <w:gridCol w:w="4714"/>
        <w:gridCol w:w="3385"/>
      </w:tblGrid>
      <w:tr w:rsidR="002B5B11" w:rsidRPr="00B16107" w14:paraId="77A69D74" w14:textId="77777777" w:rsidTr="0021254C">
        <w:trPr>
          <w:cantSplit/>
          <w:trHeight w:val="850"/>
          <w:jc w:val="right"/>
        </w:trPr>
        <w:tc>
          <w:tcPr>
            <w:tcW w:w="1560" w:type="dxa"/>
          </w:tcPr>
          <w:p w14:paraId="538A305E" w14:textId="77777777" w:rsidR="002B5B11" w:rsidRPr="00B16107" w:rsidRDefault="002B5B11" w:rsidP="0021254C">
            <w:pPr>
              <w:rPr>
                <w:rFonts w:ascii="Univers" w:hAnsi="Univers"/>
                <w:b/>
                <w:noProof/>
                <w:sz w:val="27"/>
                <w:szCs w:val="27"/>
                <w:lang w:val="fr-FR"/>
              </w:rPr>
            </w:pPr>
            <w:r w:rsidRPr="00B16107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t>NATIONS</w:t>
            </w:r>
            <w:r w:rsidRPr="00B16107">
              <w:rPr>
                <w:rFonts w:ascii="Arial" w:hAnsi="Arial" w:cs="Arial"/>
                <w:b/>
                <w:noProof/>
                <w:sz w:val="27"/>
                <w:szCs w:val="27"/>
                <w:lang w:val="fr-FR"/>
              </w:rPr>
              <w:br/>
              <w:t>UNIES</w:t>
            </w:r>
          </w:p>
        </w:tc>
        <w:tc>
          <w:tcPr>
            <w:tcW w:w="4785" w:type="dxa"/>
          </w:tcPr>
          <w:p w14:paraId="776E684D" w14:textId="77777777" w:rsidR="002B5B11" w:rsidRPr="00B16107" w:rsidRDefault="002B5B11" w:rsidP="0021254C">
            <w:pPr>
              <w:rPr>
                <w:rFonts w:ascii="Univers" w:hAnsi="Univers"/>
                <w:b/>
                <w:sz w:val="27"/>
                <w:szCs w:val="27"/>
                <w:lang w:val="fr-FR"/>
              </w:rPr>
            </w:pPr>
          </w:p>
        </w:tc>
        <w:tc>
          <w:tcPr>
            <w:tcW w:w="3435" w:type="dxa"/>
          </w:tcPr>
          <w:p w14:paraId="61A4503A" w14:textId="77777777" w:rsidR="002B5B11" w:rsidRPr="00B16107" w:rsidRDefault="002B5B11" w:rsidP="0021254C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fr-FR"/>
              </w:rPr>
            </w:pPr>
            <w:r w:rsidRPr="00B16107">
              <w:rPr>
                <w:rFonts w:ascii="Arial" w:hAnsi="Arial" w:cs="Arial"/>
                <w:b/>
                <w:sz w:val="64"/>
                <w:szCs w:val="64"/>
                <w:lang w:val="fr-FR"/>
              </w:rPr>
              <w:t>MC</w:t>
            </w:r>
          </w:p>
        </w:tc>
      </w:tr>
      <w:tr w:rsidR="002B5B11" w:rsidRPr="00B16107" w14:paraId="62A92077" w14:textId="77777777" w:rsidTr="0021254C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4DF369EB" w14:textId="77777777" w:rsidR="002B5B11" w:rsidRPr="00B16107" w:rsidRDefault="002B5B11" w:rsidP="0021254C">
            <w:pPr>
              <w:rPr>
                <w:noProof/>
                <w:sz w:val="18"/>
                <w:szCs w:val="18"/>
                <w:lang w:val="fr-FR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0E33431A" w14:textId="77777777" w:rsidR="002B5B11" w:rsidRPr="00B16107" w:rsidRDefault="002B5B11" w:rsidP="0021254C">
            <w:pPr>
              <w:rPr>
                <w:rFonts w:ascii="Univers" w:hAnsi="Univers"/>
                <w:b/>
                <w:sz w:val="18"/>
                <w:szCs w:val="18"/>
                <w:lang w:val="fr-FR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FA1F10B" w14:textId="52B5BF1B" w:rsidR="002B5B11" w:rsidRPr="00B16107" w:rsidRDefault="002B5B11" w:rsidP="002B5B11">
            <w:pPr>
              <w:rPr>
                <w:noProof/>
                <w:sz w:val="18"/>
                <w:szCs w:val="18"/>
                <w:lang w:val="fr-FR"/>
              </w:rPr>
            </w:pPr>
            <w:r w:rsidRPr="00B16107">
              <w:rPr>
                <w:b/>
                <w:bCs/>
                <w:sz w:val="28"/>
                <w:lang w:val="fr-FR"/>
              </w:rPr>
              <w:t>UNEP</w:t>
            </w:r>
            <w:bookmarkStart w:id="0" w:name="OLE_LINK1"/>
            <w:bookmarkStart w:id="1" w:name="OLE_LINK2"/>
            <w:r w:rsidRPr="00B16107">
              <w:rPr>
                <w:b/>
                <w:bCs/>
                <w:sz w:val="28"/>
                <w:lang w:val="fr-FR"/>
              </w:rPr>
              <w:t>/</w:t>
            </w:r>
            <w:r w:rsidRPr="00B16107">
              <w:rPr>
                <w:lang w:val="fr-FR"/>
              </w:rPr>
              <w:t>MC/</w:t>
            </w:r>
            <w:bookmarkEnd w:id="0"/>
            <w:bookmarkEnd w:id="1"/>
            <w:r w:rsidRPr="00B16107">
              <w:rPr>
                <w:lang w:val="fr-FR"/>
              </w:rPr>
              <w:t>COP.2/4</w:t>
            </w:r>
            <w:r w:rsidR="003308DF">
              <w:rPr>
                <w:lang w:val="fr-FR"/>
              </w:rPr>
              <w:t>/Rev.1</w:t>
            </w:r>
          </w:p>
        </w:tc>
      </w:tr>
      <w:bookmarkStart w:id="2" w:name="_MON_1021710510"/>
      <w:bookmarkEnd w:id="2"/>
      <w:bookmarkStart w:id="3" w:name="_MON_1021710482"/>
      <w:bookmarkEnd w:id="3"/>
      <w:tr w:rsidR="002B5B11" w:rsidRPr="003378EF" w14:paraId="0166789D" w14:textId="77777777" w:rsidTr="0021254C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D4F5D89" w14:textId="77777777" w:rsidR="002B5B11" w:rsidRPr="00B16107" w:rsidRDefault="002B5B11" w:rsidP="0021254C">
            <w:pPr>
              <w:rPr>
                <w:noProof/>
                <w:lang w:val="fr-FR"/>
              </w:rPr>
            </w:pPr>
            <w:r w:rsidRPr="00B16107">
              <w:rPr>
                <w:noProof/>
                <w:lang w:val="fr-FR"/>
              </w:rPr>
              <w:object w:dxaOrig="1831" w:dyaOrig="1726" w14:anchorId="3BAD7C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1.55pt" o:ole="" fillcolor="window">
                  <v:imagedata r:id="rId8" o:title=""/>
                </v:shape>
                <o:OLEObject Type="Embed" ProgID="Word.Picture.8" ShapeID="_x0000_i1025" DrawAspect="Content" ObjectID="_1600068507" r:id="rId9"/>
              </w:object>
            </w:r>
            <w:r w:rsidRPr="00B16107">
              <w:rPr>
                <w:noProof/>
                <w:lang w:val="en-US"/>
              </w:rPr>
              <w:drawing>
                <wp:inline distT="0" distB="0" distL="0" distR="0" wp14:anchorId="099D9119" wp14:editId="7CD42420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38C3FE40" w14:textId="155058ED" w:rsidR="002B5B11" w:rsidRPr="00B16107" w:rsidRDefault="002B5B11" w:rsidP="0021254C">
            <w:pPr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B16107">
              <w:rPr>
                <w:rFonts w:ascii="Arial" w:hAnsi="Arial" w:cs="Arial"/>
                <w:b/>
                <w:sz w:val="32"/>
                <w:szCs w:val="32"/>
                <w:lang w:val="fr-FR"/>
              </w:rPr>
              <w:t>Programme</w:t>
            </w:r>
            <w:r w:rsidRPr="00B16107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des Nations Unies</w:t>
            </w:r>
            <w:r w:rsidRPr="00B16107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pour l</w:t>
            </w:r>
            <w:r w:rsidR="003378EF">
              <w:rPr>
                <w:rFonts w:ascii="Arial" w:hAnsi="Arial" w:cs="Arial"/>
                <w:b/>
                <w:sz w:val="32"/>
                <w:szCs w:val="32"/>
                <w:lang w:val="fr-FR"/>
              </w:rPr>
              <w:t>’</w:t>
            </w:r>
            <w:r w:rsidRPr="00B16107">
              <w:rPr>
                <w:rFonts w:ascii="Arial" w:hAnsi="Arial" w:cs="Arial"/>
                <w:b/>
                <w:sz w:val="32"/>
                <w:szCs w:val="32"/>
                <w:lang w:val="fr-FR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51FDC0E7" w14:textId="42254C47" w:rsidR="002B5B11" w:rsidRPr="00B16107" w:rsidRDefault="002B5B11" w:rsidP="0021254C">
            <w:pPr>
              <w:spacing w:before="120"/>
              <w:rPr>
                <w:lang w:val="fr-FR"/>
              </w:rPr>
            </w:pPr>
            <w:r w:rsidRPr="00B16107">
              <w:rPr>
                <w:lang w:val="fr-FR"/>
              </w:rPr>
              <w:t xml:space="preserve">Distr. générale </w:t>
            </w:r>
            <w:r w:rsidRPr="00B16107">
              <w:rPr>
                <w:lang w:val="fr-FR"/>
              </w:rPr>
              <w:br/>
              <w:t>1</w:t>
            </w:r>
            <w:r w:rsidR="008D6983">
              <w:rPr>
                <w:lang w:val="fr-FR"/>
              </w:rPr>
              <w:t>0 </w:t>
            </w:r>
            <w:r w:rsidR="003308DF">
              <w:rPr>
                <w:lang w:val="fr-FR"/>
              </w:rPr>
              <w:t>septembre</w:t>
            </w:r>
            <w:r w:rsidR="009E39FC">
              <w:rPr>
                <w:lang w:val="fr-FR"/>
              </w:rPr>
              <w:t> </w:t>
            </w:r>
            <w:r w:rsidRPr="00B16107">
              <w:rPr>
                <w:lang w:val="fr-FR"/>
              </w:rPr>
              <w:t>2018</w:t>
            </w:r>
          </w:p>
          <w:p w14:paraId="0EDE4E17" w14:textId="77777777" w:rsidR="002B5B11" w:rsidRPr="00B16107" w:rsidRDefault="002B5B11" w:rsidP="0021254C">
            <w:pPr>
              <w:spacing w:before="240"/>
              <w:rPr>
                <w:lang w:val="fr-FR"/>
              </w:rPr>
            </w:pPr>
            <w:r w:rsidRPr="00B16107">
              <w:rPr>
                <w:lang w:val="fr-FR"/>
              </w:rPr>
              <w:t>Français</w:t>
            </w:r>
            <w:r w:rsidRPr="00B16107">
              <w:rPr>
                <w:lang w:val="fr-FR"/>
              </w:rPr>
              <w:br/>
              <w:t>Original : anglais</w:t>
            </w:r>
          </w:p>
        </w:tc>
      </w:tr>
    </w:tbl>
    <w:p w14:paraId="532DD19C" w14:textId="77777777" w:rsidR="002B5B11" w:rsidRPr="00B16107" w:rsidRDefault="002B5B11" w:rsidP="002B5B11">
      <w:pPr>
        <w:pStyle w:val="AATitle"/>
        <w:rPr>
          <w:lang w:val="fr-FR"/>
        </w:rPr>
      </w:pPr>
      <w:r w:rsidRPr="00B16107">
        <w:rPr>
          <w:lang w:val="fr-FR"/>
        </w:rPr>
        <w:t xml:space="preserve">Conférence des Parties à la Convention </w:t>
      </w:r>
      <w:r w:rsidRPr="00B16107">
        <w:rPr>
          <w:lang w:val="fr-FR"/>
        </w:rPr>
        <w:br/>
        <w:t>de Minamata sur le mercure</w:t>
      </w:r>
    </w:p>
    <w:p w14:paraId="1FCF3ED1" w14:textId="77777777" w:rsidR="002B5B11" w:rsidRPr="00B16107" w:rsidRDefault="002B5B11" w:rsidP="002B5B11">
      <w:pPr>
        <w:pStyle w:val="AATitle"/>
        <w:rPr>
          <w:lang w:val="fr-FR"/>
        </w:rPr>
      </w:pPr>
      <w:r w:rsidRPr="00B16107">
        <w:rPr>
          <w:lang w:val="fr-FR"/>
        </w:rPr>
        <w:t>Deuxième réunion</w:t>
      </w:r>
    </w:p>
    <w:p w14:paraId="6CA9A181" w14:textId="77777777" w:rsidR="00787688" w:rsidRPr="00B16107" w:rsidRDefault="002B5B11" w:rsidP="002B5B11">
      <w:pPr>
        <w:pStyle w:val="AATitle"/>
        <w:tabs>
          <w:tab w:val="left" w:pos="624"/>
          <w:tab w:val="left" w:pos="1871"/>
          <w:tab w:val="left" w:pos="2495"/>
        </w:tabs>
        <w:rPr>
          <w:lang w:val="fr-FR"/>
        </w:rPr>
      </w:pPr>
      <w:r w:rsidRPr="00B16107">
        <w:rPr>
          <w:b w:val="0"/>
          <w:lang w:val="fr-FR"/>
        </w:rPr>
        <w:t>Genève, 19-23 novembre 2018</w:t>
      </w:r>
    </w:p>
    <w:p w14:paraId="42A5B9F0" w14:textId="59C6C199" w:rsidR="001D2D56" w:rsidRPr="00DB41F0" w:rsidRDefault="001D2D56" w:rsidP="00976789">
      <w:pPr>
        <w:pStyle w:val="AATitle"/>
        <w:rPr>
          <w:b w:val="0"/>
          <w:lang w:val="fr-FR"/>
        </w:rPr>
      </w:pPr>
      <w:bookmarkStart w:id="4" w:name="_Hlk517786179"/>
      <w:r w:rsidRPr="00535756">
        <w:rPr>
          <w:b w:val="0"/>
          <w:lang w:val="fr-FR"/>
        </w:rPr>
        <w:t>Point</w:t>
      </w:r>
      <w:r w:rsidR="009E39FC">
        <w:rPr>
          <w:b w:val="0"/>
          <w:lang w:val="fr-FR"/>
        </w:rPr>
        <w:t> </w:t>
      </w:r>
      <w:r w:rsidRPr="00535756">
        <w:rPr>
          <w:b w:val="0"/>
          <w:lang w:val="fr-FR"/>
        </w:rPr>
        <w:t>5</w:t>
      </w:r>
      <w:r w:rsidR="009E39FC">
        <w:rPr>
          <w:b w:val="0"/>
          <w:lang w:val="fr-FR"/>
        </w:rPr>
        <w:t> </w:t>
      </w:r>
      <w:r w:rsidRPr="00535756">
        <w:rPr>
          <w:b w:val="0"/>
          <w:lang w:val="fr-FR"/>
        </w:rPr>
        <w:t>a) de l</w:t>
      </w:r>
      <w:r w:rsidR="003378EF">
        <w:rPr>
          <w:b w:val="0"/>
          <w:lang w:val="fr-FR"/>
        </w:rPr>
        <w:t>’</w:t>
      </w:r>
      <w:r w:rsidRPr="00535756">
        <w:rPr>
          <w:b w:val="0"/>
          <w:lang w:val="fr-FR"/>
        </w:rPr>
        <w:t>ordre du jour provisoire</w:t>
      </w:r>
      <w:r w:rsidRPr="00DB41F0">
        <w:rPr>
          <w:b w:val="0"/>
          <w:lang w:val="fr-FR"/>
        </w:rPr>
        <w:footnoteReference w:customMarkFollows="1" w:id="1"/>
        <w:t>*</w:t>
      </w:r>
    </w:p>
    <w:p w14:paraId="6ADB1190" w14:textId="4DDD6AF4" w:rsidR="001D2D56" w:rsidRPr="00B16107" w:rsidRDefault="001D2D56" w:rsidP="00976789">
      <w:pPr>
        <w:pStyle w:val="AATitle2"/>
        <w:spacing w:before="60"/>
        <w:rPr>
          <w:lang w:val="fr-FR"/>
        </w:rPr>
      </w:pPr>
      <w:r w:rsidRPr="00B16107">
        <w:rPr>
          <w:bCs/>
          <w:lang w:val="fr-FR"/>
        </w:rPr>
        <w:t>Questions soumises à la Conférence des Parties pour</w:t>
      </w:r>
      <w:r w:rsidR="009E39FC">
        <w:rPr>
          <w:bCs/>
          <w:lang w:val="fr-FR"/>
        </w:rPr>
        <w:t> </w:t>
      </w:r>
      <w:r w:rsidRPr="00B16107">
        <w:rPr>
          <w:bCs/>
          <w:lang w:val="fr-FR"/>
        </w:rPr>
        <w:t>examen ou décision</w:t>
      </w:r>
      <w:r w:rsidR="009E39FC">
        <w:rPr>
          <w:bCs/>
          <w:lang w:val="fr-FR"/>
        </w:rPr>
        <w:t> </w:t>
      </w:r>
      <w:r w:rsidRPr="00B16107">
        <w:rPr>
          <w:bCs/>
          <w:lang w:val="fr-FR"/>
        </w:rPr>
        <w:t>: rejets</w:t>
      </w:r>
    </w:p>
    <w:p w14:paraId="713DB84C" w14:textId="77777777" w:rsidR="001D2D56" w:rsidRPr="00B16107" w:rsidRDefault="001D2D56" w:rsidP="001D2D56">
      <w:pPr>
        <w:pStyle w:val="BBTitle"/>
        <w:rPr>
          <w:lang w:val="fr-FR"/>
        </w:rPr>
      </w:pPr>
      <w:r w:rsidRPr="00B16107">
        <w:rPr>
          <w:bCs/>
          <w:lang w:val="fr-FR"/>
        </w:rPr>
        <w:t>Orientations concernant les rejets de mercure</w:t>
      </w:r>
    </w:p>
    <w:p w14:paraId="67D42688" w14:textId="77777777" w:rsidR="001D2D56" w:rsidRPr="00B16107" w:rsidRDefault="001D2D56" w:rsidP="00976789">
      <w:pPr>
        <w:pStyle w:val="CH2"/>
        <w:rPr>
          <w:lang w:val="fr-FR"/>
        </w:rPr>
      </w:pPr>
      <w:r w:rsidRPr="00B16107">
        <w:rPr>
          <w:lang w:val="fr-FR"/>
        </w:rPr>
        <w:tab/>
      </w:r>
      <w:r w:rsidRPr="00B16107">
        <w:rPr>
          <w:lang w:val="fr-FR"/>
        </w:rPr>
        <w:tab/>
      </w:r>
      <w:r w:rsidRPr="00B16107">
        <w:rPr>
          <w:bCs/>
          <w:lang w:val="fr-FR"/>
        </w:rPr>
        <w:t>Note du secrétariat</w:t>
      </w:r>
    </w:p>
    <w:p w14:paraId="50D7110A" w14:textId="007ECF11" w:rsidR="006C2CFD" w:rsidRPr="00B16107" w:rsidRDefault="001D2D56" w:rsidP="00976789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B16107">
        <w:rPr>
          <w:lang w:val="fr-FR"/>
        </w:rPr>
        <w:t>À sa première réunion, la Conférence des Parties</w:t>
      </w:r>
      <w:r w:rsidR="00B16107">
        <w:rPr>
          <w:lang w:val="fr-FR"/>
        </w:rPr>
        <w:t xml:space="preserve"> </w:t>
      </w:r>
      <w:r w:rsidRPr="00B16107">
        <w:rPr>
          <w:lang w:val="fr-FR"/>
        </w:rPr>
        <w:t>à la Convention de Minamata sur le mercure s</w:t>
      </w:r>
      <w:r w:rsidR="003378EF">
        <w:rPr>
          <w:lang w:val="fr-FR"/>
        </w:rPr>
        <w:t>’</w:t>
      </w:r>
      <w:r w:rsidRPr="00B16107">
        <w:rPr>
          <w:lang w:val="fr-FR"/>
        </w:rPr>
        <w:t>est penchée sur l</w:t>
      </w:r>
      <w:r w:rsidR="003378EF">
        <w:rPr>
          <w:lang w:val="fr-FR"/>
        </w:rPr>
        <w:t>’</w:t>
      </w:r>
      <w:r w:rsidRPr="00B16107">
        <w:rPr>
          <w:lang w:val="fr-FR"/>
        </w:rPr>
        <w:t>élaboration d</w:t>
      </w:r>
      <w:r w:rsidR="003378EF">
        <w:rPr>
          <w:lang w:val="fr-FR"/>
        </w:rPr>
        <w:t>’</w:t>
      </w:r>
      <w:r w:rsidRPr="00B16107">
        <w:rPr>
          <w:lang w:val="fr-FR"/>
        </w:rPr>
        <w:t>orientations concernant les rejets de merc</w:t>
      </w:r>
      <w:r w:rsidR="00425177">
        <w:rPr>
          <w:lang w:val="fr-FR"/>
        </w:rPr>
        <w:t>ure, conformément au paragraphe </w:t>
      </w:r>
      <w:r w:rsidRPr="00B16107">
        <w:rPr>
          <w:lang w:val="fr-FR"/>
        </w:rPr>
        <w:t>7 de l</w:t>
      </w:r>
      <w:r w:rsidR="003378EF">
        <w:rPr>
          <w:lang w:val="fr-FR"/>
        </w:rPr>
        <w:t>’</w:t>
      </w:r>
      <w:r w:rsidRPr="00B16107">
        <w:rPr>
          <w:lang w:val="fr-FR"/>
        </w:rPr>
        <w:t>article</w:t>
      </w:r>
      <w:r w:rsidR="00425177">
        <w:rPr>
          <w:lang w:val="fr-FR"/>
        </w:rPr>
        <w:t> </w:t>
      </w:r>
      <w:r w:rsidRPr="00B16107">
        <w:rPr>
          <w:lang w:val="fr-FR"/>
        </w:rPr>
        <w:t xml:space="preserve">9. Afin </w:t>
      </w:r>
      <w:r w:rsidR="00657D6E">
        <w:rPr>
          <w:lang w:val="fr-FR"/>
        </w:rPr>
        <w:t xml:space="preserve">de préciser </w:t>
      </w:r>
      <w:r w:rsidRPr="00B16107">
        <w:rPr>
          <w:lang w:val="fr-FR"/>
        </w:rPr>
        <w:t xml:space="preserve">la nature de ces rejets, la Conférence </w:t>
      </w:r>
      <w:r w:rsidR="00425177">
        <w:rPr>
          <w:lang w:val="fr-FR"/>
        </w:rPr>
        <w:t>des Parties a, dans sa décision </w:t>
      </w:r>
      <w:r w:rsidRPr="00B16107">
        <w:rPr>
          <w:lang w:val="fr-FR"/>
        </w:rPr>
        <w:t>MC-1/17, engagé les Parties à recenser dès que possible les sources ponctuelles pertinentes au niveau nationa</w:t>
      </w:r>
      <w:r w:rsidR="00425177">
        <w:rPr>
          <w:lang w:val="fr-FR"/>
        </w:rPr>
        <w:t>l, conformément aux paragraphes </w:t>
      </w:r>
      <w:r w:rsidRPr="00B16107">
        <w:rPr>
          <w:lang w:val="fr-FR"/>
        </w:rPr>
        <w:t>2</w:t>
      </w:r>
      <w:r w:rsidR="00425177">
        <w:rPr>
          <w:lang w:val="fr-FR"/>
        </w:rPr>
        <w:t> </w:t>
      </w:r>
      <w:r w:rsidRPr="00B16107">
        <w:rPr>
          <w:lang w:val="fr-FR"/>
        </w:rPr>
        <w:t>b) et 3 de l</w:t>
      </w:r>
      <w:r w:rsidR="003378EF">
        <w:rPr>
          <w:lang w:val="fr-FR"/>
        </w:rPr>
        <w:t>’</w:t>
      </w:r>
      <w:r w:rsidR="004C556E">
        <w:rPr>
          <w:lang w:val="fr-FR"/>
        </w:rPr>
        <w:t>article </w:t>
      </w:r>
      <w:r w:rsidRPr="00B16107">
        <w:rPr>
          <w:lang w:val="fr-FR"/>
        </w:rPr>
        <w:t>9, et à présenter au secrétariat des informations sur les</w:t>
      </w:r>
      <w:r w:rsidR="00EE1418">
        <w:rPr>
          <w:lang w:val="fr-FR"/>
        </w:rPr>
        <w:t xml:space="preserve"> sources pertinentes recensées.</w:t>
      </w:r>
    </w:p>
    <w:p w14:paraId="65B57A1B" w14:textId="3CAB9413" w:rsidR="001D2D56" w:rsidRPr="00B16107" w:rsidRDefault="00714266" w:rsidP="00976789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 w:rsidRPr="00B16107">
        <w:rPr>
          <w:lang w:val="fr-FR"/>
        </w:rPr>
        <w:t xml:space="preserve">Dans la même décision, </w:t>
      </w:r>
      <w:r w:rsidR="00657D6E">
        <w:rPr>
          <w:lang w:val="fr-FR"/>
        </w:rPr>
        <w:t xml:space="preserve">la Conférence des Parties </w:t>
      </w:r>
      <w:r w:rsidRPr="00B16107">
        <w:rPr>
          <w:lang w:val="fr-FR"/>
        </w:rPr>
        <w:t xml:space="preserve">a prié le secrétariat de compiler les informations communiquées par les Parties et de les lui présenter </w:t>
      </w:r>
      <w:r w:rsidR="00EE1418">
        <w:rPr>
          <w:lang w:val="fr-FR"/>
        </w:rPr>
        <w:t>à sa deuxième réunion.</w:t>
      </w:r>
    </w:p>
    <w:p w14:paraId="7E1A56F7" w14:textId="0FCEFFAB" w:rsidR="001D2D56" w:rsidRDefault="00D452E3" w:rsidP="00976789">
      <w:pPr>
        <w:pStyle w:val="Normalnumber"/>
        <w:numPr>
          <w:ilvl w:val="0"/>
          <w:numId w:val="37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 w:firstLine="0"/>
        <w:rPr>
          <w:lang w:val="fr-FR"/>
        </w:rPr>
      </w:pPr>
      <w:r>
        <w:rPr>
          <w:lang w:val="fr-FR"/>
        </w:rPr>
        <w:t xml:space="preserve">En </w:t>
      </w:r>
      <w:r w:rsidR="00657D6E">
        <w:rPr>
          <w:lang w:val="fr-FR"/>
        </w:rPr>
        <w:t>n</w:t>
      </w:r>
      <w:r>
        <w:rPr>
          <w:lang w:val="fr-FR"/>
        </w:rPr>
        <w:t>ovembre 2017, l</w:t>
      </w:r>
      <w:r w:rsidR="001D2D56" w:rsidRPr="00B16107">
        <w:rPr>
          <w:lang w:val="fr-FR"/>
        </w:rPr>
        <w:t xml:space="preserve">e secrétariat a lancé un appel à contributions dans lequel il priait les Parties de communiquer des informations sur les sources pertinentes recensées. La date limite </w:t>
      </w:r>
      <w:r w:rsidR="00657D6E">
        <w:rPr>
          <w:lang w:val="fr-FR"/>
        </w:rPr>
        <w:t>de</w:t>
      </w:r>
      <w:r w:rsidR="00657D6E" w:rsidRPr="00B16107">
        <w:rPr>
          <w:lang w:val="fr-FR"/>
        </w:rPr>
        <w:t xml:space="preserve"> </w:t>
      </w:r>
      <w:r w:rsidR="001D2D56" w:rsidRPr="00B16107">
        <w:rPr>
          <w:lang w:val="fr-FR"/>
        </w:rPr>
        <w:t>communi</w:t>
      </w:r>
      <w:r w:rsidR="00657D6E">
        <w:rPr>
          <w:lang w:val="fr-FR"/>
        </w:rPr>
        <w:t xml:space="preserve">cation </w:t>
      </w:r>
      <w:r w:rsidR="001D2D56" w:rsidRPr="00B16107">
        <w:rPr>
          <w:lang w:val="fr-FR"/>
        </w:rPr>
        <w:t xml:space="preserve">des informations était </w:t>
      </w:r>
      <w:r w:rsidR="00657D6E">
        <w:rPr>
          <w:lang w:val="fr-FR"/>
        </w:rPr>
        <w:t>fixée au</w:t>
      </w:r>
      <w:r w:rsidR="00657D6E" w:rsidRPr="00B16107">
        <w:rPr>
          <w:lang w:val="fr-FR"/>
        </w:rPr>
        <w:t xml:space="preserve"> </w:t>
      </w:r>
      <w:r w:rsidR="001D2D56" w:rsidRPr="00B16107">
        <w:rPr>
          <w:lang w:val="fr-FR"/>
        </w:rPr>
        <w:t>30</w:t>
      </w:r>
      <w:r w:rsidR="00425177">
        <w:rPr>
          <w:lang w:val="fr-FR"/>
        </w:rPr>
        <w:t> </w:t>
      </w:r>
      <w:r w:rsidR="001D2D56" w:rsidRPr="00B16107">
        <w:rPr>
          <w:lang w:val="fr-FR"/>
        </w:rPr>
        <w:t>juin 2018. L</w:t>
      </w:r>
      <w:r w:rsidR="003378EF">
        <w:rPr>
          <w:lang w:val="fr-FR"/>
        </w:rPr>
        <w:t>’</w:t>
      </w:r>
      <w:r w:rsidR="001D2D56" w:rsidRPr="00B16107">
        <w:rPr>
          <w:lang w:val="fr-FR"/>
        </w:rPr>
        <w:t>appel à contributions a été diffusé à toutes les Parties et à d</w:t>
      </w:r>
      <w:r w:rsidR="003378EF">
        <w:rPr>
          <w:lang w:val="fr-FR"/>
        </w:rPr>
        <w:t>’</w:t>
      </w:r>
      <w:r w:rsidR="001D2D56" w:rsidRPr="00B16107">
        <w:rPr>
          <w:lang w:val="fr-FR"/>
        </w:rPr>
        <w:t>autres parties prenantes, notamment celles qui avaient assisté à la première</w:t>
      </w:r>
      <w:r w:rsidR="009E39FC">
        <w:rPr>
          <w:lang w:val="fr-FR"/>
        </w:rPr>
        <w:t> </w:t>
      </w:r>
      <w:r w:rsidR="001D2D56" w:rsidRPr="00B16107">
        <w:rPr>
          <w:lang w:val="fr-FR"/>
        </w:rPr>
        <w:t>réunion</w:t>
      </w:r>
      <w:r w:rsidR="00657D6E">
        <w:rPr>
          <w:lang w:val="fr-FR"/>
        </w:rPr>
        <w:t> ;</w:t>
      </w:r>
      <w:r w:rsidR="001D2D56" w:rsidRPr="00B16107">
        <w:rPr>
          <w:lang w:val="fr-FR"/>
        </w:rPr>
        <w:t xml:space="preserve"> </w:t>
      </w:r>
      <w:r w:rsidR="00657D6E">
        <w:rPr>
          <w:lang w:val="fr-FR"/>
        </w:rPr>
        <w:t>p</w:t>
      </w:r>
      <w:r w:rsidR="001D2D56" w:rsidRPr="00B16107">
        <w:rPr>
          <w:lang w:val="fr-FR"/>
        </w:rPr>
        <w:t>ar la suite, un rappel</w:t>
      </w:r>
      <w:r w:rsidR="00657D6E">
        <w:rPr>
          <w:lang w:val="fr-FR"/>
        </w:rPr>
        <w:t xml:space="preserve"> leur a été adressé</w:t>
      </w:r>
      <w:r w:rsidR="00EE1418">
        <w:rPr>
          <w:lang w:val="fr-FR"/>
        </w:rPr>
        <w:t>.</w:t>
      </w:r>
    </w:p>
    <w:p w14:paraId="00923B62" w14:textId="12764167" w:rsidR="00EE1418" w:rsidRDefault="00EE1418" w:rsidP="00EE1418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53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425177" w:rsidRPr="00EE1418">
        <w:rPr>
          <w:lang w:val="fr-FR"/>
        </w:rPr>
        <w:t>Au 9 </w:t>
      </w:r>
      <w:r w:rsidR="001D2D56" w:rsidRPr="00EE1418">
        <w:rPr>
          <w:lang w:val="fr-FR"/>
        </w:rPr>
        <w:t xml:space="preserve">juillet 2018, </w:t>
      </w:r>
      <w:r w:rsidRPr="00EE1418">
        <w:rPr>
          <w:lang w:val="fr-FR"/>
        </w:rPr>
        <w:t>trois</w:t>
      </w:r>
      <w:r w:rsidR="003378EF">
        <w:rPr>
          <w:lang w:val="fr-FR"/>
        </w:rPr>
        <w:t> </w:t>
      </w:r>
      <w:r w:rsidR="001D2D56" w:rsidRPr="00EE1418">
        <w:rPr>
          <w:lang w:val="fr-FR"/>
        </w:rPr>
        <w:t>Parties à la Convention avaient communiqué des informations</w:t>
      </w:r>
      <w:r w:rsidR="003378EF">
        <w:rPr>
          <w:lang w:val="fr-FR"/>
        </w:rPr>
        <w:t>. Deux </w:t>
      </w:r>
      <w:r w:rsidRPr="00EE1418">
        <w:rPr>
          <w:lang w:val="fr-FR"/>
        </w:rPr>
        <w:t>d</w:t>
      </w:r>
      <w:r w:rsidR="003378EF">
        <w:rPr>
          <w:lang w:val="fr-FR"/>
        </w:rPr>
        <w:t>’</w:t>
      </w:r>
      <w:r w:rsidRPr="00EE1418">
        <w:rPr>
          <w:lang w:val="fr-FR"/>
        </w:rPr>
        <w:t xml:space="preserve">entre elles ont indiqué avoir </w:t>
      </w:r>
      <w:r w:rsidR="001D2D56" w:rsidRPr="00EE1418">
        <w:rPr>
          <w:lang w:val="fr-FR"/>
        </w:rPr>
        <w:t>examiné les sources de rejets de mercure et de composés du mercure sur leur territoire et n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av</w:t>
      </w:r>
      <w:r w:rsidRPr="00EE1418">
        <w:rPr>
          <w:lang w:val="fr-FR"/>
        </w:rPr>
        <w:t>oir</w:t>
      </w:r>
      <w:r w:rsidR="001D2D56" w:rsidRPr="00EE1418">
        <w:rPr>
          <w:lang w:val="fr-FR"/>
        </w:rPr>
        <w:t xml:space="preserve"> recensé aucune source </w:t>
      </w:r>
      <w:r w:rsidR="00386A69" w:rsidRPr="00EE1418">
        <w:rPr>
          <w:lang w:val="fr-FR"/>
        </w:rPr>
        <w:t xml:space="preserve">pertinente au sens de </w:t>
      </w:r>
      <w:r w:rsidR="001D2D56" w:rsidRPr="00EE1418">
        <w:rPr>
          <w:lang w:val="fr-FR"/>
        </w:rPr>
        <w:t xml:space="preserve">la définition </w:t>
      </w:r>
      <w:r w:rsidR="00386A69" w:rsidRPr="00EE1418">
        <w:rPr>
          <w:lang w:val="fr-FR"/>
        </w:rPr>
        <w:t>donnée a</w:t>
      </w:r>
      <w:r w:rsidR="001D2D56" w:rsidRPr="00EE1418">
        <w:rPr>
          <w:lang w:val="fr-FR"/>
        </w:rPr>
        <w:t>u paragraphe</w:t>
      </w:r>
      <w:r w:rsidR="009E39FC" w:rsidRPr="00EE1418">
        <w:rPr>
          <w:lang w:val="fr-FR"/>
        </w:rPr>
        <w:t> </w:t>
      </w:r>
      <w:r w:rsidR="001D2D56" w:rsidRPr="00EE1418">
        <w:rPr>
          <w:lang w:val="fr-FR"/>
        </w:rPr>
        <w:t>2 b) de l</w:t>
      </w:r>
      <w:r w:rsidR="003378EF">
        <w:rPr>
          <w:lang w:val="fr-FR"/>
        </w:rPr>
        <w:t>’</w:t>
      </w:r>
      <w:r w:rsidR="00425177" w:rsidRPr="00EE1418">
        <w:rPr>
          <w:lang w:val="fr-FR"/>
        </w:rPr>
        <w:t>articl</w:t>
      </w:r>
      <w:r w:rsidRPr="00EE1418">
        <w:rPr>
          <w:lang w:val="fr-FR"/>
        </w:rPr>
        <w:t>e </w:t>
      </w:r>
      <w:r w:rsidR="001D2D56" w:rsidRPr="00EE1418">
        <w:rPr>
          <w:lang w:val="fr-FR"/>
        </w:rPr>
        <w:t xml:space="preserve">9 de la Convention, </w:t>
      </w:r>
      <w:r w:rsidR="00386A69" w:rsidRPr="00EE1418">
        <w:rPr>
          <w:lang w:val="fr-FR"/>
        </w:rPr>
        <w:t xml:space="preserve">à savoir </w:t>
      </w:r>
      <w:r w:rsidR="001D2D56" w:rsidRPr="00EE1418">
        <w:rPr>
          <w:lang w:val="fr-FR"/>
        </w:rPr>
        <w:t>« toute source anthropique ponctuelle notable de rejets identifiée par une Partie, qui n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est pas traitée dans d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autres dispositions de la présente Convention ». </w:t>
      </w:r>
      <w:r w:rsidR="00C50A11">
        <w:rPr>
          <w:lang w:val="fr-FR"/>
        </w:rPr>
        <w:t xml:space="preserve">Une Partie a communiqué une liste des sources de mercure nationales actuelles. Toutes les sources ont considérablement réduit leurs rejets, lesquels ne dépassent pas </w:t>
      </w:r>
      <w:r w:rsidR="003378EF">
        <w:rPr>
          <w:lang w:val="fr-FR"/>
        </w:rPr>
        <w:t>2 kg</w:t>
      </w:r>
      <w:r w:rsidR="00C50A11">
        <w:rPr>
          <w:lang w:val="fr-FR"/>
        </w:rPr>
        <w:t xml:space="preserve"> par an et par usine, comme suit : production de dioxyde de titane ; industrie des pâtes et papiers ; raffinage du pétrole et transformation du gaz nat</w:t>
      </w:r>
      <w:r w:rsidR="003378EF">
        <w:rPr>
          <w:lang w:val="fr-FR"/>
        </w:rPr>
        <w:t>urel ; production de fluorure d’</w:t>
      </w:r>
      <w:r w:rsidR="00C50A11">
        <w:rPr>
          <w:lang w:val="fr-FR"/>
        </w:rPr>
        <w:t>aluminium ; production de scories de dioxyde de titane et de fonte ; production de zinc et de cadmium ; production de ferromanganèse et de silicomanganèse ; incinération des déchets ; épuration des eaux usées municipales ; et décharges. La même Partie a fait observer qu</w:t>
      </w:r>
      <w:r w:rsidR="003378EF">
        <w:rPr>
          <w:lang w:val="fr-FR"/>
        </w:rPr>
        <w:t>’</w:t>
      </w:r>
      <w:r w:rsidR="00C50A11">
        <w:rPr>
          <w:lang w:val="fr-FR"/>
        </w:rPr>
        <w:t>outre les informations recueillies sur les sources nationales de rejets de mercure dans l</w:t>
      </w:r>
      <w:r w:rsidR="003378EF">
        <w:rPr>
          <w:lang w:val="fr-FR"/>
        </w:rPr>
        <w:t>’</w:t>
      </w:r>
      <w:r w:rsidR="00C50A11">
        <w:rPr>
          <w:lang w:val="fr-FR"/>
        </w:rPr>
        <w:t>eau, l</w:t>
      </w:r>
      <w:r w:rsidR="003378EF">
        <w:rPr>
          <w:lang w:val="fr-FR"/>
        </w:rPr>
        <w:t>’</w:t>
      </w:r>
      <w:r w:rsidR="00C50A11">
        <w:rPr>
          <w:lang w:val="fr-FR"/>
        </w:rPr>
        <w:t>évaluation mondiale du mercure 2018 serait une bonne source d</w:t>
      </w:r>
      <w:r w:rsidR="003378EF">
        <w:rPr>
          <w:lang w:val="fr-FR"/>
        </w:rPr>
        <w:t>’</w:t>
      </w:r>
      <w:r w:rsidR="00C50A11">
        <w:rPr>
          <w:lang w:val="fr-FR"/>
        </w:rPr>
        <w:t>informations concernant les principales sources de rejets dans l</w:t>
      </w:r>
      <w:r w:rsidR="003378EF">
        <w:rPr>
          <w:lang w:val="fr-FR"/>
        </w:rPr>
        <w:t>’</w:t>
      </w:r>
      <w:r w:rsidR="00C50A11">
        <w:rPr>
          <w:lang w:val="fr-FR"/>
        </w:rPr>
        <w:t>eau, évoquant les sources potentiellement pertinentes suivantes : production de métaux non ferreux ; production de mercure métallique ; production d</w:t>
      </w:r>
      <w:r w:rsidR="003378EF">
        <w:rPr>
          <w:lang w:val="fr-FR"/>
        </w:rPr>
        <w:t>’</w:t>
      </w:r>
      <w:r w:rsidR="00C50A11">
        <w:rPr>
          <w:lang w:val="fr-FR"/>
        </w:rPr>
        <w:t>or par l</w:t>
      </w:r>
      <w:r w:rsidR="003378EF">
        <w:rPr>
          <w:lang w:val="fr-FR"/>
        </w:rPr>
        <w:t>’</w:t>
      </w:r>
      <w:r w:rsidR="00C50A11">
        <w:rPr>
          <w:lang w:val="fr-FR"/>
        </w:rPr>
        <w:t xml:space="preserve">extraction minière à grande échelle ; raffinage du pétrole ; épuration des eaux usées municipales ; centrales électriques alimentées au charbon ; et lavage du charbon. </w:t>
      </w:r>
      <w:r w:rsidR="001D2D56" w:rsidRPr="00EE1418">
        <w:rPr>
          <w:lang w:val="fr-FR"/>
        </w:rPr>
        <w:t xml:space="preserve">Les informations communiquées </w:t>
      </w:r>
      <w:r w:rsidR="00386A69" w:rsidRPr="00EE1418">
        <w:rPr>
          <w:lang w:val="fr-FR"/>
        </w:rPr>
        <w:lastRenderedPageBreak/>
        <w:t xml:space="preserve">peuvent être consultées </w:t>
      </w:r>
      <w:r w:rsidR="001D2D56" w:rsidRPr="00EE1418">
        <w:rPr>
          <w:lang w:val="fr-FR"/>
        </w:rPr>
        <w:t>sur le site Web de la Convention à l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adresse suivante</w:t>
      </w:r>
      <w:r w:rsidR="00C50A11">
        <w:rPr>
          <w:lang w:val="fr-FR"/>
        </w:rPr>
        <w:t> </w:t>
      </w:r>
      <w:r w:rsidR="001D2D56" w:rsidRPr="00EE1418">
        <w:rPr>
          <w:lang w:val="fr-FR"/>
        </w:rPr>
        <w:t xml:space="preserve">: </w:t>
      </w:r>
      <w:hyperlink r:id="rId11" w:history="1">
        <w:r w:rsidR="009E39FC" w:rsidRPr="00F526A1">
          <w:rPr>
            <w:rStyle w:val="Hyperlink"/>
          </w:rPr>
          <w:t>http://mercuryconvention.org/R%C3%A9unions/Travauxintersessions/tabid/6326/</w:t>
        </w:r>
        <w:r w:rsidR="009E39FC" w:rsidRPr="00F526A1">
          <w:rPr>
            <w:rStyle w:val="Hyperlink"/>
          </w:rPr>
          <w:br/>
          <w:t>language/fr-CH/Default.aspx</w:t>
        </w:r>
      </w:hyperlink>
      <w:r w:rsidR="001D2D56" w:rsidRPr="00EE1418">
        <w:rPr>
          <w:lang w:val="fr-FR"/>
        </w:rPr>
        <w:t>.</w:t>
      </w:r>
    </w:p>
    <w:p w14:paraId="0552B283" w14:textId="69F8418A" w:rsidR="001D2D56" w:rsidRPr="00EE1418" w:rsidRDefault="00EE1418" w:rsidP="007F09DF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4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1D2D56" w:rsidRPr="00EE1418">
        <w:rPr>
          <w:lang w:val="fr-FR"/>
        </w:rPr>
        <w:t>Bien que</w:t>
      </w:r>
      <w:r w:rsidR="00386A69" w:rsidRPr="00EE1418">
        <w:rPr>
          <w:lang w:val="fr-FR"/>
        </w:rPr>
        <w:t>, dans sa décision,</w:t>
      </w:r>
      <w:r w:rsidR="001D2D56" w:rsidRPr="00EE1418">
        <w:rPr>
          <w:lang w:val="fr-FR"/>
        </w:rPr>
        <w:t xml:space="preserve"> la Conférence des Parties</w:t>
      </w:r>
      <w:r w:rsidR="00386A69" w:rsidRPr="00EE1418">
        <w:rPr>
          <w:lang w:val="fr-FR"/>
        </w:rPr>
        <w:t xml:space="preserve"> </w:t>
      </w:r>
      <w:r w:rsidR="009D07C5" w:rsidRPr="00EE1418">
        <w:rPr>
          <w:lang w:val="fr-FR"/>
        </w:rPr>
        <w:t>engageait</w:t>
      </w:r>
      <w:r w:rsidR="001D2D56" w:rsidRPr="00EE1418">
        <w:rPr>
          <w:lang w:val="fr-FR"/>
        </w:rPr>
        <w:t xml:space="preserve"> les Parties à recenser dès que possible les sources ponctuelles pertinentes au niveau national conformément aux paragraphes</w:t>
      </w:r>
      <w:r w:rsidR="00425177" w:rsidRPr="00EE1418">
        <w:rPr>
          <w:lang w:val="fr-FR"/>
        </w:rPr>
        <w:t> </w:t>
      </w:r>
      <w:r w:rsidR="001D2D56" w:rsidRPr="00EE1418">
        <w:rPr>
          <w:lang w:val="fr-FR"/>
        </w:rPr>
        <w:t>2 b) et 3 de l</w:t>
      </w:r>
      <w:r w:rsidR="003378EF">
        <w:rPr>
          <w:lang w:val="fr-FR"/>
        </w:rPr>
        <w:t>’</w:t>
      </w:r>
      <w:r w:rsidR="00425177" w:rsidRPr="00EE1418">
        <w:rPr>
          <w:lang w:val="fr-FR"/>
        </w:rPr>
        <w:t>article </w:t>
      </w:r>
      <w:r w:rsidR="001D2D56" w:rsidRPr="00EE1418">
        <w:rPr>
          <w:lang w:val="fr-FR"/>
        </w:rPr>
        <w:t>9, les Parties ne sont tenues de le faire, aux termes de l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article</w:t>
      </w:r>
      <w:r w:rsidR="00425177" w:rsidRPr="00EE1418">
        <w:rPr>
          <w:lang w:val="fr-FR"/>
        </w:rPr>
        <w:t> </w:t>
      </w:r>
      <w:r w:rsidR="001D2D56" w:rsidRPr="00EE1418">
        <w:rPr>
          <w:lang w:val="fr-FR"/>
        </w:rPr>
        <w:t>9, qu</w:t>
      </w:r>
      <w:r w:rsidR="003378EF">
        <w:rPr>
          <w:lang w:val="fr-FR"/>
        </w:rPr>
        <w:t>’</w:t>
      </w:r>
      <w:r w:rsidR="00D15B8E" w:rsidRPr="00EE1418">
        <w:rPr>
          <w:lang w:val="fr-FR"/>
        </w:rPr>
        <w:t>« </w:t>
      </w:r>
      <w:r w:rsidR="001D2D56" w:rsidRPr="00EE1418">
        <w:rPr>
          <w:lang w:val="fr-FR"/>
        </w:rPr>
        <w:t>au plus tard trois ans après la date d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entrée en vigueur de la Convention à </w:t>
      </w:r>
      <w:r w:rsidR="00D15B8E" w:rsidRPr="00EE1418">
        <w:rPr>
          <w:lang w:val="fr-FR"/>
        </w:rPr>
        <w:t>[</w:t>
      </w:r>
      <w:r w:rsidR="001D2D56" w:rsidRPr="00EE1418">
        <w:rPr>
          <w:lang w:val="fr-FR"/>
        </w:rPr>
        <w:t>leur</w:t>
      </w:r>
      <w:r w:rsidR="00D15B8E" w:rsidRPr="00EE1418">
        <w:rPr>
          <w:lang w:val="fr-FR"/>
        </w:rPr>
        <w:t>]</w:t>
      </w:r>
      <w:r w:rsidR="001D2D56" w:rsidRPr="00EE1418">
        <w:rPr>
          <w:lang w:val="fr-FR"/>
        </w:rPr>
        <w:t xml:space="preserve"> égard et, par la suite, à intervalles réguliers</w:t>
      </w:r>
      <w:r w:rsidR="00D15B8E" w:rsidRPr="00EE1418">
        <w:rPr>
          <w:lang w:val="fr-FR"/>
        </w:rPr>
        <w:t> »</w:t>
      </w:r>
      <w:r w:rsidR="001D2D56" w:rsidRPr="00EE1418">
        <w:rPr>
          <w:lang w:val="fr-FR"/>
        </w:rPr>
        <w:t xml:space="preserve">. De plus, les Parties sont tenues de </w:t>
      </w:r>
      <w:r w:rsidR="00D15B8E" w:rsidRPr="00EE1418">
        <w:rPr>
          <w:lang w:val="fr-FR"/>
        </w:rPr>
        <w:t xml:space="preserve">faire le point sur </w:t>
      </w:r>
      <w:r w:rsidR="001D2D56" w:rsidRPr="00EE1418">
        <w:rPr>
          <w:lang w:val="fr-FR"/>
        </w:rPr>
        <w:t>la mise en œuvre de l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article</w:t>
      </w:r>
      <w:r w:rsidR="00425177" w:rsidRPr="00EE1418">
        <w:rPr>
          <w:lang w:val="fr-FR"/>
        </w:rPr>
        <w:t> </w:t>
      </w:r>
      <w:r w:rsidR="001D2D56" w:rsidRPr="00EE1418">
        <w:rPr>
          <w:lang w:val="fr-FR"/>
        </w:rPr>
        <w:t>9 dans les rapports qu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elles </w:t>
      </w:r>
      <w:r w:rsidR="00D15B8E" w:rsidRPr="00EE1418">
        <w:rPr>
          <w:lang w:val="fr-FR"/>
        </w:rPr>
        <w:t>présentent en application de</w:t>
      </w:r>
      <w:r w:rsidR="001D2D56" w:rsidRPr="00EE1418">
        <w:rPr>
          <w:lang w:val="fr-FR"/>
        </w:rPr>
        <w:t xml:space="preserve"> l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article 21. </w:t>
      </w:r>
      <w:r w:rsidR="00D15B8E" w:rsidRPr="00EE1418">
        <w:rPr>
          <w:lang w:val="fr-FR"/>
        </w:rPr>
        <w:t xml:space="preserve">Par </w:t>
      </w:r>
      <w:r w:rsidR="00425177" w:rsidRPr="00EE1418">
        <w:rPr>
          <w:lang w:val="fr-FR"/>
        </w:rPr>
        <w:t>sa décision </w:t>
      </w:r>
      <w:r w:rsidR="001D2D56" w:rsidRPr="00EE1418">
        <w:rPr>
          <w:lang w:val="fr-FR"/>
        </w:rPr>
        <w:t>MC-1/8, la Conférence des Parties a décidé que les premiers rapports complets des Parties devraient êt</w:t>
      </w:r>
      <w:r w:rsidR="00016C9F" w:rsidRPr="00EE1418">
        <w:rPr>
          <w:lang w:val="fr-FR"/>
        </w:rPr>
        <w:t>re présentés au plus tard le 31 </w:t>
      </w:r>
      <w:r w:rsidR="001D2D56" w:rsidRPr="00EE1418">
        <w:rPr>
          <w:lang w:val="fr-FR"/>
        </w:rPr>
        <w:t>décembre 2021. D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>ici là, l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étendue et la nature des rejets auront été précisées et la Conférence des Parties sera mieux </w:t>
      </w:r>
      <w:r w:rsidR="00D15B8E" w:rsidRPr="00EE1418">
        <w:rPr>
          <w:lang w:val="fr-FR"/>
        </w:rPr>
        <w:t>à même d</w:t>
      </w:r>
      <w:r w:rsidR="003378EF">
        <w:rPr>
          <w:lang w:val="fr-FR"/>
        </w:rPr>
        <w:t>’</w:t>
      </w:r>
      <w:r w:rsidR="001D2D56" w:rsidRPr="00EE1418">
        <w:rPr>
          <w:lang w:val="fr-FR"/>
        </w:rPr>
        <w:t xml:space="preserve">élaborer des orientations pertinentes </w:t>
      </w:r>
      <w:r w:rsidR="006C22A0" w:rsidRPr="00EE1418">
        <w:rPr>
          <w:lang w:val="fr-FR"/>
        </w:rPr>
        <w:t>concernant</w:t>
      </w:r>
      <w:r>
        <w:rPr>
          <w:lang w:val="fr-FR"/>
        </w:rPr>
        <w:t xml:space="preserve"> leur gestion.</w:t>
      </w:r>
    </w:p>
    <w:p w14:paraId="5096F699" w14:textId="77777777" w:rsidR="001D2D56" w:rsidRPr="00B16107" w:rsidRDefault="001D2D56" w:rsidP="00976789">
      <w:pPr>
        <w:pStyle w:val="CH2"/>
        <w:rPr>
          <w:b w:val="0"/>
          <w:lang w:val="fr-FR"/>
        </w:rPr>
      </w:pPr>
      <w:r w:rsidRPr="00B16107">
        <w:rPr>
          <w:lang w:val="fr-FR"/>
        </w:rPr>
        <w:tab/>
      </w:r>
      <w:r w:rsidRPr="00B16107">
        <w:rPr>
          <w:lang w:val="fr-FR"/>
        </w:rPr>
        <w:tab/>
      </w:r>
      <w:r w:rsidRPr="00B16107">
        <w:rPr>
          <w:bCs/>
          <w:lang w:val="fr-FR"/>
        </w:rPr>
        <w:t>Mesures que pourrait prendre la Conférence des Parties</w:t>
      </w:r>
    </w:p>
    <w:p w14:paraId="4A7F2F76" w14:textId="1CC1202D" w:rsidR="001D2D56" w:rsidRPr="00B16107" w:rsidRDefault="001D2D56" w:rsidP="00EE1418">
      <w:pPr>
        <w:pStyle w:val="Normalnumber"/>
        <w:numPr>
          <w:ilvl w:val="0"/>
          <w:numId w:val="39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ind w:left="1260" w:hanging="17"/>
        <w:rPr>
          <w:lang w:val="fr-FR"/>
        </w:rPr>
      </w:pPr>
      <w:r w:rsidRPr="00B16107">
        <w:rPr>
          <w:lang w:val="fr-FR"/>
        </w:rPr>
        <w:t>Puisqu</w:t>
      </w:r>
      <w:r w:rsidR="003378EF">
        <w:rPr>
          <w:lang w:val="fr-FR"/>
        </w:rPr>
        <w:t>’</w:t>
      </w:r>
      <w:r w:rsidR="003308DF">
        <w:rPr>
          <w:lang w:val="fr-FR"/>
        </w:rPr>
        <w:t xml:space="preserve">une seule Partie a recensé des </w:t>
      </w:r>
      <w:r w:rsidRPr="00B16107">
        <w:rPr>
          <w:lang w:val="fr-FR"/>
        </w:rPr>
        <w:t>source</w:t>
      </w:r>
      <w:r w:rsidR="003308DF">
        <w:rPr>
          <w:lang w:val="fr-FR"/>
        </w:rPr>
        <w:t>s</w:t>
      </w:r>
      <w:r w:rsidRPr="00B16107">
        <w:rPr>
          <w:lang w:val="fr-FR"/>
        </w:rPr>
        <w:t xml:space="preserve"> pertinente</w:t>
      </w:r>
      <w:r w:rsidR="003308DF">
        <w:rPr>
          <w:lang w:val="fr-FR"/>
        </w:rPr>
        <w:t>s</w:t>
      </w:r>
      <w:r w:rsidRPr="00B16107">
        <w:rPr>
          <w:lang w:val="fr-FR"/>
        </w:rPr>
        <w:t xml:space="preserve"> de rejets au</w:t>
      </w:r>
      <w:r w:rsidR="00D15B8E">
        <w:rPr>
          <w:lang w:val="fr-FR"/>
        </w:rPr>
        <w:t xml:space="preserve"> sens</w:t>
      </w:r>
      <w:r w:rsidRPr="00B16107">
        <w:rPr>
          <w:lang w:val="fr-FR"/>
        </w:rPr>
        <w:t xml:space="preserve"> de l</w:t>
      </w:r>
      <w:r w:rsidR="003378EF">
        <w:rPr>
          <w:lang w:val="fr-FR"/>
        </w:rPr>
        <w:t>’</w:t>
      </w:r>
      <w:r w:rsidR="00425177">
        <w:rPr>
          <w:lang w:val="fr-FR"/>
        </w:rPr>
        <w:t>article </w:t>
      </w:r>
      <w:r w:rsidRPr="00B16107">
        <w:rPr>
          <w:lang w:val="fr-FR"/>
        </w:rPr>
        <w:t>9 de la Convention, la Conférence des Parties souhaitera peut-être reporter toute activité visant à élaborer des orientations sur les meilleures techniques disponibles et les meilleures pratique</w:t>
      </w:r>
      <w:r w:rsidR="00425177">
        <w:rPr>
          <w:lang w:val="fr-FR"/>
        </w:rPr>
        <w:t>s environnementales après le 31 </w:t>
      </w:r>
      <w:r w:rsidRPr="00B16107">
        <w:rPr>
          <w:lang w:val="fr-FR"/>
        </w:rPr>
        <w:t>décembre 2021, date limite de présentation des premiers rap</w:t>
      </w:r>
      <w:r w:rsidR="00016C9F">
        <w:rPr>
          <w:lang w:val="fr-FR"/>
        </w:rPr>
        <w:t>ports complets des Parties. Les </w:t>
      </w:r>
      <w:r w:rsidRPr="00B16107">
        <w:rPr>
          <w:lang w:val="fr-FR"/>
        </w:rPr>
        <w:t>Parties souhaiteront peut-être communiquer les informations utiles au secrétariat à mesure qu</w:t>
      </w:r>
      <w:r w:rsidR="003378EF">
        <w:rPr>
          <w:lang w:val="fr-FR"/>
        </w:rPr>
        <w:t>’</w:t>
      </w:r>
      <w:r w:rsidRPr="00B16107">
        <w:rPr>
          <w:lang w:val="fr-FR"/>
        </w:rPr>
        <w:t xml:space="preserve">elles seront disponibles et la Conférence des Parties souhaitera peut-être examiner à nouveau la question à la première </w:t>
      </w:r>
      <w:r w:rsidR="00604F20">
        <w:rPr>
          <w:lang w:val="fr-FR"/>
        </w:rPr>
        <w:t xml:space="preserve">de ses </w:t>
      </w:r>
      <w:r w:rsidRPr="00B16107">
        <w:rPr>
          <w:lang w:val="fr-FR"/>
        </w:rPr>
        <w:t>réunion</w:t>
      </w:r>
      <w:r w:rsidR="00604F20">
        <w:rPr>
          <w:lang w:val="fr-FR"/>
        </w:rPr>
        <w:t>s</w:t>
      </w:r>
      <w:r w:rsidRPr="00B16107">
        <w:rPr>
          <w:lang w:val="fr-FR"/>
        </w:rPr>
        <w:t xml:space="preserve"> qui suivra la présentation des rapports complets. Le texte du projet de décision figure dans l</w:t>
      </w:r>
      <w:r w:rsidR="003378EF">
        <w:rPr>
          <w:lang w:val="fr-FR"/>
        </w:rPr>
        <w:t>’</w:t>
      </w:r>
      <w:r w:rsidRPr="00B16107">
        <w:rPr>
          <w:lang w:val="fr-FR"/>
        </w:rPr>
        <w:t xml:space="preserve">annexe </w:t>
      </w:r>
      <w:r w:rsidR="00D15B8E">
        <w:rPr>
          <w:lang w:val="fr-FR"/>
        </w:rPr>
        <w:t>de</w:t>
      </w:r>
      <w:r w:rsidRPr="00B16107">
        <w:rPr>
          <w:lang w:val="fr-FR"/>
        </w:rPr>
        <w:t xml:space="preserve"> la présente note.</w:t>
      </w:r>
    </w:p>
    <w:p w14:paraId="0C4CA094" w14:textId="4D8E9F59" w:rsidR="00BF2904" w:rsidRDefault="00BF2904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fr-FR"/>
        </w:rPr>
      </w:pPr>
      <w:r>
        <w:rPr>
          <w:lang w:val="fr-FR"/>
        </w:rPr>
        <w:br w:type="page"/>
      </w:r>
    </w:p>
    <w:p w14:paraId="72B91804" w14:textId="77777777" w:rsidR="001D2D56" w:rsidRPr="00B16107" w:rsidRDefault="001D2D56" w:rsidP="00976789">
      <w:pPr>
        <w:pStyle w:val="ZZAnxheader"/>
        <w:rPr>
          <w:lang w:val="fr-FR"/>
        </w:rPr>
      </w:pPr>
      <w:r w:rsidRPr="00B16107">
        <w:rPr>
          <w:lang w:val="fr-FR"/>
        </w:rPr>
        <w:lastRenderedPageBreak/>
        <w:t>Annexe</w:t>
      </w:r>
    </w:p>
    <w:p w14:paraId="41DB51E1" w14:textId="2A43789D" w:rsidR="001D2D56" w:rsidRPr="00B16107" w:rsidRDefault="00425177" w:rsidP="001D2D56">
      <w:pPr>
        <w:pStyle w:val="ZZAnxtitle"/>
        <w:rPr>
          <w:lang w:val="fr-FR"/>
        </w:rPr>
      </w:pPr>
      <w:r>
        <w:rPr>
          <w:lang w:val="fr-FR"/>
        </w:rPr>
        <w:t>Projet de décision </w:t>
      </w:r>
      <w:r w:rsidR="004C556E">
        <w:rPr>
          <w:lang w:val="fr-FR"/>
        </w:rPr>
        <w:t>MC-2/[XX] </w:t>
      </w:r>
      <w:r w:rsidR="001D2D56" w:rsidRPr="00B16107">
        <w:rPr>
          <w:lang w:val="fr-FR"/>
        </w:rPr>
        <w:t xml:space="preserve">: Rejets </w:t>
      </w:r>
    </w:p>
    <w:p w14:paraId="15E10B78" w14:textId="77777777" w:rsidR="001D2D56" w:rsidRPr="00B16107" w:rsidRDefault="001D2D56" w:rsidP="0097678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fr-FR"/>
        </w:rPr>
      </w:pPr>
      <w:r w:rsidRPr="00B16107">
        <w:rPr>
          <w:i/>
          <w:iCs/>
          <w:lang w:val="fr-FR"/>
        </w:rPr>
        <w:t>La Conférence des Parties</w:t>
      </w:r>
      <w:r w:rsidRPr="00535756">
        <w:rPr>
          <w:iCs/>
          <w:lang w:val="fr-FR"/>
        </w:rPr>
        <w:t>,</w:t>
      </w:r>
    </w:p>
    <w:p w14:paraId="7581AF31" w14:textId="09EC62DA" w:rsidR="001D2D56" w:rsidRPr="00B16107" w:rsidRDefault="00D15B8E" w:rsidP="0097678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Cs/>
          <w:lang w:val="fr-FR"/>
        </w:rPr>
      </w:pPr>
      <w:r>
        <w:rPr>
          <w:i/>
          <w:iCs/>
          <w:lang w:val="fr-FR"/>
        </w:rPr>
        <w:t>Consciente</w:t>
      </w:r>
      <w:r w:rsidRPr="00B16107">
        <w:rPr>
          <w:i/>
          <w:iCs/>
          <w:lang w:val="fr-FR"/>
        </w:rPr>
        <w:t xml:space="preserve"> </w:t>
      </w:r>
      <w:r w:rsidR="001D2D56" w:rsidRPr="00B16107">
        <w:rPr>
          <w:lang w:val="fr-FR"/>
        </w:rPr>
        <w:t>qu</w:t>
      </w:r>
      <w:r w:rsidR="003378EF">
        <w:rPr>
          <w:lang w:val="fr-FR"/>
        </w:rPr>
        <w:t>’</w:t>
      </w:r>
      <w:r w:rsidR="001D2D56" w:rsidRPr="00B16107">
        <w:rPr>
          <w:lang w:val="fr-FR"/>
        </w:rPr>
        <w:t>elle doit adopter dès que possible des orientations sur les meilleures techniques disponibles et les meilleures pratiques environnementales pour contrôler les rejets des sources pertinentes</w:t>
      </w:r>
      <w:r w:rsidR="00BA753D">
        <w:rPr>
          <w:lang w:val="fr-FR"/>
        </w:rPr>
        <w:t>,</w:t>
      </w:r>
      <w:r w:rsidR="001D2D56" w:rsidRPr="00B16107">
        <w:rPr>
          <w:lang w:val="fr-FR"/>
        </w:rPr>
        <w:t xml:space="preserve"> ainsi qu</w:t>
      </w:r>
      <w:r w:rsidR="003378EF">
        <w:rPr>
          <w:lang w:val="fr-FR"/>
        </w:rPr>
        <w:t>’</w:t>
      </w:r>
      <w:r w:rsidR="001D2D56" w:rsidRPr="00B16107">
        <w:rPr>
          <w:lang w:val="fr-FR"/>
        </w:rPr>
        <w:t>une méthode d</w:t>
      </w:r>
      <w:r w:rsidR="003378EF">
        <w:rPr>
          <w:lang w:val="fr-FR"/>
        </w:rPr>
        <w:t>’</w:t>
      </w:r>
      <w:r w:rsidR="001D2D56" w:rsidRPr="00B16107">
        <w:rPr>
          <w:lang w:val="fr-FR"/>
        </w:rPr>
        <w:t>établissement des inventaires des rejets de ces sources,</w:t>
      </w:r>
    </w:p>
    <w:p w14:paraId="0B2AD846" w14:textId="1339EA06" w:rsidR="001D2D56" w:rsidRPr="00B16107" w:rsidRDefault="001D2D56" w:rsidP="0097678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Cs/>
          <w:lang w:val="fr-FR"/>
        </w:rPr>
      </w:pPr>
      <w:r w:rsidRPr="00B16107">
        <w:rPr>
          <w:i/>
          <w:iCs/>
          <w:lang w:val="fr-FR"/>
        </w:rPr>
        <w:t xml:space="preserve">Notant </w:t>
      </w:r>
      <w:r w:rsidRPr="00B16107">
        <w:rPr>
          <w:lang w:val="fr-FR"/>
        </w:rPr>
        <w:t>qu</w:t>
      </w:r>
      <w:r w:rsidR="003378EF">
        <w:rPr>
          <w:lang w:val="fr-FR"/>
        </w:rPr>
        <w:t>’</w:t>
      </w:r>
      <w:r w:rsidR="003308DF">
        <w:rPr>
          <w:lang w:val="fr-FR"/>
        </w:rPr>
        <w:t xml:space="preserve">à ce jour une seule Partie a communiqué des </w:t>
      </w:r>
      <w:r w:rsidRPr="00B16107">
        <w:rPr>
          <w:lang w:val="fr-FR"/>
        </w:rPr>
        <w:t>information</w:t>
      </w:r>
      <w:r w:rsidR="003308DF">
        <w:rPr>
          <w:lang w:val="fr-FR"/>
        </w:rPr>
        <w:t>s</w:t>
      </w:r>
      <w:r w:rsidRPr="00B16107">
        <w:rPr>
          <w:lang w:val="fr-FR"/>
        </w:rPr>
        <w:t xml:space="preserve"> recensant de</w:t>
      </w:r>
      <w:r w:rsidR="00D15B8E">
        <w:rPr>
          <w:lang w:val="fr-FR"/>
        </w:rPr>
        <w:t>s</w:t>
      </w:r>
      <w:r w:rsidRPr="00B16107">
        <w:rPr>
          <w:lang w:val="fr-FR"/>
        </w:rPr>
        <w:t xml:space="preserve"> source</w:t>
      </w:r>
      <w:r w:rsidR="00D15B8E">
        <w:rPr>
          <w:lang w:val="fr-FR"/>
        </w:rPr>
        <w:t>s</w:t>
      </w:r>
      <w:r w:rsidRPr="00B16107">
        <w:rPr>
          <w:lang w:val="fr-FR"/>
        </w:rPr>
        <w:t xml:space="preserve"> ponctuelle</w:t>
      </w:r>
      <w:r w:rsidR="00D15B8E">
        <w:rPr>
          <w:lang w:val="fr-FR"/>
        </w:rPr>
        <w:t>s</w:t>
      </w:r>
      <w:r w:rsidRPr="00B16107">
        <w:rPr>
          <w:lang w:val="fr-FR"/>
        </w:rPr>
        <w:t xml:space="preserve"> pertinente</w:t>
      </w:r>
      <w:r w:rsidR="00D15B8E">
        <w:rPr>
          <w:lang w:val="fr-FR"/>
        </w:rPr>
        <w:t>s</w:t>
      </w:r>
      <w:r w:rsidRPr="00B16107">
        <w:rPr>
          <w:lang w:val="fr-FR"/>
        </w:rPr>
        <w:t xml:space="preserve"> </w:t>
      </w:r>
      <w:r w:rsidR="003308DF">
        <w:rPr>
          <w:lang w:val="fr-FR"/>
        </w:rPr>
        <w:t xml:space="preserve">éventuelles </w:t>
      </w:r>
      <w:r w:rsidRPr="00B16107">
        <w:rPr>
          <w:lang w:val="fr-FR"/>
        </w:rPr>
        <w:t>au</w:t>
      </w:r>
      <w:r w:rsidR="00D15B8E">
        <w:rPr>
          <w:lang w:val="fr-FR"/>
        </w:rPr>
        <w:t xml:space="preserve"> sens</w:t>
      </w:r>
      <w:r w:rsidRPr="00B16107">
        <w:rPr>
          <w:lang w:val="fr-FR"/>
        </w:rPr>
        <w:t xml:space="preserve"> de l</w:t>
      </w:r>
      <w:r w:rsidR="003378EF">
        <w:rPr>
          <w:lang w:val="fr-FR"/>
        </w:rPr>
        <w:t>’</w:t>
      </w:r>
      <w:r w:rsidR="00CE0FDB">
        <w:rPr>
          <w:lang w:val="fr-FR"/>
        </w:rPr>
        <w:t>article </w:t>
      </w:r>
      <w:r w:rsidRPr="00B16107">
        <w:rPr>
          <w:lang w:val="fr-FR"/>
        </w:rPr>
        <w:t>9,</w:t>
      </w:r>
    </w:p>
    <w:p w14:paraId="05B7B772" w14:textId="48FB2649" w:rsidR="001D2D56" w:rsidRPr="00B16107" w:rsidRDefault="00D15B8E" w:rsidP="0097678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fr-FR"/>
        </w:rPr>
      </w:pPr>
      <w:r>
        <w:rPr>
          <w:i/>
          <w:iCs/>
          <w:lang w:val="fr-FR"/>
        </w:rPr>
        <w:t>Sachant</w:t>
      </w:r>
      <w:r w:rsidRPr="00B16107">
        <w:rPr>
          <w:i/>
          <w:iCs/>
          <w:lang w:val="fr-FR"/>
        </w:rPr>
        <w:t xml:space="preserve"> </w:t>
      </w:r>
      <w:r w:rsidR="001D2D56" w:rsidRPr="00B16107">
        <w:rPr>
          <w:lang w:val="fr-FR"/>
        </w:rPr>
        <w:t>que les Parties communiqueront des informations sur leurs sources pertinentes de rejet</w:t>
      </w:r>
      <w:r w:rsidR="00016C9F">
        <w:rPr>
          <w:lang w:val="fr-FR"/>
        </w:rPr>
        <w:t>s</w:t>
      </w:r>
      <w:r w:rsidR="001D2D56" w:rsidRPr="00B16107">
        <w:rPr>
          <w:lang w:val="fr-FR"/>
        </w:rPr>
        <w:t xml:space="preserve"> et sur les mesures prises pour les contrôler dans les rapports qu</w:t>
      </w:r>
      <w:r w:rsidR="003378EF">
        <w:rPr>
          <w:lang w:val="fr-FR"/>
        </w:rPr>
        <w:t>’</w:t>
      </w:r>
      <w:r w:rsidR="00BA753D">
        <w:rPr>
          <w:lang w:val="fr-FR"/>
        </w:rPr>
        <w:t>elles établiro</w:t>
      </w:r>
      <w:r w:rsidR="001D2D56" w:rsidRPr="00B16107">
        <w:rPr>
          <w:lang w:val="fr-FR"/>
        </w:rPr>
        <w:t xml:space="preserve">nt </w:t>
      </w:r>
      <w:r>
        <w:rPr>
          <w:lang w:val="fr-FR"/>
        </w:rPr>
        <w:t>en application de</w:t>
      </w:r>
      <w:r w:rsidR="001D2D56" w:rsidRPr="00B16107">
        <w:rPr>
          <w:lang w:val="fr-FR"/>
        </w:rPr>
        <w:t xml:space="preserve"> l</w:t>
      </w:r>
      <w:r w:rsidR="003378EF">
        <w:rPr>
          <w:lang w:val="fr-FR"/>
        </w:rPr>
        <w:t>’</w:t>
      </w:r>
      <w:r w:rsidR="00016C9F">
        <w:rPr>
          <w:lang w:val="fr-FR"/>
        </w:rPr>
        <w:t>article </w:t>
      </w:r>
      <w:r w:rsidR="00E237CF">
        <w:rPr>
          <w:lang w:val="fr-FR"/>
        </w:rPr>
        <w:t>21,</w:t>
      </w:r>
    </w:p>
    <w:p w14:paraId="740544DC" w14:textId="283194C2" w:rsidR="001D2D56" w:rsidRPr="00B16107" w:rsidRDefault="001D2D56" w:rsidP="001D2D56">
      <w:pPr>
        <w:pStyle w:val="Normal-pool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fr-FR"/>
        </w:rPr>
      </w:pPr>
      <w:r w:rsidRPr="00B16107">
        <w:rPr>
          <w:i/>
          <w:iCs/>
          <w:lang w:val="fr-FR"/>
        </w:rPr>
        <w:t xml:space="preserve">Décide </w:t>
      </w:r>
      <w:r w:rsidRPr="00B16107">
        <w:rPr>
          <w:lang w:val="fr-FR"/>
        </w:rPr>
        <w:t>de prendre des mesures concernant l</w:t>
      </w:r>
      <w:r w:rsidR="003378EF">
        <w:rPr>
          <w:lang w:val="fr-FR"/>
        </w:rPr>
        <w:t>’</w:t>
      </w:r>
      <w:r w:rsidRPr="00B16107">
        <w:rPr>
          <w:lang w:val="fr-FR"/>
        </w:rPr>
        <w:t>élaboration d</w:t>
      </w:r>
      <w:r w:rsidR="003378EF">
        <w:rPr>
          <w:lang w:val="fr-FR"/>
        </w:rPr>
        <w:t>’</w:t>
      </w:r>
      <w:r w:rsidR="00F871AA">
        <w:rPr>
          <w:lang w:val="fr-FR"/>
        </w:rPr>
        <w:t>orientations sur les meilleures </w:t>
      </w:r>
      <w:r w:rsidRPr="00B16107">
        <w:rPr>
          <w:lang w:val="fr-FR"/>
        </w:rPr>
        <w:t>techniques disponibles et les meilleures pratiques environnementales pour contrôler les rejets des sources pertinentes à l</w:t>
      </w:r>
      <w:r w:rsidR="003378EF">
        <w:rPr>
          <w:lang w:val="fr-FR"/>
        </w:rPr>
        <w:t>’</w:t>
      </w:r>
      <w:r w:rsidRPr="00B16107">
        <w:rPr>
          <w:lang w:val="fr-FR"/>
        </w:rPr>
        <w:t>issue de l</w:t>
      </w:r>
      <w:r w:rsidR="003378EF">
        <w:rPr>
          <w:lang w:val="fr-FR"/>
        </w:rPr>
        <w:t>’</w:t>
      </w:r>
      <w:r w:rsidRPr="00B16107">
        <w:rPr>
          <w:lang w:val="fr-FR"/>
        </w:rPr>
        <w:t xml:space="preserve">examen des rapports établis par les Parties </w:t>
      </w:r>
      <w:r w:rsidR="00D15B8E">
        <w:rPr>
          <w:lang w:val="fr-FR"/>
        </w:rPr>
        <w:t>en application de</w:t>
      </w:r>
      <w:r w:rsidRPr="00B16107">
        <w:rPr>
          <w:lang w:val="fr-FR"/>
        </w:rPr>
        <w:t xml:space="preserve"> l</w:t>
      </w:r>
      <w:r w:rsidR="003378EF">
        <w:rPr>
          <w:lang w:val="fr-FR"/>
        </w:rPr>
        <w:t>’</w:t>
      </w:r>
      <w:r w:rsidR="00016C9F">
        <w:rPr>
          <w:lang w:val="fr-FR"/>
        </w:rPr>
        <w:t>article </w:t>
      </w:r>
      <w:r w:rsidR="00EE1418">
        <w:rPr>
          <w:lang w:val="fr-FR"/>
        </w:rPr>
        <w:t>21 ;</w:t>
      </w:r>
    </w:p>
    <w:p w14:paraId="092FB1D3" w14:textId="4359D577" w:rsidR="001D2D56" w:rsidRPr="00B16107" w:rsidRDefault="001D2D56" w:rsidP="001D2D56">
      <w:pPr>
        <w:pStyle w:val="Normal-pool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B16107">
        <w:rPr>
          <w:i/>
          <w:iCs/>
          <w:lang w:val="fr-FR"/>
        </w:rPr>
        <w:t xml:space="preserve">Engage </w:t>
      </w:r>
      <w:r w:rsidRPr="00B16107">
        <w:rPr>
          <w:lang w:val="fr-FR"/>
        </w:rPr>
        <w:t xml:space="preserve">les parties intéressées à </w:t>
      </w:r>
      <w:r w:rsidR="00361E57">
        <w:rPr>
          <w:lang w:val="fr-FR"/>
        </w:rPr>
        <w:t>communiquer</w:t>
      </w:r>
      <w:r w:rsidRPr="00B16107">
        <w:rPr>
          <w:lang w:val="fr-FR"/>
        </w:rPr>
        <w:t xml:space="preserve"> au secrétariat les informations disponibles sur les sources ponctuelles pertinentes durant la période précédant la date limite de présentation des rapports complets </w:t>
      </w:r>
      <w:r w:rsidR="009D0E00">
        <w:rPr>
          <w:lang w:val="fr-FR"/>
        </w:rPr>
        <w:t xml:space="preserve">établis </w:t>
      </w:r>
      <w:r w:rsidR="00D15B8E">
        <w:rPr>
          <w:lang w:val="fr-FR"/>
        </w:rPr>
        <w:t>en application de</w:t>
      </w:r>
      <w:r w:rsidRPr="00B16107">
        <w:rPr>
          <w:lang w:val="fr-FR"/>
        </w:rPr>
        <w:t xml:space="preserve"> l</w:t>
      </w:r>
      <w:r w:rsidR="003378EF">
        <w:rPr>
          <w:lang w:val="fr-FR"/>
        </w:rPr>
        <w:t>’</w:t>
      </w:r>
      <w:r w:rsidR="00425177">
        <w:rPr>
          <w:lang w:val="fr-FR"/>
        </w:rPr>
        <w:t>article </w:t>
      </w:r>
      <w:r w:rsidR="00EE1418">
        <w:rPr>
          <w:lang w:val="fr-FR"/>
        </w:rPr>
        <w:t>21 ;</w:t>
      </w:r>
    </w:p>
    <w:p w14:paraId="05C58F8C" w14:textId="22E9C95A" w:rsidR="001D2D56" w:rsidRPr="00B16107" w:rsidRDefault="001D2D56" w:rsidP="001D2D56">
      <w:pPr>
        <w:pStyle w:val="Normal-pool"/>
        <w:numPr>
          <w:ilvl w:val="0"/>
          <w:numId w:val="38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B16107">
        <w:rPr>
          <w:i/>
          <w:iCs/>
          <w:lang w:val="fr-FR"/>
        </w:rPr>
        <w:t xml:space="preserve">Prie </w:t>
      </w:r>
      <w:r w:rsidRPr="00B16107">
        <w:rPr>
          <w:lang w:val="fr-FR"/>
        </w:rPr>
        <w:t>le secrétariat de com</w:t>
      </w:r>
      <w:bookmarkStart w:id="5" w:name="_GoBack"/>
      <w:bookmarkEnd w:id="5"/>
      <w:r w:rsidRPr="00B16107">
        <w:rPr>
          <w:lang w:val="fr-FR"/>
        </w:rPr>
        <w:t>piler les informations provenant des rapports des Parties et d</w:t>
      </w:r>
      <w:r w:rsidR="003378EF">
        <w:rPr>
          <w:lang w:val="fr-FR"/>
        </w:rPr>
        <w:t>’</w:t>
      </w:r>
      <w:r w:rsidRPr="00B16107">
        <w:rPr>
          <w:lang w:val="fr-FR"/>
        </w:rPr>
        <w:t xml:space="preserve">autres sources et de lui présenter ces informations à la première </w:t>
      </w:r>
      <w:r w:rsidR="000D3500">
        <w:rPr>
          <w:lang w:val="fr-FR"/>
        </w:rPr>
        <w:t xml:space="preserve">de ses </w:t>
      </w:r>
      <w:r w:rsidRPr="00B16107">
        <w:rPr>
          <w:lang w:val="fr-FR"/>
        </w:rPr>
        <w:t>réunion</w:t>
      </w:r>
      <w:r w:rsidR="000D3500">
        <w:rPr>
          <w:lang w:val="fr-FR"/>
        </w:rPr>
        <w:t>s</w:t>
      </w:r>
      <w:r w:rsidRPr="00B16107">
        <w:rPr>
          <w:lang w:val="fr-FR"/>
        </w:rPr>
        <w:t xml:space="preserve"> qui suivra la présentation des rapports complets.</w:t>
      </w:r>
    </w:p>
    <w:p w14:paraId="0720A190" w14:textId="77777777" w:rsidR="001D2D56" w:rsidRPr="00B16107" w:rsidRDefault="001D2D56" w:rsidP="00E34F4B">
      <w:pPr>
        <w:pStyle w:val="Normal-pool"/>
        <w:rPr>
          <w:lang w:val="fr-FR"/>
        </w:rPr>
      </w:pPr>
    </w:p>
    <w:tbl>
      <w:tblPr>
        <w:tblW w:w="8011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241"/>
        <w:gridCol w:w="1942"/>
        <w:gridCol w:w="1942"/>
        <w:gridCol w:w="1943"/>
        <w:gridCol w:w="1943"/>
      </w:tblGrid>
      <w:tr w:rsidR="00E976AB" w:rsidRPr="003378EF" w14:paraId="2C04EA1C" w14:textId="77777777" w:rsidTr="00622194">
        <w:tc>
          <w:tcPr>
            <w:tcW w:w="241" w:type="dxa"/>
            <w:shd w:val="clear" w:color="auto" w:fill="auto"/>
          </w:tcPr>
          <w:p w14:paraId="09E2D188" w14:textId="77777777" w:rsidR="00E976AB" w:rsidRPr="00B16107" w:rsidRDefault="00E976AB" w:rsidP="00D9609B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5D8CF511" w14:textId="77777777" w:rsidR="00E976AB" w:rsidRPr="00B16107" w:rsidRDefault="00E976AB" w:rsidP="00D9609B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3A282E4" w14:textId="77777777" w:rsidR="00E976AB" w:rsidRPr="00B16107" w:rsidRDefault="00E976AB" w:rsidP="00D9609B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0C842605" w14:textId="77777777" w:rsidR="00E976AB" w:rsidRPr="00B16107" w:rsidRDefault="00E976AB" w:rsidP="00D9609B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44B34257" w14:textId="77777777" w:rsidR="00E976AB" w:rsidRPr="00B16107" w:rsidRDefault="00E976AB" w:rsidP="00D9609B">
            <w:pPr>
              <w:pStyle w:val="Normal-pool"/>
              <w:tabs>
                <w:tab w:val="left" w:pos="624"/>
                <w:tab w:val="left" w:pos="1871"/>
                <w:tab w:val="left" w:pos="2495"/>
              </w:tabs>
              <w:rPr>
                <w:lang w:val="fr-FR"/>
              </w:rPr>
            </w:pPr>
          </w:p>
        </w:tc>
      </w:tr>
      <w:bookmarkEnd w:id="4"/>
    </w:tbl>
    <w:p w14:paraId="5395FA3B" w14:textId="77777777" w:rsidR="00032E4E" w:rsidRPr="00B16107" w:rsidRDefault="00032E4E" w:rsidP="004455F3">
      <w:pPr>
        <w:pStyle w:val="Normal-pool"/>
        <w:tabs>
          <w:tab w:val="left" w:pos="624"/>
          <w:tab w:val="left" w:pos="1871"/>
          <w:tab w:val="left" w:pos="2495"/>
        </w:tabs>
        <w:rPr>
          <w:lang w:val="fr-FR"/>
        </w:rPr>
      </w:pPr>
    </w:p>
    <w:sectPr w:rsidR="00032E4E" w:rsidRPr="00B16107" w:rsidSect="00750E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849" w:bottom="1418" w:left="1418" w:header="539" w:footer="975" w:gutter="0"/>
      <w:cols w:space="539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9D91D" w16cid:durableId="1EF6FC7C"/>
  <w16cid:commentId w16cid:paraId="074EF54B" w16cid:durableId="1EF6FD8B"/>
  <w16cid:commentId w16cid:paraId="36671F32" w16cid:durableId="1EF6FC7D"/>
  <w16cid:commentId w16cid:paraId="1B4799A0" w16cid:durableId="1EF6FDB3"/>
  <w16cid:commentId w16cid:paraId="7CA18E64" w16cid:durableId="1EF6FC7E"/>
  <w16cid:commentId w16cid:paraId="0C665494" w16cid:durableId="1EF6FC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407E4" w14:textId="77777777" w:rsidR="004955FC" w:rsidRDefault="004955FC">
      <w:r>
        <w:separator/>
      </w:r>
    </w:p>
  </w:endnote>
  <w:endnote w:type="continuationSeparator" w:id="0">
    <w:p w14:paraId="0D039AE6" w14:textId="77777777" w:rsidR="004955FC" w:rsidRDefault="0049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4946" w14:textId="174EB836" w:rsidR="006111FE" w:rsidRDefault="006111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60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47C6E" w14:textId="499257A1" w:rsidR="006111FE" w:rsidRDefault="006111FE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56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AF4C" w14:textId="2E813573" w:rsidR="004455F3" w:rsidRDefault="00757892" w:rsidP="00B848A1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  <w:tab w:val="left" w:pos="624"/>
      </w:tabs>
    </w:pPr>
    <w:r>
      <w:rPr>
        <w:lang w:val="fr-FR"/>
      </w:rPr>
      <w:t>K1802315</w:t>
    </w:r>
    <w:r w:rsidR="004455F3">
      <w:rPr>
        <w:lang w:val="fr-FR"/>
      </w:rPr>
      <w:tab/>
    </w:r>
    <w:r w:rsidR="003378EF">
      <w:rPr>
        <w:lang w:val="fr-FR"/>
      </w:rPr>
      <w:t>03</w:t>
    </w:r>
    <w:r>
      <w:rPr>
        <w:lang w:val="fr-FR"/>
      </w:rPr>
      <w:t>10</w:t>
    </w:r>
    <w:r w:rsidR="009E39FC">
      <w:rPr>
        <w:lang w:val="fr-FR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D935" w14:textId="77777777" w:rsidR="004955FC" w:rsidRDefault="004955FC" w:rsidP="00D92DE0">
      <w:pPr>
        <w:ind w:left="624"/>
      </w:pPr>
      <w:r>
        <w:separator/>
      </w:r>
    </w:p>
  </w:footnote>
  <w:footnote w:type="continuationSeparator" w:id="0">
    <w:p w14:paraId="52A074BD" w14:textId="77777777" w:rsidR="004955FC" w:rsidRDefault="004955FC">
      <w:r>
        <w:continuationSeparator/>
      </w:r>
    </w:p>
  </w:footnote>
  <w:footnote w:id="1">
    <w:p w14:paraId="64112FF8" w14:textId="77777777" w:rsidR="001D2D56" w:rsidRPr="009E39FC" w:rsidRDefault="001D2D56" w:rsidP="001D2D56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 w:rsidRPr="009108D6">
        <w:rPr>
          <w:sz w:val="18"/>
          <w:szCs w:val="18"/>
          <w:lang w:val="fr-FR"/>
        </w:rPr>
        <w:t>* UNEP/MC/COP.2/1.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F458C" w14:textId="476768C7" w:rsidR="006111FE" w:rsidRPr="00CA5CA9" w:rsidRDefault="006111FE" w:rsidP="00434321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COP.2</w:t>
    </w:r>
    <w:r w:rsidRPr="00CA5CA9">
      <w:rPr>
        <w:szCs w:val="18"/>
      </w:rPr>
      <w:t>/</w:t>
    </w:r>
    <w:r w:rsidR="001D2D56">
      <w:rPr>
        <w:szCs w:val="18"/>
      </w:rPr>
      <w:t>4</w:t>
    </w:r>
    <w:r w:rsidR="003308DF">
      <w:rPr>
        <w:szCs w:val="18"/>
      </w:rPr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82B4" w14:textId="1C2530E7" w:rsidR="006111FE" w:rsidRPr="00CA5CA9" w:rsidRDefault="006111FE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</w:t>
    </w:r>
    <w:r w:rsidR="00CE0FDB">
      <w:rPr>
        <w:szCs w:val="18"/>
      </w:rPr>
      <w:t>2</w:t>
    </w:r>
    <w:r w:rsidRPr="00CA5CA9">
      <w:rPr>
        <w:szCs w:val="18"/>
      </w:rPr>
      <w:t>/</w:t>
    </w:r>
    <w:r w:rsidR="001D2D56">
      <w:rPr>
        <w:szCs w:val="18"/>
      </w:rPr>
      <w:t>4</w:t>
    </w:r>
    <w:r w:rsidR="00757892">
      <w:rPr>
        <w:szCs w:val="18"/>
      </w:rPr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5711" w14:textId="54E4E55C" w:rsidR="006111FE" w:rsidRDefault="006111FE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2CD"/>
    <w:multiLevelType w:val="hybridMultilevel"/>
    <w:tmpl w:val="2D0C7E3A"/>
    <w:lvl w:ilvl="0" w:tplc="D65AC7A8">
      <w:start w:val="1"/>
      <w:numFmt w:val="decimal"/>
      <w:lvlText w:val="%1."/>
      <w:lvlJc w:val="left"/>
      <w:pPr>
        <w:ind w:left="1817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5" w15:restartNumberingAfterBreak="0">
    <w:nsid w:val="6F2116D9"/>
    <w:multiLevelType w:val="hybridMultilevel"/>
    <w:tmpl w:val="460A455E"/>
    <w:lvl w:ilvl="0" w:tplc="B72467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013DC"/>
    <w:multiLevelType w:val="hybridMultilevel"/>
    <w:tmpl w:val="0290A082"/>
    <w:lvl w:ilvl="0" w:tplc="5A0E676C">
      <w:start w:val="6"/>
      <w:numFmt w:val="decimal"/>
      <w:lvlText w:val="%1."/>
      <w:lvlJc w:val="left"/>
      <w:pPr>
        <w:ind w:left="1817" w:hanging="57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0"/>
  </w:num>
  <w:num w:numId="38">
    <w:abstractNumId w:val="5"/>
    <w:lvlOverride w:ilvl="0">
      <w:lvl w:ilvl="0" w:tplc="B724672E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</w:rPr>
      </w:lvl>
    </w:lvlOverride>
  </w:num>
  <w:num w:numId="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F"/>
    <w:rsid w:val="00000E4A"/>
    <w:rsid w:val="000024A3"/>
    <w:rsid w:val="000057BB"/>
    <w:rsid w:val="000077AD"/>
    <w:rsid w:val="00011A16"/>
    <w:rsid w:val="000149E6"/>
    <w:rsid w:val="00016C9F"/>
    <w:rsid w:val="00023DA9"/>
    <w:rsid w:val="000247B0"/>
    <w:rsid w:val="00026997"/>
    <w:rsid w:val="00026A08"/>
    <w:rsid w:val="00032E4E"/>
    <w:rsid w:val="00033E0B"/>
    <w:rsid w:val="00035EDE"/>
    <w:rsid w:val="000509B4"/>
    <w:rsid w:val="0006035B"/>
    <w:rsid w:val="0006096F"/>
    <w:rsid w:val="000649C5"/>
    <w:rsid w:val="00071886"/>
    <w:rsid w:val="000742BC"/>
    <w:rsid w:val="00076CC6"/>
    <w:rsid w:val="00082A0C"/>
    <w:rsid w:val="00083504"/>
    <w:rsid w:val="0009125A"/>
    <w:rsid w:val="0009640C"/>
    <w:rsid w:val="000A3072"/>
    <w:rsid w:val="000A34F8"/>
    <w:rsid w:val="000B22A2"/>
    <w:rsid w:val="000B2815"/>
    <w:rsid w:val="000B541B"/>
    <w:rsid w:val="000B73F9"/>
    <w:rsid w:val="000C2A52"/>
    <w:rsid w:val="000C2A88"/>
    <w:rsid w:val="000D33C0"/>
    <w:rsid w:val="000D3500"/>
    <w:rsid w:val="000D4CF6"/>
    <w:rsid w:val="000D6941"/>
    <w:rsid w:val="000F3DCD"/>
    <w:rsid w:val="000F4829"/>
    <w:rsid w:val="000F6B21"/>
    <w:rsid w:val="00102EFB"/>
    <w:rsid w:val="00115FE5"/>
    <w:rsid w:val="001202E3"/>
    <w:rsid w:val="00123699"/>
    <w:rsid w:val="001241FB"/>
    <w:rsid w:val="0013059D"/>
    <w:rsid w:val="0013415C"/>
    <w:rsid w:val="00136187"/>
    <w:rsid w:val="00141A55"/>
    <w:rsid w:val="0014293F"/>
    <w:rsid w:val="0014397D"/>
    <w:rsid w:val="001446A3"/>
    <w:rsid w:val="00152B6B"/>
    <w:rsid w:val="00155003"/>
    <w:rsid w:val="00155395"/>
    <w:rsid w:val="00155A2F"/>
    <w:rsid w:val="00156B6B"/>
    <w:rsid w:val="001571D5"/>
    <w:rsid w:val="00160D74"/>
    <w:rsid w:val="001646EA"/>
    <w:rsid w:val="00167D02"/>
    <w:rsid w:val="001759D8"/>
    <w:rsid w:val="00177D7F"/>
    <w:rsid w:val="00180C3F"/>
    <w:rsid w:val="00181EC8"/>
    <w:rsid w:val="0018313B"/>
    <w:rsid w:val="00184349"/>
    <w:rsid w:val="00195F33"/>
    <w:rsid w:val="001A47E5"/>
    <w:rsid w:val="001B1617"/>
    <w:rsid w:val="001B504B"/>
    <w:rsid w:val="001B6F98"/>
    <w:rsid w:val="001C191A"/>
    <w:rsid w:val="001D2D56"/>
    <w:rsid w:val="001D2E42"/>
    <w:rsid w:val="001D3874"/>
    <w:rsid w:val="001D7E75"/>
    <w:rsid w:val="001E0D73"/>
    <w:rsid w:val="001E45BD"/>
    <w:rsid w:val="001E56D2"/>
    <w:rsid w:val="001E7D56"/>
    <w:rsid w:val="001F518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520"/>
    <w:rsid w:val="00225E21"/>
    <w:rsid w:val="00225E44"/>
    <w:rsid w:val="00234E78"/>
    <w:rsid w:val="00243D36"/>
    <w:rsid w:val="00246151"/>
    <w:rsid w:val="00247707"/>
    <w:rsid w:val="00252456"/>
    <w:rsid w:val="0026018E"/>
    <w:rsid w:val="00267570"/>
    <w:rsid w:val="00286740"/>
    <w:rsid w:val="00291EAE"/>
    <w:rsid w:val="002929D8"/>
    <w:rsid w:val="002A237D"/>
    <w:rsid w:val="002A4C53"/>
    <w:rsid w:val="002B0672"/>
    <w:rsid w:val="002B247F"/>
    <w:rsid w:val="002B50D4"/>
    <w:rsid w:val="002B58BF"/>
    <w:rsid w:val="002B5B11"/>
    <w:rsid w:val="002C145D"/>
    <w:rsid w:val="002C2C3E"/>
    <w:rsid w:val="002C533E"/>
    <w:rsid w:val="002D027F"/>
    <w:rsid w:val="002D3E15"/>
    <w:rsid w:val="002D7A85"/>
    <w:rsid w:val="002D7B60"/>
    <w:rsid w:val="002F15A5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6D4"/>
    <w:rsid w:val="00325D38"/>
    <w:rsid w:val="003308DF"/>
    <w:rsid w:val="00336EE7"/>
    <w:rsid w:val="003378EF"/>
    <w:rsid w:val="003436EE"/>
    <w:rsid w:val="0035277E"/>
    <w:rsid w:val="00355EA9"/>
    <w:rsid w:val="003578DE"/>
    <w:rsid w:val="00361688"/>
    <w:rsid w:val="00361E57"/>
    <w:rsid w:val="00367FD2"/>
    <w:rsid w:val="00377DE3"/>
    <w:rsid w:val="00380921"/>
    <w:rsid w:val="00386A69"/>
    <w:rsid w:val="003877D5"/>
    <w:rsid w:val="003929B8"/>
    <w:rsid w:val="00393432"/>
    <w:rsid w:val="00396257"/>
    <w:rsid w:val="003962DC"/>
    <w:rsid w:val="00397EB8"/>
    <w:rsid w:val="003A4FD0"/>
    <w:rsid w:val="003A60DE"/>
    <w:rsid w:val="003A69D1"/>
    <w:rsid w:val="003A7705"/>
    <w:rsid w:val="003A77F1"/>
    <w:rsid w:val="003B1545"/>
    <w:rsid w:val="003C3219"/>
    <w:rsid w:val="003C390C"/>
    <w:rsid w:val="003C409D"/>
    <w:rsid w:val="003C4544"/>
    <w:rsid w:val="003C5583"/>
    <w:rsid w:val="003C5BA6"/>
    <w:rsid w:val="003C74CF"/>
    <w:rsid w:val="003D3752"/>
    <w:rsid w:val="003E35DA"/>
    <w:rsid w:val="003E455D"/>
    <w:rsid w:val="003F0E85"/>
    <w:rsid w:val="00400697"/>
    <w:rsid w:val="00401406"/>
    <w:rsid w:val="00405DE0"/>
    <w:rsid w:val="00410C55"/>
    <w:rsid w:val="004111A5"/>
    <w:rsid w:val="00416854"/>
    <w:rsid w:val="00417725"/>
    <w:rsid w:val="0042266F"/>
    <w:rsid w:val="00425177"/>
    <w:rsid w:val="00434321"/>
    <w:rsid w:val="00437F26"/>
    <w:rsid w:val="00444097"/>
    <w:rsid w:val="00445487"/>
    <w:rsid w:val="004455F3"/>
    <w:rsid w:val="004479D9"/>
    <w:rsid w:val="00447E0D"/>
    <w:rsid w:val="00453EA8"/>
    <w:rsid w:val="00454769"/>
    <w:rsid w:val="00466991"/>
    <w:rsid w:val="0047064C"/>
    <w:rsid w:val="00471EFD"/>
    <w:rsid w:val="004822B7"/>
    <w:rsid w:val="0048795D"/>
    <w:rsid w:val="0049469E"/>
    <w:rsid w:val="004955FC"/>
    <w:rsid w:val="004A2217"/>
    <w:rsid w:val="004A24F9"/>
    <w:rsid w:val="004A42E1"/>
    <w:rsid w:val="004B162C"/>
    <w:rsid w:val="004B2ABE"/>
    <w:rsid w:val="004C3DBE"/>
    <w:rsid w:val="004C556E"/>
    <w:rsid w:val="004C5C96"/>
    <w:rsid w:val="004D06A4"/>
    <w:rsid w:val="004E7605"/>
    <w:rsid w:val="004F1A81"/>
    <w:rsid w:val="004F5D88"/>
    <w:rsid w:val="00501354"/>
    <w:rsid w:val="005050D2"/>
    <w:rsid w:val="005218D9"/>
    <w:rsid w:val="00535756"/>
    <w:rsid w:val="00536186"/>
    <w:rsid w:val="00544CBB"/>
    <w:rsid w:val="00551B65"/>
    <w:rsid w:val="00554110"/>
    <w:rsid w:val="00556704"/>
    <w:rsid w:val="005656D7"/>
    <w:rsid w:val="0057315F"/>
    <w:rsid w:val="0057433C"/>
    <w:rsid w:val="00576104"/>
    <w:rsid w:val="00586418"/>
    <w:rsid w:val="00592B21"/>
    <w:rsid w:val="005B2DF4"/>
    <w:rsid w:val="005B44BF"/>
    <w:rsid w:val="005C67C8"/>
    <w:rsid w:val="005D0249"/>
    <w:rsid w:val="005D18FA"/>
    <w:rsid w:val="005D4FD4"/>
    <w:rsid w:val="005D6E8C"/>
    <w:rsid w:val="005E3004"/>
    <w:rsid w:val="005F100C"/>
    <w:rsid w:val="005F68DA"/>
    <w:rsid w:val="005F7419"/>
    <w:rsid w:val="00601BC9"/>
    <w:rsid w:val="00604F20"/>
    <w:rsid w:val="0060773B"/>
    <w:rsid w:val="006111FE"/>
    <w:rsid w:val="00613FD6"/>
    <w:rsid w:val="006157B5"/>
    <w:rsid w:val="00617224"/>
    <w:rsid w:val="00622194"/>
    <w:rsid w:val="00626FC6"/>
    <w:rsid w:val="006303B4"/>
    <w:rsid w:val="00630ADC"/>
    <w:rsid w:val="00633D3D"/>
    <w:rsid w:val="006400A0"/>
    <w:rsid w:val="00641703"/>
    <w:rsid w:val="006431A6"/>
    <w:rsid w:val="00643E3A"/>
    <w:rsid w:val="006459F6"/>
    <w:rsid w:val="006501AD"/>
    <w:rsid w:val="00651BFA"/>
    <w:rsid w:val="00654475"/>
    <w:rsid w:val="00656DF0"/>
    <w:rsid w:val="00657D6E"/>
    <w:rsid w:val="00665A4B"/>
    <w:rsid w:val="00670FAE"/>
    <w:rsid w:val="00677848"/>
    <w:rsid w:val="00685F21"/>
    <w:rsid w:val="00692E2A"/>
    <w:rsid w:val="0069496A"/>
    <w:rsid w:val="00696C1C"/>
    <w:rsid w:val="006A76F2"/>
    <w:rsid w:val="006B7D29"/>
    <w:rsid w:val="006C22A0"/>
    <w:rsid w:val="006C2CFD"/>
    <w:rsid w:val="006D19D4"/>
    <w:rsid w:val="006D5644"/>
    <w:rsid w:val="006D7EFB"/>
    <w:rsid w:val="006E6672"/>
    <w:rsid w:val="006E6722"/>
    <w:rsid w:val="006F7AFF"/>
    <w:rsid w:val="007027B9"/>
    <w:rsid w:val="007055C2"/>
    <w:rsid w:val="007066B5"/>
    <w:rsid w:val="00714266"/>
    <w:rsid w:val="007145DA"/>
    <w:rsid w:val="00715E88"/>
    <w:rsid w:val="00716D8B"/>
    <w:rsid w:val="00734CAA"/>
    <w:rsid w:val="00740EE2"/>
    <w:rsid w:val="00742680"/>
    <w:rsid w:val="0074592E"/>
    <w:rsid w:val="00750E42"/>
    <w:rsid w:val="0075533C"/>
    <w:rsid w:val="00755A18"/>
    <w:rsid w:val="00757581"/>
    <w:rsid w:val="00757892"/>
    <w:rsid w:val="007602F5"/>
    <w:rsid w:val="00760D36"/>
    <w:rsid w:val="007611A0"/>
    <w:rsid w:val="00772574"/>
    <w:rsid w:val="00773E54"/>
    <w:rsid w:val="00787688"/>
    <w:rsid w:val="0079027C"/>
    <w:rsid w:val="007935E6"/>
    <w:rsid w:val="00796D3F"/>
    <w:rsid w:val="007A1683"/>
    <w:rsid w:val="007A2E15"/>
    <w:rsid w:val="007A4D57"/>
    <w:rsid w:val="007A5C12"/>
    <w:rsid w:val="007A7CB0"/>
    <w:rsid w:val="007B68A3"/>
    <w:rsid w:val="007C2541"/>
    <w:rsid w:val="007D66A8"/>
    <w:rsid w:val="007E003F"/>
    <w:rsid w:val="007E0C10"/>
    <w:rsid w:val="007E164C"/>
    <w:rsid w:val="007F0CF8"/>
    <w:rsid w:val="007F5E1B"/>
    <w:rsid w:val="007F62CB"/>
    <w:rsid w:val="008142EC"/>
    <w:rsid w:val="008164F2"/>
    <w:rsid w:val="00821395"/>
    <w:rsid w:val="00830E26"/>
    <w:rsid w:val="00834368"/>
    <w:rsid w:val="0083441A"/>
    <w:rsid w:val="00843576"/>
    <w:rsid w:val="00843B64"/>
    <w:rsid w:val="00845261"/>
    <w:rsid w:val="008478FC"/>
    <w:rsid w:val="008507C4"/>
    <w:rsid w:val="00851C51"/>
    <w:rsid w:val="008538F7"/>
    <w:rsid w:val="0085696F"/>
    <w:rsid w:val="00867BFF"/>
    <w:rsid w:val="00871542"/>
    <w:rsid w:val="00872BF6"/>
    <w:rsid w:val="00874046"/>
    <w:rsid w:val="0088480A"/>
    <w:rsid w:val="0088757A"/>
    <w:rsid w:val="00892478"/>
    <w:rsid w:val="0089431B"/>
    <w:rsid w:val="00894CA8"/>
    <w:rsid w:val="00895668"/>
    <w:rsid w:val="008957DD"/>
    <w:rsid w:val="00897D98"/>
    <w:rsid w:val="008A6DF2"/>
    <w:rsid w:val="008A7807"/>
    <w:rsid w:val="008B4CC9"/>
    <w:rsid w:val="008C0B15"/>
    <w:rsid w:val="008D6983"/>
    <w:rsid w:val="008D75E4"/>
    <w:rsid w:val="008D7C99"/>
    <w:rsid w:val="008E0FCB"/>
    <w:rsid w:val="008F6DFE"/>
    <w:rsid w:val="0090529F"/>
    <w:rsid w:val="009108D6"/>
    <w:rsid w:val="0092178C"/>
    <w:rsid w:val="00930B88"/>
    <w:rsid w:val="00935376"/>
    <w:rsid w:val="00940DCC"/>
    <w:rsid w:val="0094179A"/>
    <w:rsid w:val="0094459E"/>
    <w:rsid w:val="00944DBC"/>
    <w:rsid w:val="00947C60"/>
    <w:rsid w:val="00950977"/>
    <w:rsid w:val="00951A7B"/>
    <w:rsid w:val="00955512"/>
    <w:rsid w:val="009564A6"/>
    <w:rsid w:val="00957C14"/>
    <w:rsid w:val="00957EF8"/>
    <w:rsid w:val="00966A53"/>
    <w:rsid w:val="00967621"/>
    <w:rsid w:val="00967E6A"/>
    <w:rsid w:val="00976789"/>
    <w:rsid w:val="009907B9"/>
    <w:rsid w:val="00990918"/>
    <w:rsid w:val="009A3A83"/>
    <w:rsid w:val="009B4A0F"/>
    <w:rsid w:val="009C11D2"/>
    <w:rsid w:val="009C6C70"/>
    <w:rsid w:val="009C7B0A"/>
    <w:rsid w:val="009D07C5"/>
    <w:rsid w:val="009D0B63"/>
    <w:rsid w:val="009D0E00"/>
    <w:rsid w:val="009D5CB8"/>
    <w:rsid w:val="009D5FAF"/>
    <w:rsid w:val="009E307E"/>
    <w:rsid w:val="009E39FC"/>
    <w:rsid w:val="00A07870"/>
    <w:rsid w:val="00A07C54"/>
    <w:rsid w:val="00A07F19"/>
    <w:rsid w:val="00A1348D"/>
    <w:rsid w:val="00A13C99"/>
    <w:rsid w:val="00A232EE"/>
    <w:rsid w:val="00A4175F"/>
    <w:rsid w:val="00A44411"/>
    <w:rsid w:val="00A469FA"/>
    <w:rsid w:val="00A47A6E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8048B"/>
    <w:rsid w:val="00A80611"/>
    <w:rsid w:val="00AA5BF4"/>
    <w:rsid w:val="00AB5340"/>
    <w:rsid w:val="00AC0A89"/>
    <w:rsid w:val="00AC7C96"/>
    <w:rsid w:val="00AD3593"/>
    <w:rsid w:val="00AE0812"/>
    <w:rsid w:val="00AE237D"/>
    <w:rsid w:val="00AE502A"/>
    <w:rsid w:val="00AF0010"/>
    <w:rsid w:val="00AF1AA8"/>
    <w:rsid w:val="00AF2C1F"/>
    <w:rsid w:val="00AF7C07"/>
    <w:rsid w:val="00B06C64"/>
    <w:rsid w:val="00B07D8E"/>
    <w:rsid w:val="00B11CAC"/>
    <w:rsid w:val="00B15A29"/>
    <w:rsid w:val="00B16107"/>
    <w:rsid w:val="00B22C93"/>
    <w:rsid w:val="00B27589"/>
    <w:rsid w:val="00B405B7"/>
    <w:rsid w:val="00B446F7"/>
    <w:rsid w:val="00B468C0"/>
    <w:rsid w:val="00B50FE9"/>
    <w:rsid w:val="00B52222"/>
    <w:rsid w:val="00B531DA"/>
    <w:rsid w:val="00B542F9"/>
    <w:rsid w:val="00B54895"/>
    <w:rsid w:val="00B54FE7"/>
    <w:rsid w:val="00B647C6"/>
    <w:rsid w:val="00B655F9"/>
    <w:rsid w:val="00B66901"/>
    <w:rsid w:val="00B66F60"/>
    <w:rsid w:val="00B71E6D"/>
    <w:rsid w:val="00B72070"/>
    <w:rsid w:val="00B779E1"/>
    <w:rsid w:val="00B81E3A"/>
    <w:rsid w:val="00B848A1"/>
    <w:rsid w:val="00B85CFB"/>
    <w:rsid w:val="00B914E9"/>
    <w:rsid w:val="00B91EE1"/>
    <w:rsid w:val="00B94602"/>
    <w:rsid w:val="00BA0090"/>
    <w:rsid w:val="00BA1A67"/>
    <w:rsid w:val="00BA6A80"/>
    <w:rsid w:val="00BA753D"/>
    <w:rsid w:val="00BB4ABB"/>
    <w:rsid w:val="00BC2C5E"/>
    <w:rsid w:val="00BC62BA"/>
    <w:rsid w:val="00BE5B5F"/>
    <w:rsid w:val="00BE7993"/>
    <w:rsid w:val="00BF2904"/>
    <w:rsid w:val="00C11971"/>
    <w:rsid w:val="00C179DE"/>
    <w:rsid w:val="00C26F55"/>
    <w:rsid w:val="00C30C63"/>
    <w:rsid w:val="00C30FF3"/>
    <w:rsid w:val="00C34D5C"/>
    <w:rsid w:val="00C3554B"/>
    <w:rsid w:val="00C36B8B"/>
    <w:rsid w:val="00C415C1"/>
    <w:rsid w:val="00C47DBF"/>
    <w:rsid w:val="00C50A11"/>
    <w:rsid w:val="00C552FF"/>
    <w:rsid w:val="00C558DA"/>
    <w:rsid w:val="00C55AF3"/>
    <w:rsid w:val="00C771A9"/>
    <w:rsid w:val="00C82943"/>
    <w:rsid w:val="00C84759"/>
    <w:rsid w:val="00C923BB"/>
    <w:rsid w:val="00C93096"/>
    <w:rsid w:val="00CA5CA9"/>
    <w:rsid w:val="00CA6C7F"/>
    <w:rsid w:val="00CB007D"/>
    <w:rsid w:val="00CB60CA"/>
    <w:rsid w:val="00CC0FC7"/>
    <w:rsid w:val="00CC10A6"/>
    <w:rsid w:val="00CD5B83"/>
    <w:rsid w:val="00CD5EB8"/>
    <w:rsid w:val="00CD7044"/>
    <w:rsid w:val="00CE08B9"/>
    <w:rsid w:val="00CE0FDB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5B8E"/>
    <w:rsid w:val="00D1638E"/>
    <w:rsid w:val="00D169AF"/>
    <w:rsid w:val="00D200EF"/>
    <w:rsid w:val="00D25175"/>
    <w:rsid w:val="00D25249"/>
    <w:rsid w:val="00D26854"/>
    <w:rsid w:val="00D44172"/>
    <w:rsid w:val="00D452E3"/>
    <w:rsid w:val="00D47BE3"/>
    <w:rsid w:val="00D63B8C"/>
    <w:rsid w:val="00D70BD5"/>
    <w:rsid w:val="00D739CC"/>
    <w:rsid w:val="00D806F9"/>
    <w:rsid w:val="00D8093D"/>
    <w:rsid w:val="00D8108C"/>
    <w:rsid w:val="00D83208"/>
    <w:rsid w:val="00D842AE"/>
    <w:rsid w:val="00D9211C"/>
    <w:rsid w:val="00D92DE0"/>
    <w:rsid w:val="00D92FEF"/>
    <w:rsid w:val="00D931F9"/>
    <w:rsid w:val="00D93A0F"/>
    <w:rsid w:val="00D9609B"/>
    <w:rsid w:val="00DA1BCA"/>
    <w:rsid w:val="00DA3663"/>
    <w:rsid w:val="00DA5DCD"/>
    <w:rsid w:val="00DB41F0"/>
    <w:rsid w:val="00DC1792"/>
    <w:rsid w:val="00DC274A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21C83"/>
    <w:rsid w:val="00E237CF"/>
    <w:rsid w:val="00E24ADA"/>
    <w:rsid w:val="00E32F59"/>
    <w:rsid w:val="00E34F4B"/>
    <w:rsid w:val="00E41908"/>
    <w:rsid w:val="00E46D9A"/>
    <w:rsid w:val="00E50E7E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C2813"/>
    <w:rsid w:val="00EC5A46"/>
    <w:rsid w:val="00EC63E2"/>
    <w:rsid w:val="00ED0225"/>
    <w:rsid w:val="00ED366A"/>
    <w:rsid w:val="00ED6BB7"/>
    <w:rsid w:val="00EE1418"/>
    <w:rsid w:val="00EF22B3"/>
    <w:rsid w:val="00F03B69"/>
    <w:rsid w:val="00F07A50"/>
    <w:rsid w:val="00F113DA"/>
    <w:rsid w:val="00F266FC"/>
    <w:rsid w:val="00F3037A"/>
    <w:rsid w:val="00F3465A"/>
    <w:rsid w:val="00F37DC8"/>
    <w:rsid w:val="00F439B3"/>
    <w:rsid w:val="00F650C3"/>
    <w:rsid w:val="00F65D85"/>
    <w:rsid w:val="00F66EBE"/>
    <w:rsid w:val="00F6700B"/>
    <w:rsid w:val="00F7137B"/>
    <w:rsid w:val="00F71DBF"/>
    <w:rsid w:val="00F8091E"/>
    <w:rsid w:val="00F8615C"/>
    <w:rsid w:val="00F871AA"/>
    <w:rsid w:val="00F969E5"/>
    <w:rsid w:val="00FA4972"/>
    <w:rsid w:val="00FA6BB0"/>
    <w:rsid w:val="00FB2DBD"/>
    <w:rsid w:val="00FB67FD"/>
    <w:rsid w:val="00FD37CA"/>
    <w:rsid w:val="00FD48DF"/>
    <w:rsid w:val="00FD5860"/>
    <w:rsid w:val="00FE352D"/>
    <w:rsid w:val="00FE40EB"/>
    <w:rsid w:val="00FE4D02"/>
    <w:rsid w:val="00FE7D62"/>
    <w:rsid w:val="00FF0DA0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C842A8"/>
  <w15:docId w15:val="{6110C1D3-B72E-4AF1-9F88-6B1B84B5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uiPriority w:val="99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semiHidden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BBTitleChar">
    <w:name w:val="BB_Title Char"/>
    <w:link w:val="BBTitle"/>
    <w:rsid w:val="00E34F4B"/>
    <w:rPr>
      <w:b/>
      <w:sz w:val="28"/>
      <w:szCs w:val="28"/>
      <w:lang w:eastAsia="en-US"/>
    </w:rPr>
  </w:style>
  <w:style w:type="character" w:customStyle="1" w:styleId="ZZAnxtitleChar">
    <w:name w:val="ZZ_Anx_title Char"/>
    <w:link w:val="ZZAnxtitle"/>
    <w:rsid w:val="00E34F4B"/>
    <w:rPr>
      <w:b/>
      <w:bCs/>
      <w:sz w:val="28"/>
      <w:szCs w:val="26"/>
      <w:lang w:eastAsia="en-US"/>
    </w:rPr>
  </w:style>
  <w:style w:type="character" w:customStyle="1" w:styleId="CH2Char">
    <w:name w:val="CH2 Char"/>
    <w:link w:val="CH2"/>
    <w:locked/>
    <w:rsid w:val="00E34F4B"/>
    <w:rPr>
      <w:b/>
      <w:sz w:val="24"/>
      <w:szCs w:val="24"/>
      <w:lang w:eastAsia="en-US"/>
    </w:rPr>
  </w:style>
  <w:style w:type="character" w:customStyle="1" w:styleId="NormalNonumberChar">
    <w:name w:val="Normal_No_number Char"/>
    <w:link w:val="NormalNonumber"/>
    <w:locked/>
    <w:rsid w:val="00E34F4B"/>
    <w:rPr>
      <w:lang w:eastAsia="en-US"/>
    </w:rPr>
  </w:style>
  <w:style w:type="character" w:customStyle="1" w:styleId="ZZAnxheaderChar">
    <w:name w:val="ZZ_Anx_header Char"/>
    <w:link w:val="ZZAnxheader"/>
    <w:rsid w:val="00E34F4B"/>
    <w:rPr>
      <w:b/>
      <w:bCs/>
      <w:sz w:val="28"/>
      <w:szCs w:val="22"/>
      <w:lang w:eastAsia="en-US"/>
    </w:rPr>
  </w:style>
  <w:style w:type="character" w:customStyle="1" w:styleId="Normal-poolChar">
    <w:name w:val="Normal-pool Char"/>
    <w:link w:val="Normal-pool"/>
    <w:uiPriority w:val="99"/>
    <w:rsid w:val="00E34F4B"/>
    <w:rPr>
      <w:lang w:eastAsia="en-US"/>
    </w:rPr>
  </w:style>
  <w:style w:type="character" w:customStyle="1" w:styleId="NormalnumberChar">
    <w:name w:val="Normal_number Char"/>
    <w:link w:val="Normalnumber"/>
    <w:locked/>
    <w:rsid w:val="00E34F4B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A4D57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E1418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rcuryconvention.org/R%C3%A9unions/Travauxintersessions/tabid/6326/language/fr-CH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D303-8638-4089-96A7-482DEFAE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Eliane Rakoto</cp:lastModifiedBy>
  <cp:revision>2</cp:revision>
  <cp:lastPrinted>2018-08-27T13:00:00Z</cp:lastPrinted>
  <dcterms:created xsi:type="dcterms:W3CDTF">2018-10-03T07:42:00Z</dcterms:created>
  <dcterms:modified xsi:type="dcterms:W3CDTF">2018-10-03T07:42:00Z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diane.belud</vt:lpwstr>
  </property>
  <property fmtid="{D5CDD505-2E9C-101B-9397-08002B2CF9AE}" pid="4" name="GeneratedDate">
    <vt:lpwstr>8/3/2018 1:24:28 PM</vt:lpwstr>
  </property>
  <property fmtid="{D5CDD505-2E9C-101B-9397-08002B2CF9AE}" pid="5" name="OriginalDocID">
    <vt:lpwstr>e58c6a93-e522-4f84-b0f6-3ffb9bff5eac</vt:lpwstr>
  </property>
</Properties>
</file>