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C266D1" w:rsidRPr="00692FFE" w14:paraId="68175695" w14:textId="77777777" w:rsidTr="0075451D">
        <w:trPr>
          <w:cantSplit/>
          <w:trHeight w:val="850"/>
          <w:jc w:val="right"/>
        </w:trPr>
        <w:tc>
          <w:tcPr>
            <w:tcW w:w="1550" w:type="dxa"/>
          </w:tcPr>
          <w:p w14:paraId="2EB79775" w14:textId="71E4FF0F" w:rsidR="00C266D1" w:rsidRPr="00692FFE" w:rsidRDefault="00C266D1" w:rsidP="0075451D">
            <w:pPr>
              <w:widowControl w:val="0"/>
              <w:rPr>
                <w:rFonts w:ascii="Univers" w:hAnsi="Univers"/>
                <w:b/>
                <w:noProof/>
                <w:sz w:val="27"/>
                <w:szCs w:val="27"/>
                <w:lang w:val="fr-FR"/>
              </w:rPr>
            </w:pPr>
            <w:r w:rsidRPr="00692FFE">
              <w:rPr>
                <w:rFonts w:ascii="Arial" w:hAnsi="Arial"/>
                <w:b/>
                <w:sz w:val="27"/>
                <w:szCs w:val="27"/>
                <w:lang w:val="fr-FR"/>
              </w:rPr>
              <w:t>NATIONS</w:t>
            </w:r>
            <w:r w:rsidR="00C70E2F">
              <w:rPr>
                <w:rFonts w:ascii="Arial" w:hAnsi="Arial"/>
                <w:b/>
                <w:sz w:val="27"/>
                <w:szCs w:val="27"/>
                <w:lang w:val="fr-FR"/>
              </w:rPr>
              <w:t xml:space="preserve"> </w:t>
            </w:r>
            <w:r w:rsidRPr="00692FFE">
              <w:rPr>
                <w:rFonts w:ascii="Arial" w:hAnsi="Arial"/>
                <w:b/>
                <w:sz w:val="27"/>
                <w:szCs w:val="27"/>
                <w:lang w:val="fr-FR"/>
              </w:rPr>
              <w:br/>
              <w:t>UNIES</w:t>
            </w:r>
          </w:p>
        </w:tc>
        <w:tc>
          <w:tcPr>
            <w:tcW w:w="4751" w:type="dxa"/>
          </w:tcPr>
          <w:p w14:paraId="543A2D28" w14:textId="77777777" w:rsidR="00C266D1" w:rsidRPr="00692FFE" w:rsidRDefault="00C266D1" w:rsidP="0075451D">
            <w:pPr>
              <w:widowControl w:val="0"/>
              <w:rPr>
                <w:rFonts w:ascii="Univers" w:hAnsi="Univers"/>
                <w:b/>
                <w:sz w:val="27"/>
                <w:szCs w:val="27"/>
                <w:lang w:val="fr-FR"/>
              </w:rPr>
            </w:pPr>
          </w:p>
        </w:tc>
        <w:tc>
          <w:tcPr>
            <w:tcW w:w="3411" w:type="dxa"/>
          </w:tcPr>
          <w:p w14:paraId="56E34693" w14:textId="77777777" w:rsidR="00C266D1" w:rsidRPr="00692FFE" w:rsidRDefault="00C266D1" w:rsidP="0075451D">
            <w:pPr>
              <w:widowControl w:val="0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692FFE">
              <w:rPr>
                <w:rFonts w:ascii="Arial" w:hAnsi="Arial"/>
                <w:b/>
                <w:sz w:val="64"/>
                <w:szCs w:val="64"/>
                <w:lang w:val="fr-FR"/>
              </w:rPr>
              <w:t>MC</w:t>
            </w:r>
          </w:p>
        </w:tc>
      </w:tr>
      <w:tr w:rsidR="00C266D1" w:rsidRPr="00692FFE" w14:paraId="5C90647A" w14:textId="77777777" w:rsidTr="0075451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62618285" w14:textId="77777777" w:rsidR="00C266D1" w:rsidRPr="00692FFE" w:rsidRDefault="00C266D1" w:rsidP="0075451D">
            <w:pPr>
              <w:widowControl w:val="0"/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1D913D6" w14:textId="77777777" w:rsidR="00C266D1" w:rsidRPr="00692FFE" w:rsidRDefault="00C266D1" w:rsidP="0075451D">
            <w:pPr>
              <w:widowControl w:val="0"/>
              <w:rPr>
                <w:rFonts w:ascii="Univers" w:hAnsi="Univers"/>
                <w:b/>
                <w:sz w:val="18"/>
                <w:szCs w:val="18"/>
                <w:lang w:val="fr-FR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0FDAEBAF" w14:textId="57FE85B9" w:rsidR="00C266D1" w:rsidRPr="00692FFE" w:rsidRDefault="00C266D1" w:rsidP="0075451D">
            <w:pPr>
              <w:widowControl w:val="0"/>
              <w:rPr>
                <w:noProof/>
                <w:sz w:val="18"/>
                <w:szCs w:val="18"/>
                <w:lang w:val="fr-FR"/>
              </w:rPr>
            </w:pPr>
            <w:r w:rsidRPr="00692FFE">
              <w:rPr>
                <w:b/>
                <w:bCs/>
                <w:sz w:val="28"/>
                <w:lang w:val="fr-FR"/>
              </w:rPr>
              <w:t>UNEP</w:t>
            </w:r>
            <w:bookmarkStart w:id="0" w:name="OLE_LINK1"/>
            <w:bookmarkStart w:id="1" w:name="OLE_LINK2"/>
            <w:r w:rsidRPr="00692FFE">
              <w:rPr>
                <w:b/>
                <w:bCs/>
                <w:sz w:val="28"/>
                <w:lang w:val="fr-FR"/>
              </w:rPr>
              <w:t>/</w:t>
            </w:r>
            <w:r w:rsidRPr="00692FFE">
              <w:rPr>
                <w:lang w:val="fr-FR"/>
              </w:rPr>
              <w:t>MC/</w:t>
            </w:r>
            <w:bookmarkEnd w:id="0"/>
            <w:bookmarkEnd w:id="1"/>
            <w:r w:rsidRPr="00692FFE">
              <w:rPr>
                <w:lang w:val="fr-FR"/>
              </w:rPr>
              <w:t>COP.2/</w:t>
            </w:r>
            <w:r w:rsidR="0068040E">
              <w:rPr>
                <w:lang w:val="fr-FR"/>
              </w:rPr>
              <w:t>2</w:t>
            </w:r>
          </w:p>
        </w:tc>
      </w:tr>
      <w:bookmarkStart w:id="2" w:name="_MON_1021710510"/>
      <w:bookmarkEnd w:id="2"/>
      <w:bookmarkStart w:id="3" w:name="_MON_1021710482"/>
      <w:bookmarkEnd w:id="3"/>
      <w:tr w:rsidR="00C266D1" w:rsidRPr="00C70E2F" w14:paraId="6B6F8BCC" w14:textId="77777777" w:rsidTr="0075451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2A6B763C" w14:textId="77777777" w:rsidR="00C266D1" w:rsidRPr="00692FFE" w:rsidRDefault="00C266D1" w:rsidP="0075451D">
            <w:pPr>
              <w:widowControl w:val="0"/>
              <w:rPr>
                <w:noProof/>
                <w:lang w:val="fr-FR"/>
              </w:rPr>
            </w:pPr>
            <w:r w:rsidRPr="00692FFE">
              <w:rPr>
                <w:lang w:val="fr-FR"/>
              </w:rPr>
              <w:object w:dxaOrig="1831" w:dyaOrig="1726" w14:anchorId="676F2A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4.5pt;height:60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01737145" r:id="rId9"/>
              </w:object>
            </w:r>
            <w:r w:rsidRPr="00692FFE">
              <w:rPr>
                <w:noProof/>
                <w:lang w:val="fr-FR" w:eastAsia="zh-CN"/>
              </w:rPr>
              <w:drawing>
                <wp:inline distT="0" distB="0" distL="0" distR="0" wp14:anchorId="025B77F9" wp14:editId="0A162E01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77A3B46F" w14:textId="3865111D" w:rsidR="00C266D1" w:rsidRPr="00692FFE" w:rsidRDefault="00C266D1" w:rsidP="0075451D">
            <w:pPr>
              <w:widowControl w:val="0"/>
              <w:spacing w:before="1200"/>
              <w:rPr>
                <w:rFonts w:ascii="Arial" w:hAnsi="Arial" w:cs="Arial"/>
                <w:b/>
                <w:sz w:val="28"/>
                <w:lang w:val="fr-FR"/>
              </w:rPr>
            </w:pPr>
            <w:r w:rsidRPr="00692FFE">
              <w:rPr>
                <w:rFonts w:ascii="Arial" w:hAnsi="Arial"/>
                <w:b/>
                <w:sz w:val="32"/>
                <w:szCs w:val="32"/>
                <w:lang w:val="fr-FR"/>
              </w:rPr>
              <w:t xml:space="preserve">Programme </w:t>
            </w:r>
            <w:r w:rsidRPr="00692FFE">
              <w:rPr>
                <w:rFonts w:ascii="Arial" w:hAnsi="Arial"/>
                <w:b/>
                <w:sz w:val="32"/>
                <w:szCs w:val="32"/>
                <w:lang w:val="fr-FR"/>
              </w:rPr>
              <w:br w:type="textWrapping" w:clear="all"/>
              <w:t xml:space="preserve">des Nations Unies </w:t>
            </w:r>
            <w:r w:rsidRPr="00692FFE">
              <w:rPr>
                <w:rFonts w:ascii="Arial" w:hAnsi="Arial"/>
                <w:b/>
                <w:sz w:val="32"/>
                <w:szCs w:val="32"/>
                <w:lang w:val="fr-FR"/>
              </w:rPr>
              <w:br w:type="textWrapping" w:clear="all"/>
              <w:t>pour l</w:t>
            </w:r>
            <w:r w:rsidR="00C70E2F">
              <w:rPr>
                <w:rFonts w:ascii="Arial" w:hAnsi="Arial"/>
                <w:b/>
                <w:sz w:val="32"/>
                <w:szCs w:val="32"/>
                <w:lang w:val="fr-FR"/>
              </w:rPr>
              <w:t>’</w:t>
            </w:r>
            <w:r w:rsidRPr="00692FFE">
              <w:rPr>
                <w:rFonts w:ascii="Arial" w:hAnsi="Arial"/>
                <w:b/>
                <w:sz w:val="32"/>
                <w:szCs w:val="32"/>
                <w:lang w:val="fr-FR"/>
              </w:rPr>
              <w:t>environnement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E4E01F4" w14:textId="473B8CCE" w:rsidR="00C266D1" w:rsidRPr="00692FFE" w:rsidRDefault="00C266D1" w:rsidP="0075451D">
            <w:pPr>
              <w:widowControl w:val="0"/>
              <w:spacing w:before="120"/>
              <w:rPr>
                <w:lang w:val="fr-FR"/>
              </w:rPr>
            </w:pPr>
            <w:r w:rsidRPr="00692FFE">
              <w:rPr>
                <w:lang w:val="fr-FR"/>
              </w:rPr>
              <w:t xml:space="preserve">Distr. générale </w:t>
            </w:r>
            <w:r w:rsidRPr="00692FFE">
              <w:rPr>
                <w:lang w:val="fr-FR"/>
              </w:rPr>
              <w:br w:type="textWrapping" w:clear="all"/>
              <w:t>26 septembre 2018</w:t>
            </w:r>
          </w:p>
          <w:p w14:paraId="36E0DC48" w14:textId="38CED598" w:rsidR="00C266D1" w:rsidRPr="00692FFE" w:rsidRDefault="00C266D1" w:rsidP="00C70E2F">
            <w:pPr>
              <w:widowControl w:val="0"/>
              <w:spacing w:before="240"/>
              <w:rPr>
                <w:lang w:val="fr-FR"/>
              </w:rPr>
            </w:pPr>
            <w:r w:rsidRPr="00692FFE">
              <w:rPr>
                <w:lang w:val="fr-FR"/>
              </w:rPr>
              <w:t>Français</w:t>
            </w:r>
            <w:r w:rsidR="00C70E2F">
              <w:rPr>
                <w:lang w:val="fr-FR"/>
              </w:rPr>
              <w:t xml:space="preserve"> </w:t>
            </w:r>
            <w:r w:rsidRPr="00692FFE">
              <w:rPr>
                <w:lang w:val="fr-FR"/>
              </w:rPr>
              <w:br/>
              <w:t>Original : anglais</w:t>
            </w:r>
          </w:p>
        </w:tc>
      </w:tr>
    </w:tbl>
    <w:p w14:paraId="3153028D" w14:textId="0C0594E1" w:rsidR="00C266D1" w:rsidRPr="00692FFE" w:rsidRDefault="00C266D1" w:rsidP="00C266D1">
      <w:pPr>
        <w:pStyle w:val="AATitle"/>
        <w:keepNext w:val="0"/>
        <w:keepLines w:val="0"/>
        <w:widowControl w:val="0"/>
        <w:suppressAutoHyphens w:val="0"/>
        <w:rPr>
          <w:lang w:val="fr-FR"/>
        </w:rPr>
      </w:pPr>
      <w:r w:rsidRPr="00692FFE">
        <w:rPr>
          <w:lang w:val="fr-FR"/>
        </w:rPr>
        <w:t>Conférence des Parties à la Convention de Minamata sur le mercure</w:t>
      </w:r>
    </w:p>
    <w:p w14:paraId="5895B55C" w14:textId="77777777" w:rsidR="00C266D1" w:rsidRPr="00692FFE" w:rsidRDefault="00C266D1" w:rsidP="00C266D1">
      <w:pPr>
        <w:pStyle w:val="AATitle"/>
        <w:keepNext w:val="0"/>
        <w:keepLines w:val="0"/>
        <w:widowControl w:val="0"/>
        <w:suppressAutoHyphens w:val="0"/>
        <w:rPr>
          <w:lang w:val="fr-FR"/>
        </w:rPr>
      </w:pPr>
      <w:r w:rsidRPr="00692FFE">
        <w:rPr>
          <w:lang w:val="fr-FR"/>
        </w:rPr>
        <w:t>Deuxième réunion</w:t>
      </w:r>
    </w:p>
    <w:p w14:paraId="0040686A" w14:textId="696E5931" w:rsidR="00787688" w:rsidRPr="00692FFE" w:rsidRDefault="00753763" w:rsidP="00434321">
      <w:pPr>
        <w:pStyle w:val="AATitle"/>
        <w:rPr>
          <w:b w:val="0"/>
          <w:lang w:val="fr-FR"/>
        </w:rPr>
      </w:pPr>
      <w:r w:rsidRPr="00692FFE">
        <w:rPr>
          <w:b w:val="0"/>
          <w:lang w:val="fr-FR"/>
        </w:rPr>
        <w:t>Genève, 19–23 </w:t>
      </w:r>
      <w:r w:rsidR="00787688" w:rsidRPr="00692FFE">
        <w:rPr>
          <w:b w:val="0"/>
          <w:lang w:val="fr-FR"/>
        </w:rPr>
        <w:t>novembre 2018</w:t>
      </w:r>
    </w:p>
    <w:p w14:paraId="41F2507F" w14:textId="11BC16E7" w:rsidR="00F15578" w:rsidRPr="00692FFE" w:rsidRDefault="00C266D1" w:rsidP="00F15578">
      <w:pPr>
        <w:pStyle w:val="AATitle"/>
        <w:keepNext w:val="0"/>
        <w:keepLines w:val="0"/>
        <w:rPr>
          <w:b w:val="0"/>
          <w:lang w:val="fr-FR"/>
        </w:rPr>
      </w:pPr>
      <w:r w:rsidRPr="00692FFE">
        <w:rPr>
          <w:b w:val="0"/>
          <w:lang w:val="fr-FR"/>
        </w:rPr>
        <w:t>Point </w:t>
      </w:r>
      <w:r w:rsidR="00E54866" w:rsidRPr="00692FFE">
        <w:rPr>
          <w:b w:val="0"/>
          <w:lang w:val="fr-FR"/>
        </w:rPr>
        <w:t>2</w:t>
      </w:r>
      <w:r w:rsidRPr="00692FFE">
        <w:rPr>
          <w:b w:val="0"/>
          <w:lang w:val="fr-FR"/>
        </w:rPr>
        <w:t> </w:t>
      </w:r>
      <w:r w:rsidR="00E54866" w:rsidRPr="00692FFE">
        <w:rPr>
          <w:b w:val="0"/>
          <w:lang w:val="fr-FR"/>
        </w:rPr>
        <w:t>c) de l</w:t>
      </w:r>
      <w:r w:rsidR="00C70E2F">
        <w:rPr>
          <w:b w:val="0"/>
          <w:lang w:val="fr-FR"/>
        </w:rPr>
        <w:t>’</w:t>
      </w:r>
      <w:r w:rsidR="00E54866" w:rsidRPr="00692FFE">
        <w:rPr>
          <w:b w:val="0"/>
          <w:lang w:val="fr-FR"/>
        </w:rPr>
        <w:t>ordre du jour provisoire</w:t>
      </w:r>
      <w:r w:rsidR="00E54866" w:rsidRPr="00692FFE">
        <w:rPr>
          <w:b w:val="0"/>
          <w:lang w:val="fr-FR"/>
        </w:rPr>
        <w:footnoteReference w:customMarkFollows="1" w:id="1"/>
        <w:t>*</w:t>
      </w:r>
    </w:p>
    <w:p w14:paraId="0806F581" w14:textId="31670C6F" w:rsidR="00E54866" w:rsidRPr="00692FFE" w:rsidRDefault="00E54866" w:rsidP="0060269C">
      <w:pPr>
        <w:pStyle w:val="AATitle2"/>
        <w:rPr>
          <w:lang w:val="fr-FR"/>
        </w:rPr>
      </w:pPr>
      <w:r w:rsidRPr="00692FFE">
        <w:rPr>
          <w:bCs/>
          <w:lang w:val="fr-FR"/>
        </w:rPr>
        <w:t>Questions d</w:t>
      </w:r>
      <w:r w:rsidR="00C70E2F">
        <w:rPr>
          <w:bCs/>
          <w:lang w:val="fr-FR"/>
        </w:rPr>
        <w:t>’</w:t>
      </w:r>
      <w:r w:rsidRPr="00692FFE">
        <w:rPr>
          <w:bCs/>
          <w:lang w:val="fr-FR"/>
        </w:rPr>
        <w:t>organisation</w:t>
      </w:r>
      <w:r w:rsidR="0068040E">
        <w:rPr>
          <w:bCs/>
          <w:lang w:val="fr-FR"/>
        </w:rPr>
        <w:t> </w:t>
      </w:r>
      <w:r w:rsidRPr="00692FFE">
        <w:rPr>
          <w:bCs/>
          <w:lang w:val="fr-FR"/>
        </w:rPr>
        <w:t>: organisation des travaux</w:t>
      </w:r>
    </w:p>
    <w:p w14:paraId="643B6A05" w14:textId="3AD2E4CD" w:rsidR="00F15578" w:rsidRPr="00692FFE" w:rsidRDefault="00F15578" w:rsidP="0068040E">
      <w:pPr>
        <w:pStyle w:val="BBTitle"/>
        <w:rPr>
          <w:lang w:val="fr-FR"/>
        </w:rPr>
      </w:pPr>
      <w:r w:rsidRPr="0068040E">
        <w:rPr>
          <w:lang w:val="fr-FR"/>
        </w:rPr>
        <w:t>Note</w:t>
      </w:r>
      <w:r w:rsidRPr="00692FFE">
        <w:rPr>
          <w:lang w:val="fr-FR"/>
        </w:rPr>
        <w:t xml:space="preserve"> </w:t>
      </w:r>
      <w:r w:rsidR="00774CD5" w:rsidRPr="00692FFE">
        <w:rPr>
          <w:lang w:val="fr-FR"/>
        </w:rPr>
        <w:t xml:space="preserve">concernant le déroulement de </w:t>
      </w:r>
      <w:r w:rsidRPr="00692FFE">
        <w:rPr>
          <w:lang w:val="fr-FR"/>
        </w:rPr>
        <w:t>la deuxiè</w:t>
      </w:r>
      <w:r w:rsidR="00C266D1" w:rsidRPr="00692FFE">
        <w:rPr>
          <w:lang w:val="fr-FR"/>
        </w:rPr>
        <w:t>me réunion de</w:t>
      </w:r>
      <w:r w:rsidR="0068040E">
        <w:rPr>
          <w:lang w:val="fr-FR"/>
        </w:rPr>
        <w:t> </w:t>
      </w:r>
      <w:r w:rsidR="00C266D1" w:rsidRPr="00692FFE">
        <w:rPr>
          <w:lang w:val="fr-FR"/>
        </w:rPr>
        <w:t>l</w:t>
      </w:r>
      <w:r w:rsidR="0068040E">
        <w:rPr>
          <w:lang w:val="fr-FR"/>
        </w:rPr>
        <w:t>a </w:t>
      </w:r>
      <w:r w:rsidR="00C266D1" w:rsidRPr="00692FFE">
        <w:rPr>
          <w:lang w:val="fr-FR"/>
        </w:rPr>
        <w:t>Conférence des </w:t>
      </w:r>
      <w:r w:rsidRPr="00692FFE">
        <w:rPr>
          <w:lang w:val="fr-FR"/>
        </w:rPr>
        <w:t>Parties à la Convention de Minamata sur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le </w:t>
      </w:r>
      <w:r w:rsidR="00B85639" w:rsidRPr="00692FFE">
        <w:rPr>
          <w:lang w:val="fr-FR"/>
        </w:rPr>
        <w:t>mercure</w:t>
      </w:r>
    </w:p>
    <w:p w14:paraId="565F2326" w14:textId="2D7F4DC6" w:rsidR="00F15578" w:rsidRPr="00692FFE" w:rsidRDefault="003825E8" w:rsidP="0060269C">
      <w:pPr>
        <w:pStyle w:val="CH2"/>
        <w:rPr>
          <w:lang w:val="fr-FR"/>
        </w:rPr>
      </w:pPr>
      <w:r w:rsidRPr="00692FFE">
        <w:rPr>
          <w:lang w:val="fr-FR"/>
        </w:rPr>
        <w:tab/>
      </w:r>
      <w:r w:rsidRPr="00692FFE">
        <w:rPr>
          <w:lang w:val="fr-FR"/>
        </w:rPr>
        <w:tab/>
      </w:r>
      <w:r w:rsidRPr="00692FFE">
        <w:rPr>
          <w:bCs/>
          <w:lang w:val="fr-FR"/>
        </w:rPr>
        <w:t>Note du secrétariat</w:t>
      </w:r>
    </w:p>
    <w:p w14:paraId="1AD440C6" w14:textId="2588855B" w:rsidR="00F15578" w:rsidRPr="00692FFE" w:rsidRDefault="0068040E" w:rsidP="0068040E">
      <w:pPr>
        <w:pStyle w:val="NormalNonumber"/>
        <w:rPr>
          <w:lang w:val="fr-FR"/>
        </w:rPr>
      </w:pPr>
      <w:r>
        <w:rPr>
          <w:lang w:val="fr-FR"/>
        </w:rPr>
        <w:tab/>
      </w:r>
      <w:r w:rsidR="005F2AF3" w:rsidRPr="00692FFE">
        <w:rPr>
          <w:lang w:val="fr-FR"/>
        </w:rPr>
        <w:t>Le secrétariat a l</w:t>
      </w:r>
      <w:r w:rsidR="00C70E2F">
        <w:rPr>
          <w:lang w:val="fr-FR"/>
        </w:rPr>
        <w:t>’</w:t>
      </w:r>
      <w:r w:rsidR="005F2AF3" w:rsidRPr="00692FFE">
        <w:rPr>
          <w:lang w:val="fr-FR"/>
        </w:rPr>
        <w:t>honneur de transmettre, dans l</w:t>
      </w:r>
      <w:r w:rsidR="00C70E2F">
        <w:rPr>
          <w:lang w:val="fr-FR"/>
        </w:rPr>
        <w:t>’</w:t>
      </w:r>
      <w:r w:rsidR="005F2AF3" w:rsidRPr="00692FFE">
        <w:rPr>
          <w:lang w:val="fr-FR"/>
        </w:rPr>
        <w:t xml:space="preserve">annexe à la présente note, une note </w:t>
      </w:r>
      <w:r w:rsidR="00774CD5" w:rsidRPr="00692FFE">
        <w:rPr>
          <w:lang w:val="fr-FR"/>
        </w:rPr>
        <w:t xml:space="preserve">concernant le déroulement de </w:t>
      </w:r>
      <w:r w:rsidR="005F2AF3" w:rsidRPr="00692FFE">
        <w:rPr>
          <w:lang w:val="fr-FR"/>
        </w:rPr>
        <w:t>la deuxième</w:t>
      </w:r>
      <w:r>
        <w:rPr>
          <w:lang w:val="fr-FR"/>
        </w:rPr>
        <w:t> </w:t>
      </w:r>
      <w:r w:rsidR="005F2AF3" w:rsidRPr="00692FFE">
        <w:rPr>
          <w:lang w:val="fr-FR"/>
        </w:rPr>
        <w:t xml:space="preserve">réunion de la Conférence des Parties à la Convention de Minamata sur le mercure, établie par le Président de la Conférence des Parties. </w:t>
      </w:r>
    </w:p>
    <w:p w14:paraId="7FF3272F" w14:textId="77777777" w:rsidR="0068040E" w:rsidRDefault="0068040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 w:val="28"/>
          <w:szCs w:val="22"/>
          <w:lang w:val="fr-FR"/>
        </w:rPr>
      </w:pPr>
      <w:r>
        <w:rPr>
          <w:lang w:val="fr-FR"/>
        </w:rPr>
        <w:br w:type="page"/>
      </w:r>
    </w:p>
    <w:p w14:paraId="49AF4C9B" w14:textId="143CEA3F" w:rsidR="005B2F19" w:rsidRPr="00692FFE" w:rsidRDefault="005F2AF3" w:rsidP="0068040E">
      <w:pPr>
        <w:pStyle w:val="ZZAnxheader"/>
        <w:rPr>
          <w:lang w:val="fr-FR"/>
        </w:rPr>
      </w:pPr>
      <w:r w:rsidRPr="00692FFE">
        <w:rPr>
          <w:lang w:val="fr-FR"/>
        </w:rPr>
        <w:lastRenderedPageBreak/>
        <w:t>Annexe</w:t>
      </w:r>
    </w:p>
    <w:p w14:paraId="07EE9BC2" w14:textId="523D0772" w:rsidR="005F2AF3" w:rsidRPr="00692FFE" w:rsidRDefault="005F2AF3" w:rsidP="0060269C">
      <w:pPr>
        <w:pStyle w:val="ZZAnxtitle"/>
        <w:rPr>
          <w:lang w:val="fr-FR"/>
        </w:rPr>
      </w:pPr>
      <w:r w:rsidRPr="00692FFE">
        <w:rPr>
          <w:lang w:val="fr-FR"/>
        </w:rPr>
        <w:t>Note</w:t>
      </w:r>
      <w:r w:rsidR="00076AF8" w:rsidRPr="00692FFE">
        <w:rPr>
          <w:lang w:val="fr-FR"/>
        </w:rPr>
        <w:t xml:space="preserve"> concernant le déroulement de la réunion</w:t>
      </w:r>
      <w:r w:rsidRPr="00692FFE">
        <w:rPr>
          <w:lang w:val="fr-FR"/>
        </w:rPr>
        <w:t xml:space="preserve"> établie par le</w:t>
      </w:r>
      <w:r w:rsidR="00753763" w:rsidRPr="00692FFE">
        <w:rPr>
          <w:lang w:val="fr-FR"/>
        </w:rPr>
        <w:t xml:space="preserve"> Président de la Conférence des </w:t>
      </w:r>
      <w:r w:rsidRPr="00692FFE">
        <w:rPr>
          <w:lang w:val="fr-FR"/>
        </w:rPr>
        <w:t xml:space="preserve">Parties </w:t>
      </w:r>
    </w:p>
    <w:p w14:paraId="33F84B19" w14:textId="0B77C63D" w:rsidR="005F2AF3" w:rsidRPr="00692FFE" w:rsidRDefault="00076AF8" w:rsidP="0068040E">
      <w:pPr>
        <w:pStyle w:val="Normalnumber"/>
        <w:rPr>
          <w:lang w:val="fr-FR"/>
        </w:rPr>
      </w:pPr>
      <w:r w:rsidRPr="00692FFE">
        <w:rPr>
          <w:lang w:val="fr-FR"/>
        </w:rPr>
        <w:t>Par cette note, j</w:t>
      </w:r>
      <w:r w:rsidR="005F2AF3" w:rsidRPr="00692FFE">
        <w:rPr>
          <w:lang w:val="fr-FR"/>
        </w:rPr>
        <w:t>e souhaite</w:t>
      </w:r>
      <w:r w:rsidRPr="00692FFE">
        <w:rPr>
          <w:lang w:val="fr-FR"/>
        </w:rPr>
        <w:t xml:space="preserve"> </w:t>
      </w:r>
      <w:r w:rsidR="005F2AF3" w:rsidRPr="00692FFE">
        <w:rPr>
          <w:lang w:val="fr-FR"/>
        </w:rPr>
        <w:t xml:space="preserve">définir </w:t>
      </w:r>
      <w:r w:rsidRPr="00692FFE">
        <w:rPr>
          <w:lang w:val="fr-FR"/>
        </w:rPr>
        <w:t xml:space="preserve">les résultats attendus de </w:t>
      </w:r>
      <w:r w:rsidR="005F2AF3" w:rsidRPr="00692FFE">
        <w:rPr>
          <w:lang w:val="fr-FR"/>
        </w:rPr>
        <w:t>la deuxième réunion de la</w:t>
      </w:r>
      <w:r w:rsidR="0068040E">
        <w:rPr>
          <w:lang w:val="fr-FR"/>
        </w:rPr>
        <w:t> </w:t>
      </w:r>
      <w:r w:rsidR="005F2AF3" w:rsidRPr="00692FFE">
        <w:rPr>
          <w:lang w:val="fr-FR"/>
        </w:rPr>
        <w:t>Conférence des Parties</w:t>
      </w:r>
      <w:r w:rsidRPr="00692FFE">
        <w:rPr>
          <w:lang w:val="fr-FR"/>
        </w:rPr>
        <w:t xml:space="preserve"> que je </w:t>
      </w:r>
      <w:r w:rsidR="005F2AF3" w:rsidRPr="00692FFE">
        <w:rPr>
          <w:lang w:val="fr-FR"/>
        </w:rPr>
        <w:t>présider</w:t>
      </w:r>
      <w:r w:rsidRPr="00692FFE">
        <w:rPr>
          <w:lang w:val="fr-FR"/>
        </w:rPr>
        <w:t>ai</w:t>
      </w:r>
      <w:r w:rsidR="005F2AF3" w:rsidRPr="00692FFE">
        <w:rPr>
          <w:lang w:val="fr-FR"/>
        </w:rPr>
        <w:t xml:space="preserve">. </w:t>
      </w:r>
      <w:r w:rsidRPr="00692FFE">
        <w:rPr>
          <w:lang w:val="fr-FR"/>
        </w:rPr>
        <w:t xml:space="preserve">Ces </w:t>
      </w:r>
      <w:r w:rsidR="005F2AF3" w:rsidRPr="00692FFE">
        <w:rPr>
          <w:lang w:val="fr-FR"/>
        </w:rPr>
        <w:t xml:space="preserve">attentes ont été définies en consultation avec le Bureau et, </w:t>
      </w:r>
      <w:r w:rsidRPr="00692FFE">
        <w:rPr>
          <w:lang w:val="fr-FR"/>
        </w:rPr>
        <w:t xml:space="preserve">par son </w:t>
      </w:r>
      <w:r w:rsidRPr="0068040E">
        <w:rPr>
          <w:lang w:val="fr-FR"/>
        </w:rPr>
        <w:t>intermédiaire</w:t>
      </w:r>
      <w:r w:rsidR="005F2AF3" w:rsidRPr="00692FFE">
        <w:rPr>
          <w:lang w:val="fr-FR"/>
        </w:rPr>
        <w:t xml:space="preserve">, avec les groupes régionaux, et je suis heureux </w:t>
      </w:r>
      <w:r w:rsidRPr="00692FFE">
        <w:rPr>
          <w:lang w:val="fr-FR"/>
        </w:rPr>
        <w:t>d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en faire part à </w:t>
      </w:r>
      <w:r w:rsidR="005F2AF3" w:rsidRPr="00692FFE">
        <w:rPr>
          <w:lang w:val="fr-FR"/>
        </w:rPr>
        <w:t>toutes les</w:t>
      </w:r>
      <w:r w:rsidR="0068040E">
        <w:rPr>
          <w:lang w:val="fr-FR"/>
        </w:rPr>
        <w:t> </w:t>
      </w:r>
      <w:r w:rsidR="005F2AF3" w:rsidRPr="00692FFE">
        <w:rPr>
          <w:lang w:val="fr-FR"/>
        </w:rPr>
        <w:t>parties prenantes dans le cadre</w:t>
      </w:r>
      <w:r w:rsidRPr="00692FFE">
        <w:rPr>
          <w:lang w:val="fr-FR"/>
        </w:rPr>
        <w:t xml:space="preserve"> des préparatifs de la réunion.</w:t>
      </w:r>
    </w:p>
    <w:p w14:paraId="78E2ACDC" w14:textId="6DF64FC2" w:rsidR="005F2AF3" w:rsidRPr="00692FFE" w:rsidRDefault="005F2AF3" w:rsidP="00123A0D">
      <w:pPr>
        <w:pStyle w:val="Normalnumber"/>
        <w:rPr>
          <w:lang w:val="fr-FR"/>
        </w:rPr>
      </w:pPr>
      <w:r w:rsidRPr="00692FFE">
        <w:rPr>
          <w:lang w:val="fr-FR"/>
        </w:rPr>
        <w:t>La deuxième réunion, qui se tiendra un peu plus d</w:t>
      </w:r>
      <w:r w:rsidR="00C70E2F">
        <w:rPr>
          <w:lang w:val="fr-FR"/>
        </w:rPr>
        <w:t>’</w:t>
      </w:r>
      <w:r w:rsidRPr="00692FFE">
        <w:rPr>
          <w:lang w:val="fr-FR"/>
        </w:rPr>
        <w:t>un</w:t>
      </w:r>
      <w:r w:rsidR="00076AF8" w:rsidRPr="00692FFE">
        <w:rPr>
          <w:lang w:val="fr-FR"/>
        </w:rPr>
        <w:t xml:space="preserve"> an</w:t>
      </w:r>
      <w:r w:rsidRPr="00692FFE">
        <w:rPr>
          <w:lang w:val="fr-FR"/>
        </w:rPr>
        <w:t xml:space="preserve"> après la première, sera l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occasion de consolider les progrès accomplis </w:t>
      </w:r>
      <w:r w:rsidR="00076AF8" w:rsidRPr="00692FFE">
        <w:rPr>
          <w:lang w:val="fr-FR"/>
        </w:rPr>
        <w:t>pendant l</w:t>
      </w:r>
      <w:r w:rsidR="00C70E2F">
        <w:rPr>
          <w:lang w:val="fr-FR"/>
        </w:rPr>
        <w:t>’</w:t>
      </w:r>
      <w:r w:rsidR="00076AF8" w:rsidRPr="00692FFE">
        <w:rPr>
          <w:lang w:val="fr-FR"/>
        </w:rPr>
        <w:t>année écoulée</w:t>
      </w:r>
      <w:r w:rsidRPr="00692FFE">
        <w:rPr>
          <w:lang w:val="fr-FR"/>
        </w:rPr>
        <w:t xml:space="preserve"> ainsi que de réaliser de nouvelles avancées sur un certain nombre </w:t>
      </w:r>
      <w:r w:rsidR="00076AF8" w:rsidRPr="00692FFE">
        <w:rPr>
          <w:lang w:val="fr-FR"/>
        </w:rPr>
        <w:t>de questions</w:t>
      </w:r>
      <w:r w:rsidRPr="00692FFE">
        <w:rPr>
          <w:lang w:val="fr-FR"/>
        </w:rPr>
        <w:t>. L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élaboration du règlement intérieur de nos réunions, par lequel </w:t>
      </w:r>
      <w:r w:rsidR="00076AF8" w:rsidRPr="00692FFE">
        <w:rPr>
          <w:lang w:val="fr-FR"/>
        </w:rPr>
        <w:t>il</w:t>
      </w:r>
      <w:r w:rsidR="0068040E">
        <w:rPr>
          <w:lang w:val="fr-FR"/>
        </w:rPr>
        <w:t> </w:t>
      </w:r>
      <w:r w:rsidR="00076AF8" w:rsidRPr="00692FFE">
        <w:rPr>
          <w:lang w:val="fr-FR"/>
        </w:rPr>
        <w:t xml:space="preserve">a été établi </w:t>
      </w:r>
      <w:r w:rsidRPr="00692FFE">
        <w:rPr>
          <w:lang w:val="fr-FR"/>
        </w:rPr>
        <w:t>que les deuxième et troisième réunions devaient se tenir</w:t>
      </w:r>
      <w:r w:rsidR="00076AF8" w:rsidRPr="00692FFE">
        <w:rPr>
          <w:lang w:val="fr-FR"/>
        </w:rPr>
        <w:t xml:space="preserve"> </w:t>
      </w:r>
      <w:r w:rsidRPr="00692FFE">
        <w:rPr>
          <w:lang w:val="fr-FR"/>
        </w:rPr>
        <w:t>un an et deux ans après la</w:t>
      </w:r>
      <w:r w:rsidR="0068040E">
        <w:rPr>
          <w:lang w:val="fr-FR"/>
        </w:rPr>
        <w:t> </w:t>
      </w:r>
      <w:r w:rsidRPr="00692FFE">
        <w:rPr>
          <w:lang w:val="fr-FR"/>
        </w:rPr>
        <w:t>première réunion et que, par la suite, des réunions ordinaires se tiendraient tous les deux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ans, </w:t>
      </w:r>
      <w:r w:rsidR="00076AF8" w:rsidRPr="00692FFE">
        <w:rPr>
          <w:lang w:val="fr-FR"/>
        </w:rPr>
        <w:t>supposait qu</w:t>
      </w:r>
      <w:r w:rsidR="00C70E2F">
        <w:rPr>
          <w:lang w:val="fr-FR"/>
        </w:rPr>
        <w:t>’</w:t>
      </w:r>
      <w:r w:rsidR="00076AF8" w:rsidRPr="00692FFE">
        <w:rPr>
          <w:lang w:val="fr-FR"/>
        </w:rPr>
        <w:t xml:space="preserve">il faudrait déployer des </w:t>
      </w:r>
      <w:r w:rsidRPr="00692FFE">
        <w:rPr>
          <w:lang w:val="fr-FR"/>
        </w:rPr>
        <w:t>effort</w:t>
      </w:r>
      <w:r w:rsidR="00076AF8" w:rsidRPr="00692FFE">
        <w:rPr>
          <w:lang w:val="fr-FR"/>
        </w:rPr>
        <w:t>s</w:t>
      </w:r>
      <w:r w:rsidRPr="00692FFE">
        <w:rPr>
          <w:lang w:val="fr-FR"/>
        </w:rPr>
        <w:t xml:space="preserve"> important</w:t>
      </w:r>
      <w:r w:rsidR="00076AF8" w:rsidRPr="00692FFE">
        <w:rPr>
          <w:lang w:val="fr-FR"/>
        </w:rPr>
        <w:t>s</w:t>
      </w:r>
      <w:r w:rsidRPr="00692FFE">
        <w:rPr>
          <w:lang w:val="fr-FR"/>
        </w:rPr>
        <w:t xml:space="preserve"> </w:t>
      </w:r>
      <w:r w:rsidR="00076AF8" w:rsidRPr="00692FFE">
        <w:rPr>
          <w:lang w:val="fr-FR"/>
        </w:rPr>
        <w:t xml:space="preserve">concernant </w:t>
      </w:r>
      <w:r w:rsidRPr="00692FFE">
        <w:rPr>
          <w:lang w:val="fr-FR"/>
        </w:rPr>
        <w:t xml:space="preserve">les questions clefs. </w:t>
      </w:r>
    </w:p>
    <w:p w14:paraId="64B4DF81" w14:textId="3ECC1630" w:rsidR="00291719" w:rsidRPr="00692FFE" w:rsidRDefault="008B78F9" w:rsidP="00123A0D">
      <w:pPr>
        <w:pStyle w:val="Normalnumber"/>
        <w:rPr>
          <w:lang w:val="fr-FR"/>
        </w:rPr>
      </w:pPr>
      <w:r w:rsidRPr="00692FFE">
        <w:rPr>
          <w:lang w:val="fr-FR"/>
        </w:rPr>
        <w:t xml:space="preserve">À la première réunion, nous avons pris des décisions essentielles pour </w:t>
      </w:r>
      <w:r w:rsidR="00076AF8" w:rsidRPr="00692FFE">
        <w:rPr>
          <w:lang w:val="fr-FR"/>
        </w:rPr>
        <w:t xml:space="preserve">mettre </w:t>
      </w:r>
      <w:r w:rsidRPr="00692FFE">
        <w:rPr>
          <w:lang w:val="fr-FR"/>
        </w:rPr>
        <w:t xml:space="preserve">en </w:t>
      </w:r>
      <w:r w:rsidR="00B85639" w:rsidRPr="00692FFE">
        <w:rPr>
          <w:lang w:val="fr-FR"/>
        </w:rPr>
        <w:t xml:space="preserve">œuvre </w:t>
      </w:r>
      <w:r w:rsidRPr="00692FFE">
        <w:rPr>
          <w:lang w:val="fr-FR"/>
        </w:rPr>
        <w:t>la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Convention, </w:t>
      </w:r>
      <w:r w:rsidR="00076AF8" w:rsidRPr="00692FFE">
        <w:rPr>
          <w:lang w:val="fr-FR"/>
        </w:rPr>
        <w:t xml:space="preserve">définissant </w:t>
      </w:r>
      <w:r w:rsidRPr="00692FFE">
        <w:rPr>
          <w:lang w:val="fr-FR"/>
        </w:rPr>
        <w:t>notamment le fonctionnement, la durée et le mandat du Programme international spécifique visant à soutenir le renforcement des capacités et l</w:t>
      </w:r>
      <w:r w:rsidR="00C70E2F">
        <w:rPr>
          <w:lang w:val="fr-FR"/>
        </w:rPr>
        <w:t>’</w:t>
      </w:r>
      <w:r w:rsidR="00B85639" w:rsidRPr="00692FFE">
        <w:rPr>
          <w:lang w:val="fr-FR"/>
        </w:rPr>
        <w:t>assistance</w:t>
      </w:r>
      <w:r w:rsidRPr="00692FFE">
        <w:rPr>
          <w:lang w:val="fr-FR"/>
        </w:rPr>
        <w:t xml:space="preserve"> technique, et</w:t>
      </w:r>
      <w:r w:rsidR="0068040E">
        <w:rPr>
          <w:lang w:val="fr-FR"/>
        </w:rPr>
        <w:t> </w:t>
      </w:r>
      <w:r w:rsidRPr="00692FFE">
        <w:rPr>
          <w:lang w:val="fr-FR"/>
        </w:rPr>
        <w:t>fournissant des directives au Fonds pour l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environnement mondial sur les stratégies et politiques globales, les priorités du Programme et les conditions </w:t>
      </w:r>
      <w:r w:rsidR="00076AF8" w:rsidRPr="00692FFE">
        <w:rPr>
          <w:lang w:val="fr-FR"/>
        </w:rPr>
        <w:t>d</w:t>
      </w:r>
      <w:r w:rsidR="00C70E2F">
        <w:rPr>
          <w:lang w:val="fr-FR"/>
        </w:rPr>
        <w:t>’</w:t>
      </w:r>
      <w:r w:rsidR="00076AF8" w:rsidRPr="00692FFE">
        <w:rPr>
          <w:lang w:val="fr-FR"/>
        </w:rPr>
        <w:t xml:space="preserve">octroi des </w:t>
      </w:r>
      <w:r w:rsidRPr="00692FFE">
        <w:rPr>
          <w:lang w:val="fr-FR"/>
        </w:rPr>
        <w:t xml:space="preserve">ressources financières et </w:t>
      </w:r>
      <w:r w:rsidR="00076AF8" w:rsidRPr="00692FFE">
        <w:rPr>
          <w:lang w:val="fr-FR"/>
        </w:rPr>
        <w:t>leur</w:t>
      </w:r>
      <w:r w:rsidR="0068040E">
        <w:rPr>
          <w:lang w:val="fr-FR"/>
        </w:rPr>
        <w:t> </w:t>
      </w:r>
      <w:r w:rsidR="00076AF8" w:rsidRPr="00692FFE">
        <w:rPr>
          <w:lang w:val="fr-FR"/>
        </w:rPr>
        <w:t>utilisation</w:t>
      </w:r>
      <w:r w:rsidRPr="00692FFE">
        <w:rPr>
          <w:lang w:val="fr-FR"/>
        </w:rPr>
        <w:t xml:space="preserve">, entre autres. </w:t>
      </w:r>
      <w:r w:rsidR="00076AF8" w:rsidRPr="00692FFE">
        <w:rPr>
          <w:lang w:val="fr-FR"/>
        </w:rPr>
        <w:t>Pendant l</w:t>
      </w:r>
      <w:r w:rsidRPr="00692FFE">
        <w:rPr>
          <w:lang w:val="fr-FR"/>
        </w:rPr>
        <w:t xml:space="preserve">a réunion </w:t>
      </w:r>
      <w:r w:rsidR="00076AF8" w:rsidRPr="00692FFE">
        <w:rPr>
          <w:lang w:val="fr-FR"/>
        </w:rPr>
        <w:t xml:space="preserve">ont </w:t>
      </w:r>
      <w:r w:rsidRPr="00692FFE">
        <w:rPr>
          <w:lang w:val="fr-FR"/>
        </w:rPr>
        <w:t xml:space="preserve">également </w:t>
      </w:r>
      <w:r w:rsidR="00076AF8" w:rsidRPr="00692FFE">
        <w:rPr>
          <w:lang w:val="fr-FR"/>
        </w:rPr>
        <w:t xml:space="preserve">été élus les </w:t>
      </w:r>
      <w:r w:rsidRPr="00692FFE">
        <w:rPr>
          <w:lang w:val="fr-FR"/>
        </w:rPr>
        <w:t>premiers membres du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Comité de mise en </w:t>
      </w:r>
      <w:r w:rsidR="00B85639" w:rsidRPr="00692FFE">
        <w:rPr>
          <w:lang w:val="fr-FR"/>
        </w:rPr>
        <w:t>œ</w:t>
      </w:r>
      <w:r w:rsidRPr="00692FFE">
        <w:rPr>
          <w:lang w:val="fr-FR"/>
        </w:rPr>
        <w:t>uvre et du respect des obligations. La Conférence des Parties a décidé du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règlement intérieur et des règles de gestion financière pour elle-même et pour ses organes subsidiaires, les seuls points </w:t>
      </w:r>
      <w:r w:rsidR="00076AF8" w:rsidRPr="00692FFE">
        <w:rPr>
          <w:lang w:val="fr-FR"/>
        </w:rPr>
        <w:t xml:space="preserve">en suspens </w:t>
      </w:r>
      <w:r w:rsidRPr="00692FFE">
        <w:rPr>
          <w:lang w:val="fr-FR"/>
        </w:rPr>
        <w:t>étant mis entre crochets. Nous avons adopté plusieurs documents d</w:t>
      </w:r>
      <w:r w:rsidR="00C70E2F">
        <w:rPr>
          <w:lang w:val="fr-FR"/>
        </w:rPr>
        <w:t>’</w:t>
      </w:r>
      <w:r w:rsidRPr="00692FFE">
        <w:rPr>
          <w:lang w:val="fr-FR"/>
        </w:rPr>
        <w:t>orientation, concernant notamment les sources d</w:t>
      </w:r>
      <w:r w:rsidR="00C70E2F">
        <w:rPr>
          <w:lang w:val="fr-FR"/>
        </w:rPr>
        <w:t>’</w:t>
      </w:r>
      <w:r w:rsidRPr="00692FFE">
        <w:rPr>
          <w:lang w:val="fr-FR"/>
        </w:rPr>
        <w:t>approvisionnement en mercure et le</w:t>
      </w:r>
      <w:r w:rsidR="0068040E">
        <w:rPr>
          <w:lang w:val="fr-FR"/>
        </w:rPr>
        <w:t> </w:t>
      </w:r>
      <w:r w:rsidRPr="00692FFE">
        <w:rPr>
          <w:lang w:val="fr-FR"/>
        </w:rPr>
        <w:t>commerce du mercure, ainsi que les émissions de mercure, et concernant le Fonds pour l</w:t>
      </w:r>
      <w:r w:rsidR="00C70E2F">
        <w:rPr>
          <w:lang w:val="fr-FR"/>
        </w:rPr>
        <w:t>’</w:t>
      </w:r>
      <w:r w:rsidRPr="00692FFE">
        <w:rPr>
          <w:lang w:val="fr-FR"/>
        </w:rPr>
        <w:t>environnement mondial en sa qualité d</w:t>
      </w:r>
      <w:r w:rsidR="00C70E2F">
        <w:rPr>
          <w:lang w:val="fr-FR"/>
        </w:rPr>
        <w:t>’</w:t>
      </w:r>
      <w:r w:rsidRPr="00692FFE">
        <w:rPr>
          <w:lang w:val="fr-FR"/>
        </w:rPr>
        <w:t>entité du mécanisme financier. Nous avons également demandé que des travaux intersessions soient menés sur un certain nombre de questions, dont le</w:t>
      </w:r>
      <w:r w:rsidR="0068040E">
        <w:rPr>
          <w:lang w:val="fr-FR"/>
        </w:rPr>
        <w:t> </w:t>
      </w:r>
      <w:r w:rsidRPr="00692FFE">
        <w:rPr>
          <w:lang w:val="fr-FR"/>
        </w:rPr>
        <w:t>stockage provisoire et les déchets, ainsi que sur la marche à suivre pour préparer l</w:t>
      </w:r>
      <w:r w:rsidR="00C70E2F">
        <w:rPr>
          <w:lang w:val="fr-FR"/>
        </w:rPr>
        <w:t>’</w:t>
      </w:r>
      <w:r w:rsidRPr="00692FFE">
        <w:rPr>
          <w:lang w:val="fr-FR"/>
        </w:rPr>
        <w:t>évaluation de</w:t>
      </w:r>
      <w:r w:rsidR="0068040E">
        <w:rPr>
          <w:lang w:val="fr-FR"/>
        </w:rPr>
        <w:t> </w:t>
      </w:r>
      <w:r w:rsidRPr="00692FFE">
        <w:rPr>
          <w:lang w:val="fr-FR"/>
        </w:rPr>
        <w:t>l</w:t>
      </w:r>
      <w:r w:rsidR="00C70E2F">
        <w:rPr>
          <w:lang w:val="fr-FR"/>
        </w:rPr>
        <w:t>’</w:t>
      </w:r>
      <w:r w:rsidRPr="00692FFE">
        <w:rPr>
          <w:lang w:val="fr-FR"/>
        </w:rPr>
        <w:t>efficacité au titre de l</w:t>
      </w:r>
      <w:r w:rsidR="00C70E2F">
        <w:rPr>
          <w:lang w:val="fr-FR"/>
        </w:rPr>
        <w:t>’</w:t>
      </w:r>
      <w:r w:rsidR="00E24D7E" w:rsidRPr="00692FFE">
        <w:rPr>
          <w:lang w:val="fr-FR"/>
        </w:rPr>
        <w:t>article </w:t>
      </w:r>
      <w:r w:rsidRPr="00692FFE">
        <w:rPr>
          <w:lang w:val="fr-FR"/>
        </w:rPr>
        <w:t>22. À sa première réunion, la Conférence des Parties a également accueilli favorablement l</w:t>
      </w:r>
      <w:r w:rsidR="00C70E2F">
        <w:rPr>
          <w:lang w:val="fr-FR"/>
        </w:rPr>
        <w:t>’</w:t>
      </w:r>
      <w:r w:rsidRPr="00692FFE">
        <w:rPr>
          <w:lang w:val="fr-FR"/>
        </w:rPr>
        <w:t>offre du Gouvernement suisse d</w:t>
      </w:r>
      <w:r w:rsidR="00C70E2F">
        <w:rPr>
          <w:lang w:val="fr-FR"/>
        </w:rPr>
        <w:t>’</w:t>
      </w:r>
      <w:r w:rsidRPr="00692FFE">
        <w:rPr>
          <w:lang w:val="fr-FR"/>
        </w:rPr>
        <w:t>héberger le secrétariat de la Convention à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Genève, </w:t>
      </w:r>
      <w:r w:rsidR="00076AF8" w:rsidRPr="00692FFE">
        <w:rPr>
          <w:lang w:val="fr-FR"/>
        </w:rPr>
        <w:t xml:space="preserve">en plus de </w:t>
      </w:r>
      <w:r w:rsidRPr="00692FFE">
        <w:rPr>
          <w:lang w:val="fr-FR"/>
        </w:rPr>
        <w:t xml:space="preserve">sa contribution annuelle </w:t>
      </w:r>
      <w:r w:rsidR="00076AF8" w:rsidRPr="00692FFE">
        <w:rPr>
          <w:lang w:val="fr-FR"/>
        </w:rPr>
        <w:t xml:space="preserve">en tant que </w:t>
      </w:r>
      <w:r w:rsidRPr="00692FFE">
        <w:rPr>
          <w:lang w:val="fr-FR"/>
        </w:rPr>
        <w:t>pays hôte (un million de francs suisses)</w:t>
      </w:r>
      <w:r w:rsidR="00B85639" w:rsidRPr="00692FFE">
        <w:rPr>
          <w:lang w:val="fr-FR"/>
        </w:rPr>
        <w:t>,</w:t>
      </w:r>
      <w:r w:rsidRPr="00692FFE">
        <w:rPr>
          <w:lang w:val="fr-FR"/>
        </w:rPr>
        <w:t xml:space="preserve"> et</w:t>
      </w:r>
      <w:r w:rsidR="0068040E">
        <w:rPr>
          <w:lang w:val="fr-FR"/>
        </w:rPr>
        <w:t> </w:t>
      </w:r>
      <w:r w:rsidRPr="00692FFE">
        <w:rPr>
          <w:lang w:val="fr-FR"/>
        </w:rPr>
        <w:t>prié le Directeur exécutif du Programme des Nations Unies pour l</w:t>
      </w:r>
      <w:r w:rsidR="00C70E2F">
        <w:rPr>
          <w:lang w:val="fr-FR"/>
        </w:rPr>
        <w:t>’</w:t>
      </w:r>
      <w:r w:rsidRPr="00692FFE">
        <w:rPr>
          <w:lang w:val="fr-FR"/>
        </w:rPr>
        <w:t>environnement d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assurer </w:t>
      </w:r>
      <w:r w:rsidR="00B85639" w:rsidRPr="00692FFE">
        <w:rPr>
          <w:lang w:val="fr-FR"/>
        </w:rPr>
        <w:t xml:space="preserve">initialement </w:t>
      </w:r>
      <w:r w:rsidRPr="00692FFE">
        <w:rPr>
          <w:lang w:val="fr-FR"/>
        </w:rPr>
        <w:t xml:space="preserve">le secrétariat </w:t>
      </w:r>
      <w:r w:rsidR="00B85639" w:rsidRPr="00692FFE">
        <w:rPr>
          <w:lang w:val="fr-FR"/>
        </w:rPr>
        <w:t>p</w:t>
      </w:r>
      <w:r w:rsidRPr="00692FFE">
        <w:rPr>
          <w:lang w:val="fr-FR"/>
        </w:rPr>
        <w:t>ar l</w:t>
      </w:r>
      <w:r w:rsidR="00C70E2F">
        <w:rPr>
          <w:lang w:val="fr-FR"/>
        </w:rPr>
        <w:t>’</w:t>
      </w:r>
      <w:r w:rsidRPr="00692FFE">
        <w:rPr>
          <w:lang w:val="fr-FR"/>
        </w:rPr>
        <w:t>intermédiaire d</w:t>
      </w:r>
      <w:r w:rsidR="00C70E2F">
        <w:rPr>
          <w:lang w:val="fr-FR"/>
        </w:rPr>
        <w:t>’</w:t>
      </w:r>
      <w:r w:rsidRPr="00692FFE">
        <w:rPr>
          <w:lang w:val="fr-FR"/>
        </w:rPr>
        <w:t>un secrétariat de la Convention de Minamata basé à</w:t>
      </w:r>
      <w:r w:rsidR="0068040E">
        <w:rPr>
          <w:lang w:val="fr-FR"/>
        </w:rPr>
        <w:t> </w:t>
      </w:r>
      <w:r w:rsidRPr="00692FFE">
        <w:rPr>
          <w:lang w:val="fr-FR"/>
        </w:rPr>
        <w:t>Genève. Elle a également décidé d</w:t>
      </w:r>
      <w:r w:rsidR="00C70E2F">
        <w:rPr>
          <w:lang w:val="fr-FR"/>
        </w:rPr>
        <w:t>’</w:t>
      </w:r>
      <w:r w:rsidRPr="00692FFE">
        <w:rPr>
          <w:lang w:val="fr-FR"/>
        </w:rPr>
        <w:t>examiner les modalités d</w:t>
      </w:r>
      <w:r w:rsidR="00C70E2F">
        <w:rPr>
          <w:lang w:val="fr-FR"/>
        </w:rPr>
        <w:t>’</w:t>
      </w:r>
      <w:r w:rsidRPr="00692FFE">
        <w:rPr>
          <w:lang w:val="fr-FR"/>
        </w:rPr>
        <w:t>organisation à sa deuxième</w:t>
      </w:r>
      <w:r w:rsidR="0068040E">
        <w:rPr>
          <w:lang w:val="fr-FR"/>
        </w:rPr>
        <w:t> </w:t>
      </w:r>
      <w:r w:rsidRPr="00692FFE">
        <w:rPr>
          <w:lang w:val="fr-FR"/>
        </w:rPr>
        <w:t>réunion.</w:t>
      </w:r>
    </w:p>
    <w:p w14:paraId="3C94070C" w14:textId="0D726590" w:rsidR="00291719" w:rsidRPr="00692FFE" w:rsidRDefault="00076AF8" w:rsidP="00AE26E0">
      <w:pPr>
        <w:pStyle w:val="Normalnumber"/>
        <w:rPr>
          <w:lang w:val="fr-FR"/>
        </w:rPr>
      </w:pPr>
      <w:r w:rsidRPr="00692FFE">
        <w:rPr>
          <w:lang w:val="fr-FR"/>
        </w:rPr>
        <w:t xml:space="preserve">À la </w:t>
      </w:r>
      <w:r w:rsidR="00B85639" w:rsidRPr="00692FFE">
        <w:rPr>
          <w:lang w:val="fr-FR"/>
        </w:rPr>
        <w:t xml:space="preserve">deuxième </w:t>
      </w:r>
      <w:r w:rsidR="00291719" w:rsidRPr="00692FFE">
        <w:rPr>
          <w:lang w:val="fr-FR"/>
        </w:rPr>
        <w:t>réunion, d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autres travaux seront entrepris sur une série de questions présentées à la première réunion, et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 xml:space="preserve">examen des questions non résolues se poursuivra </w:t>
      </w:r>
      <w:r w:rsidRPr="00692FFE">
        <w:rPr>
          <w:lang w:val="fr-FR"/>
        </w:rPr>
        <w:t>quant</w:t>
      </w:r>
      <w:r w:rsidR="00291719" w:rsidRPr="00692FFE">
        <w:rPr>
          <w:lang w:val="fr-FR"/>
        </w:rPr>
        <w:t xml:space="preserve"> au règlement intérieur, aux règles de gestion financière, au mémorandum d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accord avec le Fonds pour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environnement mondial et à certaines dispositions du Programme international spécifique. Les</w:t>
      </w:r>
      <w:r w:rsidR="0068040E">
        <w:rPr>
          <w:lang w:val="fr-FR"/>
        </w:rPr>
        <w:t> </w:t>
      </w:r>
      <w:r w:rsidR="00291719" w:rsidRPr="00692FFE">
        <w:rPr>
          <w:lang w:val="fr-FR"/>
        </w:rPr>
        <w:t>travaux techniques en cours, en particulier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élaboration de directives sur le stockage provisoire,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 xml:space="preserve">établissement de seuils </w:t>
      </w:r>
      <w:r w:rsidRPr="00692FFE">
        <w:rPr>
          <w:lang w:val="fr-FR"/>
        </w:rPr>
        <w:t xml:space="preserve">applicables </w:t>
      </w:r>
      <w:r w:rsidR="00291719" w:rsidRPr="00692FFE">
        <w:rPr>
          <w:lang w:val="fr-FR"/>
        </w:rPr>
        <w:t>aux déchets et les tr</w:t>
      </w:r>
      <w:r w:rsidR="00B85639" w:rsidRPr="00692FFE">
        <w:rPr>
          <w:lang w:val="fr-FR"/>
        </w:rPr>
        <w:t xml:space="preserve">avaux </w:t>
      </w:r>
      <w:r w:rsidRPr="00692FFE">
        <w:rPr>
          <w:lang w:val="fr-FR"/>
        </w:rPr>
        <w:t xml:space="preserve">visant à </w:t>
      </w:r>
      <w:r w:rsidR="00B85639" w:rsidRPr="00692FFE">
        <w:rPr>
          <w:lang w:val="fr-FR"/>
        </w:rPr>
        <w:t>orienter la gestion des sites contaminés</w:t>
      </w:r>
      <w:r w:rsidR="00291719" w:rsidRPr="00692FFE">
        <w:rPr>
          <w:lang w:val="fr-FR"/>
        </w:rPr>
        <w:t xml:space="preserve"> seront </w:t>
      </w:r>
      <w:r w:rsidRPr="00692FFE">
        <w:rPr>
          <w:lang w:val="fr-FR"/>
        </w:rPr>
        <w:t xml:space="preserve">examinés </w:t>
      </w:r>
      <w:r w:rsidR="00291719" w:rsidRPr="00692FFE">
        <w:rPr>
          <w:lang w:val="fr-FR"/>
        </w:rPr>
        <w:t>en prévision d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un nouvel examen par la Conférence des Parties à sa</w:t>
      </w:r>
      <w:r w:rsidR="0068040E">
        <w:rPr>
          <w:lang w:val="fr-FR"/>
        </w:rPr>
        <w:t> </w:t>
      </w:r>
      <w:r w:rsidR="00291719" w:rsidRPr="00692FFE">
        <w:rPr>
          <w:lang w:val="fr-FR"/>
        </w:rPr>
        <w:t>troisième</w:t>
      </w:r>
      <w:r w:rsidR="0068040E">
        <w:rPr>
          <w:lang w:val="fr-FR"/>
        </w:rPr>
        <w:t> </w:t>
      </w:r>
      <w:r w:rsidR="00291719" w:rsidRPr="00692FFE">
        <w:rPr>
          <w:lang w:val="fr-FR"/>
        </w:rPr>
        <w:t>réunion.</w:t>
      </w:r>
      <w:r w:rsidRPr="00692FFE">
        <w:rPr>
          <w:lang w:val="fr-FR"/>
        </w:rPr>
        <w:t xml:space="preserve"> À</w:t>
      </w:r>
      <w:r w:rsidR="00291719" w:rsidRPr="00692FFE">
        <w:rPr>
          <w:lang w:val="fr-FR"/>
        </w:rPr>
        <w:t xml:space="preserve"> sa deuxième réunion, </w:t>
      </w:r>
      <w:r w:rsidRPr="00692FFE">
        <w:rPr>
          <w:lang w:val="fr-FR"/>
        </w:rPr>
        <w:t xml:space="preserve">la Conférence des Parties </w:t>
      </w:r>
      <w:r w:rsidR="00291719" w:rsidRPr="00692FFE">
        <w:rPr>
          <w:lang w:val="fr-FR"/>
        </w:rPr>
        <w:t>examinera également le</w:t>
      </w:r>
      <w:r w:rsidR="0068040E">
        <w:rPr>
          <w:lang w:val="fr-FR"/>
        </w:rPr>
        <w:t> </w:t>
      </w:r>
      <w:r w:rsidR="00291719" w:rsidRPr="00692FFE">
        <w:rPr>
          <w:lang w:val="fr-FR"/>
        </w:rPr>
        <w:t>rapport du groupe spécial d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experts sur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évaluation de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 xml:space="preserve">efficacité et décidera quels travaux supplémentaires, </w:t>
      </w:r>
      <w:r w:rsidRPr="00692FFE">
        <w:rPr>
          <w:lang w:val="fr-FR"/>
        </w:rPr>
        <w:t>s</w:t>
      </w:r>
      <w:r w:rsidR="00C70E2F">
        <w:rPr>
          <w:lang w:val="fr-FR"/>
        </w:rPr>
        <w:t>’</w:t>
      </w:r>
      <w:r w:rsidRPr="00692FFE">
        <w:rPr>
          <w:lang w:val="fr-FR"/>
        </w:rPr>
        <w:t>il y a lieu</w:t>
      </w:r>
      <w:r w:rsidR="00291719" w:rsidRPr="00692FFE">
        <w:rPr>
          <w:lang w:val="fr-FR"/>
        </w:rPr>
        <w:t>, sont nécessaires à la création d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 xml:space="preserve">un cadre </w:t>
      </w:r>
      <w:r w:rsidRPr="00692FFE">
        <w:rPr>
          <w:lang w:val="fr-FR"/>
        </w:rPr>
        <w:t>d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évaluation de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efficacité de la</w:t>
      </w:r>
      <w:r w:rsidR="0068040E">
        <w:rPr>
          <w:lang w:val="fr-FR"/>
        </w:rPr>
        <w:t> </w:t>
      </w:r>
      <w:r w:rsidR="00291719" w:rsidRPr="00692FFE">
        <w:rPr>
          <w:lang w:val="fr-FR"/>
        </w:rPr>
        <w:t>Convention de Minamata. Les informations sur les rejets de mercure dans le sol ou dans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eau ainsi que sur les émissions de mercure provenant du brûlage à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air libre des déchets seront examinées, de même que les informations sur le renforcement des capacités, l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>assistance technique et le transfert de technologies.</w:t>
      </w:r>
      <w:r w:rsidRPr="00692FFE">
        <w:rPr>
          <w:lang w:val="fr-FR"/>
        </w:rPr>
        <w:t xml:space="preserve"> Comme suite </w:t>
      </w:r>
      <w:r w:rsidR="00291719" w:rsidRPr="00692FFE">
        <w:rPr>
          <w:lang w:val="fr-FR"/>
        </w:rPr>
        <w:t xml:space="preserve">à la décision prise à la première réunion, la Conférence des Parties se penchera également </w:t>
      </w:r>
      <w:r w:rsidRPr="00692FFE">
        <w:rPr>
          <w:lang w:val="fr-FR"/>
        </w:rPr>
        <w:t xml:space="preserve">à sa deuxième réunion </w:t>
      </w:r>
      <w:r w:rsidR="00291719" w:rsidRPr="00692FFE">
        <w:rPr>
          <w:lang w:val="fr-FR"/>
        </w:rPr>
        <w:t>sur les modalités d</w:t>
      </w:r>
      <w:r w:rsidR="00C70E2F">
        <w:rPr>
          <w:lang w:val="fr-FR"/>
        </w:rPr>
        <w:t>’</w:t>
      </w:r>
      <w:r w:rsidR="00291719" w:rsidRPr="00692FFE">
        <w:rPr>
          <w:lang w:val="fr-FR"/>
        </w:rPr>
        <w:t xml:space="preserve">organisation du secrétariat, les ajustements budgétaires </w:t>
      </w:r>
      <w:r w:rsidRPr="00692FFE">
        <w:rPr>
          <w:lang w:val="fr-FR"/>
        </w:rPr>
        <w:t xml:space="preserve">utiles </w:t>
      </w:r>
      <w:r w:rsidR="00291719" w:rsidRPr="00692FFE">
        <w:rPr>
          <w:lang w:val="fr-FR"/>
        </w:rPr>
        <w:t xml:space="preserve">et le projet de règlement intérieur du Comité de mise en </w:t>
      </w:r>
      <w:r w:rsidR="00B85639" w:rsidRPr="00692FFE">
        <w:rPr>
          <w:lang w:val="fr-FR"/>
        </w:rPr>
        <w:t>œ</w:t>
      </w:r>
      <w:r w:rsidR="00291719" w:rsidRPr="00692FFE">
        <w:rPr>
          <w:lang w:val="fr-FR"/>
        </w:rPr>
        <w:t>uvre et du</w:t>
      </w:r>
      <w:r w:rsidR="0068040E">
        <w:rPr>
          <w:lang w:val="fr-FR"/>
        </w:rPr>
        <w:t> </w:t>
      </w:r>
      <w:r w:rsidR="00291719" w:rsidRPr="00692FFE">
        <w:rPr>
          <w:lang w:val="fr-FR"/>
        </w:rPr>
        <w:t xml:space="preserve">respect des obligations. </w:t>
      </w:r>
    </w:p>
    <w:p w14:paraId="19A71303" w14:textId="2F4D7435" w:rsidR="00A912B3" w:rsidRPr="00692FFE" w:rsidRDefault="002A1EFF" w:rsidP="00123A0D">
      <w:pPr>
        <w:pStyle w:val="Normalnumber"/>
        <w:rPr>
          <w:lang w:val="fr-FR"/>
        </w:rPr>
      </w:pPr>
      <w:r w:rsidRPr="00692FFE">
        <w:rPr>
          <w:lang w:val="fr-FR"/>
        </w:rPr>
        <w:t xml:space="preserve">Je considère </w:t>
      </w:r>
      <w:r w:rsidR="00076AF8" w:rsidRPr="00692FFE">
        <w:rPr>
          <w:lang w:val="fr-FR"/>
        </w:rPr>
        <w:t xml:space="preserve">que cette </w:t>
      </w:r>
      <w:r w:rsidRPr="00692FFE">
        <w:rPr>
          <w:lang w:val="fr-FR"/>
        </w:rPr>
        <w:t xml:space="preserve">deuxième réunion </w:t>
      </w:r>
      <w:r w:rsidR="00076AF8" w:rsidRPr="00692FFE">
        <w:rPr>
          <w:lang w:val="fr-FR"/>
        </w:rPr>
        <w:t xml:space="preserve">est </w:t>
      </w:r>
      <w:r w:rsidRPr="00692FFE">
        <w:rPr>
          <w:lang w:val="fr-FR"/>
        </w:rPr>
        <w:t>une excellente occasion de consolider les travaux engagés et de faire fond sur les progrès accomplis à ce jour. Les séances d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information technique </w:t>
      </w:r>
      <w:r w:rsidR="00076AF8" w:rsidRPr="00692FFE">
        <w:rPr>
          <w:lang w:val="fr-FR"/>
        </w:rPr>
        <w:t xml:space="preserve">permettront </w:t>
      </w:r>
      <w:r w:rsidRPr="00692FFE">
        <w:rPr>
          <w:lang w:val="fr-FR"/>
        </w:rPr>
        <w:t>aux participants d</w:t>
      </w:r>
      <w:r w:rsidR="00C70E2F">
        <w:rPr>
          <w:lang w:val="fr-FR"/>
        </w:rPr>
        <w:t>’</w:t>
      </w:r>
      <w:r w:rsidRPr="00692FFE">
        <w:rPr>
          <w:lang w:val="fr-FR"/>
        </w:rPr>
        <w:t>élargir leurs connaiss</w:t>
      </w:r>
      <w:r w:rsidR="00B85639" w:rsidRPr="00692FFE">
        <w:rPr>
          <w:lang w:val="fr-FR"/>
        </w:rPr>
        <w:t>ances sur tout</w:t>
      </w:r>
      <w:r w:rsidRPr="00692FFE">
        <w:rPr>
          <w:lang w:val="fr-FR"/>
        </w:rPr>
        <w:t xml:space="preserve"> un </w:t>
      </w:r>
      <w:r w:rsidR="00B85639" w:rsidRPr="00692FFE">
        <w:rPr>
          <w:lang w:val="fr-FR"/>
        </w:rPr>
        <w:t>éventail</w:t>
      </w:r>
      <w:r w:rsidRPr="00692FFE">
        <w:rPr>
          <w:lang w:val="fr-FR"/>
        </w:rPr>
        <w:t xml:space="preserve"> de sujets importants. </w:t>
      </w:r>
      <w:r w:rsidR="00B85639" w:rsidRPr="00692FFE">
        <w:rPr>
          <w:lang w:val="fr-FR"/>
        </w:rPr>
        <w:t>C</w:t>
      </w:r>
      <w:r w:rsidRPr="00692FFE">
        <w:rPr>
          <w:lang w:val="fr-FR"/>
        </w:rPr>
        <w:t>ette deuxième réunion sera</w:t>
      </w:r>
      <w:r w:rsidR="00076AF8" w:rsidRPr="00692FFE">
        <w:rPr>
          <w:lang w:val="fr-FR"/>
        </w:rPr>
        <w:t>,</w:t>
      </w:r>
      <w:r w:rsidRPr="00692FFE">
        <w:rPr>
          <w:lang w:val="fr-FR"/>
        </w:rPr>
        <w:t xml:space="preserve"> </w:t>
      </w:r>
      <w:r w:rsidR="00B85639" w:rsidRPr="00692FFE">
        <w:rPr>
          <w:lang w:val="fr-FR"/>
        </w:rPr>
        <w:t>je pense</w:t>
      </w:r>
      <w:r w:rsidR="00076AF8" w:rsidRPr="00692FFE">
        <w:rPr>
          <w:lang w:val="fr-FR"/>
        </w:rPr>
        <w:t>,</w:t>
      </w:r>
      <w:r w:rsidR="00B85639" w:rsidRPr="00692FFE">
        <w:rPr>
          <w:lang w:val="fr-FR"/>
        </w:rPr>
        <w:t xml:space="preserve"> </w:t>
      </w:r>
      <w:r w:rsidRPr="00692FFE">
        <w:rPr>
          <w:lang w:val="fr-FR"/>
        </w:rPr>
        <w:t>une réunion de travail intense. J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encourage donc toutes les délégations à </w:t>
      </w:r>
      <w:r w:rsidR="00076AF8" w:rsidRPr="00692FFE">
        <w:rPr>
          <w:lang w:val="fr-FR"/>
        </w:rPr>
        <w:t xml:space="preserve">avoir </w:t>
      </w:r>
      <w:r w:rsidRPr="00692FFE">
        <w:rPr>
          <w:lang w:val="fr-FR"/>
        </w:rPr>
        <w:t xml:space="preserve">des entretiens préliminaires avant sa tenue, notamment des consultations régionales et des discussions bilatérales. Le Bureau a décidé de ne pas créer </w:t>
      </w:r>
      <w:r w:rsidR="00076AF8" w:rsidRPr="00692FFE">
        <w:rPr>
          <w:lang w:val="fr-FR"/>
        </w:rPr>
        <w:t>de c</w:t>
      </w:r>
      <w:r w:rsidRPr="00692FFE">
        <w:rPr>
          <w:lang w:val="fr-FR"/>
        </w:rPr>
        <w:t xml:space="preserve">omité plénier à la deuxième réunion, conformément à la pratique des autres conventions sur les produits chimiques et les déchets. </w:t>
      </w:r>
      <w:bookmarkStart w:id="4" w:name="_GoBack"/>
      <w:bookmarkEnd w:id="4"/>
      <w:r w:rsidRPr="00692FFE">
        <w:rPr>
          <w:lang w:val="fr-FR"/>
        </w:rPr>
        <w:lastRenderedPageBreak/>
        <w:t>De fa</w:t>
      </w:r>
      <w:r w:rsidR="00076AF8" w:rsidRPr="00692FFE">
        <w:rPr>
          <w:lang w:val="fr-FR"/>
        </w:rPr>
        <w:t>it, la raison pour laquelle un c</w:t>
      </w:r>
      <w:r w:rsidRPr="00692FFE">
        <w:rPr>
          <w:lang w:val="fr-FR"/>
        </w:rPr>
        <w:t xml:space="preserve">omité plénier a été mis sur pied lors de la première réunion était de créer un espace – une alternative au comité intergouvernemental de négociation – au sein duquel les non Parties </w:t>
      </w:r>
      <w:r w:rsidR="00076AF8" w:rsidRPr="00692FFE">
        <w:rPr>
          <w:lang w:val="fr-FR"/>
        </w:rPr>
        <w:t xml:space="preserve">pouvaient </w:t>
      </w:r>
      <w:r w:rsidRPr="00692FFE">
        <w:rPr>
          <w:lang w:val="fr-FR"/>
        </w:rPr>
        <w:t>se consacrer pleinement à la finalisation des travaux qui devaient être livrés à la</w:t>
      </w:r>
      <w:r w:rsidR="0068040E">
        <w:rPr>
          <w:lang w:val="fr-FR"/>
        </w:rPr>
        <w:t> </w:t>
      </w:r>
      <w:r w:rsidRPr="00692FFE">
        <w:rPr>
          <w:lang w:val="fr-FR"/>
        </w:rPr>
        <w:t>première</w:t>
      </w:r>
      <w:r w:rsidR="0068040E">
        <w:rPr>
          <w:lang w:val="fr-FR"/>
        </w:rPr>
        <w:t> </w:t>
      </w:r>
      <w:r w:rsidRPr="00692FFE">
        <w:rPr>
          <w:lang w:val="fr-FR"/>
        </w:rPr>
        <w:t>réunion. Avec la deuxième</w:t>
      </w:r>
      <w:r w:rsidR="0068040E">
        <w:rPr>
          <w:lang w:val="fr-FR"/>
        </w:rPr>
        <w:t> </w:t>
      </w:r>
      <w:r w:rsidRPr="00692FFE">
        <w:rPr>
          <w:lang w:val="fr-FR"/>
        </w:rPr>
        <w:t>réunion, nous entrons dans la phase de vie normale d</w:t>
      </w:r>
      <w:r w:rsidR="00C70E2F">
        <w:rPr>
          <w:lang w:val="fr-FR"/>
        </w:rPr>
        <w:t>’</w:t>
      </w:r>
      <w:r w:rsidR="00076AF8" w:rsidRPr="00692FFE">
        <w:rPr>
          <w:lang w:val="fr-FR"/>
        </w:rPr>
        <w:t>une convention</w:t>
      </w:r>
      <w:r w:rsidRPr="00692FFE">
        <w:rPr>
          <w:lang w:val="fr-FR"/>
        </w:rPr>
        <w:t xml:space="preserve"> et n</w:t>
      </w:r>
      <w:r w:rsidR="00C70E2F">
        <w:rPr>
          <w:lang w:val="fr-FR"/>
        </w:rPr>
        <w:t>’</w:t>
      </w:r>
      <w:r w:rsidRPr="00692FFE">
        <w:rPr>
          <w:lang w:val="fr-FR"/>
        </w:rPr>
        <w:t>avons plus besoin d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un </w:t>
      </w:r>
      <w:r w:rsidR="00076AF8" w:rsidRPr="00692FFE">
        <w:rPr>
          <w:lang w:val="fr-FR"/>
        </w:rPr>
        <w:t>c</w:t>
      </w:r>
      <w:r w:rsidRPr="00692FFE">
        <w:rPr>
          <w:lang w:val="fr-FR"/>
        </w:rPr>
        <w:t>omité plénier pour faire notre travail.</w:t>
      </w:r>
    </w:p>
    <w:p w14:paraId="23EF3890" w14:textId="63FDF6DE" w:rsidR="006F381A" w:rsidRPr="00692FFE" w:rsidRDefault="00076AF8" w:rsidP="00123A0D">
      <w:pPr>
        <w:pStyle w:val="Normalnumber"/>
        <w:rPr>
          <w:lang w:val="fr-FR"/>
        </w:rPr>
      </w:pPr>
      <w:r w:rsidRPr="00692FFE">
        <w:rPr>
          <w:lang w:val="fr-FR"/>
        </w:rPr>
        <w:t xml:space="preserve">La </w:t>
      </w:r>
      <w:r w:rsidR="00F74DEF" w:rsidRPr="00692FFE">
        <w:rPr>
          <w:lang w:val="fr-FR"/>
        </w:rPr>
        <w:t>deuxième réunion</w:t>
      </w:r>
      <w:r w:rsidR="00E24D7E" w:rsidRPr="00692FFE">
        <w:rPr>
          <w:lang w:val="fr-FR"/>
        </w:rPr>
        <w:t xml:space="preserve"> </w:t>
      </w:r>
      <w:r w:rsidRPr="00692FFE">
        <w:rPr>
          <w:lang w:val="fr-FR"/>
        </w:rPr>
        <w:t xml:space="preserve">sera ouverte dans la matinée du </w:t>
      </w:r>
      <w:r w:rsidR="00E24D7E" w:rsidRPr="00692FFE">
        <w:rPr>
          <w:lang w:val="fr-FR"/>
        </w:rPr>
        <w:t>lundi 19 </w:t>
      </w:r>
      <w:r w:rsidR="00F74DEF" w:rsidRPr="00692FFE">
        <w:rPr>
          <w:lang w:val="fr-FR"/>
        </w:rPr>
        <w:t>novembre. Après la séance d</w:t>
      </w:r>
      <w:r w:rsidR="00C70E2F">
        <w:rPr>
          <w:lang w:val="fr-FR"/>
        </w:rPr>
        <w:t>’</w:t>
      </w:r>
      <w:r w:rsidR="00F74DEF" w:rsidRPr="00692FFE">
        <w:rPr>
          <w:lang w:val="fr-FR"/>
        </w:rPr>
        <w:t>ouverture, les groupes régionaux et, sur demande, les différents observateurs et Parties auront la</w:t>
      </w:r>
      <w:r w:rsidR="0068040E">
        <w:rPr>
          <w:lang w:val="fr-FR"/>
        </w:rPr>
        <w:t> </w:t>
      </w:r>
      <w:r w:rsidR="00F74DEF" w:rsidRPr="00692FFE">
        <w:rPr>
          <w:lang w:val="fr-FR"/>
        </w:rPr>
        <w:t>possibilité de faire de brèves déclarations liminaires. Nous espérons être en mesure de passer rapidement de la session d</w:t>
      </w:r>
      <w:r w:rsidR="00C70E2F">
        <w:rPr>
          <w:lang w:val="fr-FR"/>
        </w:rPr>
        <w:t>’</w:t>
      </w:r>
      <w:r w:rsidR="00F74DEF" w:rsidRPr="00692FFE">
        <w:rPr>
          <w:lang w:val="fr-FR"/>
        </w:rPr>
        <w:t>ouverture à un débat de fond en séance plénière.</w:t>
      </w:r>
    </w:p>
    <w:p w14:paraId="640A362F" w14:textId="6143699F" w:rsidR="00C0476B" w:rsidRPr="00692FFE" w:rsidRDefault="00796FAE" w:rsidP="00123A0D">
      <w:pPr>
        <w:pStyle w:val="Normalnumber"/>
        <w:rPr>
          <w:lang w:val="fr-FR"/>
        </w:rPr>
      </w:pPr>
      <w:r w:rsidRPr="00692FFE">
        <w:rPr>
          <w:lang w:val="fr-FR"/>
        </w:rPr>
        <w:t xml:space="preserve">Je </w:t>
      </w:r>
      <w:r w:rsidR="00FA3E64" w:rsidRPr="00692FFE">
        <w:rPr>
          <w:lang w:val="fr-FR"/>
        </w:rPr>
        <w:t xml:space="preserve">pense </w:t>
      </w:r>
      <w:r w:rsidRPr="00692FFE">
        <w:rPr>
          <w:lang w:val="fr-FR"/>
        </w:rPr>
        <w:t>que les discussions de la semaine auront essentiellement lieu en séance plénière, mais également au sein de groupes plus restreints, selon qu</w:t>
      </w:r>
      <w:r w:rsidR="00C70E2F">
        <w:rPr>
          <w:lang w:val="fr-FR"/>
        </w:rPr>
        <w:t>’</w:t>
      </w:r>
      <w:r w:rsidRPr="00692FFE">
        <w:rPr>
          <w:lang w:val="fr-FR"/>
        </w:rPr>
        <w:t>il conviendra, s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agissant notamment de </w:t>
      </w:r>
      <w:r w:rsidR="00FA3E64" w:rsidRPr="00692FFE">
        <w:rPr>
          <w:lang w:val="fr-FR"/>
        </w:rPr>
        <w:t>rendre compte d</w:t>
      </w:r>
      <w:r w:rsidRPr="00692FFE">
        <w:rPr>
          <w:lang w:val="fr-FR"/>
        </w:rPr>
        <w:t>es résultats de la réunion. Je compte trancher des questions qui n</w:t>
      </w:r>
      <w:r w:rsidR="00C70E2F">
        <w:rPr>
          <w:lang w:val="fr-FR"/>
        </w:rPr>
        <w:t>’</w:t>
      </w:r>
      <w:r w:rsidR="00FA3E64" w:rsidRPr="00692FFE">
        <w:rPr>
          <w:lang w:val="fr-FR"/>
        </w:rPr>
        <w:t>ont pas besoin de l</w:t>
      </w:r>
      <w:r w:rsidR="00C70E2F">
        <w:rPr>
          <w:lang w:val="fr-FR"/>
        </w:rPr>
        <w:t>’</w:t>
      </w:r>
      <w:r w:rsidR="00FA3E64" w:rsidRPr="00692FFE">
        <w:rPr>
          <w:lang w:val="fr-FR"/>
        </w:rPr>
        <w:t xml:space="preserve">être </w:t>
      </w:r>
      <w:r w:rsidRPr="00692FFE">
        <w:rPr>
          <w:lang w:val="fr-FR"/>
        </w:rPr>
        <w:t>en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plénière mais qui seront résumées et reflétées dans le rapport </w:t>
      </w:r>
      <w:r w:rsidR="00FA3E64" w:rsidRPr="00692FFE">
        <w:rPr>
          <w:lang w:val="fr-FR"/>
        </w:rPr>
        <w:t xml:space="preserve">sur les travaux </w:t>
      </w:r>
      <w:r w:rsidRPr="00692FFE">
        <w:rPr>
          <w:lang w:val="fr-FR"/>
        </w:rPr>
        <w:t>de la réunion. Les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questions ne pouvant </w:t>
      </w:r>
      <w:r w:rsidR="00FA3E64" w:rsidRPr="00692FFE">
        <w:rPr>
          <w:lang w:val="fr-FR"/>
        </w:rPr>
        <w:t xml:space="preserve">pas </w:t>
      </w:r>
      <w:r w:rsidRPr="00692FFE">
        <w:rPr>
          <w:lang w:val="fr-FR"/>
        </w:rPr>
        <w:t>faire l</w:t>
      </w:r>
      <w:r w:rsidR="00C70E2F">
        <w:rPr>
          <w:lang w:val="fr-FR"/>
        </w:rPr>
        <w:t>’</w:t>
      </w:r>
      <w:r w:rsidRPr="00692FFE">
        <w:rPr>
          <w:lang w:val="fr-FR"/>
        </w:rPr>
        <w:t>objet d</w:t>
      </w:r>
      <w:r w:rsidR="00C70E2F">
        <w:rPr>
          <w:lang w:val="fr-FR"/>
        </w:rPr>
        <w:t>’</w:t>
      </w:r>
      <w:r w:rsidRPr="00692FFE">
        <w:rPr>
          <w:lang w:val="fr-FR"/>
        </w:rPr>
        <w:t>un accord en séance plénière seront transmises aux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groupes de contact. Ainsi </w:t>
      </w:r>
      <w:r w:rsidR="00FA3E64" w:rsidRPr="00692FFE">
        <w:rPr>
          <w:lang w:val="fr-FR"/>
        </w:rPr>
        <w:t>qu</w:t>
      </w:r>
      <w:r w:rsidR="00C70E2F">
        <w:rPr>
          <w:lang w:val="fr-FR"/>
        </w:rPr>
        <w:t>’</w:t>
      </w:r>
      <w:r w:rsidR="00FA3E64" w:rsidRPr="00692FFE">
        <w:rPr>
          <w:lang w:val="fr-FR"/>
        </w:rPr>
        <w:t xml:space="preserve">en a </w:t>
      </w:r>
      <w:r w:rsidRPr="00692FFE">
        <w:rPr>
          <w:lang w:val="fr-FR"/>
        </w:rPr>
        <w:t>discuté le Bureau, j</w:t>
      </w:r>
      <w:r w:rsidR="00C70E2F">
        <w:rPr>
          <w:lang w:val="fr-FR"/>
        </w:rPr>
        <w:t>’</w:t>
      </w:r>
      <w:r w:rsidRPr="00692FFE">
        <w:rPr>
          <w:lang w:val="fr-FR"/>
        </w:rPr>
        <w:t>entends mettre sur pied des groupes de</w:t>
      </w:r>
      <w:r w:rsidR="0068040E">
        <w:rPr>
          <w:lang w:val="fr-FR"/>
        </w:rPr>
        <w:t> </w:t>
      </w:r>
      <w:r w:rsidRPr="00692FFE">
        <w:rPr>
          <w:lang w:val="fr-FR"/>
        </w:rPr>
        <w:t>contact pour l</w:t>
      </w:r>
      <w:r w:rsidR="00C70E2F">
        <w:rPr>
          <w:lang w:val="fr-FR"/>
        </w:rPr>
        <w:t>’</w:t>
      </w:r>
      <w:r w:rsidRPr="00692FFE">
        <w:rPr>
          <w:lang w:val="fr-FR"/>
        </w:rPr>
        <w:t>évaluation de l</w:t>
      </w:r>
      <w:r w:rsidR="00C70E2F">
        <w:rPr>
          <w:lang w:val="fr-FR"/>
        </w:rPr>
        <w:t>’</w:t>
      </w:r>
      <w:r w:rsidRPr="00692FFE">
        <w:rPr>
          <w:lang w:val="fr-FR"/>
        </w:rPr>
        <w:t>efficacité et pour les aspects techniques et le financement, ainsi qu</w:t>
      </w:r>
      <w:r w:rsidR="00C70E2F">
        <w:rPr>
          <w:lang w:val="fr-FR"/>
        </w:rPr>
        <w:t>’</w:t>
      </w:r>
      <w:r w:rsidRPr="00692FFE">
        <w:rPr>
          <w:lang w:val="fr-FR"/>
        </w:rPr>
        <w:t>un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ou deux groupes de contact sur les questions budgétaires et institutionnelles, y compris les questions </w:t>
      </w:r>
      <w:r w:rsidR="00FA3E64" w:rsidRPr="00692FFE">
        <w:rPr>
          <w:lang w:val="fr-FR"/>
        </w:rPr>
        <w:t xml:space="preserve">relatives au </w:t>
      </w:r>
      <w:r w:rsidRPr="00692FFE">
        <w:rPr>
          <w:lang w:val="fr-FR"/>
        </w:rPr>
        <w:t>secrétariat. J</w:t>
      </w:r>
      <w:r w:rsidR="00C70E2F">
        <w:rPr>
          <w:lang w:val="fr-FR"/>
        </w:rPr>
        <w:t>’</w:t>
      </w:r>
      <w:r w:rsidRPr="00692FFE">
        <w:rPr>
          <w:lang w:val="fr-FR"/>
        </w:rPr>
        <w:t>espère être en mesure de créer les premiers groupes de contact dès</w:t>
      </w:r>
      <w:r w:rsidR="0068040E">
        <w:rPr>
          <w:lang w:val="fr-FR"/>
        </w:rPr>
        <w:t> </w:t>
      </w:r>
      <w:r w:rsidRPr="00692FFE">
        <w:rPr>
          <w:lang w:val="fr-FR"/>
        </w:rPr>
        <w:t>lundi matin, afin qu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ils </w:t>
      </w:r>
      <w:r w:rsidR="00FA3E64" w:rsidRPr="00692FFE">
        <w:rPr>
          <w:lang w:val="fr-FR"/>
        </w:rPr>
        <w:t xml:space="preserve">disposent du plus de </w:t>
      </w:r>
      <w:r w:rsidRPr="00692FFE">
        <w:rPr>
          <w:lang w:val="fr-FR"/>
        </w:rPr>
        <w:t>temps possible pour mener à bien leurs importants travaux. Les groupes de contact auront à leur tête des coprésident</w:t>
      </w:r>
      <w:r w:rsidR="00FA3E64" w:rsidRPr="00692FFE">
        <w:rPr>
          <w:lang w:val="fr-FR"/>
        </w:rPr>
        <w:t>(e)</w:t>
      </w:r>
      <w:r w:rsidRPr="00692FFE">
        <w:rPr>
          <w:lang w:val="fr-FR"/>
        </w:rPr>
        <w:t>s et j</w:t>
      </w:r>
      <w:r w:rsidR="00C70E2F">
        <w:rPr>
          <w:lang w:val="fr-FR"/>
        </w:rPr>
        <w:t>’</w:t>
      </w:r>
      <w:r w:rsidRPr="00692FFE">
        <w:rPr>
          <w:lang w:val="fr-FR"/>
        </w:rPr>
        <w:t>entends assurer une représentation équitable des groupes régionaux. Compte tenu de la taille restreinte de certaines délégations, le nombre de séances tenues simultanément sera, dans la mesure du possible, réduit à un</w:t>
      </w:r>
      <w:r w:rsidR="0068040E">
        <w:rPr>
          <w:lang w:val="fr-FR"/>
        </w:rPr>
        <w:t> </w:t>
      </w:r>
      <w:r w:rsidRPr="00692FFE">
        <w:rPr>
          <w:lang w:val="fr-FR"/>
        </w:rPr>
        <w:t xml:space="preserve">minimum. </w:t>
      </w:r>
    </w:p>
    <w:p w14:paraId="491ACF07" w14:textId="566C9D06" w:rsidR="001E5528" w:rsidRPr="00692FFE" w:rsidRDefault="001E5528" w:rsidP="00123A0D">
      <w:pPr>
        <w:pStyle w:val="Normalnumber"/>
        <w:rPr>
          <w:lang w:val="fr-FR"/>
        </w:rPr>
      </w:pPr>
      <w:r w:rsidRPr="00692FFE">
        <w:rPr>
          <w:lang w:val="fr-FR"/>
        </w:rPr>
        <w:t>Je compte et j</w:t>
      </w:r>
      <w:r w:rsidR="00C70E2F">
        <w:rPr>
          <w:lang w:val="fr-FR"/>
        </w:rPr>
        <w:t>’</w:t>
      </w:r>
      <w:r w:rsidRPr="00692FFE">
        <w:rPr>
          <w:lang w:val="fr-FR"/>
        </w:rPr>
        <w:t>espère que, d</w:t>
      </w:r>
      <w:r w:rsidR="00C70E2F">
        <w:rPr>
          <w:lang w:val="fr-FR"/>
        </w:rPr>
        <w:t>’</w:t>
      </w:r>
      <w:r w:rsidRPr="00692FFE">
        <w:rPr>
          <w:lang w:val="fr-FR"/>
        </w:rPr>
        <w:t>ici à la fin de la deuxième réunion, nous aurons résolu un certain nombre de questions en suspens et que nous aurons notamment trouvé une solution permanente s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agissant des </w:t>
      </w:r>
      <w:r w:rsidR="00FA3E64" w:rsidRPr="00692FFE">
        <w:rPr>
          <w:lang w:val="fr-FR"/>
        </w:rPr>
        <w:t xml:space="preserve">dispositions relatives </w:t>
      </w:r>
      <w:r w:rsidR="005C3415" w:rsidRPr="00692FFE">
        <w:rPr>
          <w:lang w:val="fr-FR"/>
        </w:rPr>
        <w:t>au</w:t>
      </w:r>
      <w:r w:rsidRPr="00692FFE">
        <w:rPr>
          <w:lang w:val="fr-FR"/>
        </w:rPr>
        <w:t xml:space="preserve"> secrétariat. Je pense que nous ferons d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importants progrès sur les questions techniques, en particulier celles où une période </w:t>
      </w:r>
      <w:r w:rsidR="00FA3E64" w:rsidRPr="00692FFE">
        <w:rPr>
          <w:lang w:val="fr-FR"/>
        </w:rPr>
        <w:t>de communication d</w:t>
      </w:r>
      <w:r w:rsidR="00C70E2F">
        <w:rPr>
          <w:lang w:val="fr-FR"/>
        </w:rPr>
        <w:t>’</w:t>
      </w:r>
      <w:r w:rsidR="00FA3E64" w:rsidRPr="00692FFE">
        <w:rPr>
          <w:lang w:val="fr-FR"/>
        </w:rPr>
        <w:t xml:space="preserve">observations </w:t>
      </w:r>
      <w:r w:rsidRPr="00692FFE">
        <w:rPr>
          <w:lang w:val="fr-FR"/>
        </w:rPr>
        <w:t xml:space="preserve">aura permis de résoudre </w:t>
      </w:r>
      <w:r w:rsidR="00FA3E64" w:rsidRPr="00692FFE">
        <w:rPr>
          <w:lang w:val="fr-FR"/>
        </w:rPr>
        <w:t xml:space="preserve">certaines questions </w:t>
      </w:r>
      <w:r w:rsidRPr="00692FFE">
        <w:rPr>
          <w:lang w:val="fr-FR"/>
        </w:rPr>
        <w:t>au cours de l</w:t>
      </w:r>
      <w:r w:rsidR="00C70E2F">
        <w:rPr>
          <w:lang w:val="fr-FR"/>
        </w:rPr>
        <w:t>’</w:t>
      </w:r>
      <w:r w:rsidR="00FA3E64" w:rsidRPr="00692FFE">
        <w:rPr>
          <w:lang w:val="fr-FR"/>
        </w:rPr>
        <w:t>intersession</w:t>
      </w:r>
      <w:r w:rsidRPr="00692FFE">
        <w:rPr>
          <w:lang w:val="fr-FR"/>
        </w:rPr>
        <w:t>. Je suis heureux de l</w:t>
      </w:r>
      <w:r w:rsidR="00C70E2F">
        <w:rPr>
          <w:lang w:val="fr-FR"/>
        </w:rPr>
        <w:t>’</w:t>
      </w:r>
      <w:r w:rsidRPr="00692FFE">
        <w:rPr>
          <w:lang w:val="fr-FR"/>
        </w:rPr>
        <w:t xml:space="preserve">occasion qui nous sera donnée de travailler tous ensemble à Genève le mois prochain et de nous livrer à des discussions dynamiques dans un esprit de coopération amicale, pour garantir que la Convention de Minamata sur le mercure continue de progresser vers </w:t>
      </w:r>
      <w:r w:rsidR="00FA3E64" w:rsidRPr="00692FFE">
        <w:rPr>
          <w:lang w:val="fr-FR"/>
        </w:rPr>
        <w:t xml:space="preserve">la réalisation de </w:t>
      </w:r>
      <w:r w:rsidRPr="00692FFE">
        <w:rPr>
          <w:lang w:val="fr-FR"/>
        </w:rPr>
        <w:t xml:space="preserve">son objectif global.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14942" w:rsidRPr="00C70E2F" w14:paraId="5C4F7347" w14:textId="77777777" w:rsidTr="0060269C">
        <w:tc>
          <w:tcPr>
            <w:tcW w:w="1897" w:type="dxa"/>
          </w:tcPr>
          <w:p w14:paraId="6294E1D0" w14:textId="77777777" w:rsidR="00614942" w:rsidRPr="00692FFE" w:rsidRDefault="00614942" w:rsidP="0060269C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04A7E027" w14:textId="77777777" w:rsidR="00614942" w:rsidRPr="00692FFE" w:rsidRDefault="00614942" w:rsidP="0060269C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74EE7C0" w14:textId="77777777" w:rsidR="00614942" w:rsidRPr="00692FFE" w:rsidRDefault="00614942" w:rsidP="0060269C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691D7156" w14:textId="77777777" w:rsidR="00614942" w:rsidRPr="00692FFE" w:rsidRDefault="00614942" w:rsidP="0060269C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8" w:type="dxa"/>
          </w:tcPr>
          <w:p w14:paraId="2991E01D" w14:textId="77777777" w:rsidR="00614942" w:rsidRPr="00692FFE" w:rsidRDefault="00614942" w:rsidP="0060269C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04EE1930" w14:textId="77777777" w:rsidR="00614942" w:rsidRPr="00692FFE" w:rsidRDefault="00614942">
      <w:pPr>
        <w:pStyle w:val="Normal-pool"/>
        <w:rPr>
          <w:lang w:val="fr-FR"/>
        </w:rPr>
      </w:pPr>
    </w:p>
    <w:sectPr w:rsidR="00614942" w:rsidRPr="00692FFE" w:rsidSect="005B2F1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AFE8F" w14:textId="77777777" w:rsidR="00F657BE" w:rsidRDefault="00F657BE">
      <w:r>
        <w:separator/>
      </w:r>
    </w:p>
  </w:endnote>
  <w:endnote w:type="continuationSeparator" w:id="0">
    <w:p w14:paraId="32B75B53" w14:textId="77777777" w:rsidR="00F657BE" w:rsidRDefault="00F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B555" w14:textId="5E6726E8" w:rsidR="0068040E" w:rsidRDefault="0068040E" w:rsidP="0068040E">
    <w:pPr>
      <w:pStyle w:val="Footer-pool"/>
    </w:pPr>
    <w:r>
      <w:fldChar w:fldCharType="begin"/>
    </w:r>
    <w:r>
      <w:instrText xml:space="preserve"> PAGE   \* MERGEFORMAT </w:instrText>
    </w:r>
    <w:r>
      <w:fldChar w:fldCharType="separate"/>
    </w:r>
    <w:r w:rsidR="004D19D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B693" w14:textId="7D4771FA" w:rsidR="0068040E" w:rsidRDefault="0068040E" w:rsidP="0068040E">
    <w:pPr>
      <w:pStyle w:val="Footer-po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9D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14598154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1266F28F" w14:textId="4C9E970D" w:rsidR="005B2F19" w:rsidRPr="0068040E" w:rsidRDefault="0068040E" w:rsidP="00082301">
        <w:pPr>
          <w:pStyle w:val="Normal-pool"/>
          <w:rPr>
            <w:szCs w:val="18"/>
          </w:rPr>
        </w:pPr>
        <w:r w:rsidRPr="0068040E">
          <w:rPr>
            <w:sz w:val="18"/>
            <w:szCs w:val="18"/>
          </w:rPr>
          <w:t>K1802600</w:t>
        </w:r>
        <w:r w:rsidRPr="0068040E">
          <w:rPr>
            <w:sz w:val="18"/>
            <w:szCs w:val="18"/>
          </w:rPr>
          <w:tab/>
          <w:t>161018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B441" w14:textId="77777777" w:rsidR="00F657BE" w:rsidRPr="00082301" w:rsidRDefault="00F657BE" w:rsidP="0008230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 w:after="0"/>
        <w:ind w:left="624"/>
        <w:rPr>
          <w:sz w:val="18"/>
          <w:szCs w:val="18"/>
        </w:rPr>
      </w:pPr>
      <w:r w:rsidRPr="00082301">
        <w:rPr>
          <w:sz w:val="18"/>
          <w:szCs w:val="18"/>
        </w:rPr>
        <w:separator/>
      </w:r>
    </w:p>
  </w:footnote>
  <w:footnote w:type="continuationSeparator" w:id="0">
    <w:p w14:paraId="3C321B80" w14:textId="77777777" w:rsidR="00F657BE" w:rsidRDefault="00F657BE">
      <w:r>
        <w:continuationSeparator/>
      </w:r>
    </w:p>
  </w:footnote>
  <w:footnote w:id="1">
    <w:p w14:paraId="7D27B747" w14:textId="77777777" w:rsidR="00E54866" w:rsidRPr="0060269C" w:rsidRDefault="00E54866" w:rsidP="0060269C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 w:val="18"/>
          <w:szCs w:val="18"/>
        </w:rPr>
      </w:pPr>
      <w:r>
        <w:rPr>
          <w:lang w:val="fr-FR"/>
        </w:rPr>
        <w:t>* 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0F7E" w14:textId="16C5CC4D" w:rsidR="00082301" w:rsidRPr="0068040E" w:rsidRDefault="0068040E" w:rsidP="0068040E">
    <w:pPr>
      <w:pStyle w:val="Header-pool"/>
      <w:rPr>
        <w:lang w:val="fr-FR"/>
      </w:rPr>
    </w:pPr>
    <w:r>
      <w:rPr>
        <w:lang w:val="fr-FR"/>
      </w:rPr>
      <w:t>UNEP/MC/COP.2/2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81B1" w14:textId="39BD9030" w:rsidR="00082301" w:rsidRDefault="00082301" w:rsidP="0068040E">
    <w:pPr>
      <w:pStyle w:val="Header-pool"/>
      <w:jc w:val="right"/>
    </w:pPr>
    <w:r w:rsidRPr="00841D86">
      <w:rPr>
        <w:bCs/>
      </w:rPr>
      <w:t>UNEP/</w:t>
    </w:r>
    <w:r w:rsidRPr="00841D86">
      <w:t>MC/COP.2/2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2B1ED9"/>
    <w:multiLevelType w:val="hybridMultilevel"/>
    <w:tmpl w:val="5218BA24"/>
    <w:lvl w:ilvl="0" w:tplc="282A55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1B06941"/>
    <w:multiLevelType w:val="hybridMultilevel"/>
    <w:tmpl w:val="2BB8BD0A"/>
    <w:lvl w:ilvl="0" w:tplc="383224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F41F15"/>
    <w:multiLevelType w:val="hybridMultilevel"/>
    <w:tmpl w:val="E3EED632"/>
    <w:lvl w:ilvl="0" w:tplc="4F12FA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64FB"/>
    <w:multiLevelType w:val="hybridMultilevel"/>
    <w:tmpl w:val="7F323046"/>
    <w:lvl w:ilvl="0" w:tplc="93D852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 w15:restartNumberingAfterBreak="0">
    <w:nsid w:val="731A7EDA"/>
    <w:multiLevelType w:val="hybridMultilevel"/>
    <w:tmpl w:val="DD441F7A"/>
    <w:lvl w:ilvl="0" w:tplc="E0E684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7"/>
  </w:num>
  <w:num w:numId="5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3">
    <w:abstractNumId w:val="5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de-CH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55DEF"/>
    <w:rsid w:val="0006035B"/>
    <w:rsid w:val="0006096F"/>
    <w:rsid w:val="00063611"/>
    <w:rsid w:val="000649C5"/>
    <w:rsid w:val="00071886"/>
    <w:rsid w:val="000742BC"/>
    <w:rsid w:val="00076AF8"/>
    <w:rsid w:val="00076CC6"/>
    <w:rsid w:val="00082301"/>
    <w:rsid w:val="00082A0C"/>
    <w:rsid w:val="00083504"/>
    <w:rsid w:val="000943ED"/>
    <w:rsid w:val="0009640C"/>
    <w:rsid w:val="000B22A2"/>
    <w:rsid w:val="000B541B"/>
    <w:rsid w:val="000B5C81"/>
    <w:rsid w:val="000B73F9"/>
    <w:rsid w:val="000C2A52"/>
    <w:rsid w:val="000C2A88"/>
    <w:rsid w:val="000D33C0"/>
    <w:rsid w:val="000D4CF6"/>
    <w:rsid w:val="000D6941"/>
    <w:rsid w:val="000F38EF"/>
    <w:rsid w:val="000F3DCD"/>
    <w:rsid w:val="000F4829"/>
    <w:rsid w:val="000F6B21"/>
    <w:rsid w:val="001027CC"/>
    <w:rsid w:val="00102EFB"/>
    <w:rsid w:val="001077FE"/>
    <w:rsid w:val="001202E3"/>
    <w:rsid w:val="00123699"/>
    <w:rsid w:val="00123A0D"/>
    <w:rsid w:val="001241FB"/>
    <w:rsid w:val="001245B9"/>
    <w:rsid w:val="0013059D"/>
    <w:rsid w:val="00136187"/>
    <w:rsid w:val="00141A55"/>
    <w:rsid w:val="0014293F"/>
    <w:rsid w:val="0014397D"/>
    <w:rsid w:val="001446A3"/>
    <w:rsid w:val="00152487"/>
    <w:rsid w:val="00152B6B"/>
    <w:rsid w:val="00155395"/>
    <w:rsid w:val="00155A2F"/>
    <w:rsid w:val="00156B6B"/>
    <w:rsid w:val="0015747A"/>
    <w:rsid w:val="00160D74"/>
    <w:rsid w:val="001646EA"/>
    <w:rsid w:val="00167D02"/>
    <w:rsid w:val="001759D8"/>
    <w:rsid w:val="00177D7F"/>
    <w:rsid w:val="00180C3F"/>
    <w:rsid w:val="00181EC8"/>
    <w:rsid w:val="00181F53"/>
    <w:rsid w:val="00184349"/>
    <w:rsid w:val="00195F33"/>
    <w:rsid w:val="001A340C"/>
    <w:rsid w:val="001A47E5"/>
    <w:rsid w:val="001A7EA6"/>
    <w:rsid w:val="001B1617"/>
    <w:rsid w:val="001B3134"/>
    <w:rsid w:val="001B504B"/>
    <w:rsid w:val="001B6F98"/>
    <w:rsid w:val="001C191A"/>
    <w:rsid w:val="001C239C"/>
    <w:rsid w:val="001D3874"/>
    <w:rsid w:val="001D5721"/>
    <w:rsid w:val="001D7E75"/>
    <w:rsid w:val="001E0D73"/>
    <w:rsid w:val="001E45BD"/>
    <w:rsid w:val="001E5528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02C"/>
    <w:rsid w:val="002247F6"/>
    <w:rsid w:val="00225E21"/>
    <w:rsid w:val="00225E44"/>
    <w:rsid w:val="00233A26"/>
    <w:rsid w:val="00234E78"/>
    <w:rsid w:val="00243D36"/>
    <w:rsid w:val="00246151"/>
    <w:rsid w:val="00247707"/>
    <w:rsid w:val="00252456"/>
    <w:rsid w:val="0026018E"/>
    <w:rsid w:val="00286740"/>
    <w:rsid w:val="00291719"/>
    <w:rsid w:val="00291EAE"/>
    <w:rsid w:val="002929D8"/>
    <w:rsid w:val="002A1EFF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03AD3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67FD2"/>
    <w:rsid w:val="00374494"/>
    <w:rsid w:val="00380921"/>
    <w:rsid w:val="00381A9E"/>
    <w:rsid w:val="003825E8"/>
    <w:rsid w:val="003877D5"/>
    <w:rsid w:val="003929B8"/>
    <w:rsid w:val="00393432"/>
    <w:rsid w:val="00396257"/>
    <w:rsid w:val="00397EB8"/>
    <w:rsid w:val="003A4FD0"/>
    <w:rsid w:val="003A69D1"/>
    <w:rsid w:val="003A6EC9"/>
    <w:rsid w:val="003A7705"/>
    <w:rsid w:val="003A77F1"/>
    <w:rsid w:val="003B1545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4321"/>
    <w:rsid w:val="00437F26"/>
    <w:rsid w:val="00440527"/>
    <w:rsid w:val="00444097"/>
    <w:rsid w:val="00445487"/>
    <w:rsid w:val="00447E0D"/>
    <w:rsid w:val="00453EA8"/>
    <w:rsid w:val="00454769"/>
    <w:rsid w:val="00466991"/>
    <w:rsid w:val="0047064C"/>
    <w:rsid w:val="004822B7"/>
    <w:rsid w:val="00482FC1"/>
    <w:rsid w:val="00484E04"/>
    <w:rsid w:val="0049469E"/>
    <w:rsid w:val="00494C5A"/>
    <w:rsid w:val="004A2217"/>
    <w:rsid w:val="004A24F9"/>
    <w:rsid w:val="004A42E1"/>
    <w:rsid w:val="004B162C"/>
    <w:rsid w:val="004B2ABE"/>
    <w:rsid w:val="004C3DBE"/>
    <w:rsid w:val="004C5419"/>
    <w:rsid w:val="004C5C96"/>
    <w:rsid w:val="004D06A4"/>
    <w:rsid w:val="004D19D7"/>
    <w:rsid w:val="004F1A81"/>
    <w:rsid w:val="004F5D88"/>
    <w:rsid w:val="00501354"/>
    <w:rsid w:val="005050D2"/>
    <w:rsid w:val="005218D9"/>
    <w:rsid w:val="00526A5A"/>
    <w:rsid w:val="00536186"/>
    <w:rsid w:val="00544CBB"/>
    <w:rsid w:val="00551B65"/>
    <w:rsid w:val="00556704"/>
    <w:rsid w:val="00562AC6"/>
    <w:rsid w:val="005656D7"/>
    <w:rsid w:val="0057315F"/>
    <w:rsid w:val="005752A2"/>
    <w:rsid w:val="00576104"/>
    <w:rsid w:val="00586418"/>
    <w:rsid w:val="00587FDE"/>
    <w:rsid w:val="00592B21"/>
    <w:rsid w:val="00596A10"/>
    <w:rsid w:val="00597668"/>
    <w:rsid w:val="005A526A"/>
    <w:rsid w:val="005B2DF4"/>
    <w:rsid w:val="005B2F19"/>
    <w:rsid w:val="005B44BF"/>
    <w:rsid w:val="005C3415"/>
    <w:rsid w:val="005C67C8"/>
    <w:rsid w:val="005D0249"/>
    <w:rsid w:val="005D18FA"/>
    <w:rsid w:val="005D4FD4"/>
    <w:rsid w:val="005D6E8C"/>
    <w:rsid w:val="005E3004"/>
    <w:rsid w:val="005F100C"/>
    <w:rsid w:val="005F2AF3"/>
    <w:rsid w:val="005F68DA"/>
    <w:rsid w:val="005F7419"/>
    <w:rsid w:val="00601BC9"/>
    <w:rsid w:val="0060269C"/>
    <w:rsid w:val="0060536B"/>
    <w:rsid w:val="0060773B"/>
    <w:rsid w:val="006111FE"/>
    <w:rsid w:val="00613FD6"/>
    <w:rsid w:val="00614942"/>
    <w:rsid w:val="006157B5"/>
    <w:rsid w:val="00617224"/>
    <w:rsid w:val="00617697"/>
    <w:rsid w:val="00626FC6"/>
    <w:rsid w:val="006303B4"/>
    <w:rsid w:val="00630ADC"/>
    <w:rsid w:val="00633D3D"/>
    <w:rsid w:val="00640F27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8040E"/>
    <w:rsid w:val="00692E2A"/>
    <w:rsid w:val="00692FFE"/>
    <w:rsid w:val="0069496A"/>
    <w:rsid w:val="00696C1C"/>
    <w:rsid w:val="006A76F2"/>
    <w:rsid w:val="006B7D29"/>
    <w:rsid w:val="006D19D4"/>
    <w:rsid w:val="006D5644"/>
    <w:rsid w:val="006D7EFB"/>
    <w:rsid w:val="006E6620"/>
    <w:rsid w:val="006E6672"/>
    <w:rsid w:val="006E6722"/>
    <w:rsid w:val="006F381A"/>
    <w:rsid w:val="006F7AFF"/>
    <w:rsid w:val="007027B9"/>
    <w:rsid w:val="00702B7B"/>
    <w:rsid w:val="007066B5"/>
    <w:rsid w:val="007145DA"/>
    <w:rsid w:val="00715E88"/>
    <w:rsid w:val="00716D8B"/>
    <w:rsid w:val="00734CAA"/>
    <w:rsid w:val="00740EE2"/>
    <w:rsid w:val="00742680"/>
    <w:rsid w:val="00753763"/>
    <w:rsid w:val="0075533C"/>
    <w:rsid w:val="00755A18"/>
    <w:rsid w:val="00757581"/>
    <w:rsid w:val="007602F5"/>
    <w:rsid w:val="00760D36"/>
    <w:rsid w:val="007611A0"/>
    <w:rsid w:val="00766BB5"/>
    <w:rsid w:val="00772574"/>
    <w:rsid w:val="00773E54"/>
    <w:rsid w:val="00774CD5"/>
    <w:rsid w:val="00782EC9"/>
    <w:rsid w:val="00787688"/>
    <w:rsid w:val="007935E6"/>
    <w:rsid w:val="00796D3F"/>
    <w:rsid w:val="00796FAE"/>
    <w:rsid w:val="007A1683"/>
    <w:rsid w:val="007A5C12"/>
    <w:rsid w:val="007A7CB0"/>
    <w:rsid w:val="007B20C5"/>
    <w:rsid w:val="007B68A3"/>
    <w:rsid w:val="007C2541"/>
    <w:rsid w:val="007D66A8"/>
    <w:rsid w:val="007E003F"/>
    <w:rsid w:val="007F0A5B"/>
    <w:rsid w:val="007F0CF8"/>
    <w:rsid w:val="007F5E1B"/>
    <w:rsid w:val="007F62CB"/>
    <w:rsid w:val="00800BEA"/>
    <w:rsid w:val="008119DC"/>
    <w:rsid w:val="008142EC"/>
    <w:rsid w:val="008164F2"/>
    <w:rsid w:val="00821395"/>
    <w:rsid w:val="00825793"/>
    <w:rsid w:val="00830E26"/>
    <w:rsid w:val="00834368"/>
    <w:rsid w:val="0083441A"/>
    <w:rsid w:val="00841D86"/>
    <w:rsid w:val="00843576"/>
    <w:rsid w:val="00843B64"/>
    <w:rsid w:val="00845261"/>
    <w:rsid w:val="008478FC"/>
    <w:rsid w:val="00851C51"/>
    <w:rsid w:val="008538F7"/>
    <w:rsid w:val="00864316"/>
    <w:rsid w:val="00867BFF"/>
    <w:rsid w:val="00871542"/>
    <w:rsid w:val="00872BF6"/>
    <w:rsid w:val="0087710F"/>
    <w:rsid w:val="0088406B"/>
    <w:rsid w:val="0088480A"/>
    <w:rsid w:val="0088757A"/>
    <w:rsid w:val="0089431B"/>
    <w:rsid w:val="00895668"/>
    <w:rsid w:val="008957DD"/>
    <w:rsid w:val="00897D98"/>
    <w:rsid w:val="008A24A7"/>
    <w:rsid w:val="008A6DF2"/>
    <w:rsid w:val="008A7807"/>
    <w:rsid w:val="008B4CC9"/>
    <w:rsid w:val="008B78F9"/>
    <w:rsid w:val="008C0B15"/>
    <w:rsid w:val="008D75E4"/>
    <w:rsid w:val="008D7C99"/>
    <w:rsid w:val="008E0FCB"/>
    <w:rsid w:val="008E189D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47D4A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93AAE"/>
    <w:rsid w:val="0099614D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24BB"/>
    <w:rsid w:val="00A1348D"/>
    <w:rsid w:val="00A13C99"/>
    <w:rsid w:val="00A232EE"/>
    <w:rsid w:val="00A4175F"/>
    <w:rsid w:val="00A4310E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5D97"/>
    <w:rsid w:val="00A666A6"/>
    <w:rsid w:val="00A675FD"/>
    <w:rsid w:val="00A72437"/>
    <w:rsid w:val="00A736E5"/>
    <w:rsid w:val="00A8048B"/>
    <w:rsid w:val="00A80611"/>
    <w:rsid w:val="00A912B3"/>
    <w:rsid w:val="00AA5012"/>
    <w:rsid w:val="00AA5BF4"/>
    <w:rsid w:val="00AB34A5"/>
    <w:rsid w:val="00AB5340"/>
    <w:rsid w:val="00AC0A89"/>
    <w:rsid w:val="00AC7C96"/>
    <w:rsid w:val="00AD3593"/>
    <w:rsid w:val="00AE0812"/>
    <w:rsid w:val="00AE237D"/>
    <w:rsid w:val="00AE26E0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639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D6440"/>
    <w:rsid w:val="00BE5B5F"/>
    <w:rsid w:val="00BE7993"/>
    <w:rsid w:val="00BF000E"/>
    <w:rsid w:val="00C0476B"/>
    <w:rsid w:val="00C04F19"/>
    <w:rsid w:val="00C11971"/>
    <w:rsid w:val="00C179DE"/>
    <w:rsid w:val="00C266D1"/>
    <w:rsid w:val="00C26F55"/>
    <w:rsid w:val="00C30C63"/>
    <w:rsid w:val="00C30FF3"/>
    <w:rsid w:val="00C34D5C"/>
    <w:rsid w:val="00C3638D"/>
    <w:rsid w:val="00C36B8B"/>
    <w:rsid w:val="00C415C1"/>
    <w:rsid w:val="00C47DBF"/>
    <w:rsid w:val="00C552FF"/>
    <w:rsid w:val="00C558DA"/>
    <w:rsid w:val="00C55AF3"/>
    <w:rsid w:val="00C63DE0"/>
    <w:rsid w:val="00C70E2F"/>
    <w:rsid w:val="00C771A9"/>
    <w:rsid w:val="00C82943"/>
    <w:rsid w:val="00C84759"/>
    <w:rsid w:val="00C93096"/>
    <w:rsid w:val="00CA5CA9"/>
    <w:rsid w:val="00CA6C7F"/>
    <w:rsid w:val="00CB007D"/>
    <w:rsid w:val="00CB5292"/>
    <w:rsid w:val="00CB60CA"/>
    <w:rsid w:val="00CC0FC7"/>
    <w:rsid w:val="00CC10A6"/>
    <w:rsid w:val="00CD2DEC"/>
    <w:rsid w:val="00CD5EB8"/>
    <w:rsid w:val="00CD7044"/>
    <w:rsid w:val="00CE08B9"/>
    <w:rsid w:val="00CE3515"/>
    <w:rsid w:val="00CE3A6E"/>
    <w:rsid w:val="00CE524C"/>
    <w:rsid w:val="00CE58A1"/>
    <w:rsid w:val="00CF141F"/>
    <w:rsid w:val="00CF1712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749"/>
    <w:rsid w:val="00D26854"/>
    <w:rsid w:val="00D36C41"/>
    <w:rsid w:val="00D44172"/>
    <w:rsid w:val="00D47BE3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209"/>
    <w:rsid w:val="00E21C83"/>
    <w:rsid w:val="00E24ADA"/>
    <w:rsid w:val="00E24D7E"/>
    <w:rsid w:val="00E32F59"/>
    <w:rsid w:val="00E41541"/>
    <w:rsid w:val="00E41908"/>
    <w:rsid w:val="00E46D9A"/>
    <w:rsid w:val="00E54866"/>
    <w:rsid w:val="00E565FF"/>
    <w:rsid w:val="00E65388"/>
    <w:rsid w:val="00E7741D"/>
    <w:rsid w:val="00E808CD"/>
    <w:rsid w:val="00E8348F"/>
    <w:rsid w:val="00E85B7D"/>
    <w:rsid w:val="00E9121B"/>
    <w:rsid w:val="00E9302E"/>
    <w:rsid w:val="00E9399C"/>
    <w:rsid w:val="00E95467"/>
    <w:rsid w:val="00E976AB"/>
    <w:rsid w:val="00EA0AE2"/>
    <w:rsid w:val="00EA39E5"/>
    <w:rsid w:val="00EA57A3"/>
    <w:rsid w:val="00EB7A5B"/>
    <w:rsid w:val="00EC2813"/>
    <w:rsid w:val="00EC5A46"/>
    <w:rsid w:val="00EC63E2"/>
    <w:rsid w:val="00ED01F7"/>
    <w:rsid w:val="00ED0225"/>
    <w:rsid w:val="00ED366A"/>
    <w:rsid w:val="00ED6BB7"/>
    <w:rsid w:val="00EE7C7B"/>
    <w:rsid w:val="00EF22B3"/>
    <w:rsid w:val="00EF4C6D"/>
    <w:rsid w:val="00F03B69"/>
    <w:rsid w:val="00F07A50"/>
    <w:rsid w:val="00F106D6"/>
    <w:rsid w:val="00F113DA"/>
    <w:rsid w:val="00F15578"/>
    <w:rsid w:val="00F266FC"/>
    <w:rsid w:val="00F3037A"/>
    <w:rsid w:val="00F3465A"/>
    <w:rsid w:val="00F37DC8"/>
    <w:rsid w:val="00F439B3"/>
    <w:rsid w:val="00F650C3"/>
    <w:rsid w:val="00F657BE"/>
    <w:rsid w:val="00F65D85"/>
    <w:rsid w:val="00F6700B"/>
    <w:rsid w:val="00F7137B"/>
    <w:rsid w:val="00F74DEF"/>
    <w:rsid w:val="00F75CB8"/>
    <w:rsid w:val="00F8091E"/>
    <w:rsid w:val="00F8615C"/>
    <w:rsid w:val="00F957A1"/>
    <w:rsid w:val="00F969E5"/>
    <w:rsid w:val="00FA1E99"/>
    <w:rsid w:val="00FA3E64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0DA0"/>
    <w:rsid w:val="00FF0F26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FD2D8"/>
  <w15:docId w15:val="{28FCE3E3-95F6-450A-B9F8-18FBBC2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uiPriority w:val="99"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uiPriority w:val="99"/>
    <w:locked/>
    <w:rsid w:val="0014293F"/>
    <w:rPr>
      <w:sz w:val="18"/>
      <w:lang w:val="fr-FR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3825E8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Pieddepage">
    <w:name w:val="footer"/>
    <w:basedOn w:val="Normal"/>
    <w:link w:val="PieddepageC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23A0D"/>
    <w:pPr>
      <w:numPr>
        <w:numId w:val="5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  <w:style w:type="character" w:customStyle="1" w:styleId="BBTitleChar">
    <w:name w:val="BB_Title Char"/>
    <w:link w:val="BBTitle"/>
    <w:rsid w:val="00F15578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F15578"/>
    <w:rPr>
      <w:b/>
      <w:bCs/>
      <w:sz w:val="28"/>
      <w:szCs w:val="2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B2F19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D3BD-8729-4E3E-84B4-E42ADBF9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7574</Characters>
  <Application>Microsoft Office Word</Application>
  <DocSecurity>0</DocSecurity>
  <Lines>63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NATIONS UNIES</vt:lpstr>
      <vt:lpstr>NATIONS UNIES</vt:lpstr>
      <vt:lpstr>NATIONS UNIES</vt:lpstr>
    </vt:vector>
  </TitlesOfParts>
  <Company>unon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2018-10-12T09:10:00Z</cp:lastPrinted>
  <dcterms:created xsi:type="dcterms:W3CDTF">2018-10-22T16:12:00Z</dcterms:created>
  <dcterms:modified xsi:type="dcterms:W3CDTF">2018-10-22T16:12:00Z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veronique.racine espinosa</vt:lpwstr>
  </property>
  <property fmtid="{D5CDD505-2E9C-101B-9397-08002B2CF9AE}" pid="4" name="GeneratedDate">
    <vt:lpwstr>10/14/2018 2:59:22 PM</vt:lpwstr>
  </property>
  <property fmtid="{D5CDD505-2E9C-101B-9397-08002B2CF9AE}" pid="5" name="OriginalDocID">
    <vt:lpwstr>56066c7d-1c29-48a6-b1d7-a24b03750f94</vt:lpwstr>
  </property>
</Properties>
</file>