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04"/>
        <w:gridCol w:w="4839"/>
        <w:gridCol w:w="3153"/>
      </w:tblGrid>
      <w:tr w:rsidR="007F33C2" w:rsidRPr="003253B8" w14:paraId="6F394113" w14:textId="77777777" w:rsidTr="00946ADE">
        <w:trPr>
          <w:cantSplit/>
          <w:trHeight w:val="850"/>
          <w:jc w:val="right"/>
        </w:trPr>
        <w:tc>
          <w:tcPr>
            <w:tcW w:w="1504" w:type="dxa"/>
          </w:tcPr>
          <w:p w14:paraId="1638734E" w14:textId="421B1EBD" w:rsidR="005D542B" w:rsidRPr="003253B8" w:rsidRDefault="0087576A" w:rsidP="00BA6586">
            <w:pPr>
              <w:rPr>
                <w:rFonts w:ascii="Univers" w:hAnsi="Univers"/>
                <w:b/>
                <w:noProof/>
                <w:color w:val="000000" w:themeColor="text1"/>
                <w:sz w:val="27"/>
              </w:rPr>
            </w:pPr>
            <w:bookmarkStart w:id="0" w:name="_GoBack"/>
            <w:bookmarkEnd w:id="0"/>
            <w:r w:rsidRPr="0087576A">
              <w:rPr>
                <w:rFonts w:ascii="Arial" w:hAnsi="Arial" w:cs="Arial"/>
                <w:b/>
                <w:noProof/>
                <w:color w:val="000000" w:themeColor="text1"/>
                <w:sz w:val="27"/>
              </w:rPr>
              <w:t>NATIONS</w:t>
            </w:r>
            <w:r>
              <w:rPr>
                <w:rFonts w:ascii="Arial" w:hAnsi="Arial" w:cs="Arial"/>
                <w:b/>
                <w:noProof/>
                <w:color w:val="000000" w:themeColor="text1"/>
                <w:sz w:val="27"/>
              </w:rPr>
              <w:br/>
              <w:t>UNIES</w:t>
            </w:r>
          </w:p>
        </w:tc>
        <w:tc>
          <w:tcPr>
            <w:tcW w:w="4839" w:type="dxa"/>
          </w:tcPr>
          <w:p w14:paraId="0EAC46FD" w14:textId="77777777" w:rsidR="005D542B" w:rsidRPr="003253B8" w:rsidRDefault="005D542B" w:rsidP="00BA6586">
            <w:pPr>
              <w:rPr>
                <w:rFonts w:ascii="Univers" w:hAnsi="Univers"/>
                <w:b/>
                <w:color w:val="000000" w:themeColor="text1"/>
                <w:sz w:val="27"/>
              </w:rPr>
            </w:pPr>
          </w:p>
        </w:tc>
        <w:tc>
          <w:tcPr>
            <w:tcW w:w="3153" w:type="dxa"/>
          </w:tcPr>
          <w:p w14:paraId="022C0E9D" w14:textId="7C894A8A" w:rsidR="005D542B" w:rsidRPr="003253B8" w:rsidRDefault="0087576A" w:rsidP="00BA6586">
            <w:pPr>
              <w:jc w:val="right"/>
              <w:rPr>
                <w:rFonts w:ascii="Arial" w:hAnsi="Arial" w:cs="Arial"/>
                <w:b/>
                <w:color w:val="000000" w:themeColor="text1"/>
                <w:sz w:val="64"/>
                <w:szCs w:val="64"/>
              </w:rPr>
            </w:pPr>
            <w:r w:rsidRPr="001E317B">
              <w:rPr>
                <w:rFonts w:ascii="Arial" w:hAnsi="Arial" w:cs="Arial"/>
                <w:b/>
                <w:color w:val="000000" w:themeColor="text1"/>
                <w:sz w:val="64"/>
                <w:szCs w:val="64"/>
                <w:lang w:val="en-GB"/>
              </w:rPr>
              <w:t>MC</w:t>
            </w:r>
          </w:p>
        </w:tc>
      </w:tr>
      <w:tr w:rsidR="007F33C2" w:rsidRPr="003253B8" w14:paraId="6EADEDF5" w14:textId="77777777" w:rsidTr="00946ADE">
        <w:trPr>
          <w:cantSplit/>
          <w:trHeight w:val="281"/>
          <w:jc w:val="right"/>
        </w:trPr>
        <w:tc>
          <w:tcPr>
            <w:tcW w:w="1504" w:type="dxa"/>
            <w:tcBorders>
              <w:bottom w:val="single" w:sz="4" w:space="0" w:color="auto"/>
            </w:tcBorders>
          </w:tcPr>
          <w:p w14:paraId="02825DE9" w14:textId="77777777" w:rsidR="005D542B" w:rsidRPr="003253B8" w:rsidRDefault="005D542B" w:rsidP="00BA6586">
            <w:pPr>
              <w:rPr>
                <w:noProof/>
                <w:color w:val="000000" w:themeColor="text1"/>
                <w:sz w:val="18"/>
              </w:rPr>
            </w:pPr>
          </w:p>
        </w:tc>
        <w:tc>
          <w:tcPr>
            <w:tcW w:w="4839" w:type="dxa"/>
            <w:tcBorders>
              <w:bottom w:val="single" w:sz="4" w:space="0" w:color="auto"/>
            </w:tcBorders>
          </w:tcPr>
          <w:p w14:paraId="5E595C54" w14:textId="77777777" w:rsidR="005D542B" w:rsidRPr="003253B8" w:rsidRDefault="005D542B" w:rsidP="00BA6586">
            <w:pPr>
              <w:rPr>
                <w:rFonts w:ascii="Univers" w:hAnsi="Univers"/>
                <w:b/>
                <w:color w:val="000000" w:themeColor="text1"/>
                <w:sz w:val="18"/>
              </w:rPr>
            </w:pPr>
          </w:p>
        </w:tc>
        <w:tc>
          <w:tcPr>
            <w:tcW w:w="3153" w:type="dxa"/>
            <w:tcBorders>
              <w:bottom w:val="single" w:sz="4" w:space="0" w:color="auto"/>
            </w:tcBorders>
          </w:tcPr>
          <w:p w14:paraId="2537F490" w14:textId="5B143ED7" w:rsidR="005D542B" w:rsidRPr="003253B8" w:rsidRDefault="0087576A" w:rsidP="00033BF5">
            <w:pPr>
              <w:pStyle w:val="Normalpool"/>
              <w:rPr>
                <w:noProof/>
                <w:sz w:val="18"/>
                <w:lang w:val="fr-FR"/>
              </w:rPr>
            </w:pPr>
            <w:r w:rsidRPr="001E317B">
              <w:rPr>
                <w:b/>
                <w:bCs/>
                <w:sz w:val="28"/>
                <w:lang w:val="en-GB"/>
              </w:rPr>
              <w:t>UNEP/</w:t>
            </w:r>
            <w:r w:rsidRPr="001E317B">
              <w:rPr>
                <w:lang w:val="en-GB"/>
              </w:rPr>
              <w:t>MC/COP.2/1/Add.1</w:t>
            </w:r>
            <w:bookmarkStart w:id="1" w:name="OLE_LINK1"/>
            <w:bookmarkStart w:id="2" w:name="OLE_LINK2"/>
            <w:bookmarkEnd w:id="1"/>
            <w:bookmarkEnd w:id="2"/>
          </w:p>
        </w:tc>
      </w:tr>
      <w:tr w:rsidR="007F33C2" w:rsidRPr="003253B8" w14:paraId="51BB3B3E" w14:textId="77777777" w:rsidTr="00946ADE">
        <w:trPr>
          <w:cantSplit/>
          <w:trHeight w:val="2549"/>
          <w:jc w:val="right"/>
        </w:trPr>
        <w:tc>
          <w:tcPr>
            <w:tcW w:w="1504" w:type="dxa"/>
            <w:tcBorders>
              <w:top w:val="single" w:sz="4" w:space="0" w:color="auto"/>
              <w:bottom w:val="single" w:sz="24" w:space="0" w:color="auto"/>
            </w:tcBorders>
          </w:tcPr>
          <w:p w14:paraId="218ED24E" w14:textId="77777777" w:rsidR="005D542B" w:rsidRPr="003253B8" w:rsidRDefault="00C6426B" w:rsidP="00BA6586">
            <w:pPr>
              <w:rPr>
                <w:noProof/>
                <w:color w:val="000000" w:themeColor="text1"/>
              </w:rPr>
            </w:pPr>
            <w:r w:rsidRPr="003253B8">
              <w:rPr>
                <w:noProof/>
                <w:color w:val="000000" w:themeColor="text1"/>
              </w:rPr>
              <w:object w:dxaOrig="1831" w:dyaOrig="1726" w14:anchorId="1C02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3pt;mso-width-percent:0;mso-height-percent:0;mso-width-percent:0;mso-height-percent:0" o:ole="" fillcolor="window">
                  <v:imagedata r:id="rId11" o:title=""/>
                </v:shape>
                <o:OLEObject Type="Embed" ProgID="Word.Picture.8" ShapeID="_x0000_i1025" DrawAspect="Content" ObjectID="_1603877789" r:id="rId12"/>
              </w:object>
            </w:r>
            <w:r w:rsidR="005D542B" w:rsidRPr="003253B8">
              <w:rPr>
                <w:noProof/>
                <w:color w:val="000000" w:themeColor="text1"/>
                <w:lang w:eastAsia="zh-CN"/>
              </w:rPr>
              <w:drawing>
                <wp:inline distT="0" distB="0" distL="0" distR="0" wp14:anchorId="32BDB4E2" wp14:editId="32D11473">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839" w:type="dxa"/>
            <w:tcBorders>
              <w:top w:val="single" w:sz="4" w:space="0" w:color="auto"/>
              <w:bottom w:val="single" w:sz="24" w:space="0" w:color="auto"/>
            </w:tcBorders>
          </w:tcPr>
          <w:p w14:paraId="7F26CF60" w14:textId="6BFC3165" w:rsidR="005D542B" w:rsidRPr="0087576A" w:rsidRDefault="0087576A" w:rsidP="00BA6586">
            <w:pPr>
              <w:spacing w:before="1400"/>
              <w:rPr>
                <w:rFonts w:ascii="Univers" w:hAnsi="Univers"/>
                <w:b/>
                <w:color w:val="000000" w:themeColor="text1"/>
                <w:sz w:val="28"/>
              </w:rPr>
            </w:pPr>
            <w:r w:rsidRPr="0087576A">
              <w:rPr>
                <w:rFonts w:ascii="Arial" w:hAnsi="Arial" w:cs="Arial"/>
                <w:b/>
                <w:color w:val="000000" w:themeColor="text1"/>
                <w:sz w:val="28"/>
                <w:szCs w:val="28"/>
              </w:rPr>
              <w:t xml:space="preserve">Programme </w:t>
            </w:r>
            <w:r w:rsidRPr="0087576A">
              <w:rPr>
                <w:rFonts w:ascii="Arial" w:hAnsi="Arial" w:cs="Arial"/>
                <w:b/>
                <w:color w:val="000000" w:themeColor="text1"/>
                <w:sz w:val="28"/>
                <w:szCs w:val="28"/>
              </w:rPr>
              <w:br/>
              <w:t xml:space="preserve">des Nations Unies </w:t>
            </w:r>
            <w:r w:rsidRPr="0087576A">
              <w:rPr>
                <w:rFonts w:ascii="Arial" w:hAnsi="Arial" w:cs="Arial"/>
                <w:b/>
                <w:color w:val="000000" w:themeColor="text1"/>
                <w:sz w:val="28"/>
                <w:szCs w:val="28"/>
              </w:rPr>
              <w:br/>
            </w:r>
            <w:r>
              <w:rPr>
                <w:rFonts w:ascii="Arial" w:hAnsi="Arial" w:cs="Arial"/>
                <w:b/>
                <w:color w:val="000000" w:themeColor="text1"/>
                <w:sz w:val="28"/>
                <w:szCs w:val="28"/>
              </w:rPr>
              <w:t>pour l</w:t>
            </w:r>
            <w:r w:rsidR="00FC14AB">
              <w:rPr>
                <w:rFonts w:ascii="Arial" w:hAnsi="Arial" w:cs="Arial"/>
                <w:b/>
                <w:color w:val="000000" w:themeColor="text1"/>
                <w:sz w:val="28"/>
                <w:szCs w:val="28"/>
              </w:rPr>
              <w:t>’</w:t>
            </w:r>
            <w:r>
              <w:rPr>
                <w:rFonts w:ascii="Arial" w:hAnsi="Arial" w:cs="Arial"/>
                <w:b/>
                <w:color w:val="000000" w:themeColor="text1"/>
                <w:sz w:val="28"/>
                <w:szCs w:val="28"/>
              </w:rPr>
              <w:t>environnement</w:t>
            </w:r>
          </w:p>
        </w:tc>
        <w:tc>
          <w:tcPr>
            <w:tcW w:w="3153" w:type="dxa"/>
            <w:tcBorders>
              <w:top w:val="single" w:sz="4" w:space="0" w:color="auto"/>
              <w:bottom w:val="single" w:sz="24" w:space="0" w:color="auto"/>
            </w:tcBorders>
          </w:tcPr>
          <w:p w14:paraId="0EEE9C4D" w14:textId="722C91D1" w:rsidR="005D542B" w:rsidRPr="003253B8" w:rsidRDefault="0087576A" w:rsidP="00946ADE">
            <w:pPr>
              <w:spacing w:before="120"/>
              <w:rPr>
                <w:color w:val="000000" w:themeColor="text1"/>
              </w:rPr>
            </w:pPr>
            <w:r>
              <w:t>Distr. </w:t>
            </w:r>
            <w:r w:rsidR="004540FA">
              <w:t>g</w:t>
            </w:r>
            <w:r w:rsidR="00483118" w:rsidRPr="003253B8">
              <w:t>énérale</w:t>
            </w:r>
            <w:r>
              <w:br/>
            </w:r>
            <w:r w:rsidR="00914804">
              <w:t>29 </w:t>
            </w:r>
            <w:r w:rsidR="005D542B" w:rsidRPr="003253B8">
              <w:t>octobre 2018</w:t>
            </w:r>
          </w:p>
          <w:p w14:paraId="72EEE45A" w14:textId="43F2ED79" w:rsidR="005D542B" w:rsidRPr="003253B8" w:rsidRDefault="00483118" w:rsidP="0087576A">
            <w:pPr>
              <w:spacing w:before="120"/>
              <w:rPr>
                <w:color w:val="000000" w:themeColor="text1"/>
              </w:rPr>
            </w:pPr>
            <w:r w:rsidRPr="003253B8">
              <w:t>Français</w:t>
            </w:r>
            <w:r w:rsidR="0087576A">
              <w:br/>
              <w:t>Original </w:t>
            </w:r>
            <w:r w:rsidR="005D542B" w:rsidRPr="003253B8">
              <w:t>: anglais</w:t>
            </w:r>
          </w:p>
        </w:tc>
      </w:tr>
    </w:tbl>
    <w:p w14:paraId="7395DB35" w14:textId="7C3FBB5A" w:rsidR="00946ADE" w:rsidRPr="003253B8" w:rsidRDefault="00946ADE" w:rsidP="00946ADE">
      <w:pPr>
        <w:pStyle w:val="AATitle"/>
        <w:keepNext w:val="0"/>
        <w:keepLines w:val="0"/>
        <w:tabs>
          <w:tab w:val="left" w:pos="624"/>
          <w:tab w:val="left" w:pos="1871"/>
          <w:tab w:val="left" w:pos="2495"/>
        </w:tabs>
        <w:rPr>
          <w:lang w:val="fr-FR"/>
        </w:rPr>
      </w:pPr>
      <w:r w:rsidRPr="003253B8">
        <w:rPr>
          <w:bCs/>
          <w:lang w:val="fr-FR"/>
        </w:rPr>
        <w:t>Conférence</w:t>
      </w:r>
      <w:r w:rsidR="00914804">
        <w:rPr>
          <w:bCs/>
          <w:lang w:val="fr-FR"/>
        </w:rPr>
        <w:t xml:space="preserve"> des Parties à la Convention de </w:t>
      </w:r>
      <w:r w:rsidRPr="003253B8">
        <w:rPr>
          <w:bCs/>
          <w:lang w:val="fr-FR"/>
        </w:rPr>
        <w:t>Minamata sur le mercure</w:t>
      </w:r>
    </w:p>
    <w:p w14:paraId="57078181" w14:textId="77777777" w:rsidR="00946ADE" w:rsidRPr="003253B8" w:rsidRDefault="00946ADE" w:rsidP="00946ADE">
      <w:pPr>
        <w:pStyle w:val="AATitle"/>
        <w:keepNext w:val="0"/>
        <w:keepLines w:val="0"/>
        <w:tabs>
          <w:tab w:val="left" w:pos="624"/>
          <w:tab w:val="left" w:pos="1871"/>
          <w:tab w:val="left" w:pos="2495"/>
        </w:tabs>
        <w:rPr>
          <w:lang w:val="fr-FR"/>
        </w:rPr>
      </w:pPr>
      <w:r w:rsidRPr="003253B8">
        <w:rPr>
          <w:bCs/>
          <w:lang w:val="fr-FR"/>
        </w:rPr>
        <w:t>Deuxième réunion</w:t>
      </w:r>
    </w:p>
    <w:p w14:paraId="56001870" w14:textId="3F471730" w:rsidR="00946ADE" w:rsidRPr="003253B8" w:rsidRDefault="00914804" w:rsidP="00946ADE">
      <w:pPr>
        <w:pStyle w:val="AATitle"/>
        <w:tabs>
          <w:tab w:val="left" w:pos="624"/>
          <w:tab w:val="left" w:pos="1871"/>
          <w:tab w:val="left" w:pos="2495"/>
        </w:tabs>
        <w:rPr>
          <w:b w:val="0"/>
          <w:lang w:val="fr-FR"/>
        </w:rPr>
      </w:pPr>
      <w:r>
        <w:rPr>
          <w:b w:val="0"/>
          <w:lang w:val="fr-FR"/>
        </w:rPr>
        <w:t>Genève, 19–23 </w:t>
      </w:r>
      <w:r w:rsidR="00946ADE" w:rsidRPr="003253B8">
        <w:rPr>
          <w:b w:val="0"/>
          <w:lang w:val="fr-FR"/>
        </w:rPr>
        <w:t>novembre 2018</w:t>
      </w:r>
    </w:p>
    <w:p w14:paraId="4B52E8B6" w14:textId="253948D7" w:rsidR="0001627D" w:rsidRPr="003253B8" w:rsidRDefault="0087576A" w:rsidP="0001627D">
      <w:pPr>
        <w:pStyle w:val="AATitle"/>
        <w:rPr>
          <w:b w:val="0"/>
          <w:color w:val="000000" w:themeColor="text1"/>
          <w:lang w:val="fr-FR"/>
        </w:rPr>
      </w:pPr>
      <w:r>
        <w:rPr>
          <w:b w:val="0"/>
          <w:lang w:val="fr-FR"/>
        </w:rPr>
        <w:t>Point 2 </w:t>
      </w:r>
      <w:r w:rsidR="00946ADE" w:rsidRPr="003253B8">
        <w:rPr>
          <w:b w:val="0"/>
          <w:lang w:val="fr-FR"/>
        </w:rPr>
        <w:t>c) de l</w:t>
      </w:r>
      <w:r w:rsidR="00FC14AB">
        <w:rPr>
          <w:b w:val="0"/>
          <w:lang w:val="fr-FR"/>
        </w:rPr>
        <w:t>’</w:t>
      </w:r>
      <w:r w:rsidR="00946ADE" w:rsidRPr="003253B8">
        <w:rPr>
          <w:b w:val="0"/>
          <w:lang w:val="fr-FR"/>
        </w:rPr>
        <w:t>ordre du jour provisoire</w:t>
      </w:r>
      <w:r w:rsidR="00EC51C8" w:rsidRPr="003253B8">
        <w:rPr>
          <w:b w:val="0"/>
          <w:lang w:val="fr-FR"/>
        </w:rPr>
        <w:footnoteReference w:customMarkFollows="1" w:id="1"/>
        <w:t>*</w:t>
      </w:r>
    </w:p>
    <w:p w14:paraId="46B667E2" w14:textId="64BC872A" w:rsidR="0001627D" w:rsidRPr="003253B8" w:rsidRDefault="00914804" w:rsidP="004E2C4A">
      <w:pPr>
        <w:pStyle w:val="AATitle2"/>
        <w:rPr>
          <w:lang w:val="fr-FR"/>
        </w:rPr>
      </w:pPr>
      <w:r>
        <w:rPr>
          <w:bCs/>
          <w:lang w:val="fr-FR"/>
        </w:rPr>
        <w:t>Questions d</w:t>
      </w:r>
      <w:r w:rsidR="00FC14AB">
        <w:rPr>
          <w:bCs/>
          <w:lang w:val="fr-FR"/>
        </w:rPr>
        <w:t>’</w:t>
      </w:r>
      <w:r>
        <w:rPr>
          <w:bCs/>
          <w:lang w:val="fr-FR"/>
        </w:rPr>
        <w:t>organisation </w:t>
      </w:r>
      <w:r w:rsidR="0001627D" w:rsidRPr="003253B8">
        <w:rPr>
          <w:bCs/>
          <w:lang w:val="fr-FR"/>
        </w:rPr>
        <w:t>: organisation des travaux</w:t>
      </w:r>
    </w:p>
    <w:p w14:paraId="5EBC13CE" w14:textId="5C5A1908" w:rsidR="0001627D" w:rsidRPr="003253B8" w:rsidRDefault="0001627D" w:rsidP="00033BF5">
      <w:pPr>
        <w:pStyle w:val="BBTitle"/>
        <w:rPr>
          <w:lang w:val="fr-FR"/>
        </w:rPr>
      </w:pPr>
      <w:r w:rsidRPr="003253B8">
        <w:rPr>
          <w:bCs/>
          <w:lang w:val="fr-FR"/>
        </w:rPr>
        <w:t>Ordre du jour provisoire annoté</w:t>
      </w:r>
    </w:p>
    <w:p w14:paraId="7050A358" w14:textId="60AAC1B3" w:rsidR="0001627D" w:rsidRPr="003253B8" w:rsidRDefault="00914804" w:rsidP="00033BF5">
      <w:pPr>
        <w:pStyle w:val="CH2"/>
        <w:keepNext w:val="0"/>
        <w:keepLines w:val="0"/>
        <w:spacing w:after="100"/>
        <w:ind w:left="624" w:firstLine="0"/>
        <w:rPr>
          <w:color w:val="000000" w:themeColor="text1"/>
          <w:lang w:val="fr-FR"/>
        </w:rPr>
      </w:pPr>
      <w:r>
        <w:rPr>
          <w:bCs/>
          <w:lang w:val="fr-FR"/>
        </w:rPr>
        <w:t>Point </w:t>
      </w:r>
      <w:r w:rsidR="0001627D" w:rsidRPr="003253B8">
        <w:rPr>
          <w:bCs/>
          <w:lang w:val="fr-FR"/>
        </w:rPr>
        <w:t>1</w:t>
      </w:r>
    </w:p>
    <w:p w14:paraId="60975B2E" w14:textId="077F40D8" w:rsidR="0001627D" w:rsidRPr="003253B8" w:rsidRDefault="0001627D" w:rsidP="00033BF5">
      <w:pPr>
        <w:pStyle w:val="CH2"/>
        <w:keepNext w:val="0"/>
        <w:keepLines w:val="0"/>
        <w:spacing w:after="100"/>
        <w:ind w:left="624" w:firstLine="0"/>
        <w:rPr>
          <w:color w:val="000000" w:themeColor="text1"/>
          <w:lang w:val="fr-FR"/>
        </w:rPr>
      </w:pPr>
      <w:r w:rsidRPr="003253B8">
        <w:rPr>
          <w:bCs/>
          <w:lang w:val="fr-FR"/>
        </w:rPr>
        <w:t>Ouverture de la réunion</w:t>
      </w:r>
    </w:p>
    <w:p w14:paraId="42AD125B" w14:textId="277C4438" w:rsidR="0067410D" w:rsidRPr="003253B8" w:rsidRDefault="0001627D" w:rsidP="00033BF5">
      <w:pPr>
        <w:pStyle w:val="Normalnumber"/>
        <w:rPr>
          <w:lang w:val="fr-FR"/>
        </w:rPr>
      </w:pPr>
      <w:r w:rsidRPr="003253B8">
        <w:rPr>
          <w:lang w:val="fr-FR"/>
        </w:rPr>
        <w:t>La deuxième réunion de la Conférence des Parties à la Convention de Minamata sur le</w:t>
      </w:r>
      <w:r w:rsidR="00914804">
        <w:rPr>
          <w:lang w:val="fr-FR"/>
        </w:rPr>
        <w:t xml:space="preserve"> mercure se tiendra du 19 au 23 </w:t>
      </w:r>
      <w:r w:rsidRPr="003253B8">
        <w:rPr>
          <w:lang w:val="fr-FR"/>
        </w:rPr>
        <w:t>novembre 2018 au Centre internation</w:t>
      </w:r>
      <w:r w:rsidR="00140E10">
        <w:rPr>
          <w:lang w:val="fr-FR"/>
        </w:rPr>
        <w:t>al de conférences de Genève, au </w:t>
      </w:r>
      <w:r w:rsidRPr="003253B8">
        <w:rPr>
          <w:lang w:val="fr-FR"/>
        </w:rPr>
        <w:t>17 rue de Varembé. La réunion sera ouverte le lundi 19</w:t>
      </w:r>
      <w:r w:rsidR="00914804">
        <w:rPr>
          <w:lang w:val="fr-FR"/>
        </w:rPr>
        <w:t> </w:t>
      </w:r>
      <w:r w:rsidRPr="003253B8">
        <w:rPr>
          <w:lang w:val="fr-FR"/>
        </w:rPr>
        <w:t>nove</w:t>
      </w:r>
      <w:r w:rsidR="00914804">
        <w:rPr>
          <w:lang w:val="fr-FR"/>
        </w:rPr>
        <w:t>mbre à 10 </w:t>
      </w:r>
      <w:r w:rsidRPr="003253B8">
        <w:rPr>
          <w:lang w:val="fr-FR"/>
        </w:rPr>
        <w:t>heures.</w:t>
      </w:r>
    </w:p>
    <w:p w14:paraId="2991E96D" w14:textId="211D90EE" w:rsidR="0001627D" w:rsidRPr="003253B8" w:rsidRDefault="0067410D" w:rsidP="00033BF5">
      <w:pPr>
        <w:pStyle w:val="Normalnumber"/>
        <w:numPr>
          <w:ilvl w:val="0"/>
          <w:numId w:val="1"/>
        </w:numPr>
        <w:tabs>
          <w:tab w:val="clear" w:pos="567"/>
        </w:tabs>
        <w:spacing w:after="100"/>
        <w:rPr>
          <w:lang w:val="fr-FR"/>
        </w:rPr>
      </w:pPr>
      <w:r w:rsidRPr="003253B8">
        <w:rPr>
          <w:lang w:val="fr-FR"/>
        </w:rPr>
        <w:t>Le Président élu à la première réunion d</w:t>
      </w:r>
      <w:r w:rsidR="00140E10">
        <w:rPr>
          <w:lang w:val="fr-FR"/>
        </w:rPr>
        <w:t>e la Conférence des Parties, M. </w:t>
      </w:r>
      <w:r w:rsidRPr="003253B8">
        <w:rPr>
          <w:lang w:val="fr-FR"/>
        </w:rPr>
        <w:t xml:space="preserve">Marc Chardonnens (Suisse), présidera la réunion conformément au règlement intérieur adopté par la Conférence des Parties à sa première réunion. </w:t>
      </w:r>
    </w:p>
    <w:p w14:paraId="5DB4BBC9" w14:textId="487820C8" w:rsidR="0001627D" w:rsidRPr="003253B8" w:rsidRDefault="0001627D" w:rsidP="00033BF5">
      <w:pPr>
        <w:pStyle w:val="Normalnumber"/>
        <w:numPr>
          <w:ilvl w:val="0"/>
          <w:numId w:val="1"/>
        </w:numPr>
        <w:tabs>
          <w:tab w:val="clear" w:pos="567"/>
        </w:tabs>
        <w:spacing w:after="100"/>
        <w:rPr>
          <w:color w:val="000000" w:themeColor="text1"/>
          <w:lang w:val="fr-FR"/>
        </w:rPr>
      </w:pPr>
      <w:r w:rsidRPr="003253B8">
        <w:rPr>
          <w:lang w:val="fr-FR"/>
        </w:rPr>
        <w:t xml:space="preserve">Des déclarations liminaires seront prononcées. </w:t>
      </w:r>
    </w:p>
    <w:p w14:paraId="7994E8E8" w14:textId="1E53975E" w:rsidR="0001627D" w:rsidRPr="003253B8" w:rsidRDefault="00140E10" w:rsidP="00033BF5">
      <w:pPr>
        <w:pStyle w:val="CH2"/>
        <w:keepNext w:val="0"/>
        <w:keepLines w:val="0"/>
        <w:spacing w:after="100"/>
        <w:ind w:left="624" w:firstLine="0"/>
        <w:rPr>
          <w:b w:val="0"/>
          <w:color w:val="000000" w:themeColor="text1"/>
          <w:lang w:val="fr-FR"/>
        </w:rPr>
      </w:pPr>
      <w:r>
        <w:rPr>
          <w:bCs/>
          <w:lang w:val="fr-FR"/>
        </w:rPr>
        <w:t>Point </w:t>
      </w:r>
      <w:r w:rsidR="0001627D" w:rsidRPr="003253B8">
        <w:rPr>
          <w:bCs/>
          <w:lang w:val="fr-FR"/>
        </w:rPr>
        <w:t>2</w:t>
      </w:r>
    </w:p>
    <w:p w14:paraId="60B7F2C8" w14:textId="4D643084" w:rsidR="0001627D" w:rsidRPr="003253B8" w:rsidRDefault="0001627D" w:rsidP="00033BF5">
      <w:pPr>
        <w:pStyle w:val="CH2"/>
        <w:keepNext w:val="0"/>
        <w:keepLines w:val="0"/>
        <w:spacing w:after="100"/>
        <w:ind w:left="624" w:firstLine="0"/>
        <w:rPr>
          <w:b w:val="0"/>
          <w:color w:val="000000" w:themeColor="text1"/>
          <w:lang w:val="fr-FR"/>
        </w:rPr>
      </w:pPr>
      <w:r w:rsidRPr="003253B8">
        <w:rPr>
          <w:bCs/>
          <w:lang w:val="fr-FR"/>
        </w:rPr>
        <w:t>Questions d</w:t>
      </w:r>
      <w:r w:rsidR="00FC14AB">
        <w:rPr>
          <w:bCs/>
          <w:lang w:val="fr-FR"/>
        </w:rPr>
        <w:t>’</w:t>
      </w:r>
      <w:r w:rsidRPr="003253B8">
        <w:rPr>
          <w:bCs/>
          <w:lang w:val="fr-FR"/>
        </w:rPr>
        <w:t>organisation</w:t>
      </w:r>
    </w:p>
    <w:p w14:paraId="0BE9CF15" w14:textId="2946F2D0" w:rsidR="0001627D" w:rsidRPr="003253B8" w:rsidRDefault="00140E10" w:rsidP="00140E10">
      <w:pPr>
        <w:pStyle w:val="CH3"/>
        <w:rPr>
          <w:b w:val="0"/>
          <w:lang w:val="fr-FR"/>
        </w:rPr>
      </w:pPr>
      <w:r>
        <w:rPr>
          <w:lang w:val="fr-FR"/>
        </w:rPr>
        <w:tab/>
      </w:r>
      <w:r w:rsidR="00DE0B1A" w:rsidRPr="003253B8">
        <w:rPr>
          <w:lang w:val="fr-FR"/>
        </w:rPr>
        <w:t>a)</w:t>
      </w:r>
      <w:r w:rsidR="00DE0B1A" w:rsidRPr="003253B8">
        <w:rPr>
          <w:lang w:val="fr-FR"/>
        </w:rPr>
        <w:tab/>
        <w:t>Élection du Bureau de la période intersessions et de la troisiè</w:t>
      </w:r>
      <w:r w:rsidR="0087576A">
        <w:rPr>
          <w:lang w:val="fr-FR"/>
        </w:rPr>
        <w:t>me réunion de la Conférence des </w:t>
      </w:r>
      <w:r w:rsidR="00DE0B1A" w:rsidRPr="003253B8">
        <w:rPr>
          <w:lang w:val="fr-FR"/>
        </w:rPr>
        <w:t xml:space="preserve">Parties </w:t>
      </w:r>
    </w:p>
    <w:p w14:paraId="0B138D2A" w14:textId="588F8FB8" w:rsidR="009A3C1B" w:rsidRPr="003253B8" w:rsidRDefault="009A3C1B" w:rsidP="00FA01F2">
      <w:pPr>
        <w:pStyle w:val="Normalnumber"/>
        <w:numPr>
          <w:ilvl w:val="0"/>
          <w:numId w:val="1"/>
        </w:numPr>
        <w:rPr>
          <w:lang w:val="fr-FR"/>
        </w:rPr>
      </w:pPr>
      <w:r w:rsidRPr="003253B8">
        <w:rPr>
          <w:lang w:val="fr-FR"/>
        </w:rPr>
        <w:t>À sa première réunion, la Conférence des Parties a élu les membres du Bureau ci-après pour si</w:t>
      </w:r>
      <w:r w:rsidR="0087576A">
        <w:rPr>
          <w:lang w:val="fr-FR"/>
        </w:rPr>
        <w:t>éger à ses première et deuxième </w:t>
      </w:r>
      <w:r w:rsidRPr="003253B8">
        <w:rPr>
          <w:lang w:val="fr-FR"/>
        </w:rPr>
        <w:t>réunions ainsi que pendant l</w:t>
      </w:r>
      <w:r w:rsidR="00FC14AB">
        <w:rPr>
          <w:lang w:val="fr-FR"/>
        </w:rPr>
        <w:t>’</w:t>
      </w:r>
      <w:r w:rsidRPr="003253B8">
        <w:rPr>
          <w:lang w:val="fr-FR"/>
        </w:rPr>
        <w:t>intersession</w:t>
      </w:r>
      <w:r w:rsidR="0087576A">
        <w:rPr>
          <w:lang w:val="fr-FR"/>
        </w:rPr>
        <w:t> </w:t>
      </w:r>
      <w:r w:rsidRPr="003253B8">
        <w:rPr>
          <w:lang w:val="fr-FR"/>
        </w:rPr>
        <w:t xml:space="preserve">: </w:t>
      </w:r>
    </w:p>
    <w:p w14:paraId="081B3C15" w14:textId="1F064850" w:rsidR="009A3C1B" w:rsidRPr="003253B8" w:rsidRDefault="0087576A" w:rsidP="00477B3F">
      <w:pPr>
        <w:pStyle w:val="Normalnumber"/>
        <w:numPr>
          <w:ilvl w:val="0"/>
          <w:numId w:val="0"/>
        </w:numPr>
        <w:spacing w:after="100"/>
        <w:ind w:left="1871"/>
        <w:rPr>
          <w:lang w:val="fr-FR"/>
        </w:rPr>
      </w:pPr>
      <w:r>
        <w:rPr>
          <w:lang w:val="fr-FR"/>
        </w:rPr>
        <w:tab/>
        <w:t>Président </w:t>
      </w:r>
      <w:r w:rsidR="004E5425">
        <w:rPr>
          <w:lang w:val="fr-FR"/>
        </w:rPr>
        <w:t>:</w:t>
      </w:r>
      <w:r w:rsidR="004E5425">
        <w:rPr>
          <w:lang w:val="fr-FR"/>
        </w:rPr>
        <w:tab/>
      </w:r>
      <w:r w:rsidR="004E5425">
        <w:rPr>
          <w:lang w:val="fr-FR"/>
        </w:rPr>
        <w:tab/>
        <w:t>M. </w:t>
      </w:r>
      <w:r w:rsidR="009A3C1B" w:rsidRPr="003253B8">
        <w:rPr>
          <w:lang w:val="fr-FR"/>
        </w:rPr>
        <w:t>Marc Chardonnens (Suisse)</w:t>
      </w:r>
    </w:p>
    <w:p w14:paraId="417E5E08" w14:textId="75DD521D" w:rsidR="009A3C1B" w:rsidRPr="00DA4EBD" w:rsidRDefault="009F7496" w:rsidP="00477B3F">
      <w:pPr>
        <w:pStyle w:val="Normalnumber"/>
        <w:numPr>
          <w:ilvl w:val="0"/>
          <w:numId w:val="0"/>
        </w:numPr>
        <w:spacing w:after="100"/>
        <w:ind w:left="1871"/>
        <w:rPr>
          <w:lang w:val="fr-FR"/>
        </w:rPr>
      </w:pPr>
      <w:r w:rsidRPr="00DA4EBD">
        <w:rPr>
          <w:lang w:val="fr-FR"/>
        </w:rPr>
        <w:t>Vice-Président(e)s </w:t>
      </w:r>
      <w:r w:rsidR="004E5425" w:rsidRPr="00DA4EBD">
        <w:rPr>
          <w:lang w:val="fr-FR"/>
        </w:rPr>
        <w:t>:</w:t>
      </w:r>
      <w:r w:rsidR="004E5425" w:rsidRPr="00DA4EBD">
        <w:rPr>
          <w:lang w:val="fr-FR"/>
        </w:rPr>
        <w:tab/>
        <w:t>M. </w:t>
      </w:r>
      <w:r w:rsidR="009A3C1B" w:rsidRPr="00DA4EBD">
        <w:rPr>
          <w:lang w:val="fr-FR"/>
        </w:rPr>
        <w:t>Gregory Bailey (Antigua-et-Barbuda)</w:t>
      </w:r>
    </w:p>
    <w:p w14:paraId="65EBF15E" w14:textId="41C4CAC6" w:rsidR="009A3C1B" w:rsidRPr="00DA4EBD" w:rsidRDefault="004E5425" w:rsidP="00477B3F">
      <w:pPr>
        <w:pStyle w:val="Normalnumber"/>
        <w:numPr>
          <w:ilvl w:val="0"/>
          <w:numId w:val="0"/>
        </w:numPr>
        <w:spacing w:after="80"/>
        <w:ind w:left="3742"/>
        <w:rPr>
          <w:lang w:val="fr-FR"/>
        </w:rPr>
      </w:pPr>
      <w:r w:rsidRPr="00DA4EBD">
        <w:rPr>
          <w:lang w:val="fr-FR"/>
        </w:rPr>
        <w:tab/>
        <w:t>M. </w:t>
      </w:r>
      <w:r w:rsidR="003319DA" w:rsidRPr="00DA4EBD">
        <w:rPr>
          <w:lang w:val="fr-FR"/>
        </w:rPr>
        <w:t>Serge Molly Allo</w:t>
      </w:r>
      <w:r w:rsidR="00FC14AB" w:rsidRPr="00DA4EBD">
        <w:rPr>
          <w:lang w:val="fr-FR"/>
        </w:rPr>
        <w:t>’</w:t>
      </w:r>
      <w:r w:rsidR="003319DA" w:rsidRPr="00DA4EBD">
        <w:rPr>
          <w:lang w:val="fr-FR"/>
        </w:rPr>
        <w:t>o Allo</w:t>
      </w:r>
      <w:r w:rsidR="00FC14AB" w:rsidRPr="00DA4EBD">
        <w:rPr>
          <w:lang w:val="fr-FR"/>
        </w:rPr>
        <w:t>’</w:t>
      </w:r>
      <w:r w:rsidR="003319DA" w:rsidRPr="00DA4EBD">
        <w:rPr>
          <w:lang w:val="fr-FR"/>
        </w:rPr>
        <w:t>o (Gabon)</w:t>
      </w:r>
    </w:p>
    <w:p w14:paraId="279781EF" w14:textId="58507005" w:rsidR="009A3C1B" w:rsidRPr="00DA4EBD" w:rsidRDefault="009A3C1B" w:rsidP="00477B3F">
      <w:pPr>
        <w:pStyle w:val="Normalnumber"/>
        <w:numPr>
          <w:ilvl w:val="0"/>
          <w:numId w:val="0"/>
        </w:numPr>
        <w:spacing w:after="80"/>
        <w:ind w:left="3742"/>
        <w:rPr>
          <w:lang w:val="fr-FR"/>
        </w:rPr>
      </w:pPr>
      <w:r w:rsidRPr="00DA4EBD">
        <w:rPr>
          <w:lang w:val="fr-FR"/>
        </w:rPr>
        <w:tab/>
      </w:r>
      <w:r w:rsidR="004E5425" w:rsidRPr="00DA4EBD">
        <w:rPr>
          <w:lang w:val="fr-FR"/>
        </w:rPr>
        <w:t>M. </w:t>
      </w:r>
      <w:r w:rsidRPr="00DA4EBD">
        <w:rPr>
          <w:lang w:val="fr-FR"/>
        </w:rPr>
        <w:t>Mitsugu Saito (Japon)</w:t>
      </w:r>
    </w:p>
    <w:p w14:paraId="7A607F0B" w14:textId="3F02C824" w:rsidR="009A3C1B" w:rsidRPr="00DA4EBD" w:rsidRDefault="004E5425" w:rsidP="00477B3F">
      <w:pPr>
        <w:pStyle w:val="Normalnumber"/>
        <w:numPr>
          <w:ilvl w:val="0"/>
          <w:numId w:val="0"/>
        </w:numPr>
        <w:spacing w:after="80"/>
        <w:ind w:left="3742"/>
        <w:rPr>
          <w:lang w:val="fr-FR"/>
        </w:rPr>
      </w:pPr>
      <w:r w:rsidRPr="00DA4EBD">
        <w:rPr>
          <w:lang w:val="fr-FR"/>
        </w:rPr>
        <w:tab/>
        <w:t>M. </w:t>
      </w:r>
      <w:r w:rsidR="009A3C1B" w:rsidRPr="00DA4EBD">
        <w:rPr>
          <w:lang w:val="fr-FR"/>
        </w:rPr>
        <w:t xml:space="preserve">Mohammed Khashashneh (Jordanie) </w:t>
      </w:r>
    </w:p>
    <w:p w14:paraId="12B59C28" w14:textId="2977CF79" w:rsidR="003319DA" w:rsidRPr="00DA4EBD" w:rsidRDefault="004E5425" w:rsidP="00477B3F">
      <w:pPr>
        <w:pStyle w:val="Normalnumber"/>
        <w:numPr>
          <w:ilvl w:val="0"/>
          <w:numId w:val="0"/>
        </w:numPr>
        <w:spacing w:after="80"/>
        <w:ind w:left="3742"/>
        <w:rPr>
          <w:lang w:val="fr-FR"/>
        </w:rPr>
      </w:pPr>
      <w:r w:rsidRPr="00DA4EBD">
        <w:rPr>
          <w:lang w:val="fr-FR"/>
        </w:rPr>
        <w:t>M. </w:t>
      </w:r>
      <w:r w:rsidR="003319DA" w:rsidRPr="00DA4EBD">
        <w:rPr>
          <w:lang w:val="fr-FR"/>
        </w:rPr>
        <w:t>César Juárez (Mexique)</w:t>
      </w:r>
    </w:p>
    <w:p w14:paraId="31DD05BC" w14:textId="24E5741D" w:rsidR="003319DA" w:rsidRPr="004E5425" w:rsidRDefault="003319DA" w:rsidP="00477B3F">
      <w:pPr>
        <w:pStyle w:val="Normalnumber"/>
        <w:numPr>
          <w:ilvl w:val="0"/>
          <w:numId w:val="0"/>
        </w:numPr>
        <w:spacing w:after="80"/>
        <w:ind w:left="3742"/>
        <w:rPr>
          <w:lang w:val="fr-FR"/>
        </w:rPr>
      </w:pPr>
      <w:r w:rsidRPr="00DA4EBD">
        <w:rPr>
          <w:lang w:val="fr-FR"/>
        </w:rPr>
        <w:tab/>
      </w:r>
      <w:r w:rsidRPr="004E5425">
        <w:rPr>
          <w:lang w:val="fr-FR"/>
        </w:rPr>
        <w:t>Mme</w:t>
      </w:r>
      <w:r w:rsidR="004E5425" w:rsidRPr="004E5425">
        <w:rPr>
          <w:lang w:val="fr-FR"/>
        </w:rPr>
        <w:t> </w:t>
      </w:r>
      <w:r w:rsidRPr="004E5425">
        <w:rPr>
          <w:lang w:val="fr-FR"/>
        </w:rPr>
        <w:t>Svetlana Bolocan (République de Moldova)</w:t>
      </w:r>
    </w:p>
    <w:p w14:paraId="5C3474DC" w14:textId="164F90C8" w:rsidR="003319DA" w:rsidRPr="00FC14AB" w:rsidRDefault="003319DA" w:rsidP="00477B3F">
      <w:pPr>
        <w:pStyle w:val="Normalnumber"/>
        <w:numPr>
          <w:ilvl w:val="0"/>
          <w:numId w:val="0"/>
        </w:numPr>
        <w:spacing w:after="80"/>
        <w:ind w:left="3742"/>
        <w:rPr>
          <w:lang w:val="fr-FR"/>
        </w:rPr>
      </w:pPr>
      <w:r w:rsidRPr="004E5425">
        <w:rPr>
          <w:lang w:val="fr-FR"/>
        </w:rPr>
        <w:tab/>
      </w:r>
      <w:r w:rsidR="004E5425" w:rsidRPr="00FC14AB">
        <w:rPr>
          <w:lang w:val="fr-FR"/>
        </w:rPr>
        <w:t>Mme </w:t>
      </w:r>
      <w:r w:rsidRPr="00FC14AB">
        <w:rPr>
          <w:lang w:val="fr-FR"/>
        </w:rPr>
        <w:t>Nina Cromnier (Suède)</w:t>
      </w:r>
    </w:p>
    <w:p w14:paraId="05720607" w14:textId="02C6C8AE" w:rsidR="002C3A9B" w:rsidRPr="00FC14AB" w:rsidRDefault="002C3A9B" w:rsidP="00477B3F">
      <w:pPr>
        <w:pStyle w:val="Normalnumber"/>
        <w:numPr>
          <w:ilvl w:val="0"/>
          <w:numId w:val="0"/>
        </w:numPr>
        <w:spacing w:after="80"/>
        <w:ind w:left="3742"/>
        <w:rPr>
          <w:lang w:val="fr-FR"/>
        </w:rPr>
      </w:pPr>
      <w:r>
        <w:rPr>
          <w:lang w:val="fr-FR"/>
        </w:rPr>
        <w:tab/>
        <w:t>M. </w:t>
      </w:r>
      <w:r w:rsidRPr="0087576A">
        <w:rPr>
          <w:lang w:val="fr-FR"/>
        </w:rPr>
        <w:t>Karel Bláha (Tchéquie)</w:t>
      </w:r>
    </w:p>
    <w:p w14:paraId="6373FCF4" w14:textId="79FE6DC6" w:rsidR="003319DA" w:rsidRPr="003253B8" w:rsidRDefault="004E5425" w:rsidP="00477B3F">
      <w:pPr>
        <w:pStyle w:val="Normalnumber"/>
        <w:numPr>
          <w:ilvl w:val="0"/>
          <w:numId w:val="0"/>
        </w:numPr>
        <w:spacing w:after="100"/>
        <w:ind w:left="3742"/>
        <w:rPr>
          <w:lang w:val="fr-FR"/>
        </w:rPr>
      </w:pPr>
      <w:r w:rsidRPr="004E5425">
        <w:rPr>
          <w:lang w:val="fr-FR"/>
        </w:rPr>
        <w:tab/>
        <w:t>M. </w:t>
      </w:r>
      <w:r w:rsidR="003319DA" w:rsidRPr="004E5425">
        <w:rPr>
          <w:lang w:val="fr-FR"/>
        </w:rPr>
        <w:t>David Kapindula (Zam</w:t>
      </w:r>
      <w:r w:rsidR="003319DA" w:rsidRPr="0087576A">
        <w:rPr>
          <w:lang w:val="fr-FR"/>
        </w:rPr>
        <w:t>bie)</w:t>
      </w:r>
      <w:r w:rsidR="003319DA" w:rsidRPr="003253B8">
        <w:rPr>
          <w:lang w:val="fr-FR"/>
        </w:rPr>
        <w:t xml:space="preserve"> </w:t>
      </w:r>
    </w:p>
    <w:p w14:paraId="75FA96BC" w14:textId="09847EAD" w:rsidR="008B675C" w:rsidRPr="003253B8" w:rsidRDefault="00FC14AB" w:rsidP="00FA01F2">
      <w:pPr>
        <w:pStyle w:val="Normalnumber"/>
        <w:numPr>
          <w:ilvl w:val="0"/>
          <w:numId w:val="1"/>
        </w:numPr>
        <w:rPr>
          <w:lang w:val="fr-FR"/>
        </w:rPr>
      </w:pPr>
      <w:r>
        <w:rPr>
          <w:lang w:val="fr-FR"/>
        </w:rPr>
        <w:lastRenderedPageBreak/>
        <w:t>M. </w:t>
      </w:r>
      <w:r w:rsidR="009A3C1B" w:rsidRPr="003253B8">
        <w:rPr>
          <w:lang w:val="fr-FR"/>
        </w:rPr>
        <w:t>David Kapindula (Zambie) a été élu Rapporteur.</w:t>
      </w:r>
    </w:p>
    <w:p w14:paraId="37971774" w14:textId="658ACD74" w:rsidR="009F2876" w:rsidRPr="003253B8" w:rsidRDefault="00FC14AB" w:rsidP="009F2876">
      <w:pPr>
        <w:pStyle w:val="Normalnumber"/>
        <w:numPr>
          <w:ilvl w:val="0"/>
          <w:numId w:val="1"/>
        </w:numPr>
        <w:rPr>
          <w:lang w:val="fr-FR"/>
        </w:rPr>
      </w:pPr>
      <w:r>
        <w:rPr>
          <w:lang w:val="fr-FR"/>
        </w:rPr>
        <w:t>M. </w:t>
      </w:r>
      <w:r w:rsidR="009F2876" w:rsidRPr="003253B8">
        <w:rPr>
          <w:lang w:val="fr-FR"/>
        </w:rPr>
        <w:t>César Juárez n</w:t>
      </w:r>
      <w:r>
        <w:rPr>
          <w:lang w:val="fr-FR"/>
        </w:rPr>
        <w:t>’</w:t>
      </w:r>
      <w:r w:rsidR="009F2876" w:rsidRPr="003253B8">
        <w:rPr>
          <w:lang w:val="fr-FR"/>
        </w:rPr>
        <w:t>ayant pu achever son mandat, le Gouvern</w:t>
      </w:r>
      <w:r w:rsidR="00942FE9">
        <w:rPr>
          <w:lang w:val="fr-FR"/>
        </w:rPr>
        <w:t>ement mexicain a proposé que M. </w:t>
      </w:r>
      <w:r w:rsidR="009F2876" w:rsidRPr="003253B8">
        <w:rPr>
          <w:lang w:val="fr-FR"/>
        </w:rPr>
        <w:t>Miguel Ángel Espinosa Luna le remplace jusqu</w:t>
      </w:r>
      <w:r>
        <w:rPr>
          <w:lang w:val="fr-FR"/>
        </w:rPr>
        <w:t>’</w:t>
      </w:r>
      <w:r w:rsidR="009F2876" w:rsidRPr="003253B8">
        <w:rPr>
          <w:lang w:val="fr-FR"/>
        </w:rPr>
        <w:t>à la fin du mandat en question.</w:t>
      </w:r>
    </w:p>
    <w:p w14:paraId="023B48CB" w14:textId="51B78D55" w:rsidR="009A3C1B" w:rsidRPr="003253B8" w:rsidRDefault="009F2876" w:rsidP="009F2876">
      <w:pPr>
        <w:pStyle w:val="Normalnumber"/>
        <w:numPr>
          <w:ilvl w:val="0"/>
          <w:numId w:val="1"/>
        </w:numPr>
        <w:rPr>
          <w:lang w:val="fr-FR"/>
        </w:rPr>
      </w:pPr>
      <w:r w:rsidRPr="003253B8">
        <w:rPr>
          <w:lang w:val="fr-FR"/>
        </w:rPr>
        <w:t>À sa deuxième réunion, la Conférence des Parties sera appelée, conformément au Règlement intérieur, à élire un(e) président(e) et neuf vice-président(e)s, dont l</w:t>
      </w:r>
      <w:r w:rsidR="00FC14AB">
        <w:rPr>
          <w:lang w:val="fr-FR"/>
        </w:rPr>
        <w:t>’</w:t>
      </w:r>
      <w:r w:rsidRPr="003253B8">
        <w:rPr>
          <w:lang w:val="fr-FR"/>
        </w:rPr>
        <w:t>un(e) fera office de rapporteur(se), parmi les représentant(e)s des Parties présentes à la réunion, lesquel(le)s siègeront de la clôture de la deuxième réunion jusqu</w:t>
      </w:r>
      <w:r w:rsidR="00FC14AB">
        <w:rPr>
          <w:lang w:val="fr-FR"/>
        </w:rPr>
        <w:t>’</w:t>
      </w:r>
      <w:r w:rsidRPr="003253B8">
        <w:rPr>
          <w:lang w:val="fr-FR"/>
        </w:rPr>
        <w:t>à la clôture de la troisième réunion de la Conférence des Parties, y compris pendant l</w:t>
      </w:r>
      <w:r w:rsidR="00FC14AB">
        <w:rPr>
          <w:lang w:val="fr-FR"/>
        </w:rPr>
        <w:t>’</w:t>
      </w:r>
      <w:r w:rsidRPr="003253B8">
        <w:rPr>
          <w:lang w:val="fr-FR"/>
        </w:rPr>
        <w:t xml:space="preserve">intersession. </w:t>
      </w:r>
    </w:p>
    <w:p w14:paraId="42F759C1" w14:textId="49937534" w:rsidR="0001627D" w:rsidRPr="003253B8" w:rsidRDefault="00FC14AB" w:rsidP="004E2C4A">
      <w:pPr>
        <w:pStyle w:val="CH3"/>
        <w:rPr>
          <w:lang w:val="fr-FR"/>
        </w:rPr>
      </w:pPr>
      <w:r>
        <w:rPr>
          <w:lang w:val="fr-FR"/>
        </w:rPr>
        <w:tab/>
      </w:r>
      <w:r w:rsidR="00F02847" w:rsidRPr="003253B8">
        <w:rPr>
          <w:lang w:val="fr-FR"/>
        </w:rPr>
        <w:t>b)</w:t>
      </w:r>
      <w:r w:rsidR="00F02847" w:rsidRPr="003253B8">
        <w:rPr>
          <w:lang w:val="fr-FR"/>
        </w:rPr>
        <w:tab/>
      </w:r>
      <w:r w:rsidR="00F02847" w:rsidRPr="003253B8">
        <w:rPr>
          <w:bCs/>
          <w:lang w:val="fr-FR"/>
        </w:rPr>
        <w:t>Adoption de l</w:t>
      </w:r>
      <w:r>
        <w:rPr>
          <w:bCs/>
          <w:lang w:val="fr-FR"/>
        </w:rPr>
        <w:t>’</w:t>
      </w:r>
      <w:r w:rsidR="00F02847" w:rsidRPr="003253B8">
        <w:rPr>
          <w:bCs/>
          <w:lang w:val="fr-FR"/>
        </w:rPr>
        <w:t>ordre du jour</w:t>
      </w:r>
    </w:p>
    <w:p w14:paraId="263B1629" w14:textId="78D3B380" w:rsidR="0001627D" w:rsidRPr="003253B8" w:rsidRDefault="008C1E01" w:rsidP="00F02847">
      <w:pPr>
        <w:pStyle w:val="Normalnumber"/>
        <w:numPr>
          <w:ilvl w:val="0"/>
          <w:numId w:val="1"/>
        </w:numPr>
        <w:tabs>
          <w:tab w:val="clear" w:pos="567"/>
        </w:tabs>
        <w:rPr>
          <w:color w:val="000000" w:themeColor="text1"/>
          <w:lang w:val="fr-FR"/>
        </w:rPr>
      </w:pPr>
      <w:r w:rsidRPr="003253B8">
        <w:rPr>
          <w:lang w:val="fr-FR"/>
        </w:rPr>
        <w:t>La Conférence des Parties souhaitera peut-être adopter son ordre du jour sur la base de l</w:t>
      </w:r>
      <w:r w:rsidR="00FC14AB">
        <w:rPr>
          <w:lang w:val="fr-FR"/>
        </w:rPr>
        <w:t>’</w:t>
      </w:r>
      <w:r w:rsidRPr="003253B8">
        <w:rPr>
          <w:lang w:val="fr-FR"/>
        </w:rPr>
        <w:t>ordre du jour provisoire figurant dans le document UNEP/MC/COP.2/1.</w:t>
      </w:r>
    </w:p>
    <w:p w14:paraId="166B5564" w14:textId="54852319" w:rsidR="0001627D" w:rsidRPr="003253B8" w:rsidRDefault="00FC14AB" w:rsidP="004E2C4A">
      <w:pPr>
        <w:pStyle w:val="CH3"/>
        <w:rPr>
          <w:b w:val="0"/>
          <w:lang w:val="fr-FR"/>
        </w:rPr>
      </w:pPr>
      <w:r>
        <w:rPr>
          <w:lang w:val="fr-FR"/>
        </w:rPr>
        <w:tab/>
      </w:r>
      <w:r w:rsidR="00F02847" w:rsidRPr="003253B8">
        <w:rPr>
          <w:lang w:val="fr-FR"/>
        </w:rPr>
        <w:t>c)</w:t>
      </w:r>
      <w:r w:rsidR="00F02847" w:rsidRPr="003253B8">
        <w:rPr>
          <w:lang w:val="fr-FR"/>
        </w:rPr>
        <w:tab/>
      </w:r>
      <w:r w:rsidR="00F02847" w:rsidRPr="003253B8">
        <w:rPr>
          <w:bCs/>
          <w:lang w:val="fr-FR"/>
        </w:rPr>
        <w:t>Organisation des travaux</w:t>
      </w:r>
    </w:p>
    <w:p w14:paraId="6049CBCE" w14:textId="7119C295" w:rsidR="001E06CD" w:rsidRPr="003253B8" w:rsidRDefault="001E06CD" w:rsidP="008C1E01">
      <w:pPr>
        <w:pStyle w:val="Normalnumber"/>
        <w:numPr>
          <w:ilvl w:val="0"/>
          <w:numId w:val="1"/>
        </w:numPr>
        <w:tabs>
          <w:tab w:val="clear" w:pos="567"/>
        </w:tabs>
        <w:rPr>
          <w:color w:val="000000" w:themeColor="text1"/>
          <w:lang w:val="fr-FR"/>
        </w:rPr>
      </w:pPr>
      <w:r w:rsidRPr="003253B8">
        <w:rPr>
          <w:lang w:val="fr-FR"/>
        </w:rPr>
        <w:t>La Conférence des Parties est saisie d</w:t>
      </w:r>
      <w:r w:rsidR="00FC14AB">
        <w:rPr>
          <w:lang w:val="fr-FR"/>
        </w:rPr>
        <w:t>’</w:t>
      </w:r>
      <w:r w:rsidRPr="003253B8">
        <w:rPr>
          <w:lang w:val="fr-FR"/>
        </w:rPr>
        <w:t>une note relative au déroulement de la réunion, qui a été établie par le Président (UNEP/MC/COP.2/2).</w:t>
      </w:r>
    </w:p>
    <w:p w14:paraId="4768213E" w14:textId="72C75B84" w:rsidR="00015D8E" w:rsidRPr="003253B8" w:rsidRDefault="009F41FC" w:rsidP="008C1E01">
      <w:pPr>
        <w:pStyle w:val="Normalnumber"/>
        <w:numPr>
          <w:ilvl w:val="0"/>
          <w:numId w:val="1"/>
        </w:numPr>
        <w:tabs>
          <w:tab w:val="clear" w:pos="567"/>
        </w:tabs>
        <w:rPr>
          <w:lang w:val="fr-FR"/>
        </w:rPr>
      </w:pPr>
      <w:r w:rsidRPr="003253B8">
        <w:rPr>
          <w:lang w:val="fr-FR"/>
        </w:rPr>
        <w:t>La Conférence des Parties devrait se réunir tous les jours du lundi 1</w:t>
      </w:r>
      <w:r w:rsidR="0012501D">
        <w:rPr>
          <w:lang w:val="fr-FR"/>
        </w:rPr>
        <w:t>9 </w:t>
      </w:r>
      <w:r w:rsidRPr="003253B8">
        <w:rPr>
          <w:lang w:val="fr-FR"/>
        </w:rPr>
        <w:t>novembre au v</w:t>
      </w:r>
      <w:r w:rsidR="00942FE9">
        <w:rPr>
          <w:lang w:val="fr-FR"/>
        </w:rPr>
        <w:t>endredi 23 </w:t>
      </w:r>
      <w:r w:rsidR="007264E1">
        <w:rPr>
          <w:lang w:val="fr-FR"/>
        </w:rPr>
        <w:t>novembre de 10 heures à 13 heures et de 15 heures à 18 </w:t>
      </w:r>
      <w:r w:rsidRPr="003253B8">
        <w:rPr>
          <w:lang w:val="fr-FR"/>
        </w:rPr>
        <w:t xml:space="preserve">heures, sous réserve des ajustements nécessaires. </w:t>
      </w:r>
    </w:p>
    <w:p w14:paraId="0CBE8573" w14:textId="447E68C4" w:rsidR="007D033B" w:rsidRPr="003253B8" w:rsidRDefault="009860AA" w:rsidP="008C1E01">
      <w:pPr>
        <w:pStyle w:val="Normalnumber"/>
        <w:numPr>
          <w:ilvl w:val="0"/>
          <w:numId w:val="1"/>
        </w:numPr>
        <w:tabs>
          <w:tab w:val="clear" w:pos="567"/>
        </w:tabs>
        <w:rPr>
          <w:lang w:val="fr-FR"/>
        </w:rPr>
      </w:pPr>
      <w:r w:rsidRPr="003253B8">
        <w:rPr>
          <w:lang w:val="fr-FR"/>
        </w:rPr>
        <w:t>La Conférence des Parties souhaitera peut-être, selon les besoins, constituer des groupes restreints et d</w:t>
      </w:r>
      <w:r w:rsidR="00FC14AB">
        <w:rPr>
          <w:lang w:val="fr-FR"/>
        </w:rPr>
        <w:t>’</w:t>
      </w:r>
      <w:r w:rsidRPr="003253B8">
        <w:rPr>
          <w:lang w:val="fr-FR"/>
        </w:rPr>
        <w:t>autres groupes de travail de session et en préciser le mandat.</w:t>
      </w:r>
    </w:p>
    <w:p w14:paraId="72CCCC51" w14:textId="5D04F31F" w:rsidR="00C16A39" w:rsidRPr="003253B8" w:rsidRDefault="00C16A39" w:rsidP="00A46ED1">
      <w:pPr>
        <w:pStyle w:val="CH2"/>
        <w:keepNext w:val="0"/>
        <w:keepLines w:val="0"/>
        <w:ind w:left="624" w:firstLine="0"/>
        <w:rPr>
          <w:color w:val="000000" w:themeColor="text1"/>
          <w:lang w:val="fr-FR"/>
        </w:rPr>
      </w:pPr>
      <w:r w:rsidRPr="003253B8">
        <w:rPr>
          <w:lang w:val="fr-FR"/>
        </w:rPr>
        <w:tab/>
      </w:r>
      <w:r w:rsidR="0012501D">
        <w:rPr>
          <w:bCs/>
          <w:lang w:val="fr-FR"/>
        </w:rPr>
        <w:t>Point </w:t>
      </w:r>
      <w:r w:rsidRPr="003253B8">
        <w:rPr>
          <w:bCs/>
          <w:lang w:val="fr-FR"/>
        </w:rPr>
        <w:t>3</w:t>
      </w:r>
    </w:p>
    <w:p w14:paraId="35C7246E" w14:textId="77777777" w:rsidR="00C16A39" w:rsidRPr="003253B8" w:rsidRDefault="00C16A39" w:rsidP="00C16A39">
      <w:pPr>
        <w:pStyle w:val="CH2"/>
        <w:keepNext w:val="0"/>
        <w:keepLines w:val="0"/>
        <w:ind w:left="624" w:firstLine="0"/>
        <w:rPr>
          <w:color w:val="000000" w:themeColor="text1"/>
          <w:lang w:val="fr-FR"/>
        </w:rPr>
      </w:pPr>
      <w:r w:rsidRPr="003253B8">
        <w:rPr>
          <w:lang w:val="fr-FR"/>
        </w:rPr>
        <w:tab/>
      </w:r>
      <w:r w:rsidRPr="003253B8">
        <w:rPr>
          <w:bCs/>
          <w:lang w:val="fr-FR"/>
        </w:rPr>
        <w:t>Règlement intérieur de la Conférence des Parties</w:t>
      </w:r>
    </w:p>
    <w:p w14:paraId="52AF75A4" w14:textId="57A75A80" w:rsidR="000538FC" w:rsidRPr="003253B8" w:rsidRDefault="0012501D" w:rsidP="00F72EE8">
      <w:pPr>
        <w:pStyle w:val="Normalnumber"/>
        <w:numPr>
          <w:ilvl w:val="0"/>
          <w:numId w:val="7"/>
        </w:numPr>
        <w:tabs>
          <w:tab w:val="clear" w:pos="567"/>
        </w:tabs>
        <w:rPr>
          <w:color w:val="000000" w:themeColor="text1"/>
          <w:lang w:val="fr-FR"/>
        </w:rPr>
      </w:pPr>
      <w:r>
        <w:rPr>
          <w:lang w:val="fr-FR"/>
        </w:rPr>
        <w:t>À sa première </w:t>
      </w:r>
      <w:r w:rsidR="001E32EF" w:rsidRPr="003253B8">
        <w:rPr>
          <w:lang w:val="fr-FR"/>
        </w:rPr>
        <w:t>réunion, la Conférence des Parties a adopté son R</w:t>
      </w:r>
      <w:r>
        <w:rPr>
          <w:lang w:val="fr-FR"/>
        </w:rPr>
        <w:t>èglement intérieur. La deuxième </w:t>
      </w:r>
      <w:r w:rsidR="001E32EF" w:rsidRPr="003253B8">
        <w:rPr>
          <w:lang w:val="fr-FR"/>
        </w:rPr>
        <w:t>phrase du paragraphe</w:t>
      </w:r>
      <w:r>
        <w:rPr>
          <w:lang w:val="fr-FR"/>
        </w:rPr>
        <w:t> </w:t>
      </w:r>
      <w:r w:rsidR="001E32EF" w:rsidRPr="003253B8">
        <w:rPr>
          <w:lang w:val="fr-FR"/>
        </w:rPr>
        <w:t>1 de l</w:t>
      </w:r>
      <w:r w:rsidR="00FC14AB">
        <w:rPr>
          <w:lang w:val="fr-FR"/>
        </w:rPr>
        <w:t>’</w:t>
      </w:r>
      <w:r w:rsidR="001E32EF" w:rsidRPr="003253B8">
        <w:rPr>
          <w:lang w:val="fr-FR"/>
        </w:rPr>
        <w:t>article</w:t>
      </w:r>
      <w:r>
        <w:rPr>
          <w:lang w:val="fr-FR"/>
        </w:rPr>
        <w:t> 45 et le paragraphe </w:t>
      </w:r>
      <w:r w:rsidR="001E32EF" w:rsidRPr="003253B8">
        <w:rPr>
          <w:lang w:val="fr-FR"/>
        </w:rPr>
        <w:t>3 de l</w:t>
      </w:r>
      <w:r w:rsidR="00FC14AB">
        <w:rPr>
          <w:lang w:val="fr-FR"/>
        </w:rPr>
        <w:t>’</w:t>
      </w:r>
      <w:r w:rsidR="001E32EF" w:rsidRPr="003253B8">
        <w:rPr>
          <w:lang w:val="fr-FR"/>
        </w:rPr>
        <w:t>article</w:t>
      </w:r>
      <w:r>
        <w:rPr>
          <w:lang w:val="fr-FR"/>
        </w:rPr>
        <w:t> </w:t>
      </w:r>
      <w:r w:rsidR="001E32EF" w:rsidRPr="003253B8">
        <w:rPr>
          <w:lang w:val="fr-FR"/>
        </w:rPr>
        <w:t>45 restent toutefois entre crochets. La Conférence des Parties souhaitera peut-être examiner et adopter lesdits paragraphes, qui figurent dans l</w:t>
      </w:r>
      <w:r w:rsidR="00FC14AB">
        <w:rPr>
          <w:lang w:val="fr-FR"/>
        </w:rPr>
        <w:t>’</w:t>
      </w:r>
      <w:r w:rsidR="001E32EF" w:rsidRPr="003253B8">
        <w:rPr>
          <w:lang w:val="fr-FR"/>
        </w:rPr>
        <w:t xml:space="preserve">annexe du document UNEP/MC/COP.2/3. </w:t>
      </w:r>
    </w:p>
    <w:p w14:paraId="38E2A498" w14:textId="52DEBA88" w:rsidR="000D00CF" w:rsidRPr="003253B8" w:rsidRDefault="0012501D" w:rsidP="000D00CF">
      <w:pPr>
        <w:pStyle w:val="CH2"/>
        <w:keepNext w:val="0"/>
        <w:keepLines w:val="0"/>
        <w:ind w:left="624" w:firstLine="0"/>
        <w:rPr>
          <w:color w:val="000000" w:themeColor="text1"/>
          <w:lang w:val="fr-FR"/>
        </w:rPr>
      </w:pPr>
      <w:r>
        <w:rPr>
          <w:bCs/>
          <w:lang w:val="fr-FR"/>
        </w:rPr>
        <w:t>Point </w:t>
      </w:r>
      <w:r w:rsidR="000D00CF" w:rsidRPr="003253B8">
        <w:rPr>
          <w:bCs/>
          <w:lang w:val="fr-FR"/>
        </w:rPr>
        <w:t>4</w:t>
      </w:r>
    </w:p>
    <w:p w14:paraId="69D13FB2" w14:textId="439E6D3B" w:rsidR="000D00CF" w:rsidRPr="003253B8" w:rsidRDefault="000D00CF" w:rsidP="00C13220">
      <w:pPr>
        <w:pStyle w:val="CH2"/>
        <w:keepNext w:val="0"/>
        <w:keepLines w:val="0"/>
        <w:ind w:left="624" w:firstLine="0"/>
        <w:rPr>
          <w:b w:val="0"/>
          <w:color w:val="000000" w:themeColor="text1"/>
          <w:lang w:val="fr-FR"/>
        </w:rPr>
      </w:pPr>
      <w:r w:rsidRPr="003253B8">
        <w:rPr>
          <w:lang w:val="fr-FR"/>
        </w:rPr>
        <w:tab/>
      </w:r>
      <w:r w:rsidRPr="003253B8">
        <w:rPr>
          <w:bCs/>
          <w:lang w:val="fr-FR"/>
        </w:rPr>
        <w:t>Rapport sur la vérification des pouvoirs des représe</w:t>
      </w:r>
      <w:r w:rsidR="0012501D">
        <w:rPr>
          <w:bCs/>
          <w:lang w:val="fr-FR"/>
        </w:rPr>
        <w:t>ntants à la deuxième </w:t>
      </w:r>
      <w:r w:rsidR="0087576A">
        <w:rPr>
          <w:bCs/>
          <w:lang w:val="fr-FR"/>
        </w:rPr>
        <w:t>réunion de </w:t>
      </w:r>
      <w:r w:rsidRPr="003253B8">
        <w:rPr>
          <w:bCs/>
          <w:lang w:val="fr-FR"/>
        </w:rPr>
        <w:t>la Conférence des Parties</w:t>
      </w:r>
    </w:p>
    <w:p w14:paraId="5DB4F91F" w14:textId="3F7F2E5D" w:rsidR="006B3F36" w:rsidRPr="003253B8" w:rsidRDefault="006B3F36" w:rsidP="00646C5C">
      <w:pPr>
        <w:pStyle w:val="Normalnumber"/>
        <w:numPr>
          <w:ilvl w:val="0"/>
          <w:numId w:val="1"/>
        </w:numPr>
        <w:rPr>
          <w:color w:val="000000" w:themeColor="text1"/>
          <w:lang w:val="fr-FR"/>
        </w:rPr>
      </w:pPr>
      <w:r w:rsidRPr="003253B8">
        <w:rPr>
          <w:lang w:val="fr-FR"/>
        </w:rPr>
        <w:t>La Conférence des Parties est saisie d</w:t>
      </w:r>
      <w:r w:rsidR="00FC14AB">
        <w:rPr>
          <w:lang w:val="fr-FR"/>
        </w:rPr>
        <w:t>’</w:t>
      </w:r>
      <w:r w:rsidRPr="003253B8">
        <w:rPr>
          <w:lang w:val="fr-FR"/>
        </w:rPr>
        <w:t>une note établie par le secrétariat sur l</w:t>
      </w:r>
      <w:r w:rsidR="00FC14AB">
        <w:rPr>
          <w:lang w:val="fr-FR"/>
        </w:rPr>
        <w:t>’</w:t>
      </w:r>
      <w:r w:rsidRPr="003253B8">
        <w:rPr>
          <w:lang w:val="fr-FR"/>
        </w:rPr>
        <w:t xml:space="preserve">état des ratifications de </w:t>
      </w:r>
      <w:r w:rsidR="0012501D">
        <w:rPr>
          <w:lang w:val="fr-FR"/>
        </w:rPr>
        <w:t>la Convention de Minamata au 18 </w:t>
      </w:r>
      <w:r w:rsidRPr="003253B8">
        <w:rPr>
          <w:lang w:val="fr-FR"/>
        </w:rPr>
        <w:t>septembre 2018 (UNEP/MC/COP.2/INF/18).</w:t>
      </w:r>
    </w:p>
    <w:p w14:paraId="2B8F24D1" w14:textId="708EB999" w:rsidR="0001627D" w:rsidRPr="003253B8" w:rsidRDefault="00015D8E" w:rsidP="004508D3">
      <w:pPr>
        <w:pStyle w:val="Normalnumber"/>
        <w:numPr>
          <w:ilvl w:val="0"/>
          <w:numId w:val="1"/>
        </w:numPr>
        <w:rPr>
          <w:color w:val="000000" w:themeColor="text1"/>
          <w:lang w:val="fr-FR"/>
        </w:rPr>
      </w:pPr>
      <w:r w:rsidRPr="003253B8">
        <w:rPr>
          <w:lang w:val="fr-FR"/>
        </w:rPr>
        <w:t>Conformément à l</w:t>
      </w:r>
      <w:r w:rsidR="00FC14AB">
        <w:rPr>
          <w:lang w:val="fr-FR"/>
        </w:rPr>
        <w:t>’</w:t>
      </w:r>
      <w:r w:rsidR="0012501D">
        <w:rPr>
          <w:lang w:val="fr-FR"/>
        </w:rPr>
        <w:t>article </w:t>
      </w:r>
      <w:r w:rsidRPr="003253B8">
        <w:rPr>
          <w:lang w:val="fr-FR"/>
        </w:rPr>
        <w:t>20 du Règlement intérieur, le Bureau examinera les pouvoirs des représentant(e)s et fera rapport à ce sujet à la Conférence des Parties. En vertu de l</w:t>
      </w:r>
      <w:r w:rsidR="00FC14AB">
        <w:rPr>
          <w:lang w:val="fr-FR"/>
        </w:rPr>
        <w:t>’</w:t>
      </w:r>
      <w:r w:rsidR="0012501D">
        <w:rPr>
          <w:lang w:val="fr-FR"/>
        </w:rPr>
        <w:t>article </w:t>
      </w:r>
      <w:r w:rsidRPr="003253B8">
        <w:rPr>
          <w:lang w:val="fr-FR"/>
        </w:rPr>
        <w:t>21, les représentant(e)s ont le droit de participer provisoirement à la réunion en attendant que la Conférence des Parties statue sur leurs pouvoirs.</w:t>
      </w:r>
    </w:p>
    <w:p w14:paraId="4C6C1EDF" w14:textId="0BB20EAF" w:rsidR="003A1CBE" w:rsidRPr="003253B8" w:rsidRDefault="0012501D" w:rsidP="003A1CBE">
      <w:pPr>
        <w:pStyle w:val="CH2"/>
        <w:keepNext w:val="0"/>
        <w:keepLines w:val="0"/>
        <w:ind w:left="624" w:firstLine="0"/>
        <w:rPr>
          <w:color w:val="000000" w:themeColor="text1"/>
          <w:lang w:val="fr-FR"/>
        </w:rPr>
      </w:pPr>
      <w:r>
        <w:rPr>
          <w:bCs/>
          <w:lang w:val="fr-FR"/>
        </w:rPr>
        <w:t>Point </w:t>
      </w:r>
      <w:r w:rsidR="00CB6095" w:rsidRPr="003253B8">
        <w:rPr>
          <w:bCs/>
          <w:lang w:val="fr-FR"/>
        </w:rPr>
        <w:t>5</w:t>
      </w:r>
    </w:p>
    <w:p w14:paraId="79B602F3" w14:textId="5681CB96" w:rsidR="003A1CBE" w:rsidRPr="003253B8" w:rsidRDefault="003A1CBE" w:rsidP="003A1CBE">
      <w:pPr>
        <w:pStyle w:val="CH2"/>
        <w:keepNext w:val="0"/>
        <w:keepLines w:val="0"/>
        <w:ind w:left="624" w:firstLine="0"/>
        <w:rPr>
          <w:b w:val="0"/>
          <w:color w:val="000000" w:themeColor="text1"/>
          <w:lang w:val="fr-FR"/>
        </w:rPr>
      </w:pPr>
      <w:r w:rsidRPr="003253B8">
        <w:rPr>
          <w:bCs/>
          <w:lang w:val="fr-FR"/>
        </w:rPr>
        <w:t>Questions soumises à la Conférence des Parties pour examen ou décision</w:t>
      </w:r>
      <w:r w:rsidRPr="003253B8">
        <w:rPr>
          <w:lang w:val="fr-FR"/>
        </w:rPr>
        <w:t xml:space="preserve"> </w:t>
      </w:r>
    </w:p>
    <w:p w14:paraId="17F89913" w14:textId="3416042F" w:rsidR="0001627D" w:rsidRPr="003253B8" w:rsidRDefault="004E4976" w:rsidP="00BE5D37">
      <w:pPr>
        <w:pStyle w:val="Normalnumber"/>
        <w:numPr>
          <w:ilvl w:val="0"/>
          <w:numId w:val="1"/>
        </w:numPr>
        <w:rPr>
          <w:lang w:val="fr-FR"/>
        </w:rPr>
      </w:pPr>
      <w:r w:rsidRPr="003253B8">
        <w:rPr>
          <w:lang w:val="fr-FR"/>
        </w:rPr>
        <w:t>La Conférence des Parties a été chargée d</w:t>
      </w:r>
      <w:r w:rsidR="00FC14AB">
        <w:rPr>
          <w:lang w:val="fr-FR"/>
        </w:rPr>
        <w:t>’</w:t>
      </w:r>
      <w:r w:rsidRPr="003253B8">
        <w:rPr>
          <w:lang w:val="fr-FR"/>
        </w:rPr>
        <w:t>examiner un certain no</w:t>
      </w:r>
      <w:r w:rsidR="0012501D">
        <w:rPr>
          <w:lang w:val="fr-FR"/>
        </w:rPr>
        <w:t>mbre de questions à sa deuxième </w:t>
      </w:r>
      <w:r w:rsidRPr="003253B8">
        <w:rPr>
          <w:lang w:val="fr-FR"/>
        </w:rPr>
        <w:t xml:space="preserve">réunion, </w:t>
      </w:r>
      <w:r w:rsidR="00942FE9">
        <w:rPr>
          <w:lang w:val="fr-FR"/>
        </w:rPr>
        <w:t>inspirées</w:t>
      </w:r>
      <w:r w:rsidRPr="003253B8">
        <w:rPr>
          <w:lang w:val="fr-FR"/>
        </w:rPr>
        <w:t xml:space="preserve"> du texte de la Convention ou des d</w:t>
      </w:r>
      <w:r w:rsidR="0012501D">
        <w:rPr>
          <w:lang w:val="fr-FR"/>
        </w:rPr>
        <w:t>écisions adoptées à sa première </w:t>
      </w:r>
      <w:r w:rsidRPr="003253B8">
        <w:rPr>
          <w:lang w:val="fr-FR"/>
        </w:rPr>
        <w:t>ré</w:t>
      </w:r>
      <w:r w:rsidR="0012501D">
        <w:rPr>
          <w:lang w:val="fr-FR"/>
        </w:rPr>
        <w:t>union (UNEP/MC/COP.1/29, annexe </w:t>
      </w:r>
      <w:r w:rsidRPr="003253B8">
        <w:rPr>
          <w:lang w:val="fr-FR"/>
        </w:rPr>
        <w:t>I), comme indiqué ci-après. Les sous-points sont énumérés dans l</w:t>
      </w:r>
      <w:r w:rsidR="00FC14AB">
        <w:rPr>
          <w:lang w:val="fr-FR"/>
        </w:rPr>
        <w:t>’</w:t>
      </w:r>
      <w:r w:rsidRPr="003253B8">
        <w:rPr>
          <w:lang w:val="fr-FR"/>
        </w:rPr>
        <w:t>ordre utilisé dans l</w:t>
      </w:r>
      <w:r w:rsidR="00FC14AB">
        <w:rPr>
          <w:lang w:val="fr-FR"/>
        </w:rPr>
        <w:t>’</w:t>
      </w:r>
      <w:r w:rsidRPr="003253B8">
        <w:rPr>
          <w:lang w:val="fr-FR"/>
        </w:rPr>
        <w:t>ordre du jour provisoire, qui suit lui-même l</w:t>
      </w:r>
      <w:r w:rsidR="00FC14AB">
        <w:rPr>
          <w:lang w:val="fr-FR"/>
        </w:rPr>
        <w:t>’</w:t>
      </w:r>
      <w:r w:rsidRPr="003253B8">
        <w:rPr>
          <w:lang w:val="fr-FR"/>
        </w:rPr>
        <w:t>ordre des articles concernés de la Convention, lequel n</w:t>
      </w:r>
      <w:r w:rsidR="00FC14AB">
        <w:rPr>
          <w:lang w:val="fr-FR"/>
        </w:rPr>
        <w:t>’</w:t>
      </w:r>
      <w:r w:rsidRPr="003253B8">
        <w:rPr>
          <w:lang w:val="fr-FR"/>
        </w:rPr>
        <w:t>est pas nécessairement l</w:t>
      </w:r>
      <w:r w:rsidR="00FC14AB">
        <w:rPr>
          <w:lang w:val="fr-FR"/>
        </w:rPr>
        <w:t>’</w:t>
      </w:r>
      <w:r w:rsidRPr="003253B8">
        <w:rPr>
          <w:lang w:val="fr-FR"/>
        </w:rPr>
        <w:t>ordre de priorité d</w:t>
      </w:r>
      <w:r w:rsidR="00FC14AB">
        <w:rPr>
          <w:lang w:val="fr-FR"/>
        </w:rPr>
        <w:t>’</w:t>
      </w:r>
      <w:r w:rsidRPr="003253B8">
        <w:rPr>
          <w:lang w:val="fr-FR"/>
        </w:rPr>
        <w:t xml:space="preserve">examen par la Conférence des Parties. </w:t>
      </w:r>
    </w:p>
    <w:p w14:paraId="018D2AD7" w14:textId="467E8444" w:rsidR="003A1CBE" w:rsidRPr="003253B8" w:rsidRDefault="0012501D" w:rsidP="003A1CBE">
      <w:pPr>
        <w:pStyle w:val="CH3"/>
        <w:rPr>
          <w:lang w:val="fr-FR"/>
        </w:rPr>
      </w:pPr>
      <w:r>
        <w:rPr>
          <w:lang w:val="fr-FR"/>
        </w:rPr>
        <w:tab/>
      </w:r>
      <w:r w:rsidR="003A1CBE" w:rsidRPr="003253B8">
        <w:rPr>
          <w:lang w:val="fr-FR"/>
        </w:rPr>
        <w:t>a)</w:t>
      </w:r>
      <w:r w:rsidR="003A1CBE" w:rsidRPr="003253B8">
        <w:rPr>
          <w:lang w:val="fr-FR"/>
        </w:rPr>
        <w:tab/>
      </w:r>
      <w:r w:rsidR="003A1CBE" w:rsidRPr="003253B8">
        <w:rPr>
          <w:bCs/>
          <w:lang w:val="fr-FR"/>
        </w:rPr>
        <w:t>Rejets</w:t>
      </w:r>
    </w:p>
    <w:p w14:paraId="249039B2" w14:textId="30B3D641" w:rsidR="00FC2B3D" w:rsidRPr="003253B8" w:rsidRDefault="00F72EE8" w:rsidP="00F72EE8">
      <w:pPr>
        <w:pStyle w:val="Normalnumber"/>
        <w:numPr>
          <w:ilvl w:val="0"/>
          <w:numId w:val="1"/>
        </w:numPr>
        <w:rPr>
          <w:lang w:val="fr-FR"/>
        </w:rPr>
      </w:pPr>
      <w:r w:rsidRPr="003253B8">
        <w:rPr>
          <w:lang w:val="fr-FR"/>
        </w:rPr>
        <w:t>L</w:t>
      </w:r>
      <w:r w:rsidR="00FC14AB">
        <w:rPr>
          <w:lang w:val="fr-FR"/>
        </w:rPr>
        <w:t>’</w:t>
      </w:r>
      <w:r w:rsidR="0012501D">
        <w:rPr>
          <w:lang w:val="fr-FR"/>
        </w:rPr>
        <w:t>article </w:t>
      </w:r>
      <w:r w:rsidRPr="003253B8">
        <w:rPr>
          <w:lang w:val="fr-FR"/>
        </w:rPr>
        <w:t>9 de la Convention prévoit que la Conférence des Parties adopte, dès que possible, des orientations concernant les meilleures techniques disponibles et les meilleures pratiques environnementales, en tenant compte des différences entre les nouvelles sources et les sources existantes ainsi que de la nécessité de réduire au minimum les effets e</w:t>
      </w:r>
      <w:r w:rsidR="005C1448">
        <w:rPr>
          <w:lang w:val="fr-FR"/>
        </w:rPr>
        <w:t>ntre différents milieux, et </w:t>
      </w:r>
      <w:r w:rsidR="0012501D">
        <w:rPr>
          <w:lang w:val="fr-FR"/>
        </w:rPr>
        <w:t>des </w:t>
      </w:r>
      <w:r w:rsidRPr="003253B8">
        <w:rPr>
          <w:lang w:val="fr-FR"/>
        </w:rPr>
        <w:t>orientations concernant la méthode à suivre pour établir les invent</w:t>
      </w:r>
      <w:r w:rsidR="0012501D">
        <w:rPr>
          <w:lang w:val="fr-FR"/>
        </w:rPr>
        <w:t>aires des rejets. À sa première </w:t>
      </w:r>
      <w:r w:rsidRPr="003253B8">
        <w:rPr>
          <w:lang w:val="fr-FR"/>
        </w:rPr>
        <w:t>réunion, la Conférence des Parties s</w:t>
      </w:r>
      <w:r w:rsidR="00FC14AB">
        <w:rPr>
          <w:lang w:val="fr-FR"/>
        </w:rPr>
        <w:t>’</w:t>
      </w:r>
      <w:r w:rsidRPr="003253B8">
        <w:rPr>
          <w:lang w:val="fr-FR"/>
        </w:rPr>
        <w:t>est penchée sur la question de l</w:t>
      </w:r>
      <w:r w:rsidR="00FC14AB">
        <w:rPr>
          <w:lang w:val="fr-FR"/>
        </w:rPr>
        <w:t>’</w:t>
      </w:r>
      <w:r w:rsidRPr="003253B8">
        <w:rPr>
          <w:lang w:val="fr-FR"/>
        </w:rPr>
        <w:t>élaboration de ces or</w:t>
      </w:r>
      <w:r w:rsidR="0012501D">
        <w:rPr>
          <w:lang w:val="fr-FR"/>
        </w:rPr>
        <w:t>ientations et, dans sa décision </w:t>
      </w:r>
      <w:r w:rsidRPr="003253B8">
        <w:rPr>
          <w:lang w:val="fr-FR"/>
        </w:rPr>
        <w:t xml:space="preserve">MC-1/17, a engagé les Parties à recenser dès que possible les sources </w:t>
      </w:r>
      <w:r w:rsidRPr="003253B8">
        <w:rPr>
          <w:lang w:val="fr-FR"/>
        </w:rPr>
        <w:lastRenderedPageBreak/>
        <w:t>ponctuelles pertinentes au niveau nationa</w:t>
      </w:r>
      <w:r w:rsidR="005C1448">
        <w:rPr>
          <w:lang w:val="fr-FR"/>
        </w:rPr>
        <w:t>l, conformément aux paragraphes </w:t>
      </w:r>
      <w:r w:rsidRPr="003253B8">
        <w:rPr>
          <w:lang w:val="fr-FR"/>
        </w:rPr>
        <w:t>2</w:t>
      </w:r>
      <w:r w:rsidR="005C1448">
        <w:rPr>
          <w:lang w:val="fr-FR"/>
        </w:rPr>
        <w:t> </w:t>
      </w:r>
      <w:r w:rsidRPr="003253B8">
        <w:rPr>
          <w:lang w:val="fr-FR"/>
        </w:rPr>
        <w:t>b) et 3 de l</w:t>
      </w:r>
      <w:r w:rsidR="00FC14AB">
        <w:rPr>
          <w:lang w:val="fr-FR"/>
        </w:rPr>
        <w:t>’</w:t>
      </w:r>
      <w:r w:rsidRPr="003253B8">
        <w:rPr>
          <w:lang w:val="fr-FR"/>
        </w:rPr>
        <w:t>article</w:t>
      </w:r>
      <w:r w:rsidR="005C1448">
        <w:rPr>
          <w:lang w:val="fr-FR"/>
        </w:rPr>
        <w:t> </w:t>
      </w:r>
      <w:r w:rsidRPr="003253B8">
        <w:rPr>
          <w:lang w:val="fr-FR"/>
        </w:rPr>
        <w:t xml:space="preserve">9, et à présenter au secrétariat des informations sur les sources pertinentes recensées. </w:t>
      </w:r>
    </w:p>
    <w:p w14:paraId="228E83F6" w14:textId="017871EC" w:rsidR="007F3BF5" w:rsidRPr="003253B8" w:rsidRDefault="00BD400C" w:rsidP="00A96698">
      <w:pPr>
        <w:pStyle w:val="Normalnumber"/>
        <w:numPr>
          <w:ilvl w:val="0"/>
          <w:numId w:val="1"/>
        </w:numPr>
        <w:rPr>
          <w:lang w:val="fr-FR"/>
        </w:rPr>
      </w:pPr>
      <w:r w:rsidRPr="003253B8">
        <w:rPr>
          <w:lang w:val="fr-FR"/>
        </w:rPr>
        <w:t>La Conférence des Parties est saisie d</w:t>
      </w:r>
      <w:r w:rsidR="00FC14AB">
        <w:rPr>
          <w:lang w:val="fr-FR"/>
        </w:rPr>
        <w:t>’</w:t>
      </w:r>
      <w:r w:rsidRPr="003253B8">
        <w:rPr>
          <w:lang w:val="fr-FR"/>
        </w:rPr>
        <w:t>une note du secrétariat sur les orientations concernant les rejets de mercure (UNEP/MC/COP.2/4/Rev.1). À la suite d</w:t>
      </w:r>
      <w:r w:rsidR="00FC14AB">
        <w:rPr>
          <w:lang w:val="fr-FR"/>
        </w:rPr>
        <w:t>’</w:t>
      </w:r>
      <w:r w:rsidRPr="003253B8">
        <w:rPr>
          <w:lang w:val="fr-FR"/>
        </w:rPr>
        <w:t>un appel à contributions, des communi</w:t>
      </w:r>
      <w:r w:rsidR="005C1448">
        <w:rPr>
          <w:lang w:val="fr-FR"/>
        </w:rPr>
        <w:t>cations ont été reçues de trois </w:t>
      </w:r>
      <w:r w:rsidRPr="003253B8">
        <w:rPr>
          <w:lang w:val="fr-FR"/>
        </w:rPr>
        <w:t>Parties, dont l</w:t>
      </w:r>
      <w:r w:rsidR="00FC14AB">
        <w:rPr>
          <w:lang w:val="fr-FR"/>
        </w:rPr>
        <w:t>’</w:t>
      </w:r>
      <w:r w:rsidRPr="003253B8">
        <w:rPr>
          <w:lang w:val="fr-FR"/>
        </w:rPr>
        <w:t>une recensait des sources de rejets susceptibles d</w:t>
      </w:r>
      <w:r w:rsidR="00FC14AB">
        <w:rPr>
          <w:lang w:val="fr-FR"/>
        </w:rPr>
        <w:t>’</w:t>
      </w:r>
      <w:r w:rsidRPr="003253B8">
        <w:rPr>
          <w:lang w:val="fr-FR"/>
        </w:rPr>
        <w:t>être pertinentes. La Conférence des Parties souhaitera donc peut-être reporter les travaux d</w:t>
      </w:r>
      <w:r w:rsidR="00FC14AB">
        <w:rPr>
          <w:lang w:val="fr-FR"/>
        </w:rPr>
        <w:t>’</w:t>
      </w:r>
      <w:r w:rsidRPr="003253B8">
        <w:rPr>
          <w:lang w:val="fr-FR"/>
        </w:rPr>
        <w:t>élaboration des orientations jusqu</w:t>
      </w:r>
      <w:r w:rsidR="00FC14AB">
        <w:rPr>
          <w:lang w:val="fr-FR"/>
        </w:rPr>
        <w:t>’</w:t>
      </w:r>
      <w:r w:rsidRPr="003253B8">
        <w:rPr>
          <w:lang w:val="fr-FR"/>
        </w:rPr>
        <w:t>à ce que les premiers rapports complets des Parties soient soumis, conformément à l</w:t>
      </w:r>
      <w:r w:rsidR="00FC14AB">
        <w:rPr>
          <w:lang w:val="fr-FR"/>
        </w:rPr>
        <w:t>’</w:t>
      </w:r>
      <w:r w:rsidR="005C1448">
        <w:rPr>
          <w:lang w:val="fr-FR"/>
        </w:rPr>
        <w:t>article 2</w:t>
      </w:r>
      <w:r w:rsidRPr="003253B8">
        <w:rPr>
          <w:lang w:val="fr-FR"/>
        </w:rPr>
        <w:t>1, le 31</w:t>
      </w:r>
      <w:r w:rsidR="005C1448">
        <w:rPr>
          <w:lang w:val="fr-FR"/>
        </w:rPr>
        <w:t> </w:t>
      </w:r>
      <w:r w:rsidRPr="003253B8">
        <w:rPr>
          <w:lang w:val="fr-FR"/>
        </w:rPr>
        <w:t>décembre 2021 au plus tard. Les Parties souhaiteront peut-être communiquer les informations utiles au secrétariat à mesure qu</w:t>
      </w:r>
      <w:r w:rsidR="00FC14AB">
        <w:rPr>
          <w:lang w:val="fr-FR"/>
        </w:rPr>
        <w:t>’</w:t>
      </w:r>
      <w:r w:rsidRPr="003253B8">
        <w:rPr>
          <w:lang w:val="fr-FR"/>
        </w:rPr>
        <w:t>elles seront disponibles et la Conférence des Parties souhaitera peut-être ex</w:t>
      </w:r>
      <w:r w:rsidR="00D3165C">
        <w:rPr>
          <w:lang w:val="fr-FR"/>
        </w:rPr>
        <w:t>aminer à nouveau la question à l</w:t>
      </w:r>
      <w:r w:rsidR="00FC14AB">
        <w:rPr>
          <w:lang w:val="fr-FR"/>
        </w:rPr>
        <w:t>’</w:t>
      </w:r>
      <w:r w:rsidR="00D3165C">
        <w:rPr>
          <w:lang w:val="fr-FR"/>
        </w:rPr>
        <w:t>occasion de la</w:t>
      </w:r>
      <w:r w:rsidRPr="003253B8">
        <w:rPr>
          <w:lang w:val="fr-FR"/>
        </w:rPr>
        <w:t xml:space="preserve"> première réunion </w:t>
      </w:r>
      <w:r w:rsidR="00D3165C">
        <w:rPr>
          <w:lang w:val="fr-FR"/>
        </w:rPr>
        <w:t>qu</w:t>
      </w:r>
      <w:r w:rsidR="00FC14AB">
        <w:rPr>
          <w:lang w:val="fr-FR"/>
        </w:rPr>
        <w:t>’</w:t>
      </w:r>
      <w:r w:rsidR="00D3165C">
        <w:rPr>
          <w:lang w:val="fr-FR"/>
        </w:rPr>
        <w:t xml:space="preserve">elle </w:t>
      </w:r>
      <w:r w:rsidRPr="003253B8">
        <w:rPr>
          <w:lang w:val="fr-FR"/>
        </w:rPr>
        <w:t xml:space="preserve">tiendra après la présentation des rapports complets. </w:t>
      </w:r>
    </w:p>
    <w:p w14:paraId="540B9ADA" w14:textId="6028F38C" w:rsidR="007F3BF5" w:rsidRPr="003253B8" w:rsidRDefault="005C1448" w:rsidP="007F3BF5">
      <w:pPr>
        <w:pStyle w:val="CH3"/>
        <w:rPr>
          <w:lang w:val="fr-FR"/>
        </w:rPr>
      </w:pPr>
      <w:r>
        <w:rPr>
          <w:lang w:val="fr-FR"/>
        </w:rPr>
        <w:tab/>
      </w:r>
      <w:r w:rsidR="007F3BF5" w:rsidRPr="003253B8">
        <w:rPr>
          <w:lang w:val="fr-FR"/>
        </w:rPr>
        <w:t>b)</w:t>
      </w:r>
      <w:r w:rsidR="007F3BF5" w:rsidRPr="003253B8">
        <w:rPr>
          <w:lang w:val="fr-FR"/>
        </w:rPr>
        <w:tab/>
      </w:r>
      <w:r w:rsidR="007F3BF5" w:rsidRPr="003253B8">
        <w:rPr>
          <w:bCs/>
          <w:lang w:val="fr-FR"/>
        </w:rPr>
        <w:t>Stockage provisoire écologiquement rationnel du mercure, à l</w:t>
      </w:r>
      <w:r w:rsidR="00FC14AB">
        <w:rPr>
          <w:bCs/>
          <w:lang w:val="fr-FR"/>
        </w:rPr>
        <w:t>’</w:t>
      </w:r>
      <w:r w:rsidR="007F3BF5" w:rsidRPr="003253B8">
        <w:rPr>
          <w:bCs/>
          <w:lang w:val="fr-FR"/>
        </w:rPr>
        <w:t>exclusion des</w:t>
      </w:r>
      <w:r>
        <w:rPr>
          <w:bCs/>
          <w:lang w:val="fr-FR"/>
        </w:rPr>
        <w:t xml:space="preserve"> déchets de </w:t>
      </w:r>
      <w:r w:rsidR="007F3BF5" w:rsidRPr="003253B8">
        <w:rPr>
          <w:bCs/>
          <w:lang w:val="fr-FR"/>
        </w:rPr>
        <w:t>mercure</w:t>
      </w:r>
    </w:p>
    <w:p w14:paraId="4AD34667" w14:textId="27B867C4" w:rsidR="00A96698" w:rsidRPr="003253B8" w:rsidRDefault="00FD02C9" w:rsidP="0055005F">
      <w:pPr>
        <w:pStyle w:val="Normalnumber"/>
        <w:numPr>
          <w:ilvl w:val="0"/>
          <w:numId w:val="1"/>
        </w:numPr>
        <w:suppressAutoHyphens/>
        <w:autoSpaceDN w:val="0"/>
        <w:textAlignment w:val="baseline"/>
        <w:rPr>
          <w:bCs/>
          <w:lang w:val="fr-FR"/>
        </w:rPr>
      </w:pPr>
      <w:r w:rsidRPr="003253B8">
        <w:rPr>
          <w:lang w:val="fr-FR"/>
        </w:rPr>
        <w:t>L</w:t>
      </w:r>
      <w:r w:rsidR="00FC14AB">
        <w:rPr>
          <w:lang w:val="fr-FR"/>
        </w:rPr>
        <w:t>’</w:t>
      </w:r>
      <w:r w:rsidR="009D2B34">
        <w:rPr>
          <w:lang w:val="fr-FR"/>
        </w:rPr>
        <w:t>article </w:t>
      </w:r>
      <w:r w:rsidRPr="003253B8">
        <w:rPr>
          <w:lang w:val="fr-FR"/>
        </w:rPr>
        <w:t>10 de la Convention dispose que la Conférence des Parties adopte des directives concernant le stockage provisoire écologiquement rationnel du mercure et des composés du mercure, en tenant compte de toute directive élaborée à ce sujet dans le cadre de la Convention de Bâle sur le contrôle des mouvements transfrontières de déchets dangereux et de leur élimination et d</w:t>
      </w:r>
      <w:r w:rsidR="00FC14AB">
        <w:rPr>
          <w:lang w:val="fr-FR"/>
        </w:rPr>
        <w:t>’</w:t>
      </w:r>
      <w:r w:rsidRPr="003253B8">
        <w:rPr>
          <w:lang w:val="fr-FR"/>
        </w:rPr>
        <w:t>autres orientat</w:t>
      </w:r>
      <w:r w:rsidR="00DA68D6">
        <w:rPr>
          <w:lang w:val="fr-FR"/>
        </w:rPr>
        <w:t>ions pertinentes. À sa première </w:t>
      </w:r>
      <w:r w:rsidRPr="003253B8">
        <w:rPr>
          <w:lang w:val="fr-FR"/>
        </w:rPr>
        <w:t>réunion, la Conférence des Parties s</w:t>
      </w:r>
      <w:r w:rsidR="00FC14AB">
        <w:rPr>
          <w:lang w:val="fr-FR"/>
        </w:rPr>
        <w:t>’</w:t>
      </w:r>
      <w:r w:rsidRPr="003253B8">
        <w:rPr>
          <w:lang w:val="fr-FR"/>
        </w:rPr>
        <w:t>est intéressée à l</w:t>
      </w:r>
      <w:r w:rsidR="00FC14AB">
        <w:rPr>
          <w:lang w:val="fr-FR"/>
        </w:rPr>
        <w:t>’</w:t>
      </w:r>
      <w:r w:rsidRPr="003253B8">
        <w:rPr>
          <w:lang w:val="fr-FR"/>
        </w:rPr>
        <w:t>élaboration de ces directives et a prié le secrétariat de procéder à une nouvelle révision du projet de di</w:t>
      </w:r>
      <w:r w:rsidR="00D3165C">
        <w:rPr>
          <w:lang w:val="fr-FR"/>
        </w:rPr>
        <w:t>rectives présenté à la réunion.</w:t>
      </w:r>
    </w:p>
    <w:p w14:paraId="5683489E" w14:textId="503AD77D" w:rsidR="00A113E0" w:rsidRPr="003253B8" w:rsidRDefault="00A96698" w:rsidP="0092633D">
      <w:pPr>
        <w:pStyle w:val="Normalnumber"/>
        <w:numPr>
          <w:ilvl w:val="0"/>
          <w:numId w:val="1"/>
        </w:numPr>
        <w:suppressAutoHyphens/>
        <w:autoSpaceDN w:val="0"/>
        <w:textAlignment w:val="baseline"/>
        <w:rPr>
          <w:bCs/>
          <w:lang w:val="fr-FR"/>
        </w:rPr>
      </w:pPr>
      <w:r w:rsidRPr="003253B8">
        <w:rPr>
          <w:lang w:val="fr-FR"/>
        </w:rPr>
        <w:t>Le secrétariat s</w:t>
      </w:r>
      <w:r w:rsidR="00FC14AB">
        <w:rPr>
          <w:lang w:val="fr-FR"/>
        </w:rPr>
        <w:t>’</w:t>
      </w:r>
      <w:r w:rsidRPr="003253B8">
        <w:rPr>
          <w:lang w:val="fr-FR"/>
        </w:rPr>
        <w:t xml:space="preserve">est exécuté et le projet de directives révisé figure dans le document UNEP/MC/COP.2/5 pour examen et adoption éventuelle par la Conférence des Parties. </w:t>
      </w:r>
    </w:p>
    <w:p w14:paraId="70EC62A6" w14:textId="74D92630" w:rsidR="003A1CBE" w:rsidRPr="003253B8" w:rsidRDefault="00DA68D6" w:rsidP="001F273D">
      <w:pPr>
        <w:pStyle w:val="CH3"/>
        <w:rPr>
          <w:lang w:val="fr-FR"/>
        </w:rPr>
      </w:pPr>
      <w:r>
        <w:rPr>
          <w:lang w:val="fr-FR"/>
        </w:rPr>
        <w:tab/>
      </w:r>
      <w:r w:rsidR="003A1CBE" w:rsidRPr="003253B8">
        <w:rPr>
          <w:lang w:val="fr-FR"/>
        </w:rPr>
        <w:t>c)</w:t>
      </w:r>
      <w:r w:rsidR="003A1CBE" w:rsidRPr="003253B8">
        <w:rPr>
          <w:lang w:val="fr-FR"/>
        </w:rPr>
        <w:tab/>
      </w:r>
      <w:r w:rsidR="003A1CBE" w:rsidRPr="003253B8">
        <w:rPr>
          <w:bCs/>
          <w:lang w:val="fr-FR"/>
        </w:rPr>
        <w:t>Déchets de mercure, en particulier examen des seuils pertinents</w:t>
      </w:r>
    </w:p>
    <w:p w14:paraId="061CE2DD" w14:textId="78306E2D" w:rsidR="002B61AB" w:rsidRPr="003253B8" w:rsidRDefault="00355AD6" w:rsidP="00613D68">
      <w:pPr>
        <w:pStyle w:val="Normalnumber"/>
        <w:numPr>
          <w:ilvl w:val="0"/>
          <w:numId w:val="1"/>
        </w:numPr>
        <w:suppressAutoHyphens/>
        <w:autoSpaceDN w:val="0"/>
        <w:spacing w:after="139"/>
        <w:textAlignment w:val="baseline"/>
        <w:rPr>
          <w:lang w:val="fr-FR"/>
        </w:rPr>
      </w:pPr>
      <w:r w:rsidRPr="003253B8">
        <w:rPr>
          <w:lang w:val="fr-FR"/>
        </w:rPr>
        <w:t>L</w:t>
      </w:r>
      <w:r w:rsidR="00FC14AB">
        <w:rPr>
          <w:lang w:val="fr-FR"/>
        </w:rPr>
        <w:t>’</w:t>
      </w:r>
      <w:r w:rsidR="00DA68D6">
        <w:rPr>
          <w:lang w:val="fr-FR"/>
        </w:rPr>
        <w:t>article </w:t>
      </w:r>
      <w:r w:rsidRPr="003253B8">
        <w:rPr>
          <w:lang w:val="fr-FR"/>
        </w:rPr>
        <w:t>11 de la Convention prévoit que la Conférence des Parties définira des seuils pertinents pour les déchets de mercure, en collaboration avec les organes compétents de la Co</w:t>
      </w:r>
      <w:r w:rsidR="00DA68D6">
        <w:rPr>
          <w:lang w:val="fr-FR"/>
        </w:rPr>
        <w:t>nvention de Bâle. À sa première </w:t>
      </w:r>
      <w:r w:rsidRPr="003253B8">
        <w:rPr>
          <w:lang w:val="fr-FR"/>
        </w:rPr>
        <w:t xml:space="preserve">réunion, la Conférence des Parties a examiné la question et mis en place un processus ouvert. </w:t>
      </w:r>
    </w:p>
    <w:p w14:paraId="77852E68" w14:textId="4C10C9F9" w:rsidR="00FD02C9" w:rsidRPr="003253B8" w:rsidRDefault="00F330F6" w:rsidP="00355AD6">
      <w:pPr>
        <w:pStyle w:val="Normalnumber"/>
        <w:numPr>
          <w:ilvl w:val="0"/>
          <w:numId w:val="1"/>
        </w:numPr>
        <w:suppressAutoHyphens/>
        <w:autoSpaceDN w:val="0"/>
        <w:spacing w:after="139"/>
        <w:textAlignment w:val="baseline"/>
        <w:rPr>
          <w:lang w:val="fr-FR"/>
        </w:rPr>
      </w:pPr>
      <w:r w:rsidRPr="003253B8">
        <w:rPr>
          <w:lang w:val="fr-FR"/>
        </w:rPr>
        <w:t>Un rapport sur les résultats de ce processus figure dans le document UNEP/MC/COP.2/6 et les informations soumises par les experts désignés qui peuvent contribuer à l</w:t>
      </w:r>
      <w:r w:rsidR="00FC14AB">
        <w:rPr>
          <w:lang w:val="fr-FR"/>
        </w:rPr>
        <w:t>’</w:t>
      </w:r>
      <w:r w:rsidRPr="003253B8">
        <w:rPr>
          <w:lang w:val="fr-FR"/>
        </w:rPr>
        <w:t>établissement des seuils applicables aux déchets de mercure sont compilées dans l</w:t>
      </w:r>
      <w:r w:rsidR="00FC14AB">
        <w:rPr>
          <w:lang w:val="fr-FR"/>
        </w:rPr>
        <w:t>’</w:t>
      </w:r>
      <w:r w:rsidRPr="003253B8">
        <w:rPr>
          <w:lang w:val="fr-FR"/>
        </w:rPr>
        <w:t>annexe du document UNEP/MC/COP.2/INF/10. La Conférence des Parties souhaitera peut-être faire le point sur les travaux menés dans le cadre du processus ouvert et décider de nouvelles mesures compte tenu des modalités les plus efficaces pour déterminer les seuils pertinents, y compris les travaux qu</w:t>
      </w:r>
      <w:r w:rsidR="00FC14AB">
        <w:rPr>
          <w:lang w:val="fr-FR"/>
        </w:rPr>
        <w:t>’</w:t>
      </w:r>
      <w:r w:rsidRPr="003253B8">
        <w:rPr>
          <w:lang w:val="fr-FR"/>
        </w:rPr>
        <w:t>il reste à faire pour établir les seuils applicables aux déchets de mercure, tels qu</w:t>
      </w:r>
      <w:r w:rsidR="00FC14AB">
        <w:rPr>
          <w:lang w:val="fr-FR"/>
        </w:rPr>
        <w:t>’</w:t>
      </w:r>
      <w:r w:rsidRPr="003253B8">
        <w:rPr>
          <w:lang w:val="fr-FR"/>
        </w:rPr>
        <w:t>indiqués par les experts et décrits dans l</w:t>
      </w:r>
      <w:r w:rsidR="00FC14AB">
        <w:rPr>
          <w:lang w:val="fr-FR"/>
        </w:rPr>
        <w:t>’</w:t>
      </w:r>
      <w:r w:rsidRPr="003253B8">
        <w:rPr>
          <w:lang w:val="fr-FR"/>
        </w:rPr>
        <w:t xml:space="preserve">annexe du document UNEP/MC/COP.2/6. </w:t>
      </w:r>
    </w:p>
    <w:p w14:paraId="515BC08D" w14:textId="2DAA2482" w:rsidR="003A1CBE" w:rsidRPr="003253B8" w:rsidRDefault="00DA68D6" w:rsidP="001F273D">
      <w:pPr>
        <w:pStyle w:val="CH3"/>
        <w:rPr>
          <w:lang w:val="fr-FR"/>
        </w:rPr>
      </w:pPr>
      <w:r>
        <w:rPr>
          <w:lang w:val="fr-FR"/>
        </w:rPr>
        <w:tab/>
      </w:r>
      <w:r w:rsidR="003A1CBE" w:rsidRPr="003253B8">
        <w:rPr>
          <w:lang w:val="fr-FR"/>
        </w:rPr>
        <w:t>d)</w:t>
      </w:r>
      <w:r w:rsidR="001B1A73">
        <w:rPr>
          <w:lang w:val="fr-FR"/>
        </w:rPr>
        <w:tab/>
      </w:r>
      <w:r w:rsidR="003A1CBE" w:rsidRPr="003253B8">
        <w:rPr>
          <w:bCs/>
          <w:lang w:val="fr-FR"/>
        </w:rPr>
        <w:t>Orientations sur la gestion des sites contaminés</w:t>
      </w:r>
    </w:p>
    <w:p w14:paraId="7BE0751F" w14:textId="41480445" w:rsidR="00087CBF" w:rsidRPr="003253B8" w:rsidRDefault="009032B3" w:rsidP="00613D68">
      <w:pPr>
        <w:pStyle w:val="Normalnumber"/>
        <w:suppressAutoHyphens/>
        <w:autoSpaceDN w:val="0"/>
        <w:textAlignment w:val="baseline"/>
        <w:rPr>
          <w:iCs/>
          <w:lang w:val="fr-FR"/>
        </w:rPr>
      </w:pPr>
      <w:r w:rsidRPr="003253B8">
        <w:rPr>
          <w:lang w:val="fr-FR"/>
        </w:rPr>
        <w:t>L</w:t>
      </w:r>
      <w:r w:rsidR="00FC14AB">
        <w:rPr>
          <w:lang w:val="fr-FR"/>
        </w:rPr>
        <w:t>’</w:t>
      </w:r>
      <w:r w:rsidR="00FE4B99">
        <w:rPr>
          <w:lang w:val="fr-FR"/>
        </w:rPr>
        <w:t>article </w:t>
      </w:r>
      <w:r w:rsidRPr="003253B8">
        <w:rPr>
          <w:lang w:val="fr-FR"/>
        </w:rPr>
        <w:t>12 de la Convention prévoit que la Conférence des Parties adopte des orientations sur la gestion des sites contaminés. À sa première réunion, la Conférence des Parties s</w:t>
      </w:r>
      <w:r w:rsidR="00FC14AB">
        <w:rPr>
          <w:lang w:val="fr-FR"/>
        </w:rPr>
        <w:t>’</w:t>
      </w:r>
      <w:r w:rsidRPr="003253B8">
        <w:rPr>
          <w:lang w:val="fr-FR"/>
        </w:rPr>
        <w:t>est intéressée à l</w:t>
      </w:r>
      <w:r w:rsidR="00FC14AB">
        <w:rPr>
          <w:lang w:val="fr-FR"/>
        </w:rPr>
        <w:t>’</w:t>
      </w:r>
      <w:r w:rsidRPr="003253B8">
        <w:rPr>
          <w:lang w:val="fr-FR"/>
        </w:rPr>
        <w:t>élaboration de ces orientations et a prié le secrétariat d</w:t>
      </w:r>
      <w:r w:rsidR="00FC14AB">
        <w:rPr>
          <w:lang w:val="fr-FR"/>
        </w:rPr>
        <w:t>’</w:t>
      </w:r>
      <w:r w:rsidRPr="003253B8">
        <w:rPr>
          <w:lang w:val="fr-FR"/>
        </w:rPr>
        <w:t>établir un premier projet d</w:t>
      </w:r>
      <w:r w:rsidR="00FC14AB">
        <w:rPr>
          <w:lang w:val="fr-FR"/>
        </w:rPr>
        <w:t>’</w:t>
      </w:r>
      <w:r w:rsidRPr="003253B8">
        <w:rPr>
          <w:lang w:val="fr-FR"/>
        </w:rPr>
        <w:t>orientations sur les sites contaminés et de le distribuer par voie électronique aux experts désignés, lesquels devaient faire parvenir leurs observations au secrétariat. Pour élaborer le premier projet d</w:t>
      </w:r>
      <w:r w:rsidR="00FC14AB">
        <w:rPr>
          <w:lang w:val="fr-FR"/>
        </w:rPr>
        <w:t>’</w:t>
      </w:r>
      <w:r w:rsidRPr="003253B8">
        <w:rPr>
          <w:lang w:val="fr-FR"/>
        </w:rPr>
        <w:t>orientations, le secrétariat devait s</w:t>
      </w:r>
      <w:r w:rsidR="00FC14AB">
        <w:rPr>
          <w:lang w:val="fr-FR"/>
        </w:rPr>
        <w:t>’</w:t>
      </w:r>
      <w:r w:rsidRPr="003253B8">
        <w:rPr>
          <w:lang w:val="fr-FR"/>
        </w:rPr>
        <w:t>inspirer des informations communiquées et des travaux déjà effectués au sein d</w:t>
      </w:r>
      <w:r w:rsidR="00FC14AB">
        <w:rPr>
          <w:lang w:val="fr-FR"/>
        </w:rPr>
        <w:t>’</w:t>
      </w:r>
      <w:r w:rsidRPr="003253B8">
        <w:rPr>
          <w:lang w:val="fr-FR"/>
        </w:rPr>
        <w:t>autres instances et se fonder sur la structure et le contenu généraux des orientations approuvés par la Conférence des Parties.</w:t>
      </w:r>
    </w:p>
    <w:p w14:paraId="26A766B4" w14:textId="11A0D118" w:rsidR="00087CBF" w:rsidRPr="003253B8" w:rsidRDefault="0008063A" w:rsidP="00A05DAA">
      <w:pPr>
        <w:pStyle w:val="Normalnumber"/>
        <w:suppressAutoHyphens/>
        <w:autoSpaceDN w:val="0"/>
        <w:textAlignment w:val="baseline"/>
        <w:rPr>
          <w:lang w:val="fr-FR"/>
        </w:rPr>
      </w:pPr>
      <w:r w:rsidRPr="003253B8">
        <w:rPr>
          <w:lang w:val="fr-FR"/>
        </w:rPr>
        <w:t>Le projet d</w:t>
      </w:r>
      <w:r w:rsidR="00FC14AB">
        <w:rPr>
          <w:lang w:val="fr-FR"/>
        </w:rPr>
        <w:t>’</w:t>
      </w:r>
      <w:r w:rsidRPr="003253B8">
        <w:rPr>
          <w:lang w:val="fr-FR"/>
        </w:rPr>
        <w:t>orientations établi par le secrétariat en consultation avec les experts désignés figure dans l</w:t>
      </w:r>
      <w:r w:rsidR="00FC14AB">
        <w:rPr>
          <w:lang w:val="fr-FR"/>
        </w:rPr>
        <w:t>’</w:t>
      </w:r>
      <w:r w:rsidR="00FE4B99">
        <w:rPr>
          <w:lang w:val="fr-FR"/>
        </w:rPr>
        <w:t>annexe </w:t>
      </w:r>
      <w:r w:rsidRPr="003253B8">
        <w:rPr>
          <w:lang w:val="fr-FR"/>
        </w:rPr>
        <w:t>II du document UNEP/MC/COP.2/7. La deuxième phase de communication d</w:t>
      </w:r>
      <w:r w:rsidR="00FC14AB">
        <w:rPr>
          <w:lang w:val="fr-FR"/>
        </w:rPr>
        <w:t>’</w:t>
      </w:r>
      <w:r w:rsidRPr="003253B8">
        <w:rPr>
          <w:lang w:val="fr-FR"/>
        </w:rPr>
        <w:t>observations prévue dans la feuille de route pour l</w:t>
      </w:r>
      <w:r w:rsidR="00FC14AB">
        <w:rPr>
          <w:lang w:val="fr-FR"/>
        </w:rPr>
        <w:t>’</w:t>
      </w:r>
      <w:r w:rsidRPr="003253B8">
        <w:rPr>
          <w:lang w:val="fr-FR"/>
        </w:rPr>
        <w:t>élaboration du projet d</w:t>
      </w:r>
      <w:r w:rsidR="00FC14AB">
        <w:rPr>
          <w:lang w:val="fr-FR"/>
        </w:rPr>
        <w:t>’</w:t>
      </w:r>
      <w:r w:rsidRPr="003253B8">
        <w:rPr>
          <w:lang w:val="fr-FR"/>
        </w:rPr>
        <w:t>orientations n</w:t>
      </w:r>
      <w:r w:rsidR="00FC14AB">
        <w:rPr>
          <w:lang w:val="fr-FR"/>
        </w:rPr>
        <w:t>’</w:t>
      </w:r>
      <w:r w:rsidRPr="003253B8">
        <w:rPr>
          <w:lang w:val="fr-FR"/>
        </w:rPr>
        <w:t>ayant pu avoir lieu, la Conférence des Parties souhaitera peut-être examiner le projet d</w:t>
      </w:r>
      <w:r w:rsidR="00FC14AB">
        <w:rPr>
          <w:lang w:val="fr-FR"/>
        </w:rPr>
        <w:t>’</w:t>
      </w:r>
      <w:r w:rsidRPr="003253B8">
        <w:rPr>
          <w:lang w:val="fr-FR"/>
        </w:rPr>
        <w:t>orientations et la nécessité de poursuivre les travaux.</w:t>
      </w:r>
    </w:p>
    <w:p w14:paraId="15B7996B" w14:textId="20EF87B8" w:rsidR="003A1CBE" w:rsidRPr="003253B8" w:rsidRDefault="00FE4B99" w:rsidP="001F273D">
      <w:pPr>
        <w:pStyle w:val="CH3"/>
        <w:rPr>
          <w:lang w:val="fr-FR"/>
        </w:rPr>
      </w:pPr>
      <w:r>
        <w:rPr>
          <w:lang w:val="fr-FR"/>
        </w:rPr>
        <w:tab/>
      </w:r>
      <w:r w:rsidR="003A1CBE" w:rsidRPr="003253B8">
        <w:rPr>
          <w:lang w:val="fr-FR"/>
        </w:rPr>
        <w:t>e)</w:t>
      </w:r>
      <w:r w:rsidR="001B1A73">
        <w:rPr>
          <w:lang w:val="fr-FR"/>
        </w:rPr>
        <w:tab/>
      </w:r>
      <w:r w:rsidR="003A1CBE" w:rsidRPr="003253B8">
        <w:rPr>
          <w:bCs/>
          <w:lang w:val="fr-FR"/>
        </w:rPr>
        <w:t>Fonctionnement du mécanisme de financement</w:t>
      </w:r>
    </w:p>
    <w:p w14:paraId="4CD6B8BE" w14:textId="48207A2F" w:rsidR="00542EFF" w:rsidRPr="003253B8" w:rsidRDefault="00B25349" w:rsidP="00542EFF">
      <w:pPr>
        <w:pStyle w:val="Normalnumber"/>
        <w:spacing w:after="136"/>
        <w:rPr>
          <w:lang w:val="fr-FR"/>
        </w:rPr>
      </w:pPr>
      <w:r w:rsidRPr="003253B8">
        <w:rPr>
          <w:lang w:val="fr-FR"/>
        </w:rPr>
        <w:t>L</w:t>
      </w:r>
      <w:r w:rsidR="00FC14AB">
        <w:rPr>
          <w:lang w:val="fr-FR"/>
        </w:rPr>
        <w:t>’</w:t>
      </w:r>
      <w:r w:rsidR="00FE4B99">
        <w:rPr>
          <w:lang w:val="fr-FR"/>
        </w:rPr>
        <w:t>article </w:t>
      </w:r>
      <w:r w:rsidRPr="003253B8">
        <w:rPr>
          <w:lang w:val="fr-FR"/>
        </w:rPr>
        <w:t xml:space="preserve">13 de la Convention </w:t>
      </w:r>
      <w:r w:rsidR="00514C50">
        <w:rPr>
          <w:lang w:val="fr-FR"/>
        </w:rPr>
        <w:t>institue</w:t>
      </w:r>
      <w:r w:rsidRPr="003253B8">
        <w:rPr>
          <w:lang w:val="fr-FR"/>
        </w:rPr>
        <w:t xml:space="preserve"> un mécanisme destiné à fournir en temps voulu des ressources financières adéquates et prévisibles, qui comprend la Caisse du Fonds pour l</w:t>
      </w:r>
      <w:r w:rsidR="00FC14AB">
        <w:rPr>
          <w:lang w:val="fr-FR"/>
        </w:rPr>
        <w:t>’</w:t>
      </w:r>
      <w:r w:rsidRPr="003253B8">
        <w:rPr>
          <w:lang w:val="fr-FR"/>
        </w:rPr>
        <w:t>environnement mondial (FEM) et un programme international spécifique visant à soutenir le renforcement des capacités et l</w:t>
      </w:r>
      <w:r w:rsidR="00FC14AB">
        <w:rPr>
          <w:lang w:val="fr-FR"/>
        </w:rPr>
        <w:t>’</w:t>
      </w:r>
      <w:r w:rsidRPr="003253B8">
        <w:rPr>
          <w:lang w:val="fr-FR"/>
        </w:rPr>
        <w:t xml:space="preserve">assistance technique qui, aux fins de la Convention, sont placés sous la direction de la Conférence des Parties à laquelle ils rendent compte. </w:t>
      </w:r>
    </w:p>
    <w:p w14:paraId="08AF4C29" w14:textId="0A1599A8" w:rsidR="001F004A" w:rsidRPr="003253B8" w:rsidRDefault="00FE4B99" w:rsidP="00FE4B99">
      <w:pPr>
        <w:pStyle w:val="Normalnumber"/>
        <w:keepNext/>
        <w:keepLines/>
        <w:numPr>
          <w:ilvl w:val="0"/>
          <w:numId w:val="0"/>
        </w:numPr>
        <w:tabs>
          <w:tab w:val="left" w:pos="1247"/>
          <w:tab w:val="left" w:pos="1871"/>
          <w:tab w:val="left" w:pos="2495"/>
        </w:tabs>
        <w:ind w:left="624"/>
        <w:rPr>
          <w:b/>
          <w:bCs/>
          <w:lang w:val="fr-FR"/>
        </w:rPr>
      </w:pPr>
      <w:r w:rsidRPr="00A46ED1">
        <w:rPr>
          <w:b/>
          <w:lang w:val="fr-FR"/>
        </w:rPr>
        <w:t>i)</w:t>
      </w:r>
      <w:r w:rsidR="00864EDC" w:rsidRPr="003253B8">
        <w:rPr>
          <w:lang w:val="fr-FR"/>
        </w:rPr>
        <w:tab/>
      </w:r>
      <w:r w:rsidR="00864EDC" w:rsidRPr="003253B8">
        <w:rPr>
          <w:b/>
          <w:bCs/>
          <w:lang w:val="fr-FR"/>
        </w:rPr>
        <w:t>Fonds pour l</w:t>
      </w:r>
      <w:r w:rsidR="00FC14AB">
        <w:rPr>
          <w:b/>
          <w:bCs/>
          <w:lang w:val="fr-FR"/>
        </w:rPr>
        <w:t>’</w:t>
      </w:r>
      <w:r w:rsidR="00864EDC" w:rsidRPr="003253B8">
        <w:rPr>
          <w:b/>
          <w:bCs/>
          <w:lang w:val="fr-FR"/>
        </w:rPr>
        <w:t>environnement mondial</w:t>
      </w:r>
    </w:p>
    <w:p w14:paraId="70286034" w14:textId="047D28A6" w:rsidR="0036216E" w:rsidRPr="003253B8" w:rsidRDefault="00FE4B99" w:rsidP="00FE4B99">
      <w:pPr>
        <w:pStyle w:val="Normalnumber"/>
        <w:keepNext/>
        <w:keepLines/>
        <w:tabs>
          <w:tab w:val="clear" w:pos="624"/>
          <w:tab w:val="left" w:pos="1247"/>
          <w:tab w:val="left" w:pos="1814"/>
          <w:tab w:val="left" w:pos="2381"/>
          <w:tab w:val="left" w:pos="2948"/>
          <w:tab w:val="left" w:pos="3515"/>
          <w:tab w:val="left" w:pos="4082"/>
        </w:tabs>
        <w:spacing w:after="136"/>
        <w:rPr>
          <w:lang w:val="fr-FR"/>
        </w:rPr>
      </w:pPr>
      <w:r>
        <w:rPr>
          <w:lang w:val="fr-FR"/>
        </w:rPr>
        <w:t>Par sa décision </w:t>
      </w:r>
      <w:r w:rsidR="0036216E" w:rsidRPr="003253B8">
        <w:rPr>
          <w:lang w:val="fr-FR"/>
        </w:rPr>
        <w:t>MC-1/5, la Conférence des Parties a, à sa première réunion, adopté les orientations à l</w:t>
      </w:r>
      <w:r w:rsidR="00FC14AB">
        <w:rPr>
          <w:lang w:val="fr-FR"/>
        </w:rPr>
        <w:t>’</w:t>
      </w:r>
      <w:r w:rsidR="0036216E" w:rsidRPr="003253B8">
        <w:rPr>
          <w:lang w:val="fr-FR"/>
        </w:rPr>
        <w:t>intention du FEM sur les stratégies, politiques et priorités programmatiques globales ainsi que sur les conditions requises pour avoir accès aux ressources financières et utiliser ces dernières, et sur une liste indicative des catégories d</w:t>
      </w:r>
      <w:r w:rsidR="00FC14AB">
        <w:rPr>
          <w:lang w:val="fr-FR"/>
        </w:rPr>
        <w:t>’</w:t>
      </w:r>
      <w:r w:rsidR="0036216E" w:rsidRPr="003253B8">
        <w:rPr>
          <w:lang w:val="fr-FR"/>
        </w:rPr>
        <w:t>activités qui pourraient bénéficier du soutien de la Caisse du FEM. La Conférence des Parties a également examiné la question d</w:t>
      </w:r>
      <w:r w:rsidR="00FC14AB">
        <w:rPr>
          <w:lang w:val="fr-FR"/>
        </w:rPr>
        <w:t>’</w:t>
      </w:r>
      <w:r w:rsidR="0036216E" w:rsidRPr="003253B8">
        <w:rPr>
          <w:lang w:val="fr-FR"/>
        </w:rPr>
        <w:t>un projet de mémorandum d</w:t>
      </w:r>
      <w:r w:rsidR="00FC14AB">
        <w:rPr>
          <w:lang w:val="fr-FR"/>
        </w:rPr>
        <w:t>’</w:t>
      </w:r>
      <w:r w:rsidR="0036216E" w:rsidRPr="003253B8">
        <w:rPr>
          <w:lang w:val="fr-FR"/>
        </w:rPr>
        <w:t>accord entre elle</w:t>
      </w:r>
      <w:r w:rsidR="00514C50">
        <w:rPr>
          <w:lang w:val="fr-FR"/>
        </w:rPr>
        <w:t>-même</w:t>
      </w:r>
      <w:r w:rsidR="0036216E" w:rsidRPr="003253B8">
        <w:rPr>
          <w:lang w:val="fr-FR"/>
        </w:rPr>
        <w:t xml:space="preserve"> et le Conseil du FEM et a décidé de reporter l</w:t>
      </w:r>
      <w:r w:rsidR="00FC14AB">
        <w:rPr>
          <w:lang w:val="fr-FR"/>
        </w:rPr>
        <w:t>’</w:t>
      </w:r>
      <w:r w:rsidR="0036216E" w:rsidRPr="003253B8">
        <w:rPr>
          <w:lang w:val="fr-FR"/>
        </w:rPr>
        <w:t xml:space="preserve">examen de la </w:t>
      </w:r>
      <w:r w:rsidR="00514C50">
        <w:rPr>
          <w:lang w:val="fr-FR"/>
        </w:rPr>
        <w:t>question à sa deuxième réunion.</w:t>
      </w:r>
    </w:p>
    <w:p w14:paraId="2EA15AD5" w14:textId="25415A17" w:rsidR="00C6083A" w:rsidRPr="003253B8" w:rsidRDefault="00174BF3" w:rsidP="0036216E">
      <w:pPr>
        <w:pStyle w:val="Normalnumber"/>
        <w:rPr>
          <w:lang w:val="fr-FR"/>
        </w:rPr>
      </w:pPr>
      <w:r w:rsidRPr="003253B8">
        <w:rPr>
          <w:lang w:val="fr-FR"/>
        </w:rPr>
        <w:t>La Conférence des Parties est saisie d</w:t>
      </w:r>
      <w:r w:rsidR="00FC14AB">
        <w:rPr>
          <w:lang w:val="fr-FR"/>
        </w:rPr>
        <w:t>’</w:t>
      </w:r>
      <w:r w:rsidRPr="003253B8">
        <w:rPr>
          <w:lang w:val="fr-FR"/>
        </w:rPr>
        <w:t>une note faisant le point sur des questions relatives à la Caisse du FEM (UNEP/MC/COP.2/8), qui sera examinée en même temps que le rapport du FEM destiné à la Conférence des Parties à la Conve</w:t>
      </w:r>
      <w:r w:rsidR="006C27C3">
        <w:rPr>
          <w:lang w:val="fr-FR"/>
        </w:rPr>
        <w:t>ntion de Minamata à sa deuxième </w:t>
      </w:r>
      <w:r w:rsidRPr="003253B8">
        <w:rPr>
          <w:lang w:val="fr-FR"/>
        </w:rPr>
        <w:t>réunion (UNEP/MC/COP.2/INF/3, annexe). Compte tenu de l</w:t>
      </w:r>
      <w:r w:rsidR="00FC14AB">
        <w:rPr>
          <w:lang w:val="fr-FR"/>
        </w:rPr>
        <w:t>’</w:t>
      </w:r>
      <w:r w:rsidRPr="003253B8">
        <w:rPr>
          <w:lang w:val="fr-FR"/>
        </w:rPr>
        <w:t>obligation qui lui est faite à l</w:t>
      </w:r>
      <w:r w:rsidR="00FC14AB">
        <w:rPr>
          <w:lang w:val="fr-FR"/>
        </w:rPr>
        <w:t>’</w:t>
      </w:r>
      <w:r w:rsidR="006C27C3">
        <w:rPr>
          <w:lang w:val="fr-FR"/>
        </w:rPr>
        <w:t>article </w:t>
      </w:r>
      <w:r w:rsidRPr="003253B8">
        <w:rPr>
          <w:lang w:val="fr-FR"/>
        </w:rPr>
        <w:t>13 de la Convention d</w:t>
      </w:r>
      <w:r w:rsidR="00FC14AB">
        <w:rPr>
          <w:lang w:val="fr-FR"/>
        </w:rPr>
        <w:t>’</w:t>
      </w:r>
      <w:r w:rsidRPr="003253B8">
        <w:rPr>
          <w:lang w:val="fr-FR"/>
        </w:rPr>
        <w:t>examiner le mécanisme de financement institué en vertu dudit article au plus tard à sa troisième réunion, la Conférence des Parties souhaitera peut-être déterminer à sa deuxième réunion la manière selon laquelle elle examinera le vole</w:t>
      </w:r>
      <w:r w:rsidR="006C27C3">
        <w:rPr>
          <w:lang w:val="fr-FR"/>
        </w:rPr>
        <w:t>t « Caisse du FEM </w:t>
      </w:r>
      <w:r w:rsidRPr="003253B8">
        <w:rPr>
          <w:lang w:val="fr-FR"/>
        </w:rPr>
        <w:t>» ainsi que les informations nécessaires à un tel examen, et prier le FEM, le secrétariat de la Convention de Minamata et d</w:t>
      </w:r>
      <w:r w:rsidR="00FC14AB">
        <w:rPr>
          <w:lang w:val="fr-FR"/>
        </w:rPr>
        <w:t>’</w:t>
      </w:r>
      <w:r w:rsidRPr="003253B8">
        <w:rPr>
          <w:lang w:val="fr-FR"/>
        </w:rPr>
        <w:t>autres parties prenantes, s</w:t>
      </w:r>
      <w:r w:rsidR="00FC14AB">
        <w:rPr>
          <w:lang w:val="fr-FR"/>
        </w:rPr>
        <w:t>’</w:t>
      </w:r>
      <w:r w:rsidRPr="003253B8">
        <w:rPr>
          <w:lang w:val="fr-FR"/>
        </w:rPr>
        <w:t>il y a lieu, de fournir les informations nécessaires à l</w:t>
      </w:r>
      <w:r w:rsidR="00FC14AB">
        <w:rPr>
          <w:lang w:val="fr-FR"/>
        </w:rPr>
        <w:t>’</w:t>
      </w:r>
      <w:r w:rsidRPr="003253B8">
        <w:rPr>
          <w:lang w:val="fr-FR"/>
        </w:rPr>
        <w:t>examen de la q</w:t>
      </w:r>
      <w:r w:rsidR="00514C50">
        <w:rPr>
          <w:lang w:val="fr-FR"/>
        </w:rPr>
        <w:t>uestion à sa troisième réunion.</w:t>
      </w:r>
    </w:p>
    <w:p w14:paraId="2D699813" w14:textId="5E7C9F6A" w:rsidR="001F273D" w:rsidRPr="003253B8" w:rsidRDefault="00894699" w:rsidP="00894699">
      <w:pPr>
        <w:pStyle w:val="CH3"/>
      </w:pPr>
      <w:r>
        <w:tab/>
        <w:t>ii)</w:t>
      </w:r>
      <w:r w:rsidR="001F273D" w:rsidRPr="003253B8">
        <w:tab/>
        <w:t>Programme international spécifique visant à soutenir l</w:t>
      </w:r>
      <w:r>
        <w:t>e renforcement des capacités et </w:t>
      </w:r>
      <w:r w:rsidR="001F273D" w:rsidRPr="003253B8">
        <w:t>l</w:t>
      </w:r>
      <w:r w:rsidR="00FC14AB">
        <w:t>’</w:t>
      </w:r>
      <w:r w:rsidR="001F273D" w:rsidRPr="003253B8">
        <w:t>assistance technique</w:t>
      </w:r>
    </w:p>
    <w:p w14:paraId="2DB262DC" w14:textId="2B41042C" w:rsidR="009B3AA9" w:rsidRPr="003253B8" w:rsidRDefault="00894699" w:rsidP="00965925">
      <w:pPr>
        <w:pStyle w:val="Normalnumber"/>
        <w:numPr>
          <w:ilvl w:val="0"/>
          <w:numId w:val="14"/>
        </w:numPr>
        <w:rPr>
          <w:bCs/>
          <w:lang w:val="fr-FR"/>
        </w:rPr>
      </w:pPr>
      <w:r>
        <w:rPr>
          <w:lang w:val="fr-FR"/>
        </w:rPr>
        <w:t>À sa première </w:t>
      </w:r>
      <w:r w:rsidR="009B3AA9" w:rsidRPr="003253B8">
        <w:rPr>
          <w:lang w:val="fr-FR"/>
        </w:rPr>
        <w:t>réunion, la Conférence des Parties a décidé que le Programme des Nations Unies pour l</w:t>
      </w:r>
      <w:r w:rsidR="00FC14AB">
        <w:rPr>
          <w:lang w:val="fr-FR"/>
        </w:rPr>
        <w:t>’</w:t>
      </w:r>
      <w:r w:rsidR="009B3AA9" w:rsidRPr="003253B8">
        <w:rPr>
          <w:lang w:val="fr-FR"/>
        </w:rPr>
        <w:t>environnement (PNUE) accueillerait le Programme international spécifique et a approuvé les dispositions en matière d</w:t>
      </w:r>
      <w:r w:rsidR="00FC14AB">
        <w:rPr>
          <w:lang w:val="fr-FR"/>
        </w:rPr>
        <w:t>’</w:t>
      </w:r>
      <w:r w:rsidR="009B3AA9" w:rsidRPr="003253B8">
        <w:rPr>
          <w:lang w:val="fr-FR"/>
        </w:rPr>
        <w:t>accueil, les orientations relatives au fonctionnement et à la durée du Programme ainsi que son mandat. La Conférence des Parties a également prié le Directeur exécutif du PNUE de créer un fonds d</w:t>
      </w:r>
      <w:r w:rsidR="00FC14AB">
        <w:rPr>
          <w:lang w:val="fr-FR"/>
        </w:rPr>
        <w:t>’</w:t>
      </w:r>
      <w:r w:rsidR="009B3AA9" w:rsidRPr="003253B8">
        <w:rPr>
          <w:lang w:val="fr-FR"/>
        </w:rPr>
        <w:t>affectation spéciale destiné à financer le Programme et de mettre en œuvre les arrangements en matière de gouvernance.</w:t>
      </w:r>
    </w:p>
    <w:p w14:paraId="72DBD4B1" w14:textId="65692267" w:rsidR="009B3AA9" w:rsidRPr="003253B8" w:rsidRDefault="009B3AA9" w:rsidP="00400A5A">
      <w:pPr>
        <w:pStyle w:val="Normalnumber"/>
        <w:numPr>
          <w:ilvl w:val="0"/>
          <w:numId w:val="14"/>
        </w:numPr>
        <w:rPr>
          <w:lang w:val="fr-FR"/>
        </w:rPr>
      </w:pPr>
      <w:r w:rsidRPr="003253B8">
        <w:rPr>
          <w:lang w:val="fr-FR"/>
        </w:rPr>
        <w:t>À sa deuxième réunion, la Conférence des Parties sera saisie d</w:t>
      </w:r>
      <w:r w:rsidR="00FC14AB">
        <w:rPr>
          <w:lang w:val="fr-FR"/>
        </w:rPr>
        <w:t>’</w:t>
      </w:r>
      <w:r w:rsidRPr="003253B8">
        <w:rPr>
          <w:lang w:val="fr-FR"/>
        </w:rPr>
        <w:t>un rapport global sur le Programme (UNEP/MC/COP.2/9) ainsi que des directives relatives à la présentation de projets pour le premier cycle de dépôt de demandes au titre du Programme (UNEP/MC/COP.2/INF/16). En particu</w:t>
      </w:r>
      <w:r w:rsidR="003253B8" w:rsidRPr="003253B8">
        <w:rPr>
          <w:lang w:val="fr-FR"/>
        </w:rPr>
        <w:t xml:space="preserve">lier, la Conférence souhaitera </w:t>
      </w:r>
      <w:r w:rsidRPr="003253B8">
        <w:rPr>
          <w:lang w:val="fr-FR"/>
        </w:rPr>
        <w:t>peut-être examiner deux questions qui n</w:t>
      </w:r>
      <w:r w:rsidR="00FC14AB">
        <w:rPr>
          <w:lang w:val="fr-FR"/>
        </w:rPr>
        <w:t>’</w:t>
      </w:r>
      <w:r w:rsidRPr="003253B8">
        <w:rPr>
          <w:lang w:val="fr-FR"/>
        </w:rPr>
        <w:t>ont pas été tranchées à la première réunion, à savoir les conditions d</w:t>
      </w:r>
      <w:r w:rsidR="00FC14AB">
        <w:rPr>
          <w:lang w:val="fr-FR"/>
        </w:rPr>
        <w:t>’</w:t>
      </w:r>
      <w:r w:rsidRPr="003253B8">
        <w:rPr>
          <w:lang w:val="fr-FR"/>
        </w:rPr>
        <w:t>octroi de fonds aux non-Parties et le mandat du Programme international spécifique, dont le paragraphe 1 mentionne que le Conseil d</w:t>
      </w:r>
      <w:r w:rsidR="00FC14AB">
        <w:rPr>
          <w:lang w:val="fr-FR"/>
        </w:rPr>
        <w:t>’</w:t>
      </w:r>
      <w:r w:rsidRPr="003253B8">
        <w:rPr>
          <w:lang w:val="fr-FR"/>
        </w:rPr>
        <w:t>a</w:t>
      </w:r>
      <w:r w:rsidR="00586358">
        <w:rPr>
          <w:lang w:val="fr-FR"/>
        </w:rPr>
        <w:t>dministration est composé de 10 </w:t>
      </w:r>
      <w:r w:rsidRPr="003253B8">
        <w:rPr>
          <w:lang w:val="fr-FR"/>
        </w:rPr>
        <w:t xml:space="preserve">membres </w:t>
      </w:r>
      <w:r w:rsidR="00415247">
        <w:rPr>
          <w:lang w:val="fr-FR"/>
        </w:rPr>
        <w:t>« </w:t>
      </w:r>
      <w:r w:rsidRPr="003253B8">
        <w:rPr>
          <w:lang w:val="fr-FR"/>
        </w:rPr>
        <w:t>issus des</w:t>
      </w:r>
      <w:r w:rsidR="00415247">
        <w:rPr>
          <w:lang w:val="fr-FR"/>
        </w:rPr>
        <w:t> »</w:t>
      </w:r>
      <w:r w:rsidRPr="003253B8">
        <w:rPr>
          <w:lang w:val="fr-FR"/>
        </w:rPr>
        <w:t xml:space="preserve"> ou </w:t>
      </w:r>
      <w:r w:rsidR="00415247">
        <w:rPr>
          <w:lang w:val="fr-FR"/>
        </w:rPr>
        <w:t>« </w:t>
      </w:r>
      <w:r w:rsidRPr="003253B8">
        <w:rPr>
          <w:lang w:val="fr-FR"/>
        </w:rPr>
        <w:t>nommés par les</w:t>
      </w:r>
      <w:r w:rsidR="00415247">
        <w:rPr>
          <w:lang w:val="fr-FR"/>
        </w:rPr>
        <w:t> »</w:t>
      </w:r>
      <w:r w:rsidRPr="003253B8">
        <w:rPr>
          <w:lang w:val="fr-FR"/>
        </w:rPr>
        <w:t xml:space="preserve"> Parties. Sachant qu</w:t>
      </w:r>
      <w:r w:rsidR="00FC14AB">
        <w:rPr>
          <w:lang w:val="fr-FR"/>
        </w:rPr>
        <w:t>’</w:t>
      </w:r>
      <w:r w:rsidRPr="003253B8">
        <w:rPr>
          <w:lang w:val="fr-FR"/>
        </w:rPr>
        <w:t>elle doit examiner le mécanisme de financement au plus tard à sa troisième réunion, la Conférence des Parties souhaitera peut-être déterminer à sa deuxième réu</w:t>
      </w:r>
      <w:r w:rsidR="00894699">
        <w:rPr>
          <w:lang w:val="fr-FR"/>
        </w:rPr>
        <w:t>nion la manière dont le volet « </w:t>
      </w:r>
      <w:r w:rsidRPr="003253B8">
        <w:rPr>
          <w:lang w:val="fr-FR"/>
        </w:rPr>
        <w:t>Programme international spéc</w:t>
      </w:r>
      <w:r w:rsidR="00894699">
        <w:rPr>
          <w:lang w:val="fr-FR"/>
        </w:rPr>
        <w:t>ifique </w:t>
      </w:r>
      <w:r w:rsidRPr="003253B8">
        <w:rPr>
          <w:lang w:val="fr-FR"/>
        </w:rPr>
        <w:t>» de cet examen pourrait être entrepris ainsi que les informations requises pour un tel examen, et prier le Conseil d</w:t>
      </w:r>
      <w:r w:rsidR="00FC14AB">
        <w:rPr>
          <w:lang w:val="fr-FR"/>
        </w:rPr>
        <w:t>’</w:t>
      </w:r>
      <w:r w:rsidRPr="003253B8">
        <w:rPr>
          <w:lang w:val="fr-FR"/>
        </w:rPr>
        <w:t>administration, le secrétariat de la Convention de Minamata et d</w:t>
      </w:r>
      <w:r w:rsidR="00FC14AB">
        <w:rPr>
          <w:lang w:val="fr-FR"/>
        </w:rPr>
        <w:t>’</w:t>
      </w:r>
      <w:r w:rsidRPr="003253B8">
        <w:rPr>
          <w:lang w:val="fr-FR"/>
        </w:rPr>
        <w:t>autres parties prenantes, s</w:t>
      </w:r>
      <w:r w:rsidR="00FC14AB">
        <w:rPr>
          <w:lang w:val="fr-FR"/>
        </w:rPr>
        <w:t>’</w:t>
      </w:r>
      <w:r w:rsidRPr="003253B8">
        <w:rPr>
          <w:lang w:val="fr-FR"/>
        </w:rPr>
        <w:t>il y a lieu, de fournir les informations nécessaires pour examiner la question à sa troisième réunion.</w:t>
      </w:r>
    </w:p>
    <w:p w14:paraId="5022CBD4" w14:textId="686BB3D7" w:rsidR="003A1CBE" w:rsidRPr="003253B8" w:rsidRDefault="00586358" w:rsidP="001F273D">
      <w:pPr>
        <w:pStyle w:val="CH3"/>
        <w:rPr>
          <w:lang w:val="fr-FR"/>
        </w:rPr>
      </w:pPr>
      <w:r>
        <w:rPr>
          <w:lang w:val="fr-FR"/>
        </w:rPr>
        <w:tab/>
      </w:r>
      <w:r w:rsidR="003A1CBE" w:rsidRPr="003253B8">
        <w:rPr>
          <w:lang w:val="fr-FR"/>
        </w:rPr>
        <w:t>f)</w:t>
      </w:r>
      <w:r w:rsidR="003A1CBE" w:rsidRPr="003253B8">
        <w:rPr>
          <w:lang w:val="fr-FR"/>
        </w:rPr>
        <w:tab/>
      </w:r>
      <w:r w:rsidR="003A1CBE" w:rsidRPr="003253B8">
        <w:rPr>
          <w:bCs/>
          <w:lang w:val="fr-FR"/>
        </w:rPr>
        <w:t>Renforcement des capacités, assistance technique et transfert de technologies</w:t>
      </w:r>
    </w:p>
    <w:p w14:paraId="355700E9" w14:textId="08186FD4" w:rsidR="009000CA" w:rsidRPr="003253B8" w:rsidRDefault="00961A61" w:rsidP="00A05DAA">
      <w:pPr>
        <w:pStyle w:val="Normalnumber"/>
        <w:tabs>
          <w:tab w:val="clear" w:pos="624"/>
          <w:tab w:val="left" w:pos="1843"/>
        </w:tabs>
        <w:suppressAutoHyphens/>
        <w:autoSpaceDN w:val="0"/>
        <w:textAlignment w:val="baseline"/>
        <w:outlineLvl w:val="0"/>
        <w:rPr>
          <w:color w:val="000000" w:themeColor="text1"/>
          <w:lang w:val="fr-FR"/>
        </w:rPr>
      </w:pPr>
      <w:r w:rsidRPr="003253B8">
        <w:rPr>
          <w:lang w:val="fr-FR"/>
        </w:rPr>
        <w:t>L</w:t>
      </w:r>
      <w:r w:rsidR="00FC14AB">
        <w:rPr>
          <w:lang w:val="fr-FR"/>
        </w:rPr>
        <w:t>’</w:t>
      </w:r>
      <w:r w:rsidR="00586358">
        <w:rPr>
          <w:lang w:val="fr-FR"/>
        </w:rPr>
        <w:t>article </w:t>
      </w:r>
      <w:r w:rsidRPr="003253B8">
        <w:rPr>
          <w:lang w:val="fr-FR"/>
        </w:rPr>
        <w:t xml:space="preserve">14 de la Convention dispose que la Conférence des Parties doit, au plus tard à sa deuxième réunion et, par la suite, à intervalles réguliers, examiner les informations sur les initiatives en cours et les progrès accomplis dans le domaine des technologies de remplacement; évaluer les besoins des Parties en matière de technologies de remplacement, en particulier ceux des Parties qui sont des pays en développement; identifier les défis rencontrés par les Parties, en particulier celles qui sont des pays en développement, en matière de transfert de technologies. </w:t>
      </w:r>
    </w:p>
    <w:p w14:paraId="3242A229" w14:textId="01C0D969" w:rsidR="00961A61" w:rsidRPr="003253B8" w:rsidRDefault="00961A61" w:rsidP="009000CA">
      <w:pPr>
        <w:pStyle w:val="Normalnumber"/>
        <w:numPr>
          <w:ilvl w:val="0"/>
          <w:numId w:val="1"/>
        </w:numPr>
        <w:tabs>
          <w:tab w:val="clear" w:pos="624"/>
          <w:tab w:val="left" w:pos="1843"/>
        </w:tabs>
        <w:suppressAutoHyphens/>
        <w:autoSpaceDN w:val="0"/>
        <w:textAlignment w:val="baseline"/>
        <w:outlineLvl w:val="0"/>
        <w:rPr>
          <w:b/>
          <w:color w:val="000000" w:themeColor="text1"/>
          <w:lang w:val="fr-FR"/>
        </w:rPr>
      </w:pPr>
      <w:r w:rsidRPr="003253B8">
        <w:rPr>
          <w:lang w:val="fr-FR"/>
        </w:rPr>
        <w:t>Par suite de l</w:t>
      </w:r>
      <w:r w:rsidR="00FC14AB">
        <w:rPr>
          <w:lang w:val="fr-FR"/>
        </w:rPr>
        <w:t>’</w:t>
      </w:r>
      <w:r w:rsidRPr="003253B8">
        <w:rPr>
          <w:lang w:val="fr-FR"/>
        </w:rPr>
        <w:t>examen de la question à la première réunion de la Conférence des Parties, le secrétariat a demandé aux Parties et aux autres parties prenantes de lui soumettre des communications et des rapports sur ces questions et a établi une note sur la question (UNEP/MC/COP.2/10) et une compilation des contributions reçues (UNEP/MC/COP.2/INF/5). La Conférence des Parties souhaitera peut-être examiner les informations communiquées et appeler l</w:t>
      </w:r>
      <w:r w:rsidR="00FC14AB">
        <w:rPr>
          <w:lang w:val="fr-FR"/>
        </w:rPr>
        <w:t>’</w:t>
      </w:r>
      <w:r w:rsidRPr="003253B8">
        <w:rPr>
          <w:lang w:val="fr-FR"/>
        </w:rPr>
        <w:t>attention des Parties et des parties prenantes concernées sur les technologies de remplacement, les initiatives en cours et les activités mentionnées dans les communications ainsi que sur les besoins et les défis qui y sont décrits. La Conférence des Parties souhaitera peut-être également examiner la question plus avant à sa quatrième réunion, en tenant compte des communications et des rapports supplémentaires soumis par les Parties ainsi que des informations fournies par d</w:t>
      </w:r>
      <w:r w:rsidR="00FC14AB">
        <w:rPr>
          <w:lang w:val="fr-FR"/>
        </w:rPr>
        <w:t>’</w:t>
      </w:r>
      <w:r w:rsidRPr="003253B8">
        <w:rPr>
          <w:lang w:val="fr-FR"/>
        </w:rPr>
        <w:t xml:space="preserve">autres parties prenantes, qui sont compilées par le </w:t>
      </w:r>
      <w:r w:rsidR="003253B8" w:rsidRPr="003253B8">
        <w:rPr>
          <w:lang w:val="fr-FR"/>
        </w:rPr>
        <w:t>secrétariat</w:t>
      </w:r>
      <w:r w:rsidRPr="003253B8">
        <w:rPr>
          <w:lang w:val="fr-FR"/>
        </w:rPr>
        <w:t>, ou communiquées par les Parties en application de l</w:t>
      </w:r>
      <w:r w:rsidR="00FC14AB">
        <w:rPr>
          <w:lang w:val="fr-FR"/>
        </w:rPr>
        <w:t>’</w:t>
      </w:r>
      <w:r w:rsidR="009850C1">
        <w:rPr>
          <w:lang w:val="fr-FR"/>
        </w:rPr>
        <w:t>article </w:t>
      </w:r>
      <w:r w:rsidRPr="003253B8">
        <w:rPr>
          <w:lang w:val="fr-FR"/>
        </w:rPr>
        <w:t xml:space="preserve">21. </w:t>
      </w:r>
    </w:p>
    <w:p w14:paraId="5229BF82" w14:textId="795426F5" w:rsidR="003A1CBE" w:rsidRPr="003253B8" w:rsidRDefault="009850C1" w:rsidP="001F273D">
      <w:pPr>
        <w:pStyle w:val="CH3"/>
        <w:rPr>
          <w:lang w:val="fr-FR"/>
        </w:rPr>
      </w:pPr>
      <w:r>
        <w:rPr>
          <w:lang w:val="fr-FR"/>
        </w:rPr>
        <w:tab/>
      </w:r>
      <w:r w:rsidR="003A1CBE" w:rsidRPr="003253B8">
        <w:rPr>
          <w:lang w:val="fr-FR"/>
        </w:rPr>
        <w:t>g)</w:t>
      </w:r>
      <w:r w:rsidR="00415247">
        <w:rPr>
          <w:lang w:val="fr-FR"/>
        </w:rPr>
        <w:tab/>
      </w:r>
      <w:r w:rsidR="003A1CBE" w:rsidRPr="003253B8">
        <w:rPr>
          <w:bCs/>
          <w:lang w:val="fr-FR"/>
        </w:rPr>
        <w:t>Comité de mise en œuvre et du respect des obligations</w:t>
      </w:r>
    </w:p>
    <w:p w14:paraId="1F39112A" w14:textId="7871AA90" w:rsidR="00620BA4" w:rsidRPr="003253B8" w:rsidRDefault="00620BA4" w:rsidP="00C865D4">
      <w:pPr>
        <w:pStyle w:val="Normalnumber"/>
        <w:numPr>
          <w:ilvl w:val="0"/>
          <w:numId w:val="1"/>
        </w:numPr>
        <w:tabs>
          <w:tab w:val="clear" w:pos="624"/>
          <w:tab w:val="left" w:pos="1247"/>
          <w:tab w:val="left" w:pos="1814"/>
          <w:tab w:val="left" w:pos="2381"/>
          <w:tab w:val="left" w:pos="2948"/>
          <w:tab w:val="left" w:pos="3515"/>
          <w:tab w:val="left" w:pos="4082"/>
        </w:tabs>
        <w:rPr>
          <w:lang w:val="fr-FR"/>
        </w:rPr>
      </w:pPr>
      <w:r w:rsidRPr="003253B8">
        <w:rPr>
          <w:lang w:val="fr-FR"/>
        </w:rPr>
        <w:t>L</w:t>
      </w:r>
      <w:r w:rsidR="00FC14AB">
        <w:rPr>
          <w:lang w:val="fr-FR"/>
        </w:rPr>
        <w:t>’</w:t>
      </w:r>
      <w:r w:rsidR="009850C1">
        <w:rPr>
          <w:lang w:val="fr-FR"/>
        </w:rPr>
        <w:t>article </w:t>
      </w:r>
      <w:r w:rsidRPr="003253B8">
        <w:rPr>
          <w:lang w:val="fr-FR"/>
        </w:rPr>
        <w:t>15 de la Convention institue un mécanisme, comprenant un Comité ayant qualité d</w:t>
      </w:r>
      <w:r w:rsidR="00FC14AB">
        <w:rPr>
          <w:lang w:val="fr-FR"/>
        </w:rPr>
        <w:t>’</w:t>
      </w:r>
      <w:r w:rsidRPr="003253B8">
        <w:rPr>
          <w:lang w:val="fr-FR"/>
        </w:rPr>
        <w:t>organe subsidiaire de la Conférence des Parties, en vue de promouvoir la mise en œuvre et d</w:t>
      </w:r>
      <w:r w:rsidR="00FC14AB">
        <w:rPr>
          <w:lang w:val="fr-FR"/>
        </w:rPr>
        <w:t>’</w:t>
      </w:r>
      <w:r w:rsidRPr="003253B8">
        <w:rPr>
          <w:lang w:val="fr-FR"/>
        </w:rPr>
        <w:t>examiner le respect de toutes les dispositions de la Convention. À sa première</w:t>
      </w:r>
      <w:r w:rsidR="009850C1">
        <w:rPr>
          <w:lang w:val="fr-FR"/>
        </w:rPr>
        <w:t> </w:t>
      </w:r>
      <w:r w:rsidRPr="003253B8">
        <w:rPr>
          <w:lang w:val="fr-FR"/>
        </w:rPr>
        <w:t>réunion, la Conférence des Parties a élu les 15 premiers membres du Comité, lequel s</w:t>
      </w:r>
      <w:r w:rsidR="00FC14AB">
        <w:rPr>
          <w:lang w:val="fr-FR"/>
        </w:rPr>
        <w:t>’</w:t>
      </w:r>
      <w:r w:rsidRPr="003253B8">
        <w:rPr>
          <w:lang w:val="fr-FR"/>
        </w:rPr>
        <w:t>est réuni une fois pendant l</w:t>
      </w:r>
      <w:r w:rsidR="00FC14AB">
        <w:rPr>
          <w:lang w:val="fr-FR"/>
        </w:rPr>
        <w:t>’</w:t>
      </w:r>
      <w:r w:rsidRPr="003253B8">
        <w:rPr>
          <w:lang w:val="fr-FR"/>
        </w:rPr>
        <w:t>int</w:t>
      </w:r>
      <w:r w:rsidR="009850C1">
        <w:rPr>
          <w:lang w:val="fr-FR"/>
        </w:rPr>
        <w:t>ersession à Genève les 29 et 30 </w:t>
      </w:r>
      <w:r w:rsidRPr="003253B8">
        <w:rPr>
          <w:lang w:val="fr-FR"/>
        </w:rPr>
        <w:t xml:space="preserve">mai 2018. </w:t>
      </w:r>
    </w:p>
    <w:p w14:paraId="0847F326" w14:textId="6B28004D" w:rsidR="005E1713" w:rsidRPr="003253B8" w:rsidRDefault="00620BA4" w:rsidP="00C865D4">
      <w:pPr>
        <w:pStyle w:val="Normalnumber"/>
        <w:numPr>
          <w:ilvl w:val="0"/>
          <w:numId w:val="1"/>
        </w:numPr>
        <w:tabs>
          <w:tab w:val="clear" w:pos="624"/>
          <w:tab w:val="left" w:pos="1247"/>
          <w:tab w:val="left" w:pos="1814"/>
          <w:tab w:val="left" w:pos="2381"/>
          <w:tab w:val="left" w:pos="2948"/>
          <w:tab w:val="left" w:pos="3515"/>
          <w:tab w:val="left" w:pos="4082"/>
        </w:tabs>
        <w:ind w:right="57"/>
        <w:rPr>
          <w:lang w:val="fr-FR"/>
        </w:rPr>
      </w:pPr>
      <w:r w:rsidRPr="003253B8">
        <w:rPr>
          <w:lang w:val="fr-FR"/>
        </w:rPr>
        <w:t xml:space="preserve">La Conférence des Parties est saisie du rapport sur les travaux de la première réunion du Comité de mise en </w:t>
      </w:r>
      <w:r w:rsidR="003253B8" w:rsidRPr="003253B8">
        <w:rPr>
          <w:lang w:val="fr-FR"/>
        </w:rPr>
        <w:t>œuvre</w:t>
      </w:r>
      <w:r w:rsidRPr="003253B8">
        <w:rPr>
          <w:lang w:val="fr-FR"/>
        </w:rPr>
        <w:t xml:space="preserve"> et du respect des obligations (UNEP/MC/COP.2/11, annexe), y compris, à l</w:t>
      </w:r>
      <w:r w:rsidR="00FC14AB">
        <w:rPr>
          <w:lang w:val="fr-FR"/>
        </w:rPr>
        <w:t>’</w:t>
      </w:r>
      <w:r w:rsidRPr="003253B8">
        <w:rPr>
          <w:lang w:val="fr-FR"/>
        </w:rPr>
        <w:t>appendice</w:t>
      </w:r>
      <w:r w:rsidR="009850C1">
        <w:rPr>
          <w:lang w:val="fr-FR"/>
        </w:rPr>
        <w:t> </w:t>
      </w:r>
      <w:r w:rsidRPr="003253B8">
        <w:rPr>
          <w:lang w:val="fr-FR"/>
        </w:rPr>
        <w:t xml:space="preserve">I du rapport, du règlement intérieur élaboré par le Comité </w:t>
      </w:r>
      <w:r w:rsidR="009850C1">
        <w:rPr>
          <w:lang w:val="fr-FR"/>
        </w:rPr>
        <w:t>qui, conformément au paragraphe </w:t>
      </w:r>
      <w:r w:rsidRPr="003253B8">
        <w:rPr>
          <w:lang w:val="fr-FR"/>
        </w:rPr>
        <w:t>5 de l</w:t>
      </w:r>
      <w:r w:rsidR="00FC14AB">
        <w:rPr>
          <w:lang w:val="fr-FR"/>
        </w:rPr>
        <w:t>’</w:t>
      </w:r>
      <w:r w:rsidRPr="003253B8">
        <w:rPr>
          <w:lang w:val="fr-FR"/>
        </w:rPr>
        <w:t>article</w:t>
      </w:r>
      <w:r w:rsidR="009850C1">
        <w:rPr>
          <w:lang w:val="fr-FR"/>
        </w:rPr>
        <w:t> </w:t>
      </w:r>
      <w:r w:rsidRPr="003253B8">
        <w:rPr>
          <w:lang w:val="fr-FR"/>
        </w:rPr>
        <w:t>15, est soumis à l</w:t>
      </w:r>
      <w:r w:rsidR="00FC14AB">
        <w:rPr>
          <w:lang w:val="fr-FR"/>
        </w:rPr>
        <w:t>’</w:t>
      </w:r>
      <w:r w:rsidRPr="003253B8">
        <w:rPr>
          <w:lang w:val="fr-FR"/>
        </w:rPr>
        <w:t xml:space="preserve">approbation de la Conférence des Parties à sa deuxième réunion. La Conférence des Parties souhaitera peut-être examiner le rapport du Comité de mise en </w:t>
      </w:r>
      <w:r w:rsidR="003253B8" w:rsidRPr="003253B8">
        <w:rPr>
          <w:lang w:val="fr-FR"/>
        </w:rPr>
        <w:t>œuvre</w:t>
      </w:r>
      <w:r w:rsidRPr="003253B8">
        <w:rPr>
          <w:lang w:val="fr-FR"/>
        </w:rPr>
        <w:t xml:space="preserve"> et du respect des obligations et approuver le règlement intérieur de ce dernier.</w:t>
      </w:r>
    </w:p>
    <w:p w14:paraId="553499BE" w14:textId="66EA9223" w:rsidR="0074380F" w:rsidRPr="003253B8" w:rsidRDefault="009850C1" w:rsidP="0074380F">
      <w:pPr>
        <w:pStyle w:val="CH3"/>
        <w:rPr>
          <w:lang w:val="fr-FR"/>
        </w:rPr>
      </w:pPr>
      <w:r>
        <w:rPr>
          <w:lang w:val="fr-FR"/>
        </w:rPr>
        <w:tab/>
      </w:r>
      <w:r w:rsidR="0074380F" w:rsidRPr="003253B8">
        <w:rPr>
          <w:lang w:val="fr-FR"/>
        </w:rPr>
        <w:t>h)</w:t>
      </w:r>
      <w:r w:rsidR="0074380F" w:rsidRPr="003253B8">
        <w:rPr>
          <w:lang w:val="fr-FR"/>
        </w:rPr>
        <w:tab/>
      </w:r>
      <w:r w:rsidR="0074380F" w:rsidRPr="003253B8">
        <w:rPr>
          <w:bCs/>
          <w:lang w:val="fr-FR"/>
        </w:rPr>
        <w:t>Collaboration avec l</w:t>
      </w:r>
      <w:r w:rsidR="00FC14AB">
        <w:rPr>
          <w:bCs/>
          <w:lang w:val="fr-FR"/>
        </w:rPr>
        <w:t>’</w:t>
      </w:r>
      <w:r w:rsidR="0074380F" w:rsidRPr="003253B8">
        <w:rPr>
          <w:bCs/>
          <w:lang w:val="fr-FR"/>
        </w:rPr>
        <w:t>Organisation mondiale de la Santé et l</w:t>
      </w:r>
      <w:r w:rsidR="00FC14AB">
        <w:rPr>
          <w:bCs/>
          <w:lang w:val="fr-FR"/>
        </w:rPr>
        <w:t>’</w:t>
      </w:r>
      <w:r>
        <w:rPr>
          <w:bCs/>
          <w:lang w:val="fr-FR"/>
        </w:rPr>
        <w:t>Organisation internationale du </w:t>
      </w:r>
      <w:r w:rsidR="0074380F" w:rsidRPr="003253B8">
        <w:rPr>
          <w:bCs/>
          <w:lang w:val="fr-FR"/>
        </w:rPr>
        <w:t>Travail</w:t>
      </w:r>
    </w:p>
    <w:p w14:paraId="60C3139D" w14:textId="7E557476" w:rsidR="0074380F" w:rsidRPr="003253B8" w:rsidRDefault="006B0BEA" w:rsidP="00275356">
      <w:pPr>
        <w:pStyle w:val="Normalnumber"/>
        <w:numPr>
          <w:ilvl w:val="0"/>
          <w:numId w:val="1"/>
        </w:numPr>
        <w:tabs>
          <w:tab w:val="clear" w:pos="624"/>
          <w:tab w:val="left" w:pos="1247"/>
          <w:tab w:val="left" w:pos="1814"/>
          <w:tab w:val="left" w:pos="2381"/>
          <w:tab w:val="left" w:pos="2948"/>
          <w:tab w:val="left" w:pos="3515"/>
          <w:tab w:val="left" w:pos="4082"/>
        </w:tabs>
        <w:ind w:right="57"/>
        <w:rPr>
          <w:lang w:val="fr-FR"/>
        </w:rPr>
      </w:pPr>
      <w:r w:rsidRPr="003253B8">
        <w:rPr>
          <w:lang w:val="fr-FR"/>
        </w:rPr>
        <w:t>Plusieurs dispositions de la Convention préconisent de coopérer avec les organisations intergouvernementales compétentes. En particulier, l</w:t>
      </w:r>
      <w:r w:rsidR="00FC14AB">
        <w:rPr>
          <w:lang w:val="fr-FR"/>
        </w:rPr>
        <w:t>’</w:t>
      </w:r>
      <w:r w:rsidRPr="003253B8">
        <w:rPr>
          <w:lang w:val="fr-FR"/>
        </w:rPr>
        <w:t>article 16 prévoit que la Conférence des Parties, dans le cadre de l</w:t>
      </w:r>
      <w:r w:rsidR="00FC14AB">
        <w:rPr>
          <w:lang w:val="fr-FR"/>
        </w:rPr>
        <w:t>’</w:t>
      </w:r>
      <w:r w:rsidRPr="003253B8">
        <w:rPr>
          <w:lang w:val="fr-FR"/>
        </w:rPr>
        <w:t>examen de questions ou activités liées à la santé, devrait consulter l</w:t>
      </w:r>
      <w:r w:rsidR="00FC14AB">
        <w:rPr>
          <w:lang w:val="fr-FR"/>
        </w:rPr>
        <w:t>’</w:t>
      </w:r>
      <w:r w:rsidRPr="003253B8">
        <w:rPr>
          <w:lang w:val="fr-FR"/>
        </w:rPr>
        <w:t>Organisation mondiale de la Santé (OMS), l</w:t>
      </w:r>
      <w:r w:rsidR="00FC14AB">
        <w:rPr>
          <w:lang w:val="fr-FR"/>
        </w:rPr>
        <w:t>’</w:t>
      </w:r>
      <w:r w:rsidRPr="003253B8">
        <w:rPr>
          <w:lang w:val="fr-FR"/>
        </w:rPr>
        <w:t>Organisation internationale du Travail (OIT) et d</w:t>
      </w:r>
      <w:r w:rsidR="00FC14AB">
        <w:rPr>
          <w:lang w:val="fr-FR"/>
        </w:rPr>
        <w:t>’</w:t>
      </w:r>
      <w:r w:rsidRPr="003253B8">
        <w:rPr>
          <w:lang w:val="fr-FR"/>
        </w:rPr>
        <w:t>autres organisations intergouvernementales compétentes et collaborer avec celles-ci, et promouvoir la coopération et l</w:t>
      </w:r>
      <w:r w:rsidR="00FC14AB">
        <w:rPr>
          <w:lang w:val="fr-FR"/>
        </w:rPr>
        <w:t>’</w:t>
      </w:r>
      <w:r w:rsidRPr="003253B8">
        <w:rPr>
          <w:lang w:val="fr-FR"/>
        </w:rPr>
        <w:t>échange d</w:t>
      </w:r>
      <w:r w:rsidR="00FC14AB">
        <w:rPr>
          <w:lang w:val="fr-FR"/>
        </w:rPr>
        <w:t>’</w:t>
      </w:r>
      <w:r w:rsidRPr="003253B8">
        <w:rPr>
          <w:lang w:val="fr-FR"/>
        </w:rPr>
        <w:t>informations avec ces organisations, selon qu</w:t>
      </w:r>
      <w:r w:rsidR="00FC14AB">
        <w:rPr>
          <w:lang w:val="fr-FR"/>
        </w:rPr>
        <w:t>’</w:t>
      </w:r>
      <w:r w:rsidRPr="003253B8">
        <w:rPr>
          <w:lang w:val="fr-FR"/>
        </w:rPr>
        <w:t>il convient.</w:t>
      </w:r>
    </w:p>
    <w:p w14:paraId="6EC47DEA" w14:textId="0FF8151A" w:rsidR="00EE49EC" w:rsidRPr="003253B8" w:rsidRDefault="00AC46BD" w:rsidP="008F624E">
      <w:pPr>
        <w:pStyle w:val="Normalnumber"/>
        <w:numPr>
          <w:ilvl w:val="0"/>
          <w:numId w:val="1"/>
        </w:numPr>
        <w:tabs>
          <w:tab w:val="left" w:pos="1843"/>
        </w:tabs>
        <w:suppressAutoHyphens/>
        <w:autoSpaceDN w:val="0"/>
        <w:textAlignment w:val="baseline"/>
        <w:outlineLvl w:val="0"/>
        <w:rPr>
          <w:rFonts w:asciiTheme="majorBidi" w:hAnsiTheme="majorBidi" w:cstheme="majorBidi"/>
          <w:lang w:val="fr-FR"/>
        </w:rPr>
      </w:pPr>
      <w:r w:rsidRPr="003253B8">
        <w:rPr>
          <w:lang w:val="fr-FR"/>
        </w:rPr>
        <w:t>Des informations concernant la coopération avec l</w:t>
      </w:r>
      <w:r w:rsidR="00FC14AB">
        <w:rPr>
          <w:lang w:val="fr-FR"/>
        </w:rPr>
        <w:t>’</w:t>
      </w:r>
      <w:r w:rsidRPr="003253B8">
        <w:rPr>
          <w:lang w:val="fr-FR"/>
        </w:rPr>
        <w:t>OMS et l</w:t>
      </w:r>
      <w:r w:rsidR="00FC14AB">
        <w:rPr>
          <w:lang w:val="fr-FR"/>
        </w:rPr>
        <w:t>’</w:t>
      </w:r>
      <w:r w:rsidRPr="003253B8">
        <w:rPr>
          <w:lang w:val="fr-FR"/>
        </w:rPr>
        <w:t>OIT figurent dans une note du secrétariat sur la question (UNEP/MC/COP.2/12), dont l</w:t>
      </w:r>
      <w:r w:rsidR="00FC14AB">
        <w:rPr>
          <w:lang w:val="fr-FR"/>
        </w:rPr>
        <w:t>’</w:t>
      </w:r>
      <w:r w:rsidRPr="003253B8">
        <w:rPr>
          <w:lang w:val="fr-FR"/>
        </w:rPr>
        <w:t>annexe fait le point sur les activités de l</w:t>
      </w:r>
      <w:r w:rsidR="00FC14AB">
        <w:rPr>
          <w:lang w:val="fr-FR"/>
        </w:rPr>
        <w:t>’</w:t>
      </w:r>
      <w:r w:rsidRPr="003253B8">
        <w:rPr>
          <w:lang w:val="fr-FR"/>
        </w:rPr>
        <w:t>OMS intéressant la Convention. La Conférence des Parties souhaitera peut-être prier le secrétariat de continuer à coopérer et collaborer activement dans le domaine de la santé avec les organisations intergouvernementales compétentes, en particulier l</w:t>
      </w:r>
      <w:r w:rsidR="00FC14AB">
        <w:rPr>
          <w:lang w:val="fr-FR"/>
        </w:rPr>
        <w:t>’</w:t>
      </w:r>
      <w:r w:rsidRPr="003253B8">
        <w:rPr>
          <w:lang w:val="fr-FR"/>
        </w:rPr>
        <w:t>OMS et l</w:t>
      </w:r>
      <w:r w:rsidR="00FC14AB">
        <w:rPr>
          <w:lang w:val="fr-FR"/>
        </w:rPr>
        <w:t>’</w:t>
      </w:r>
      <w:r w:rsidRPr="003253B8">
        <w:rPr>
          <w:lang w:val="fr-FR"/>
        </w:rPr>
        <w:t>OIT, et s</w:t>
      </w:r>
      <w:r w:rsidR="00FC14AB">
        <w:rPr>
          <w:lang w:val="fr-FR"/>
        </w:rPr>
        <w:t>’</w:t>
      </w:r>
      <w:r w:rsidRPr="003253B8">
        <w:rPr>
          <w:lang w:val="fr-FR"/>
        </w:rPr>
        <w:t xml:space="preserve">intéresser aux modalités éventuelles de cette coopération et aux moyens de mise en </w:t>
      </w:r>
      <w:r w:rsidR="003253B8" w:rsidRPr="003253B8">
        <w:rPr>
          <w:lang w:val="fr-FR"/>
        </w:rPr>
        <w:t>œuvre</w:t>
      </w:r>
      <w:r w:rsidRPr="003253B8">
        <w:rPr>
          <w:lang w:val="fr-FR"/>
        </w:rPr>
        <w:t xml:space="preserve">. </w:t>
      </w:r>
    </w:p>
    <w:p w14:paraId="11845CEE" w14:textId="65738474" w:rsidR="003B0EE9" w:rsidRPr="00833526" w:rsidRDefault="003B0EE9" w:rsidP="00833526">
      <w:pPr>
        <w:pStyle w:val="Normalnumber"/>
        <w:numPr>
          <w:ilvl w:val="0"/>
          <w:numId w:val="1"/>
        </w:numPr>
        <w:tabs>
          <w:tab w:val="left" w:pos="1843"/>
        </w:tabs>
        <w:suppressAutoHyphens/>
        <w:autoSpaceDN w:val="0"/>
        <w:textAlignment w:val="baseline"/>
        <w:outlineLvl w:val="0"/>
        <w:rPr>
          <w:lang w:val="fr-FR"/>
        </w:rPr>
      </w:pPr>
      <w:r w:rsidRPr="00833526">
        <w:rPr>
          <w:lang w:val="fr-FR"/>
        </w:rPr>
        <w:t>La Conférence des Parties souhaitera peut-être également prendre note des travaux de l</w:t>
      </w:r>
      <w:r w:rsidR="00FC14AB" w:rsidRPr="00833526">
        <w:rPr>
          <w:lang w:val="fr-FR"/>
        </w:rPr>
        <w:t>’</w:t>
      </w:r>
      <w:r w:rsidRPr="00833526">
        <w:rPr>
          <w:lang w:val="fr-FR"/>
        </w:rPr>
        <w:t>OMS, en particulier en ce qui concerne les orientations relatives aux aspects sanitaires dans le contexte de l</w:t>
      </w:r>
      <w:r w:rsidR="00FC14AB" w:rsidRPr="00833526">
        <w:rPr>
          <w:lang w:val="fr-FR"/>
        </w:rPr>
        <w:t>’</w:t>
      </w:r>
      <w:r w:rsidRPr="00833526">
        <w:rPr>
          <w:lang w:val="fr-FR"/>
        </w:rPr>
        <w:t>élaboration de plans d</w:t>
      </w:r>
      <w:r w:rsidR="00FC14AB" w:rsidRPr="00833526">
        <w:rPr>
          <w:lang w:val="fr-FR"/>
        </w:rPr>
        <w:t>’</w:t>
      </w:r>
      <w:r w:rsidRPr="00833526">
        <w:rPr>
          <w:lang w:val="fr-FR"/>
        </w:rPr>
        <w:t>action nationaux sur l</w:t>
      </w:r>
      <w:r w:rsidR="00FC14AB" w:rsidRPr="00833526">
        <w:rPr>
          <w:lang w:val="fr-FR"/>
        </w:rPr>
        <w:t>’</w:t>
      </w:r>
      <w:r w:rsidRPr="00833526">
        <w:rPr>
          <w:lang w:val="fr-FR"/>
        </w:rPr>
        <w:t>extraction minière artisanale et à petite échelle d</w:t>
      </w:r>
      <w:r w:rsidR="00FC14AB" w:rsidRPr="00833526">
        <w:rPr>
          <w:lang w:val="fr-FR"/>
        </w:rPr>
        <w:t>’</w:t>
      </w:r>
      <w:r w:rsidRPr="00833526">
        <w:rPr>
          <w:lang w:val="fr-FR"/>
        </w:rPr>
        <w:t>or (UNEP/MC/COP.2/INF/17), et recommander que le document d</w:t>
      </w:r>
      <w:r w:rsidR="00FC14AB" w:rsidRPr="00833526">
        <w:rPr>
          <w:lang w:val="fr-FR"/>
        </w:rPr>
        <w:t>’</w:t>
      </w:r>
      <w:r w:rsidRPr="00833526">
        <w:rPr>
          <w:lang w:val="fr-FR"/>
        </w:rPr>
        <w:t>orientation soit utilisé dans le cadre de l</w:t>
      </w:r>
      <w:r w:rsidR="00FC14AB" w:rsidRPr="00833526">
        <w:rPr>
          <w:lang w:val="fr-FR"/>
        </w:rPr>
        <w:t>’</w:t>
      </w:r>
      <w:r w:rsidRPr="00833526">
        <w:rPr>
          <w:lang w:val="fr-FR"/>
        </w:rPr>
        <w:t>élaboration de ces plans nationaux.</w:t>
      </w:r>
      <w:r w:rsidR="00833526" w:rsidRPr="00833526">
        <w:rPr>
          <w:lang w:val="fr-FR"/>
        </w:rPr>
        <w:t xml:space="preserve"> </w:t>
      </w:r>
    </w:p>
    <w:p w14:paraId="633543ED" w14:textId="1D8B1504" w:rsidR="003A1CBE" w:rsidRPr="003253B8" w:rsidRDefault="009850C1" w:rsidP="009850C1">
      <w:pPr>
        <w:pStyle w:val="CH3"/>
        <w:rPr>
          <w:lang w:val="fr-FR"/>
        </w:rPr>
      </w:pPr>
      <w:r>
        <w:rPr>
          <w:lang w:val="fr-FR"/>
        </w:rPr>
        <w:tab/>
        <w:t>i)</w:t>
      </w:r>
      <w:r>
        <w:rPr>
          <w:lang w:val="fr-FR"/>
        </w:rPr>
        <w:tab/>
      </w:r>
      <w:r w:rsidR="00AC46BD" w:rsidRPr="003253B8">
        <w:rPr>
          <w:lang w:val="fr-FR"/>
        </w:rPr>
        <w:t>Évaluation de l</w:t>
      </w:r>
      <w:r w:rsidR="00FC14AB">
        <w:rPr>
          <w:lang w:val="fr-FR"/>
        </w:rPr>
        <w:t>’</w:t>
      </w:r>
      <w:r w:rsidR="00AC46BD" w:rsidRPr="003253B8">
        <w:rPr>
          <w:lang w:val="fr-FR"/>
        </w:rPr>
        <w:t>efficacité</w:t>
      </w:r>
    </w:p>
    <w:p w14:paraId="2A563FFB" w14:textId="39C86AF0" w:rsidR="001379C7" w:rsidRPr="003253B8" w:rsidRDefault="0095250F" w:rsidP="00555354">
      <w:pPr>
        <w:pStyle w:val="Normalnumber"/>
        <w:rPr>
          <w:lang w:val="fr-FR"/>
        </w:rPr>
      </w:pPr>
      <w:r w:rsidRPr="003253B8">
        <w:rPr>
          <w:lang w:val="fr-FR"/>
        </w:rPr>
        <w:t>L</w:t>
      </w:r>
      <w:r w:rsidR="00FC14AB">
        <w:rPr>
          <w:lang w:val="fr-FR"/>
        </w:rPr>
        <w:t>’</w:t>
      </w:r>
      <w:r w:rsidR="002B2770">
        <w:rPr>
          <w:lang w:val="fr-FR"/>
        </w:rPr>
        <w:t>article </w:t>
      </w:r>
      <w:r w:rsidRPr="003253B8">
        <w:rPr>
          <w:lang w:val="fr-FR"/>
        </w:rPr>
        <w:t>22 de la Convention prévoit l</w:t>
      </w:r>
      <w:r w:rsidR="00FC14AB">
        <w:rPr>
          <w:lang w:val="fr-FR"/>
        </w:rPr>
        <w:t>’</w:t>
      </w:r>
      <w:r w:rsidRPr="003253B8">
        <w:rPr>
          <w:lang w:val="fr-FR"/>
        </w:rPr>
        <w:t xml:space="preserve">évaluation de </w:t>
      </w:r>
      <w:r w:rsidR="002B2770">
        <w:rPr>
          <w:lang w:val="fr-FR"/>
        </w:rPr>
        <w:t>son efficacité. Par sa décision </w:t>
      </w:r>
      <w:r w:rsidRPr="003253B8">
        <w:rPr>
          <w:lang w:val="fr-FR"/>
        </w:rPr>
        <w:t>MC-1/9, la Conférence des Parties a, à sa première réunion, adopté une feuille de route pour la mise en place d</w:t>
      </w:r>
      <w:r w:rsidR="00FC14AB">
        <w:rPr>
          <w:lang w:val="fr-FR"/>
        </w:rPr>
        <w:t>’</w:t>
      </w:r>
      <w:r w:rsidRPr="003253B8">
        <w:rPr>
          <w:lang w:val="fr-FR"/>
        </w:rPr>
        <w:t>arrangements visant à lui fournir des données de surveillance comparables et les éléments d</w:t>
      </w:r>
      <w:r w:rsidR="00FC14AB">
        <w:rPr>
          <w:lang w:val="fr-FR"/>
        </w:rPr>
        <w:t>’</w:t>
      </w:r>
      <w:r w:rsidRPr="003253B8">
        <w:rPr>
          <w:lang w:val="fr-FR"/>
        </w:rPr>
        <w:t>un cadre d</w:t>
      </w:r>
      <w:r w:rsidR="00FC14AB">
        <w:rPr>
          <w:lang w:val="fr-FR"/>
        </w:rPr>
        <w:t>’</w:t>
      </w:r>
      <w:r w:rsidRPr="003253B8">
        <w:rPr>
          <w:lang w:val="fr-FR"/>
        </w:rPr>
        <w:t>évaluation de l</w:t>
      </w:r>
      <w:r w:rsidR="00FC14AB">
        <w:rPr>
          <w:lang w:val="fr-FR"/>
        </w:rPr>
        <w:t>’</w:t>
      </w:r>
      <w:r w:rsidRPr="003253B8">
        <w:rPr>
          <w:lang w:val="fr-FR"/>
        </w:rPr>
        <w:t>efficacité au titre de l</w:t>
      </w:r>
      <w:r w:rsidR="00FC14AB">
        <w:rPr>
          <w:lang w:val="fr-FR"/>
        </w:rPr>
        <w:t>’</w:t>
      </w:r>
      <w:r w:rsidR="002B2770">
        <w:rPr>
          <w:lang w:val="fr-FR"/>
        </w:rPr>
        <w:t>article </w:t>
      </w:r>
      <w:r w:rsidRPr="003253B8">
        <w:rPr>
          <w:lang w:val="fr-FR"/>
        </w:rPr>
        <w:t>22. La feuille de route prévoyait une réunion en présentiel d</w:t>
      </w:r>
      <w:r w:rsidR="00FC14AB">
        <w:rPr>
          <w:lang w:val="fr-FR"/>
        </w:rPr>
        <w:t>’</w:t>
      </w:r>
      <w:r w:rsidRPr="003253B8">
        <w:rPr>
          <w:lang w:val="fr-FR"/>
        </w:rPr>
        <w:t>un groupe spécial d</w:t>
      </w:r>
      <w:r w:rsidR="00FC14AB">
        <w:rPr>
          <w:lang w:val="fr-FR"/>
        </w:rPr>
        <w:t>’</w:t>
      </w:r>
      <w:r w:rsidRPr="003253B8">
        <w:rPr>
          <w:lang w:val="fr-FR"/>
        </w:rPr>
        <w:t>experts qui devait élaborer un projet de rapport énonçant, entre autres, les grandes lignes, le plan et les éléments du cadre d</w:t>
      </w:r>
      <w:r w:rsidR="00FC14AB">
        <w:rPr>
          <w:lang w:val="fr-FR"/>
        </w:rPr>
        <w:t>’</w:t>
      </w:r>
      <w:r w:rsidRPr="003253B8">
        <w:rPr>
          <w:lang w:val="fr-FR"/>
        </w:rPr>
        <w:t>évaluation de l</w:t>
      </w:r>
      <w:r w:rsidR="00FC14AB">
        <w:rPr>
          <w:lang w:val="fr-FR"/>
        </w:rPr>
        <w:t>’</w:t>
      </w:r>
      <w:r w:rsidRPr="003253B8">
        <w:rPr>
          <w:lang w:val="fr-FR"/>
        </w:rPr>
        <w:t>efficacité. En conséquence, le groupe spécial d</w:t>
      </w:r>
      <w:r w:rsidR="00FC14AB">
        <w:rPr>
          <w:lang w:val="fr-FR"/>
        </w:rPr>
        <w:t>’</w:t>
      </w:r>
      <w:r w:rsidRPr="003253B8">
        <w:rPr>
          <w:lang w:val="fr-FR"/>
        </w:rPr>
        <w:t>experts s</w:t>
      </w:r>
      <w:r w:rsidR="00FC14AB">
        <w:rPr>
          <w:lang w:val="fr-FR"/>
        </w:rPr>
        <w:t>’</w:t>
      </w:r>
      <w:r w:rsidR="00C37D96">
        <w:rPr>
          <w:lang w:val="fr-FR"/>
        </w:rPr>
        <w:t>est réuni à Ottawa du 5 au 9 </w:t>
      </w:r>
      <w:r w:rsidRPr="003253B8">
        <w:rPr>
          <w:lang w:val="fr-FR"/>
        </w:rPr>
        <w:t>mars 2018.</w:t>
      </w:r>
    </w:p>
    <w:p w14:paraId="1FDE648D" w14:textId="5D68A86A" w:rsidR="001379C7" w:rsidRPr="003253B8" w:rsidRDefault="00B31E29" w:rsidP="0034732F">
      <w:pPr>
        <w:pStyle w:val="Normalnumber"/>
        <w:suppressAutoHyphens/>
        <w:autoSpaceDN w:val="0"/>
        <w:textAlignment w:val="baseline"/>
        <w:rPr>
          <w:lang w:val="fr-FR"/>
        </w:rPr>
      </w:pPr>
      <w:r w:rsidRPr="003253B8">
        <w:rPr>
          <w:lang w:val="fr-FR"/>
        </w:rPr>
        <w:t>Un rapport sur les grandes lignes, le plan et les éléments du cadre d</w:t>
      </w:r>
      <w:r w:rsidR="00FC14AB">
        <w:rPr>
          <w:lang w:val="fr-FR"/>
        </w:rPr>
        <w:t>’</w:t>
      </w:r>
      <w:r w:rsidRPr="003253B8">
        <w:rPr>
          <w:lang w:val="fr-FR"/>
        </w:rPr>
        <w:t>évaluation de l</w:t>
      </w:r>
      <w:r w:rsidR="00FC14AB">
        <w:rPr>
          <w:lang w:val="fr-FR"/>
        </w:rPr>
        <w:t>’</w:t>
      </w:r>
      <w:r w:rsidRPr="003253B8">
        <w:rPr>
          <w:lang w:val="fr-FR"/>
        </w:rPr>
        <w:t>efficacité figure dans la note du secrétariat sur la question (UNEP/MC/COP.2/13), qui inclut dans son annexe les recommandations du groupe d</w:t>
      </w:r>
      <w:r w:rsidR="00FC14AB">
        <w:rPr>
          <w:lang w:val="fr-FR"/>
        </w:rPr>
        <w:t>’</w:t>
      </w:r>
      <w:r w:rsidRPr="003253B8">
        <w:rPr>
          <w:lang w:val="fr-FR"/>
        </w:rPr>
        <w:t>experts. Le rapport du groupe spécial d</w:t>
      </w:r>
      <w:r w:rsidR="00FC14AB">
        <w:rPr>
          <w:lang w:val="fr-FR"/>
        </w:rPr>
        <w:t>’</w:t>
      </w:r>
      <w:r w:rsidRPr="003253B8">
        <w:rPr>
          <w:lang w:val="fr-FR"/>
        </w:rPr>
        <w:t>experts figure dans l</w:t>
      </w:r>
      <w:r w:rsidR="00FC14AB">
        <w:rPr>
          <w:lang w:val="fr-FR"/>
        </w:rPr>
        <w:t>’</w:t>
      </w:r>
      <w:r w:rsidRPr="003253B8">
        <w:rPr>
          <w:lang w:val="fr-FR"/>
        </w:rPr>
        <w:t>annexe du document UNEP/MC/COP.2/INF/8 et les observations communiquées concernant le projet de rapport du groupe sont compilées dans le document UNEP/MC/COP.2/INF/15. La Conférence des Parties souhaitera peut-être examiner les recommandations et les observations susmentionnées. Elle souhaitera peut-être également prier le groupe spécial d</w:t>
      </w:r>
      <w:r w:rsidR="00FC14AB">
        <w:rPr>
          <w:lang w:val="fr-FR"/>
        </w:rPr>
        <w:t>’</w:t>
      </w:r>
      <w:r w:rsidRPr="003253B8">
        <w:rPr>
          <w:lang w:val="fr-FR"/>
        </w:rPr>
        <w:t>experts de poursuivre ses travaux et de revoir ses recommandations à la lumière des questions qu</w:t>
      </w:r>
      <w:r w:rsidR="00FC14AB">
        <w:rPr>
          <w:lang w:val="fr-FR"/>
        </w:rPr>
        <w:t>’</w:t>
      </w:r>
      <w:r w:rsidRPr="003253B8">
        <w:rPr>
          <w:lang w:val="fr-FR"/>
        </w:rPr>
        <w:t>elle soulèvera à sa deuxième réunion et des orientations qu</w:t>
      </w:r>
      <w:r w:rsidR="00FC14AB">
        <w:rPr>
          <w:lang w:val="fr-FR"/>
        </w:rPr>
        <w:t>’</w:t>
      </w:r>
      <w:r w:rsidRPr="003253B8">
        <w:rPr>
          <w:lang w:val="fr-FR"/>
        </w:rPr>
        <w:t>elle fournira à cette occasion et de lui présenter un rapport plus détaillé sur les dispositions proposées en vue de l</w:t>
      </w:r>
      <w:r w:rsidR="00FC14AB">
        <w:rPr>
          <w:lang w:val="fr-FR"/>
        </w:rPr>
        <w:t>’</w:t>
      </w:r>
      <w:r w:rsidRPr="003253B8">
        <w:rPr>
          <w:lang w:val="fr-FR"/>
        </w:rPr>
        <w:t>obtention de données de surveillance comparables et sur les éléments du cadre d</w:t>
      </w:r>
      <w:r w:rsidR="00FC14AB">
        <w:rPr>
          <w:lang w:val="fr-FR"/>
        </w:rPr>
        <w:t>’</w:t>
      </w:r>
      <w:r w:rsidRPr="003253B8">
        <w:rPr>
          <w:lang w:val="fr-FR"/>
        </w:rPr>
        <w:t>évaluation de l</w:t>
      </w:r>
      <w:r w:rsidR="00FC14AB">
        <w:rPr>
          <w:lang w:val="fr-FR"/>
        </w:rPr>
        <w:t>’</w:t>
      </w:r>
      <w:r w:rsidRPr="003253B8">
        <w:rPr>
          <w:lang w:val="fr-FR"/>
        </w:rPr>
        <w:t>efficacité, de sorte qu</w:t>
      </w:r>
      <w:r w:rsidR="00FC14AB">
        <w:rPr>
          <w:lang w:val="fr-FR"/>
        </w:rPr>
        <w:t>’</w:t>
      </w:r>
      <w:r w:rsidRPr="003253B8">
        <w:rPr>
          <w:lang w:val="fr-FR"/>
        </w:rPr>
        <w:t>elle l</w:t>
      </w:r>
      <w:r w:rsidR="00FC14AB">
        <w:rPr>
          <w:lang w:val="fr-FR"/>
        </w:rPr>
        <w:t>’</w:t>
      </w:r>
      <w:r w:rsidRPr="003253B8">
        <w:rPr>
          <w:lang w:val="fr-FR"/>
        </w:rPr>
        <w:t xml:space="preserve">examine à sa troisième réunion. </w:t>
      </w:r>
    </w:p>
    <w:p w14:paraId="77DB5DF7" w14:textId="497569DA" w:rsidR="003A1CBE" w:rsidRPr="003253B8" w:rsidRDefault="00C37D96" w:rsidP="001F273D">
      <w:pPr>
        <w:pStyle w:val="CH3"/>
        <w:rPr>
          <w:lang w:val="fr-FR"/>
        </w:rPr>
      </w:pPr>
      <w:r>
        <w:rPr>
          <w:lang w:val="fr-FR"/>
        </w:rPr>
        <w:tab/>
      </w:r>
      <w:r w:rsidR="003A1CBE" w:rsidRPr="003253B8">
        <w:rPr>
          <w:lang w:val="fr-FR"/>
        </w:rPr>
        <w:t>j)</w:t>
      </w:r>
      <w:r w:rsidR="00415247">
        <w:rPr>
          <w:lang w:val="fr-FR"/>
        </w:rPr>
        <w:tab/>
      </w:r>
      <w:r w:rsidR="003A1CBE" w:rsidRPr="003253B8">
        <w:rPr>
          <w:bCs/>
          <w:lang w:val="fr-FR"/>
        </w:rPr>
        <w:t>Règles de gestion financière</w:t>
      </w:r>
    </w:p>
    <w:p w14:paraId="22085057" w14:textId="528C9D65" w:rsidR="008C3CC8" w:rsidRPr="003253B8" w:rsidRDefault="00C37D96" w:rsidP="00BE1FA2">
      <w:pPr>
        <w:pStyle w:val="Normalnumber"/>
        <w:keepNext/>
        <w:numPr>
          <w:ilvl w:val="0"/>
          <w:numId w:val="14"/>
        </w:numPr>
        <w:tabs>
          <w:tab w:val="clear" w:pos="624"/>
          <w:tab w:val="left" w:pos="1247"/>
          <w:tab w:val="left" w:pos="1814"/>
          <w:tab w:val="left" w:pos="2381"/>
          <w:tab w:val="left" w:pos="2948"/>
          <w:tab w:val="left" w:pos="3515"/>
          <w:tab w:val="left" w:pos="4082"/>
        </w:tabs>
        <w:rPr>
          <w:bCs/>
          <w:lang w:val="fr-FR"/>
        </w:rPr>
      </w:pPr>
      <w:r>
        <w:rPr>
          <w:lang w:val="fr-FR"/>
        </w:rPr>
        <w:t>Par sa décision </w:t>
      </w:r>
      <w:r w:rsidR="00075A53" w:rsidRPr="003253B8">
        <w:rPr>
          <w:lang w:val="fr-FR"/>
        </w:rPr>
        <w:t>MC-1/10, la Conférence des Parties a, à sa première réunion, adopter ses règles de gestion financière et celles de tout organe subsidiaire qu</w:t>
      </w:r>
      <w:r w:rsidR="00FC14AB">
        <w:rPr>
          <w:lang w:val="fr-FR"/>
        </w:rPr>
        <w:t>’</w:t>
      </w:r>
      <w:r w:rsidR="00075A53" w:rsidRPr="003253B8">
        <w:rPr>
          <w:lang w:val="fr-FR"/>
        </w:rPr>
        <w:t>elle pourrait créer, ainsi que les dispositions financières régissant le fonctionnement du secrétariat. Le texte de l</w:t>
      </w:r>
      <w:r w:rsidR="00FC14AB">
        <w:rPr>
          <w:lang w:val="fr-FR"/>
        </w:rPr>
        <w:t>’</w:t>
      </w:r>
      <w:r>
        <w:rPr>
          <w:lang w:val="fr-FR"/>
        </w:rPr>
        <w:t>alinéa e) du paragraphe </w:t>
      </w:r>
      <w:r w:rsidR="00075A53" w:rsidRPr="003253B8">
        <w:rPr>
          <w:lang w:val="fr-FR"/>
        </w:rPr>
        <w:t>3 de l</w:t>
      </w:r>
      <w:r w:rsidR="00FC14AB">
        <w:rPr>
          <w:lang w:val="fr-FR"/>
        </w:rPr>
        <w:t>’</w:t>
      </w:r>
      <w:r w:rsidR="00075A53" w:rsidRPr="003253B8">
        <w:rPr>
          <w:lang w:val="fr-FR"/>
        </w:rPr>
        <w:t>article</w:t>
      </w:r>
      <w:r>
        <w:rPr>
          <w:lang w:val="fr-FR"/>
        </w:rPr>
        <w:t> </w:t>
      </w:r>
      <w:r w:rsidR="00075A53" w:rsidRPr="003253B8">
        <w:rPr>
          <w:lang w:val="fr-FR"/>
        </w:rPr>
        <w:t>5 des règles de gestio</w:t>
      </w:r>
      <w:r>
        <w:rPr>
          <w:lang w:val="fr-FR"/>
        </w:rPr>
        <w:t>n financière et des paragraphes </w:t>
      </w:r>
      <w:r w:rsidR="00075A53" w:rsidRPr="003253B8">
        <w:rPr>
          <w:lang w:val="fr-FR"/>
        </w:rPr>
        <w:t>2 et 5 de l</w:t>
      </w:r>
      <w:r w:rsidR="00FC14AB">
        <w:rPr>
          <w:lang w:val="fr-FR"/>
        </w:rPr>
        <w:t>’</w:t>
      </w:r>
      <w:r w:rsidR="00075A53" w:rsidRPr="003253B8">
        <w:rPr>
          <w:lang w:val="fr-FR"/>
        </w:rPr>
        <w:t>annexe des règles de gestion financière restent entre crochets. La Conférence des Parties souhaitera peut-être examiner le texte placé entre crochets (UNEP/MC/COP.2/14, annexe) en vue d</w:t>
      </w:r>
      <w:r w:rsidR="00FC14AB">
        <w:rPr>
          <w:lang w:val="fr-FR"/>
        </w:rPr>
        <w:t>’</w:t>
      </w:r>
      <w:r w:rsidR="00075A53" w:rsidRPr="003253B8">
        <w:rPr>
          <w:lang w:val="fr-FR"/>
        </w:rPr>
        <w:t>adopter le texte final.</w:t>
      </w:r>
    </w:p>
    <w:p w14:paraId="733CB45E" w14:textId="7CB40A21" w:rsidR="003A1CBE" w:rsidRPr="003253B8" w:rsidRDefault="00C37D96" w:rsidP="001F273D">
      <w:pPr>
        <w:pStyle w:val="CH3"/>
        <w:rPr>
          <w:lang w:val="fr-FR"/>
        </w:rPr>
      </w:pPr>
      <w:r>
        <w:rPr>
          <w:lang w:val="fr-FR"/>
        </w:rPr>
        <w:tab/>
      </w:r>
      <w:r w:rsidR="003A1CBE" w:rsidRPr="003253B8">
        <w:rPr>
          <w:lang w:val="fr-FR"/>
        </w:rPr>
        <w:t>k)</w:t>
      </w:r>
      <w:r w:rsidR="003A1CBE" w:rsidRPr="003253B8">
        <w:rPr>
          <w:lang w:val="fr-FR"/>
        </w:rPr>
        <w:tab/>
      </w:r>
      <w:r w:rsidR="003A1CBE" w:rsidRPr="003253B8">
        <w:rPr>
          <w:bCs/>
          <w:lang w:val="fr-FR"/>
        </w:rPr>
        <w:t>Secrétariat</w:t>
      </w:r>
    </w:p>
    <w:p w14:paraId="505D42B7" w14:textId="7B76F0F1" w:rsidR="00A007DD" w:rsidRPr="003253B8" w:rsidRDefault="00C37D96" w:rsidP="009D171F">
      <w:pPr>
        <w:pStyle w:val="Normalnumber"/>
        <w:rPr>
          <w:lang w:val="fr-FR"/>
        </w:rPr>
      </w:pPr>
      <w:r>
        <w:rPr>
          <w:lang w:val="fr-FR"/>
        </w:rPr>
        <w:t>Dans sa décision </w:t>
      </w:r>
      <w:r w:rsidR="00A007DD" w:rsidRPr="003253B8">
        <w:rPr>
          <w:lang w:val="fr-FR"/>
        </w:rPr>
        <w:t>MC-1/11, la Conférence des Parties a, à sa première réunion, prié le Directeur exécutif du PNUE d</w:t>
      </w:r>
      <w:r w:rsidR="00FC14AB">
        <w:rPr>
          <w:lang w:val="fr-FR"/>
        </w:rPr>
        <w:t>’</w:t>
      </w:r>
      <w:r w:rsidR="00A007DD" w:rsidRPr="003253B8">
        <w:rPr>
          <w:lang w:val="fr-FR"/>
        </w:rPr>
        <w:t>assurer les fonctions de secrétariat pour la Convention de Minamata initialement par l</w:t>
      </w:r>
      <w:r w:rsidR="00FC14AB">
        <w:rPr>
          <w:lang w:val="fr-FR"/>
        </w:rPr>
        <w:t>’</w:t>
      </w:r>
      <w:r w:rsidR="00A007DD" w:rsidRPr="003253B8">
        <w:rPr>
          <w:lang w:val="fr-FR"/>
        </w:rPr>
        <w:t>intermédiaire d</w:t>
      </w:r>
      <w:r w:rsidR="00FC14AB">
        <w:rPr>
          <w:lang w:val="fr-FR"/>
        </w:rPr>
        <w:t>’</w:t>
      </w:r>
      <w:r w:rsidR="00A007DD" w:rsidRPr="003253B8">
        <w:rPr>
          <w:lang w:val="fr-FR"/>
        </w:rPr>
        <w:t>un secrétariat de la Convention implanté à Genève; décidé d</w:t>
      </w:r>
      <w:r w:rsidR="00FC14AB">
        <w:rPr>
          <w:lang w:val="fr-FR"/>
        </w:rPr>
        <w:t>’</w:t>
      </w:r>
      <w:r w:rsidR="00A007DD" w:rsidRPr="003253B8">
        <w:rPr>
          <w:lang w:val="fr-FR"/>
        </w:rPr>
        <w:t>examiner, à sa deuxième réunion, les modalités d</w:t>
      </w:r>
      <w:r w:rsidR="00FC14AB">
        <w:rPr>
          <w:lang w:val="fr-FR"/>
        </w:rPr>
        <w:t>’</w:t>
      </w:r>
      <w:r w:rsidR="00A007DD" w:rsidRPr="003253B8">
        <w:rPr>
          <w:lang w:val="fr-FR"/>
        </w:rPr>
        <w:t>organisation, notamment le lieu d</w:t>
      </w:r>
      <w:r w:rsidR="00FC14AB">
        <w:rPr>
          <w:lang w:val="fr-FR"/>
        </w:rPr>
        <w:t>’</w:t>
      </w:r>
      <w:r w:rsidR="00A007DD" w:rsidRPr="003253B8">
        <w:rPr>
          <w:lang w:val="fr-FR"/>
        </w:rPr>
        <w:t>implantation du secrétariat et la contribution du pays hôte, conformément à l</w:t>
      </w:r>
      <w:r w:rsidR="00FC14AB">
        <w:rPr>
          <w:lang w:val="fr-FR"/>
        </w:rPr>
        <w:t>’</w:t>
      </w:r>
      <w:r w:rsidR="00A007DD" w:rsidRPr="003253B8">
        <w:rPr>
          <w:lang w:val="fr-FR"/>
        </w:rPr>
        <w:t>esprit de l</w:t>
      </w:r>
      <w:r w:rsidR="00FC14AB">
        <w:rPr>
          <w:lang w:val="fr-FR"/>
        </w:rPr>
        <w:t>’</w:t>
      </w:r>
      <w:r w:rsidR="00A007DD" w:rsidRPr="003253B8">
        <w:rPr>
          <w:lang w:val="fr-FR"/>
        </w:rPr>
        <w:t>offre faite par le Gouvernement suisse d</w:t>
      </w:r>
      <w:r w:rsidR="00FC14AB">
        <w:rPr>
          <w:lang w:val="fr-FR"/>
        </w:rPr>
        <w:t>’</w:t>
      </w:r>
      <w:r w:rsidR="00A007DD" w:rsidRPr="003253B8">
        <w:rPr>
          <w:lang w:val="fr-FR"/>
        </w:rPr>
        <w:t>accueillir le secrétariat permanent ; et prié le secrétariat, dans l</w:t>
      </w:r>
      <w:r w:rsidR="00FC14AB">
        <w:rPr>
          <w:lang w:val="fr-FR"/>
        </w:rPr>
        <w:t>’</w:t>
      </w:r>
      <w:r w:rsidR="00A007DD" w:rsidRPr="003253B8">
        <w:rPr>
          <w:lang w:val="fr-FR"/>
        </w:rPr>
        <w:t>intervalle, de continuer de travailler en coopération et en coordination, selon qu</w:t>
      </w:r>
      <w:r w:rsidR="00FC14AB">
        <w:rPr>
          <w:lang w:val="fr-FR"/>
        </w:rPr>
        <w:t>’</w:t>
      </w:r>
      <w:r w:rsidR="00A007DD" w:rsidRPr="003253B8">
        <w:rPr>
          <w:lang w:val="fr-FR"/>
        </w:rPr>
        <w:t>il convient, avec les autres acteurs compétents, notamment le Secrétariat des conventions de Bâle, de Rotterdam et de Stockholm</w:t>
      </w:r>
      <w:r w:rsidR="00A007DD" w:rsidRPr="003253B8">
        <w:rPr>
          <w:rStyle w:val="Appelnotedebasdep"/>
          <w:bCs/>
          <w:lang w:val="fr-FR"/>
        </w:rPr>
        <w:footnoteReference w:id="2"/>
      </w:r>
      <w:r w:rsidR="00A007DD" w:rsidRPr="003253B8">
        <w:rPr>
          <w:lang w:val="fr-FR"/>
        </w:rPr>
        <w:t xml:space="preserve"> et les services concernés du PNUE afin d</w:t>
      </w:r>
      <w:r w:rsidR="00FC14AB">
        <w:rPr>
          <w:lang w:val="fr-FR"/>
        </w:rPr>
        <w:t>’</w:t>
      </w:r>
      <w:r w:rsidR="00A007DD" w:rsidRPr="003253B8">
        <w:rPr>
          <w:lang w:val="fr-FR"/>
        </w:rPr>
        <w:t xml:space="preserve">utiliser pleinement les expériences et les compétences pertinentes. </w:t>
      </w:r>
    </w:p>
    <w:p w14:paraId="6E8C3436" w14:textId="3A1E86BA" w:rsidR="00A007DD" w:rsidRPr="003253B8" w:rsidRDefault="00A007DD" w:rsidP="001809EA">
      <w:pPr>
        <w:pStyle w:val="Normalnumber"/>
        <w:rPr>
          <w:lang w:val="fr-FR"/>
        </w:rPr>
      </w:pPr>
      <w:r w:rsidRPr="003253B8">
        <w:rPr>
          <w:lang w:val="fr-FR"/>
        </w:rPr>
        <w:t>La Conférence des Parties est saisie d</w:t>
      </w:r>
      <w:r w:rsidR="00FC14AB">
        <w:rPr>
          <w:lang w:val="fr-FR"/>
        </w:rPr>
        <w:t>’</w:t>
      </w:r>
      <w:r w:rsidRPr="003253B8">
        <w:rPr>
          <w:lang w:val="fr-FR"/>
        </w:rPr>
        <w:t>une note du secrétariat sur l</w:t>
      </w:r>
      <w:r w:rsidR="00FC14AB">
        <w:rPr>
          <w:lang w:val="fr-FR"/>
        </w:rPr>
        <w:t>’</w:t>
      </w:r>
      <w:r w:rsidRPr="003253B8">
        <w:rPr>
          <w:lang w:val="fr-FR"/>
        </w:rPr>
        <w:t>examen des modalités d</w:t>
      </w:r>
      <w:r w:rsidR="00FC14AB">
        <w:rPr>
          <w:lang w:val="fr-FR"/>
        </w:rPr>
        <w:t>’</w:t>
      </w:r>
      <w:r w:rsidRPr="003253B8">
        <w:rPr>
          <w:lang w:val="fr-FR"/>
        </w:rPr>
        <w:t>organisation du secrétariat (UNEP/MC/COP.2/15/Rev.1) et de son additif, dont l</w:t>
      </w:r>
      <w:r w:rsidR="00FC14AB">
        <w:rPr>
          <w:lang w:val="fr-FR"/>
        </w:rPr>
        <w:t>’</w:t>
      </w:r>
      <w:r w:rsidRPr="003253B8">
        <w:rPr>
          <w:lang w:val="fr-FR"/>
        </w:rPr>
        <w:t>annexe contient un projet de décision proposé par le Bureau, qui rend compte de l</w:t>
      </w:r>
      <w:r w:rsidR="00FC14AB">
        <w:rPr>
          <w:lang w:val="fr-FR"/>
        </w:rPr>
        <w:t>’</w:t>
      </w:r>
      <w:r w:rsidRPr="003253B8">
        <w:rPr>
          <w:lang w:val="fr-FR"/>
        </w:rPr>
        <w:t>accord auquel la Conférence des Parties est parvenue à sa première réunion concernant les éléments des modalités d</w:t>
      </w:r>
      <w:r w:rsidR="00FC14AB">
        <w:rPr>
          <w:lang w:val="fr-FR"/>
        </w:rPr>
        <w:t>’</w:t>
      </w:r>
      <w:r w:rsidRPr="003253B8">
        <w:rPr>
          <w:lang w:val="fr-FR"/>
        </w:rPr>
        <w:t>organisation du secrétariat (UNEP/MC/COP.2/15/Add.1). La Conférence des Parties est également saisie d</w:t>
      </w:r>
      <w:r w:rsidR="00FC14AB">
        <w:rPr>
          <w:lang w:val="fr-FR"/>
        </w:rPr>
        <w:t>’</w:t>
      </w:r>
      <w:r w:rsidRPr="003253B8">
        <w:rPr>
          <w:lang w:val="fr-FR"/>
        </w:rPr>
        <w:t>une lettre de la Présidente de la Suisse de l</w:t>
      </w:r>
      <w:r w:rsidR="00FC14AB">
        <w:rPr>
          <w:lang w:val="fr-FR"/>
        </w:rPr>
        <w:t>’</w:t>
      </w:r>
      <w:r w:rsidR="00C37D96">
        <w:rPr>
          <w:lang w:val="fr-FR"/>
        </w:rPr>
        <w:t>époque, Mme </w:t>
      </w:r>
      <w:r w:rsidRPr="003253B8">
        <w:rPr>
          <w:lang w:val="fr-FR"/>
        </w:rPr>
        <w:t>Doris Leuthard, confirmant la teneur de l</w:t>
      </w:r>
      <w:r w:rsidR="00FC14AB">
        <w:rPr>
          <w:lang w:val="fr-FR"/>
        </w:rPr>
        <w:t>’</w:t>
      </w:r>
      <w:r w:rsidRPr="003253B8">
        <w:rPr>
          <w:lang w:val="fr-FR"/>
        </w:rPr>
        <w:t>offre du Gouvernement suisse (UNEP/MC/COP.2/INF/4, annexe), d</w:t>
      </w:r>
      <w:r w:rsidR="00FC14AB">
        <w:rPr>
          <w:lang w:val="fr-FR"/>
        </w:rPr>
        <w:t>’</w:t>
      </w:r>
      <w:r w:rsidRPr="003253B8">
        <w:rPr>
          <w:lang w:val="fr-FR"/>
        </w:rPr>
        <w:t>un rapport sur l</w:t>
      </w:r>
      <w:r w:rsidR="00FC14AB">
        <w:rPr>
          <w:lang w:val="fr-FR"/>
        </w:rPr>
        <w:t>’</w:t>
      </w:r>
      <w:r w:rsidRPr="003253B8">
        <w:rPr>
          <w:lang w:val="fr-FR"/>
        </w:rPr>
        <w:t>état d</w:t>
      </w:r>
      <w:r w:rsidR="00FC14AB">
        <w:rPr>
          <w:lang w:val="fr-FR"/>
        </w:rPr>
        <w:t>’</w:t>
      </w:r>
      <w:r w:rsidRPr="003253B8">
        <w:rPr>
          <w:lang w:val="fr-FR"/>
        </w:rPr>
        <w:t>avancement des activités menées par le secrétariat pendant l</w:t>
      </w:r>
      <w:r w:rsidR="00FC14AB">
        <w:rPr>
          <w:lang w:val="fr-FR"/>
        </w:rPr>
        <w:t>’</w:t>
      </w:r>
      <w:r w:rsidRPr="003253B8">
        <w:rPr>
          <w:lang w:val="fr-FR"/>
        </w:rPr>
        <w:t>intersession (UNEP/MC/COP.2/17), qui contient des informations sur la coopération et la collaboration entre le Secrétariat des conventions de Bâle, de Rotterdam et de Stockholm et le secrétariat de la Convention de Minamata ; des informations demandées par le Bureau sur les divers services fournis par le secrétariat, sur la façon dont différents services pourraient être achetés auprès du Secrétariat des conventions de Bâle, de Rotterdam et de Stockholm ou partagés avec lui et sur l</w:t>
      </w:r>
      <w:r w:rsidR="00FC14AB">
        <w:rPr>
          <w:lang w:val="fr-FR"/>
        </w:rPr>
        <w:t>’</w:t>
      </w:r>
      <w:r w:rsidRPr="003253B8">
        <w:rPr>
          <w:lang w:val="fr-FR"/>
        </w:rPr>
        <w:t>incidence de tels achats ou services partagés sur le budget de la Convention de Minamata (UNEP/MC/COP.2/INF/7) et un rapport du Secrétariat des conventions de Bâle, de Rotterdam et de Stockholm relatif aux activités de coopération avec le secrétariat de la Convention de Minamata dans des domaines d</w:t>
      </w:r>
      <w:r w:rsidR="00FC14AB">
        <w:rPr>
          <w:lang w:val="fr-FR"/>
        </w:rPr>
        <w:t>’</w:t>
      </w:r>
      <w:r w:rsidRPr="003253B8">
        <w:rPr>
          <w:lang w:val="fr-FR"/>
        </w:rPr>
        <w:t>intérêt commun (UNEP/MC/COP.2/INF/11). La Conférence des Parties souhaitera peut-être prendre acte des informations fournies dans les documents soumis à son examen. Elle souhaitera peut-être également adopter le projet de décision sur les trois éléments des modalités d</w:t>
      </w:r>
      <w:r w:rsidR="00FC14AB">
        <w:rPr>
          <w:lang w:val="fr-FR"/>
        </w:rPr>
        <w:t>’</w:t>
      </w:r>
      <w:r w:rsidRPr="003253B8">
        <w:rPr>
          <w:lang w:val="fr-FR"/>
        </w:rPr>
        <w:t>organisation du secrétariat, tel que proposé par le Bureau, et créer un groupe de contact chargé d</w:t>
      </w:r>
      <w:r w:rsidR="00FC14AB">
        <w:rPr>
          <w:lang w:val="fr-FR"/>
        </w:rPr>
        <w:t>’</w:t>
      </w:r>
      <w:r w:rsidRPr="003253B8">
        <w:rPr>
          <w:lang w:val="fr-FR"/>
        </w:rPr>
        <w:t>examiner le détail des modalités et la coopération avec le Secrétariat des conventions de Bâle, de Rotterdam et de Stockholm.</w:t>
      </w:r>
      <w:bookmarkStart w:id="3" w:name="_Hlk526643952"/>
      <w:bookmarkEnd w:id="3"/>
    </w:p>
    <w:p w14:paraId="474E4101" w14:textId="79357A66" w:rsidR="003A1CBE" w:rsidRPr="003253B8" w:rsidRDefault="00C37D96" w:rsidP="001F273D">
      <w:pPr>
        <w:pStyle w:val="CH3"/>
        <w:rPr>
          <w:lang w:val="fr-FR"/>
        </w:rPr>
      </w:pPr>
      <w:r>
        <w:rPr>
          <w:lang w:val="fr-FR"/>
        </w:rPr>
        <w:tab/>
      </w:r>
      <w:r w:rsidR="003A1CBE" w:rsidRPr="003253B8">
        <w:rPr>
          <w:lang w:val="fr-FR"/>
        </w:rPr>
        <w:t>l)</w:t>
      </w:r>
      <w:r w:rsidR="00415247">
        <w:rPr>
          <w:lang w:val="fr-FR"/>
        </w:rPr>
        <w:tab/>
      </w:r>
      <w:r w:rsidR="003A1CBE" w:rsidRPr="003253B8">
        <w:rPr>
          <w:bCs/>
          <w:lang w:val="fr-FR"/>
        </w:rPr>
        <w:t>Émissions de mercure provenant du brûlage de déchets à l</w:t>
      </w:r>
      <w:r w:rsidR="00FC14AB">
        <w:rPr>
          <w:bCs/>
          <w:lang w:val="fr-FR"/>
        </w:rPr>
        <w:t>’</w:t>
      </w:r>
      <w:r w:rsidR="003A1CBE" w:rsidRPr="003253B8">
        <w:rPr>
          <w:bCs/>
          <w:lang w:val="fr-FR"/>
        </w:rPr>
        <w:t>air libre</w:t>
      </w:r>
    </w:p>
    <w:p w14:paraId="260BFBB9" w14:textId="35A665B8" w:rsidR="009D171F" w:rsidRPr="003253B8" w:rsidRDefault="009B00FF" w:rsidP="00555354">
      <w:pPr>
        <w:pStyle w:val="Normalnumber"/>
        <w:tabs>
          <w:tab w:val="clear" w:pos="624"/>
          <w:tab w:val="left" w:pos="1247"/>
          <w:tab w:val="left" w:pos="1814"/>
          <w:tab w:val="left" w:pos="2381"/>
          <w:tab w:val="left" w:pos="2948"/>
          <w:tab w:val="left" w:pos="3515"/>
          <w:tab w:val="left" w:pos="4082"/>
        </w:tabs>
        <w:rPr>
          <w:lang w:val="fr-FR"/>
        </w:rPr>
      </w:pPr>
      <w:r w:rsidRPr="003253B8">
        <w:rPr>
          <w:lang w:val="fr-FR"/>
        </w:rPr>
        <w:t>À sa première réunion, la Conférence des Parties a examiné la question des émissions de mercure liées au brûlage de déchets à l</w:t>
      </w:r>
      <w:r w:rsidR="00FC14AB">
        <w:rPr>
          <w:lang w:val="fr-FR"/>
        </w:rPr>
        <w:t>’</w:t>
      </w:r>
      <w:r w:rsidR="00C37D96">
        <w:rPr>
          <w:lang w:val="fr-FR"/>
        </w:rPr>
        <w:t>air libre et, dans sa décision </w:t>
      </w:r>
      <w:r w:rsidRPr="003253B8">
        <w:rPr>
          <w:lang w:val="fr-FR"/>
        </w:rPr>
        <w:t>MC-1/14, a invité les Parties et autres entités et organisations intéressées à communiquer au secrétariat des informations sur la question. Elle a également prié le secrétariat de continuer à rassembler des informations sur la question, en particulier dans les pays en développement et en transition, en s</w:t>
      </w:r>
      <w:r w:rsidR="00FC14AB">
        <w:rPr>
          <w:lang w:val="fr-FR"/>
        </w:rPr>
        <w:t>’</w:t>
      </w:r>
      <w:r w:rsidRPr="003253B8">
        <w:rPr>
          <w:lang w:val="fr-FR"/>
        </w:rPr>
        <w:t>appuyant notamment sur les inventaires et les évaluations initiales menées dans le cadre de la Convention de Minamata, les coefficients d</w:t>
      </w:r>
      <w:r w:rsidR="00FC14AB">
        <w:rPr>
          <w:lang w:val="fr-FR"/>
        </w:rPr>
        <w:t>’</w:t>
      </w:r>
      <w:r w:rsidRPr="003253B8">
        <w:rPr>
          <w:lang w:val="fr-FR"/>
        </w:rPr>
        <w:t>émission et les mesures réelles des émissions soumis par les Parties, ainsi que toute information pertinente établie par les conférences des Parties aux conventions de Bâle et de Stockholm, et de les lui communiquer pour qu</w:t>
      </w:r>
      <w:r w:rsidR="00FC14AB">
        <w:rPr>
          <w:lang w:val="fr-FR"/>
        </w:rPr>
        <w:t>’</w:t>
      </w:r>
      <w:r w:rsidRPr="003253B8">
        <w:rPr>
          <w:lang w:val="fr-FR"/>
        </w:rPr>
        <w:t>elle examine s</w:t>
      </w:r>
      <w:r w:rsidR="00FC14AB">
        <w:rPr>
          <w:lang w:val="fr-FR"/>
        </w:rPr>
        <w:t>’</w:t>
      </w:r>
      <w:r w:rsidRPr="003253B8">
        <w:rPr>
          <w:lang w:val="fr-FR"/>
        </w:rPr>
        <w:t xml:space="preserve">il convient de prendre des mesures supplémentaires à sa deuxième réunion. </w:t>
      </w:r>
    </w:p>
    <w:p w14:paraId="073538BE" w14:textId="61181DF9" w:rsidR="00F106B0" w:rsidRPr="003253B8" w:rsidRDefault="007C3291" w:rsidP="00CE5A51">
      <w:pPr>
        <w:pStyle w:val="Normalnumber"/>
        <w:tabs>
          <w:tab w:val="clear" w:pos="624"/>
          <w:tab w:val="left" w:pos="1247"/>
          <w:tab w:val="left" w:pos="1814"/>
          <w:tab w:val="left" w:pos="2381"/>
          <w:tab w:val="left" w:pos="2948"/>
          <w:tab w:val="left" w:pos="3515"/>
          <w:tab w:val="left" w:pos="4082"/>
        </w:tabs>
        <w:rPr>
          <w:lang w:val="fr-FR"/>
        </w:rPr>
      </w:pPr>
      <w:r w:rsidRPr="003253B8">
        <w:rPr>
          <w:lang w:val="fr-FR"/>
        </w:rPr>
        <w:t>En conséquence, le secrétariat a établi une note sur la question (UNEP/MC/COP.2/16) ainsi qu</w:t>
      </w:r>
      <w:r w:rsidR="00FC14AB">
        <w:rPr>
          <w:lang w:val="fr-FR"/>
        </w:rPr>
        <w:t>’</w:t>
      </w:r>
      <w:r w:rsidRPr="003253B8">
        <w:rPr>
          <w:lang w:val="fr-FR"/>
        </w:rPr>
        <w:t>une compilation des informations reçues (UNEP/MC/COP.2/INF/6, annexe). La Conférence des Parties souhaitera peut-être examiner les informations présentées et, au vu de la quantité limitée d</w:t>
      </w:r>
      <w:r w:rsidR="00FC14AB">
        <w:rPr>
          <w:lang w:val="fr-FR"/>
        </w:rPr>
        <w:t>’</w:t>
      </w:r>
      <w:r w:rsidRPr="003253B8">
        <w:rPr>
          <w:lang w:val="fr-FR"/>
        </w:rPr>
        <w:t>informations reçues, prier le secrétariat de continuer à compiler les informations à ce sujet obtenues des Parties et autres parties prenantes et de son examen global des inventaires disponibles. Elle souhaitera peut-être également prier le secrétariat de poursuivre le dialogue sur cette question avec le Secrétariat des conventions de Bâle, de Rotterdam et de Stockholm et de l</w:t>
      </w:r>
      <w:r w:rsidR="00FC14AB">
        <w:rPr>
          <w:lang w:val="fr-FR"/>
        </w:rPr>
        <w:t>’</w:t>
      </w:r>
      <w:r w:rsidRPr="003253B8">
        <w:rPr>
          <w:lang w:val="fr-FR"/>
        </w:rPr>
        <w:t>informer de l</w:t>
      </w:r>
      <w:r w:rsidR="00FC14AB">
        <w:rPr>
          <w:lang w:val="fr-FR"/>
        </w:rPr>
        <w:t>’</w:t>
      </w:r>
      <w:r w:rsidRPr="003253B8">
        <w:rPr>
          <w:lang w:val="fr-FR"/>
        </w:rPr>
        <w:t>évolution de la situation à sa troisième réunion.</w:t>
      </w:r>
    </w:p>
    <w:p w14:paraId="4FF4FBB8" w14:textId="48C1553A" w:rsidR="0074380F" w:rsidRPr="003253B8" w:rsidRDefault="00C535D6" w:rsidP="00C37D96">
      <w:pPr>
        <w:pStyle w:val="CH2"/>
        <w:ind w:left="624" w:firstLine="0"/>
        <w:rPr>
          <w:color w:val="000000" w:themeColor="text1"/>
          <w:lang w:val="fr-FR"/>
        </w:rPr>
      </w:pPr>
      <w:r>
        <w:rPr>
          <w:bCs/>
          <w:lang w:val="fr-FR"/>
        </w:rPr>
        <w:t>Point </w:t>
      </w:r>
      <w:r w:rsidR="0074380F" w:rsidRPr="003253B8">
        <w:rPr>
          <w:bCs/>
          <w:lang w:val="fr-FR"/>
        </w:rPr>
        <w:t>6</w:t>
      </w:r>
    </w:p>
    <w:p w14:paraId="04699206" w14:textId="77777777" w:rsidR="0074380F" w:rsidRPr="003253B8" w:rsidRDefault="0074380F" w:rsidP="00C37D96">
      <w:pPr>
        <w:pStyle w:val="CH2"/>
        <w:ind w:left="624" w:firstLine="0"/>
        <w:rPr>
          <w:color w:val="000000" w:themeColor="text1"/>
          <w:lang w:val="fr-FR"/>
        </w:rPr>
      </w:pPr>
      <w:r w:rsidRPr="003253B8">
        <w:rPr>
          <w:bCs/>
          <w:lang w:val="fr-FR"/>
        </w:rPr>
        <w:t>Programme de travail et budget</w:t>
      </w:r>
      <w:r w:rsidRPr="003253B8">
        <w:rPr>
          <w:lang w:val="fr-FR"/>
        </w:rPr>
        <w:t xml:space="preserve"> </w:t>
      </w:r>
    </w:p>
    <w:p w14:paraId="75DA149C" w14:textId="1E4E4357" w:rsidR="00FB1BFD" w:rsidRPr="003253B8" w:rsidRDefault="00C37D96" w:rsidP="00C7588C">
      <w:pPr>
        <w:pStyle w:val="Normalnumber"/>
        <w:rPr>
          <w:lang w:val="fr-FR"/>
        </w:rPr>
      </w:pPr>
      <w:r>
        <w:rPr>
          <w:lang w:val="fr-FR"/>
        </w:rPr>
        <w:t>Dans sa décision </w:t>
      </w:r>
      <w:r w:rsidR="00FB1BFD" w:rsidRPr="003253B8">
        <w:rPr>
          <w:lang w:val="fr-FR"/>
        </w:rPr>
        <w:t>MC-1/15, la Conférence des Parties a, à sa première réunion, approuvé le programme de travail du secrétariat et le budget pour l</w:t>
      </w:r>
      <w:r w:rsidR="00FC14AB">
        <w:rPr>
          <w:lang w:val="fr-FR"/>
        </w:rPr>
        <w:t>’</w:t>
      </w:r>
      <w:r w:rsidR="00FB1BFD" w:rsidRPr="003253B8">
        <w:rPr>
          <w:lang w:val="fr-FR"/>
        </w:rPr>
        <w:t>exercice biennal 2018–2019. Elle a également prié le Directeur exécutif du PNUE d</w:t>
      </w:r>
      <w:r w:rsidR="00FC14AB">
        <w:rPr>
          <w:lang w:val="fr-FR"/>
        </w:rPr>
        <w:t>’</w:t>
      </w:r>
      <w:r w:rsidR="00FB1BFD" w:rsidRPr="003253B8">
        <w:rPr>
          <w:lang w:val="fr-FR"/>
        </w:rPr>
        <w:t>assurer les fonctions de secrétariat initialement par l</w:t>
      </w:r>
      <w:r w:rsidR="00FC14AB">
        <w:rPr>
          <w:lang w:val="fr-FR"/>
        </w:rPr>
        <w:t>’</w:t>
      </w:r>
      <w:r w:rsidR="00FB1BFD" w:rsidRPr="003253B8">
        <w:rPr>
          <w:lang w:val="fr-FR"/>
        </w:rPr>
        <w:t>intermédiaire d</w:t>
      </w:r>
      <w:r w:rsidR="00FC14AB">
        <w:rPr>
          <w:lang w:val="fr-FR"/>
        </w:rPr>
        <w:t>’</w:t>
      </w:r>
      <w:r w:rsidR="00FB1BFD" w:rsidRPr="003253B8">
        <w:rPr>
          <w:lang w:val="fr-FR"/>
        </w:rPr>
        <w:t>un secrétariat de la Convention de Minamata implanté à Genève. Par ailleurs, la Conférence des Parties a prié le Secrétaire exécutif de lui fournir à sa deuxième réunion des informations actualisées sur le programme de travail et l</w:t>
      </w:r>
      <w:r w:rsidR="00FC14AB">
        <w:rPr>
          <w:lang w:val="fr-FR"/>
        </w:rPr>
        <w:t>’</w:t>
      </w:r>
      <w:r w:rsidR="00FB1BFD" w:rsidRPr="003253B8">
        <w:rPr>
          <w:lang w:val="fr-FR"/>
        </w:rPr>
        <w:t>exécution et, le cas échéant, une estimation du coût des activités qui ont des incidences budgétaires qui n</w:t>
      </w:r>
      <w:r w:rsidR="00FC14AB">
        <w:rPr>
          <w:lang w:val="fr-FR"/>
        </w:rPr>
        <w:t>’</w:t>
      </w:r>
      <w:r w:rsidR="00FB1BFD" w:rsidRPr="003253B8">
        <w:rPr>
          <w:lang w:val="fr-FR"/>
        </w:rPr>
        <w:t>étaient pas prévues dans le premier programme de travail mais qui figurent dans les projets de décision proposés, avant l</w:t>
      </w:r>
      <w:r w:rsidR="00FC14AB">
        <w:rPr>
          <w:lang w:val="fr-FR"/>
        </w:rPr>
        <w:t>’</w:t>
      </w:r>
      <w:r w:rsidR="00FB1BFD" w:rsidRPr="003253B8">
        <w:rPr>
          <w:lang w:val="fr-FR"/>
        </w:rPr>
        <w:t xml:space="preserve">adoption de ces décisions par la Conférence des Parties, et qui ont donc des incidences budgétaires sur le premier exercice biennal. </w:t>
      </w:r>
    </w:p>
    <w:p w14:paraId="666E9B40" w14:textId="027589B7" w:rsidR="008F624E" w:rsidRPr="003253B8" w:rsidRDefault="00931353" w:rsidP="009C4FCC">
      <w:pPr>
        <w:pStyle w:val="Normalnumber"/>
        <w:rPr>
          <w:lang w:val="fr-FR"/>
        </w:rPr>
      </w:pPr>
      <w:r w:rsidRPr="003253B8">
        <w:rPr>
          <w:lang w:val="fr-FR"/>
        </w:rPr>
        <w:t>En conséquence, le secrétariat a établi une note contenant des informations actualisées sur le programme de travail et le budget pour l</w:t>
      </w:r>
      <w:r w:rsidR="00FC14AB">
        <w:rPr>
          <w:lang w:val="fr-FR"/>
        </w:rPr>
        <w:t>’</w:t>
      </w:r>
      <w:r w:rsidRPr="003253B8">
        <w:rPr>
          <w:lang w:val="fr-FR"/>
        </w:rPr>
        <w:t>exercice biennal 2018-2019 (UNEP/MC/COP.2/18) ainsi qu</w:t>
      </w:r>
      <w:r w:rsidR="00FC14AB">
        <w:rPr>
          <w:lang w:val="fr-FR"/>
        </w:rPr>
        <w:t>’</w:t>
      </w:r>
      <w:r w:rsidRPr="003253B8">
        <w:rPr>
          <w:lang w:val="fr-FR"/>
        </w:rPr>
        <w:t>un programme de travail et des tableaux budgétaires détaillés (UNEP/MC/COP.2/INF/9). La Conférence des Parties est également saisie d</w:t>
      </w:r>
      <w:r w:rsidR="00FC14AB">
        <w:rPr>
          <w:lang w:val="fr-FR"/>
        </w:rPr>
        <w:t>’</w:t>
      </w:r>
      <w:r w:rsidRPr="003253B8">
        <w:rPr>
          <w:lang w:val="fr-FR"/>
        </w:rPr>
        <w:t>un rapport sur l</w:t>
      </w:r>
      <w:r w:rsidR="00FC14AB">
        <w:rPr>
          <w:lang w:val="fr-FR"/>
        </w:rPr>
        <w:t>’</w:t>
      </w:r>
      <w:r w:rsidRPr="003253B8">
        <w:rPr>
          <w:lang w:val="fr-FR"/>
        </w:rPr>
        <w:t>état d</w:t>
      </w:r>
      <w:r w:rsidR="00FC14AB">
        <w:rPr>
          <w:lang w:val="fr-FR"/>
        </w:rPr>
        <w:t>’</w:t>
      </w:r>
      <w:r w:rsidRPr="003253B8">
        <w:rPr>
          <w:lang w:val="fr-FR"/>
        </w:rPr>
        <w:t>avancement des activités menées par le secrétariat pendant l</w:t>
      </w:r>
      <w:r w:rsidR="00FC14AB">
        <w:rPr>
          <w:lang w:val="fr-FR"/>
        </w:rPr>
        <w:t>’</w:t>
      </w:r>
      <w:r w:rsidRPr="003253B8">
        <w:rPr>
          <w:lang w:val="fr-FR"/>
        </w:rPr>
        <w:t>intersession (UNEP/MC/COP.2/17). Parmi les autres documents relatifs aux travaux du secrétariat et à l</w:t>
      </w:r>
      <w:r w:rsidR="00FC14AB">
        <w:rPr>
          <w:lang w:val="fr-FR"/>
        </w:rPr>
        <w:t>’</w:t>
      </w:r>
      <w:r w:rsidRPr="003253B8">
        <w:rPr>
          <w:lang w:val="fr-FR"/>
        </w:rPr>
        <w:t>appui aux Parties figurent des notes du secrétariat sur la coopération avec l</w:t>
      </w:r>
      <w:r w:rsidR="00FC14AB">
        <w:rPr>
          <w:lang w:val="fr-FR"/>
        </w:rPr>
        <w:t>’</w:t>
      </w:r>
      <w:r w:rsidRPr="003253B8">
        <w:rPr>
          <w:lang w:val="fr-FR"/>
        </w:rPr>
        <w:t>OMS et l</w:t>
      </w:r>
      <w:r w:rsidR="00FC14AB">
        <w:rPr>
          <w:lang w:val="fr-FR"/>
        </w:rPr>
        <w:t>’</w:t>
      </w:r>
      <w:r w:rsidRPr="003253B8">
        <w:rPr>
          <w:lang w:val="fr-FR"/>
        </w:rPr>
        <w:t>OIT (UNEP/MC/COP.2/12), un rapport sur les activités menées par les organismes internationaux compétents (UNEP/MC/COP.2/INF/2), des informations complémentaires demandées par le Bureau sur les services que le secrétariat de la Convention de Minamata pourrait acheter auprès du Secrétariat des conventions de Bâle, de Rotterdam et de Stockholm ou partager avec lui (UNEP/MC/COP.2/INF/7), un rapport du Secrétariat des conventions de Bâle, de Rotterdam et de Stockholm sur les activités de coopération avec le secrétariat de la Convention de Minamata dans des domaines d</w:t>
      </w:r>
      <w:r w:rsidR="00FC14AB">
        <w:rPr>
          <w:lang w:val="fr-FR"/>
        </w:rPr>
        <w:t>’</w:t>
      </w:r>
      <w:r w:rsidRPr="003253B8">
        <w:rPr>
          <w:lang w:val="fr-FR"/>
        </w:rPr>
        <w:t>intérêt commun (UNEP/MC/COP.2/INF/11), les activités du Programme spécial d</w:t>
      </w:r>
      <w:r w:rsidR="00FC14AB">
        <w:rPr>
          <w:lang w:val="fr-FR"/>
        </w:rPr>
        <w:t>’</w:t>
      </w:r>
      <w:r w:rsidRPr="003253B8">
        <w:rPr>
          <w:lang w:val="fr-FR"/>
        </w:rPr>
        <w:t>appui au renforcement des institutions nationales aux fins de la mise en œuvre des conventions de Bâle, de Rotterdam et de Stockholm, de la Convention de Minamata et de l</w:t>
      </w:r>
      <w:r w:rsidR="00FC14AB">
        <w:rPr>
          <w:lang w:val="fr-FR"/>
        </w:rPr>
        <w:t>’</w:t>
      </w:r>
      <w:r w:rsidRPr="003253B8">
        <w:rPr>
          <w:lang w:val="fr-FR"/>
        </w:rPr>
        <w:t>Approche stratégique de la gestion internationale des produits chimiques (UNEP/MC/COP.2/INF/12), un rapport sur les activités entreprises dans le cadre du Partenariat mondial sur le mercure du PNUE (UNEP/MC/COP.2/INF/13), et une note faisant le point sur l</w:t>
      </w:r>
      <w:r w:rsidR="00FC14AB">
        <w:rPr>
          <w:lang w:val="fr-FR"/>
        </w:rPr>
        <w:t>’</w:t>
      </w:r>
      <w:r w:rsidRPr="003253B8">
        <w:rPr>
          <w:lang w:val="fr-FR"/>
        </w:rPr>
        <w:t xml:space="preserve">Approche stratégique de la gestion internationale des produits chimiques (UNEP/MC/COP.1/INF/14). </w:t>
      </w:r>
    </w:p>
    <w:p w14:paraId="4FB75038" w14:textId="4CD2D1D6" w:rsidR="008F624E" w:rsidRPr="003253B8" w:rsidRDefault="00FB1BFD" w:rsidP="00E16330">
      <w:pPr>
        <w:pStyle w:val="Normalnumber"/>
        <w:rPr>
          <w:lang w:val="fr-FR"/>
        </w:rPr>
      </w:pPr>
      <w:r w:rsidRPr="003253B8">
        <w:rPr>
          <w:lang w:val="fr-FR"/>
        </w:rPr>
        <w:t>La Conférence des Parties souhaitera peut-être examiner le budg</w:t>
      </w:r>
      <w:r w:rsidR="00267355">
        <w:rPr>
          <w:lang w:val="fr-FR"/>
        </w:rPr>
        <w:t>et et adopter une décision à ce </w:t>
      </w:r>
      <w:r w:rsidRPr="003253B8">
        <w:rPr>
          <w:lang w:val="fr-FR"/>
        </w:rPr>
        <w:t>sujet. Si la Conférence des Parties décidait de ne pas tenir sa troisiè</w:t>
      </w:r>
      <w:r w:rsidR="00267355">
        <w:rPr>
          <w:lang w:val="fr-FR"/>
        </w:rPr>
        <w:t>me réunion en 2019, la décision </w:t>
      </w:r>
      <w:r w:rsidRPr="003253B8">
        <w:rPr>
          <w:lang w:val="fr-FR"/>
        </w:rPr>
        <w:t>relative au programme de travail et au budget devrait également porter sur l</w:t>
      </w:r>
      <w:r w:rsidR="00FC14AB">
        <w:rPr>
          <w:lang w:val="fr-FR"/>
        </w:rPr>
        <w:t>’</w:t>
      </w:r>
      <w:r w:rsidRPr="003253B8">
        <w:rPr>
          <w:lang w:val="fr-FR"/>
        </w:rPr>
        <w:t>exercice biennal 2020-2021 de sorte que le secrétariat puisse poursuivre ses travaux en 2020.</w:t>
      </w:r>
    </w:p>
    <w:p w14:paraId="34353264" w14:textId="282224B7" w:rsidR="0001627D" w:rsidRPr="003253B8" w:rsidRDefault="00C535D6" w:rsidP="00033BF5">
      <w:pPr>
        <w:pStyle w:val="CH2"/>
        <w:ind w:left="624" w:firstLine="0"/>
        <w:rPr>
          <w:b w:val="0"/>
          <w:color w:val="000000" w:themeColor="text1"/>
          <w:lang w:val="fr-FR"/>
        </w:rPr>
      </w:pPr>
      <w:r>
        <w:rPr>
          <w:bCs/>
          <w:lang w:val="fr-FR"/>
        </w:rPr>
        <w:t>Point </w:t>
      </w:r>
      <w:r w:rsidR="0001627D" w:rsidRPr="003253B8">
        <w:rPr>
          <w:bCs/>
          <w:lang w:val="fr-FR"/>
        </w:rPr>
        <w:t>7</w:t>
      </w:r>
    </w:p>
    <w:p w14:paraId="77DAE6C3" w14:textId="5562C3F5" w:rsidR="0001627D" w:rsidRPr="003253B8" w:rsidRDefault="0001627D" w:rsidP="00033BF5">
      <w:pPr>
        <w:pStyle w:val="CH2"/>
        <w:ind w:left="624" w:firstLine="0"/>
        <w:rPr>
          <w:color w:val="000000" w:themeColor="text1"/>
          <w:lang w:val="fr-FR"/>
        </w:rPr>
      </w:pPr>
      <w:r w:rsidRPr="003253B8">
        <w:rPr>
          <w:bCs/>
          <w:lang w:val="fr-FR"/>
        </w:rPr>
        <w:t>Date et lieu de la troisième réunion de la Conférence des Parties</w:t>
      </w:r>
    </w:p>
    <w:p w14:paraId="3AB48256" w14:textId="3F156990" w:rsidR="005B518D" w:rsidRPr="003253B8" w:rsidRDefault="009B4EA4" w:rsidP="00C40889">
      <w:pPr>
        <w:pStyle w:val="Normalnumber"/>
        <w:keepNext/>
        <w:keepLines/>
        <w:numPr>
          <w:ilvl w:val="0"/>
          <w:numId w:val="1"/>
        </w:numPr>
        <w:tabs>
          <w:tab w:val="clear" w:pos="567"/>
          <w:tab w:val="clear" w:pos="624"/>
        </w:tabs>
        <w:ind w:left="1276"/>
        <w:rPr>
          <w:color w:val="000000" w:themeColor="text1"/>
          <w:lang w:val="fr-FR"/>
        </w:rPr>
      </w:pPr>
      <w:r w:rsidRPr="003253B8">
        <w:rPr>
          <w:lang w:val="fr-FR"/>
        </w:rPr>
        <w:t>Aux termes de l</w:t>
      </w:r>
      <w:r w:rsidR="00FC14AB">
        <w:rPr>
          <w:lang w:val="fr-FR"/>
        </w:rPr>
        <w:t>’</w:t>
      </w:r>
      <w:r w:rsidR="00C535D6">
        <w:rPr>
          <w:lang w:val="fr-FR"/>
        </w:rPr>
        <w:t>article </w:t>
      </w:r>
      <w:r w:rsidRPr="003253B8">
        <w:rPr>
          <w:lang w:val="fr-FR"/>
        </w:rPr>
        <w:t>3 du Règlement intérieur, les réunions de la Conférence des Parties ont lieu au siège du secrétariat, à moins que la Conférence des Parties n</w:t>
      </w:r>
      <w:r w:rsidR="00FC14AB">
        <w:rPr>
          <w:lang w:val="fr-FR"/>
        </w:rPr>
        <w:t>’</w:t>
      </w:r>
      <w:r w:rsidRPr="003253B8">
        <w:rPr>
          <w:lang w:val="fr-FR"/>
        </w:rPr>
        <w:t>en décide autrement ou que d</w:t>
      </w:r>
      <w:r w:rsidR="00FC14AB">
        <w:rPr>
          <w:lang w:val="fr-FR"/>
        </w:rPr>
        <w:t>’</w:t>
      </w:r>
      <w:r w:rsidRPr="003253B8">
        <w:rPr>
          <w:lang w:val="fr-FR"/>
        </w:rPr>
        <w:t>autres arrangements appropriés ne soient pris par le secrétariat en consultation avec les Parties. L</w:t>
      </w:r>
      <w:r w:rsidR="00FC14AB">
        <w:rPr>
          <w:lang w:val="fr-FR"/>
        </w:rPr>
        <w:t>’</w:t>
      </w:r>
      <w:r w:rsidR="00C535D6">
        <w:rPr>
          <w:lang w:val="fr-FR"/>
        </w:rPr>
        <w:t>article </w:t>
      </w:r>
      <w:r w:rsidRPr="003253B8">
        <w:rPr>
          <w:lang w:val="fr-FR"/>
        </w:rPr>
        <w:t>4 du règlement intérieur dispose qu</w:t>
      </w:r>
      <w:r w:rsidR="00FC14AB">
        <w:rPr>
          <w:lang w:val="fr-FR"/>
        </w:rPr>
        <w:t>’</w:t>
      </w:r>
      <w:r w:rsidRPr="003253B8">
        <w:rPr>
          <w:lang w:val="fr-FR"/>
        </w:rPr>
        <w:t>à moins que la Conférence des Parties n</w:t>
      </w:r>
      <w:r w:rsidR="00FC14AB">
        <w:rPr>
          <w:lang w:val="fr-FR"/>
        </w:rPr>
        <w:t>’</w:t>
      </w:r>
      <w:r w:rsidRPr="003253B8">
        <w:rPr>
          <w:lang w:val="fr-FR"/>
        </w:rPr>
        <w:t>en décide autrement, ses deuxième et troisième réunions ordinaires se tiendront annuellement. En conséquence, la Conférence des Parties souhaitera peut-être examiner la date et le</w:t>
      </w:r>
      <w:r w:rsidR="003253B8" w:rsidRPr="003253B8">
        <w:rPr>
          <w:lang w:val="fr-FR"/>
        </w:rPr>
        <w:t xml:space="preserve"> lieu de sa troisième réunion.</w:t>
      </w:r>
    </w:p>
    <w:p w14:paraId="0FBE34C7" w14:textId="1010A184" w:rsidR="0001627D" w:rsidRPr="003253B8" w:rsidRDefault="00C535D6" w:rsidP="0074380F">
      <w:pPr>
        <w:pStyle w:val="CH2"/>
        <w:keepNext w:val="0"/>
        <w:keepLines w:val="0"/>
        <w:ind w:left="624" w:firstLine="0"/>
        <w:rPr>
          <w:bCs/>
          <w:color w:val="000000" w:themeColor="text1"/>
          <w:lang w:val="fr-FR"/>
        </w:rPr>
      </w:pPr>
      <w:r>
        <w:rPr>
          <w:bCs/>
          <w:lang w:val="fr-FR"/>
        </w:rPr>
        <w:t>Point </w:t>
      </w:r>
      <w:r w:rsidR="0001627D" w:rsidRPr="003253B8">
        <w:rPr>
          <w:bCs/>
          <w:lang w:val="fr-FR"/>
        </w:rPr>
        <w:t>8</w:t>
      </w:r>
    </w:p>
    <w:p w14:paraId="0EFB7F93" w14:textId="422EDA7D" w:rsidR="0001627D" w:rsidRPr="003253B8" w:rsidRDefault="0001627D" w:rsidP="004E2C4A">
      <w:pPr>
        <w:pStyle w:val="CH2"/>
        <w:keepNext w:val="0"/>
        <w:keepLines w:val="0"/>
        <w:ind w:left="624" w:firstLine="0"/>
        <w:rPr>
          <w:b w:val="0"/>
          <w:color w:val="000000" w:themeColor="text1"/>
          <w:lang w:val="fr-FR"/>
        </w:rPr>
      </w:pPr>
      <w:r w:rsidRPr="003253B8">
        <w:rPr>
          <w:bCs/>
          <w:lang w:val="fr-FR"/>
        </w:rPr>
        <w:t>Questions diverses</w:t>
      </w:r>
    </w:p>
    <w:p w14:paraId="6159F69A" w14:textId="17DD1666" w:rsidR="0001627D" w:rsidRPr="003253B8" w:rsidRDefault="0001627D" w:rsidP="008F624E">
      <w:pPr>
        <w:pStyle w:val="Normalnumber"/>
        <w:numPr>
          <w:ilvl w:val="0"/>
          <w:numId w:val="1"/>
        </w:numPr>
        <w:tabs>
          <w:tab w:val="clear" w:pos="567"/>
        </w:tabs>
        <w:rPr>
          <w:color w:val="000000" w:themeColor="text1"/>
          <w:lang w:val="fr-FR"/>
        </w:rPr>
      </w:pPr>
      <w:r w:rsidRPr="003253B8">
        <w:rPr>
          <w:lang w:val="fr-FR"/>
        </w:rPr>
        <w:t>La Conférence des Parties souhaitera peut-être examiner d</w:t>
      </w:r>
      <w:r w:rsidR="00FC14AB">
        <w:rPr>
          <w:lang w:val="fr-FR"/>
        </w:rPr>
        <w:t>’</w:t>
      </w:r>
      <w:r w:rsidRPr="003253B8">
        <w:rPr>
          <w:lang w:val="fr-FR"/>
        </w:rPr>
        <w:t>autres questions soulevées pendant la réunion. Elle souhaitera peut-être examiner, entre autres, le processus d</w:t>
      </w:r>
      <w:r w:rsidR="00FC14AB">
        <w:rPr>
          <w:lang w:val="fr-FR"/>
        </w:rPr>
        <w:t>’</w:t>
      </w:r>
      <w:r w:rsidR="00C535D6">
        <w:rPr>
          <w:lang w:val="fr-FR"/>
        </w:rPr>
        <w:t>examen des annexes </w:t>
      </w:r>
      <w:r w:rsidRPr="003253B8">
        <w:rPr>
          <w:lang w:val="fr-FR"/>
        </w:rPr>
        <w:t>A et B de la Conven</w:t>
      </w:r>
      <w:r w:rsidR="00A64E95">
        <w:rPr>
          <w:lang w:val="fr-FR"/>
        </w:rPr>
        <w:t>tion conformément au paragraphe </w:t>
      </w:r>
      <w:r w:rsidRPr="003253B8">
        <w:rPr>
          <w:lang w:val="fr-FR"/>
        </w:rPr>
        <w:t>8 de l</w:t>
      </w:r>
      <w:r w:rsidR="00FC14AB">
        <w:rPr>
          <w:lang w:val="fr-FR"/>
        </w:rPr>
        <w:t>’</w:t>
      </w:r>
      <w:r w:rsidR="00A46ED1">
        <w:rPr>
          <w:lang w:val="fr-FR"/>
        </w:rPr>
        <w:t>article </w:t>
      </w:r>
      <w:r w:rsidR="00C535D6">
        <w:rPr>
          <w:lang w:val="fr-FR"/>
        </w:rPr>
        <w:t>4 et au paragraphe </w:t>
      </w:r>
      <w:r w:rsidRPr="003253B8">
        <w:rPr>
          <w:lang w:val="fr-FR"/>
        </w:rPr>
        <w:t>10 de l</w:t>
      </w:r>
      <w:r w:rsidR="00FC14AB">
        <w:rPr>
          <w:lang w:val="fr-FR"/>
        </w:rPr>
        <w:t>’</w:t>
      </w:r>
      <w:r w:rsidR="00C535D6">
        <w:rPr>
          <w:lang w:val="fr-FR"/>
        </w:rPr>
        <w:t>article </w:t>
      </w:r>
      <w:r w:rsidRPr="003253B8">
        <w:rPr>
          <w:lang w:val="fr-FR"/>
        </w:rPr>
        <w:t xml:space="preserve">5. </w:t>
      </w:r>
    </w:p>
    <w:p w14:paraId="535667BB" w14:textId="61E84781" w:rsidR="0001627D" w:rsidRPr="003253B8" w:rsidRDefault="00C535D6" w:rsidP="004E2C4A">
      <w:pPr>
        <w:pStyle w:val="CH2"/>
        <w:keepNext w:val="0"/>
        <w:keepLines w:val="0"/>
        <w:ind w:left="624" w:firstLine="0"/>
        <w:rPr>
          <w:b w:val="0"/>
          <w:color w:val="000000" w:themeColor="text1"/>
          <w:lang w:val="fr-FR"/>
        </w:rPr>
      </w:pPr>
      <w:r>
        <w:rPr>
          <w:bCs/>
          <w:lang w:val="fr-FR"/>
        </w:rPr>
        <w:t>Point </w:t>
      </w:r>
      <w:r w:rsidR="0001627D" w:rsidRPr="003253B8">
        <w:rPr>
          <w:bCs/>
          <w:lang w:val="fr-FR"/>
        </w:rPr>
        <w:t>9</w:t>
      </w:r>
    </w:p>
    <w:p w14:paraId="34D65F74" w14:textId="7C623F04" w:rsidR="0001627D" w:rsidRPr="003253B8" w:rsidRDefault="0001627D" w:rsidP="004E2C4A">
      <w:pPr>
        <w:pStyle w:val="CH2"/>
        <w:keepNext w:val="0"/>
        <w:keepLines w:val="0"/>
        <w:ind w:left="624" w:firstLine="0"/>
        <w:rPr>
          <w:b w:val="0"/>
          <w:color w:val="000000" w:themeColor="text1"/>
          <w:lang w:val="fr-FR"/>
        </w:rPr>
      </w:pPr>
      <w:r w:rsidRPr="003253B8">
        <w:rPr>
          <w:bCs/>
          <w:lang w:val="fr-FR"/>
        </w:rPr>
        <w:t>Adoption du rapport</w:t>
      </w:r>
    </w:p>
    <w:p w14:paraId="62D943AD" w14:textId="2EBDEC3D" w:rsidR="00C6493A" w:rsidRPr="003253B8" w:rsidRDefault="00C6493A" w:rsidP="00A83724">
      <w:pPr>
        <w:pStyle w:val="Normalnumber"/>
        <w:numPr>
          <w:ilvl w:val="0"/>
          <w:numId w:val="1"/>
        </w:numPr>
        <w:tabs>
          <w:tab w:val="clear" w:pos="567"/>
        </w:tabs>
        <w:rPr>
          <w:color w:val="000000" w:themeColor="text1"/>
          <w:lang w:val="fr-FR"/>
        </w:rPr>
      </w:pPr>
      <w:r w:rsidRPr="003253B8">
        <w:rPr>
          <w:lang w:val="fr-FR"/>
        </w:rPr>
        <w:t>La Conférence des Parties sera invitée à examiner et adopter le rapport sur les travaux de sa deuxième réunion élaboré par le rapporteur à l</w:t>
      </w:r>
      <w:r w:rsidR="00FC14AB">
        <w:rPr>
          <w:lang w:val="fr-FR"/>
        </w:rPr>
        <w:t>’</w:t>
      </w:r>
      <w:r w:rsidRPr="003253B8">
        <w:rPr>
          <w:lang w:val="fr-FR"/>
        </w:rPr>
        <w:t>occasion d</w:t>
      </w:r>
      <w:r w:rsidR="00FC14AB">
        <w:rPr>
          <w:lang w:val="fr-FR"/>
        </w:rPr>
        <w:t>’</w:t>
      </w:r>
      <w:r w:rsidRPr="003253B8">
        <w:rPr>
          <w:lang w:val="fr-FR"/>
        </w:rPr>
        <w:t>une séance plénière qui</w:t>
      </w:r>
      <w:r w:rsidR="00C535D6">
        <w:rPr>
          <w:lang w:val="fr-FR"/>
        </w:rPr>
        <w:t xml:space="preserve"> se tiendra le vendredi 23 </w:t>
      </w:r>
      <w:r w:rsidRPr="003253B8">
        <w:rPr>
          <w:lang w:val="fr-FR"/>
        </w:rPr>
        <w:t>novembre, après lui avoir apporté toutes les modifications qu</w:t>
      </w:r>
      <w:r w:rsidR="00FC14AB">
        <w:rPr>
          <w:lang w:val="fr-FR"/>
        </w:rPr>
        <w:t>’</w:t>
      </w:r>
      <w:r w:rsidRPr="003253B8">
        <w:rPr>
          <w:lang w:val="fr-FR"/>
        </w:rPr>
        <w:t>elle jugerait nécessaires. Conformément à la pratique habituelle à l</w:t>
      </w:r>
      <w:r w:rsidR="00FC14AB">
        <w:rPr>
          <w:lang w:val="fr-FR"/>
        </w:rPr>
        <w:t>’</w:t>
      </w:r>
      <w:r w:rsidRPr="003253B8">
        <w:rPr>
          <w:lang w:val="fr-FR"/>
        </w:rPr>
        <w:t>Organisation des Nations Unies, la Conférence pourrait souhaiter décider de laisser au Rapporteur, disposant pour ce faire du concours du secrétariat, le soin d</w:t>
      </w:r>
      <w:r w:rsidR="00FC14AB">
        <w:rPr>
          <w:lang w:val="fr-FR"/>
        </w:rPr>
        <w:t>’</w:t>
      </w:r>
      <w:r w:rsidRPr="003253B8">
        <w:rPr>
          <w:lang w:val="fr-FR"/>
        </w:rPr>
        <w:t>établir la partie du rapport concernant les séances plénières qui seront tenues le dernier jour et d</w:t>
      </w:r>
      <w:r w:rsidR="00FC14AB">
        <w:rPr>
          <w:lang w:val="fr-FR"/>
        </w:rPr>
        <w:t>’</w:t>
      </w:r>
      <w:r w:rsidRPr="003253B8">
        <w:rPr>
          <w:lang w:val="fr-FR"/>
        </w:rPr>
        <w:t>inclure cette partie dans le rapport sous l</w:t>
      </w:r>
      <w:r w:rsidR="00FC14AB">
        <w:rPr>
          <w:lang w:val="fr-FR"/>
        </w:rPr>
        <w:t>’</w:t>
      </w:r>
      <w:r w:rsidRPr="003253B8">
        <w:rPr>
          <w:lang w:val="fr-FR"/>
        </w:rPr>
        <w:t>autorité du Président du Bureau. Le rapport final sur les travaux de la réunion sera distribué après la clôture de la réunion.</w:t>
      </w:r>
    </w:p>
    <w:p w14:paraId="12ED9A29" w14:textId="33B79896" w:rsidR="0001627D" w:rsidRPr="003253B8" w:rsidRDefault="00C535D6" w:rsidP="004E2C4A">
      <w:pPr>
        <w:pStyle w:val="CH2"/>
        <w:keepNext w:val="0"/>
        <w:keepLines w:val="0"/>
        <w:ind w:left="624" w:firstLine="0"/>
        <w:rPr>
          <w:b w:val="0"/>
          <w:color w:val="000000" w:themeColor="text1"/>
          <w:lang w:val="fr-FR"/>
        </w:rPr>
      </w:pPr>
      <w:r>
        <w:rPr>
          <w:bCs/>
          <w:lang w:val="fr-FR"/>
        </w:rPr>
        <w:t>Point </w:t>
      </w:r>
      <w:r w:rsidR="0001627D" w:rsidRPr="003253B8">
        <w:rPr>
          <w:bCs/>
          <w:lang w:val="fr-FR"/>
        </w:rPr>
        <w:t>10</w:t>
      </w:r>
    </w:p>
    <w:p w14:paraId="403FD96E" w14:textId="1A698ADD" w:rsidR="0001627D" w:rsidRPr="003253B8" w:rsidRDefault="0001627D" w:rsidP="004E2C4A">
      <w:pPr>
        <w:pStyle w:val="CH2"/>
        <w:keepNext w:val="0"/>
        <w:keepLines w:val="0"/>
        <w:ind w:left="624" w:firstLine="0"/>
        <w:rPr>
          <w:b w:val="0"/>
          <w:color w:val="000000" w:themeColor="text1"/>
          <w:lang w:val="fr-FR"/>
        </w:rPr>
      </w:pPr>
      <w:r w:rsidRPr="003253B8">
        <w:rPr>
          <w:bCs/>
          <w:lang w:val="fr-FR"/>
        </w:rPr>
        <w:t>Clôture de la réunion</w:t>
      </w:r>
    </w:p>
    <w:p w14:paraId="6C853630" w14:textId="7E8C2C5D" w:rsidR="0001627D" w:rsidRPr="003253B8" w:rsidRDefault="0001627D" w:rsidP="00924C90">
      <w:pPr>
        <w:pStyle w:val="Normalnumber"/>
        <w:numPr>
          <w:ilvl w:val="0"/>
          <w:numId w:val="1"/>
        </w:numPr>
        <w:tabs>
          <w:tab w:val="clear" w:pos="567"/>
        </w:tabs>
        <w:rPr>
          <w:color w:val="000000" w:themeColor="text1"/>
          <w:lang w:val="fr-FR"/>
        </w:rPr>
      </w:pPr>
      <w:r w:rsidRPr="003253B8">
        <w:rPr>
          <w:lang w:val="fr-FR"/>
        </w:rPr>
        <w:t>Les travaux de la deuxième réunion de la Conférence des Parties devra</w:t>
      </w:r>
      <w:r w:rsidR="00950393">
        <w:rPr>
          <w:lang w:val="fr-FR"/>
        </w:rPr>
        <w:t>ient se terminer le vendredi 23 novembre 2018 à 18 </w:t>
      </w:r>
      <w:r w:rsidRPr="003253B8">
        <w:rPr>
          <w:lang w:val="fr-FR"/>
        </w:rPr>
        <w:t>heures.</w:t>
      </w:r>
    </w:p>
    <w:tbl>
      <w:tblPr>
        <w:tblW w:w="11655" w:type="dxa"/>
        <w:tblLayout w:type="fixed"/>
        <w:tblLook w:val="04A0" w:firstRow="1" w:lastRow="0" w:firstColumn="1" w:lastColumn="0" w:noHBand="0" w:noVBand="1"/>
      </w:tblPr>
      <w:tblGrid>
        <w:gridCol w:w="1942"/>
        <w:gridCol w:w="1942"/>
        <w:gridCol w:w="1942"/>
        <w:gridCol w:w="1943"/>
        <w:gridCol w:w="1943"/>
        <w:gridCol w:w="1943"/>
      </w:tblGrid>
      <w:tr w:rsidR="00E671FC" w:rsidRPr="003253B8" w14:paraId="31AF8C7B" w14:textId="77777777" w:rsidTr="00E671FC">
        <w:trPr>
          <w:trHeight w:val="291"/>
        </w:trPr>
        <w:tc>
          <w:tcPr>
            <w:tcW w:w="1942" w:type="dxa"/>
            <w:shd w:val="clear" w:color="auto" w:fill="auto"/>
          </w:tcPr>
          <w:p w14:paraId="4D7CB87D" w14:textId="77777777" w:rsidR="00E671FC" w:rsidRPr="003253B8" w:rsidRDefault="00E671FC" w:rsidP="00033BF5">
            <w:pPr>
              <w:pStyle w:val="Normal-pool"/>
              <w:spacing w:before="520"/>
              <w:rPr>
                <w:color w:val="000000" w:themeColor="text1"/>
                <w:lang w:val="fr-FR"/>
              </w:rPr>
            </w:pPr>
          </w:p>
        </w:tc>
        <w:tc>
          <w:tcPr>
            <w:tcW w:w="1942" w:type="dxa"/>
            <w:shd w:val="clear" w:color="auto" w:fill="auto"/>
          </w:tcPr>
          <w:p w14:paraId="44BE605D" w14:textId="77777777" w:rsidR="00E671FC" w:rsidRPr="003253B8" w:rsidRDefault="00E671FC" w:rsidP="00033BF5">
            <w:pPr>
              <w:pStyle w:val="Normal-pool"/>
              <w:spacing w:before="520"/>
              <w:rPr>
                <w:color w:val="000000" w:themeColor="text1"/>
                <w:lang w:val="fr-FR"/>
              </w:rPr>
            </w:pPr>
          </w:p>
        </w:tc>
        <w:tc>
          <w:tcPr>
            <w:tcW w:w="1942" w:type="dxa"/>
            <w:tcBorders>
              <w:bottom w:val="single" w:sz="4" w:space="0" w:color="auto"/>
            </w:tcBorders>
            <w:shd w:val="clear" w:color="auto" w:fill="auto"/>
          </w:tcPr>
          <w:p w14:paraId="5683982A" w14:textId="77777777" w:rsidR="00E671FC" w:rsidRPr="003253B8" w:rsidRDefault="00E671FC" w:rsidP="00033BF5">
            <w:pPr>
              <w:pStyle w:val="Normal-pool"/>
              <w:spacing w:before="520"/>
              <w:rPr>
                <w:color w:val="000000" w:themeColor="text1"/>
                <w:lang w:val="fr-FR"/>
              </w:rPr>
            </w:pPr>
          </w:p>
        </w:tc>
        <w:tc>
          <w:tcPr>
            <w:tcW w:w="1943" w:type="dxa"/>
          </w:tcPr>
          <w:p w14:paraId="120B15F7" w14:textId="77777777" w:rsidR="00E671FC" w:rsidRPr="003253B8" w:rsidRDefault="00E671FC" w:rsidP="00033BF5">
            <w:pPr>
              <w:pStyle w:val="Normal-pool"/>
              <w:spacing w:before="520"/>
              <w:rPr>
                <w:color w:val="000000" w:themeColor="text1"/>
                <w:lang w:val="fr-FR"/>
              </w:rPr>
            </w:pPr>
          </w:p>
        </w:tc>
        <w:tc>
          <w:tcPr>
            <w:tcW w:w="1943" w:type="dxa"/>
            <w:shd w:val="clear" w:color="auto" w:fill="auto"/>
          </w:tcPr>
          <w:p w14:paraId="11716EEF" w14:textId="1EE9FFE7" w:rsidR="00E671FC" w:rsidRPr="003253B8" w:rsidRDefault="00E671FC" w:rsidP="00033BF5">
            <w:pPr>
              <w:pStyle w:val="Normal-pool"/>
              <w:spacing w:before="520"/>
              <w:rPr>
                <w:color w:val="000000" w:themeColor="text1"/>
                <w:lang w:val="fr-FR"/>
              </w:rPr>
            </w:pPr>
          </w:p>
        </w:tc>
        <w:tc>
          <w:tcPr>
            <w:tcW w:w="1943" w:type="dxa"/>
            <w:shd w:val="clear" w:color="auto" w:fill="auto"/>
          </w:tcPr>
          <w:p w14:paraId="47B97AF9" w14:textId="77777777" w:rsidR="00E671FC" w:rsidRPr="003253B8" w:rsidRDefault="00E671FC" w:rsidP="00033BF5">
            <w:pPr>
              <w:pStyle w:val="Normal-pool"/>
              <w:spacing w:before="520"/>
              <w:rPr>
                <w:color w:val="000000" w:themeColor="text1"/>
                <w:lang w:val="fr-FR"/>
              </w:rPr>
            </w:pPr>
          </w:p>
        </w:tc>
      </w:tr>
    </w:tbl>
    <w:p w14:paraId="36AD2559" w14:textId="77777777" w:rsidR="0001627D" w:rsidRPr="003253B8" w:rsidRDefault="0001627D" w:rsidP="0001627D">
      <w:pPr>
        <w:pStyle w:val="Normal-pool"/>
        <w:rPr>
          <w:color w:val="000000" w:themeColor="text1"/>
          <w:lang w:val="fr-FR"/>
        </w:rPr>
      </w:pPr>
    </w:p>
    <w:sectPr w:rsidR="0001627D" w:rsidRPr="003253B8" w:rsidSect="000E39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E20A" w14:textId="77777777" w:rsidR="00F81F5D" w:rsidRDefault="00F81F5D">
      <w:r>
        <w:separator/>
      </w:r>
    </w:p>
  </w:endnote>
  <w:endnote w:type="continuationSeparator" w:id="0">
    <w:p w14:paraId="4013B048" w14:textId="77777777" w:rsidR="00F81F5D" w:rsidRDefault="00F8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14:paraId="4BE5B2D9" w14:textId="60841EC3" w:rsidR="0055005F" w:rsidRPr="00C424A2" w:rsidRDefault="0055005F"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DA4EBD">
          <w:rPr>
            <w:b/>
            <w:noProof/>
            <w:sz w:val="18"/>
            <w:szCs w:val="18"/>
          </w:rPr>
          <w:t>2</w:t>
        </w:r>
        <w:r w:rsidRPr="00C424A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0C1D" w14:textId="1D64C072" w:rsidR="0055005F" w:rsidRDefault="0055005F"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A4EBD">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B47" w14:textId="64C6DEA7" w:rsidR="0055005F" w:rsidRDefault="0087576A" w:rsidP="00033BF5">
    <w:pPr>
      <w:pStyle w:val="Pieddepage"/>
      <w:tabs>
        <w:tab w:val="clear" w:pos="1247"/>
        <w:tab w:val="clear" w:pos="1814"/>
        <w:tab w:val="clear" w:pos="2381"/>
        <w:tab w:val="clear" w:pos="2948"/>
        <w:tab w:val="clear" w:pos="3515"/>
        <w:tab w:val="clear" w:pos="4320"/>
        <w:tab w:val="clear" w:pos="8640"/>
        <w:tab w:val="left" w:pos="624"/>
      </w:tabs>
    </w:pPr>
    <w:r>
      <w:rPr>
        <w:rStyle w:val="job-value"/>
      </w:rPr>
      <w:t>K1803147</w:t>
    </w:r>
    <w:r w:rsidR="0055005F">
      <w:rPr>
        <w:rStyle w:val="job-value"/>
      </w:rPr>
      <w:tab/>
    </w:r>
    <w:r>
      <w:rPr>
        <w:rStyle w:val="job-value"/>
      </w:rPr>
      <w:t>15</w:t>
    </w:r>
    <w:r w:rsidR="00094FCB">
      <w:rPr>
        <w:rStyle w:val="job-value"/>
      </w:rPr>
      <w:t>11</w:t>
    </w:r>
    <w:r w:rsidR="0055005F">
      <w:rPr>
        <w:rStyle w:val="job-value"/>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FEEDB" w14:textId="77777777" w:rsidR="00F81F5D" w:rsidRPr="006A395C" w:rsidRDefault="00F81F5D" w:rsidP="006A395C">
      <w:pPr>
        <w:tabs>
          <w:tab w:val="clear" w:pos="1247"/>
          <w:tab w:val="clear" w:pos="1814"/>
          <w:tab w:val="clear" w:pos="2381"/>
          <w:tab w:val="clear" w:pos="2948"/>
          <w:tab w:val="clear" w:pos="3515"/>
          <w:tab w:val="left" w:pos="624"/>
        </w:tabs>
        <w:spacing w:before="60"/>
        <w:ind w:left="624"/>
        <w:rPr>
          <w:sz w:val="18"/>
          <w:szCs w:val="18"/>
        </w:rPr>
      </w:pPr>
      <w:r w:rsidRPr="006A395C">
        <w:rPr>
          <w:sz w:val="18"/>
          <w:szCs w:val="18"/>
        </w:rPr>
        <w:separator/>
      </w:r>
    </w:p>
  </w:footnote>
  <w:footnote w:type="continuationSeparator" w:id="0">
    <w:p w14:paraId="30BDB977" w14:textId="77777777" w:rsidR="00F81F5D" w:rsidRDefault="00F81F5D">
      <w:r>
        <w:continuationSeparator/>
      </w:r>
    </w:p>
  </w:footnote>
  <w:footnote w:id="1">
    <w:p w14:paraId="32B5D367" w14:textId="44A1EADC" w:rsidR="0055005F" w:rsidRPr="0087576A" w:rsidRDefault="0055005F" w:rsidP="00015D8E">
      <w:pPr>
        <w:tabs>
          <w:tab w:val="clear" w:pos="1247"/>
          <w:tab w:val="clear" w:pos="1814"/>
          <w:tab w:val="clear" w:pos="2381"/>
          <w:tab w:val="clear" w:pos="2948"/>
          <w:tab w:val="clear" w:pos="3515"/>
          <w:tab w:val="left" w:pos="624"/>
        </w:tabs>
        <w:spacing w:before="20" w:after="40"/>
        <w:ind w:left="1247"/>
        <w:rPr>
          <w:sz w:val="18"/>
          <w:szCs w:val="18"/>
        </w:rPr>
      </w:pPr>
      <w:r w:rsidRPr="0087576A">
        <w:rPr>
          <w:sz w:val="18"/>
          <w:szCs w:val="18"/>
        </w:rPr>
        <w:t>* UNEP/MC/COP.2/1.</w:t>
      </w:r>
    </w:p>
  </w:footnote>
  <w:footnote w:id="2">
    <w:p w14:paraId="47716E8E" w14:textId="0672AFD9" w:rsidR="0055005F" w:rsidRPr="00FA01F2" w:rsidRDefault="0055005F">
      <w:pPr>
        <w:pStyle w:val="Notedebasdepage"/>
        <w:rPr>
          <w:szCs w:val="18"/>
        </w:rPr>
      </w:pPr>
      <w:r w:rsidRPr="00FA01F2">
        <w:rPr>
          <w:rStyle w:val="Appelnotedebasdep"/>
          <w:sz w:val="18"/>
          <w:lang w:val="fr-FR"/>
        </w:rPr>
        <w:footnoteRef/>
      </w:r>
      <w:r>
        <w:rPr>
          <w:lang w:val="fr-FR"/>
        </w:rPr>
        <w:t xml:space="preserve"> Secrétariat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l'objet d'un commerce international et de la Convention de Stockholm sur les polluants organiques persistants.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530" w14:textId="042779B8" w:rsidR="0055005F" w:rsidRPr="00D810BF" w:rsidRDefault="0055005F">
    <w:pPr>
      <w:pStyle w:val="En-tte"/>
      <w:rPr>
        <w:szCs w:val="18"/>
      </w:rPr>
    </w:pPr>
    <w:r w:rsidRPr="004E2C4A">
      <w:rPr>
        <w:bCs/>
        <w:szCs w:val="18"/>
        <w:lang w:val="en-GB"/>
      </w:rPr>
      <w:t>UNEP/</w:t>
    </w:r>
    <w:r>
      <w:rPr>
        <w:szCs w:val="18"/>
        <w:lang w:val="en-GB"/>
      </w:rPr>
      <w:t>MC/COP.2</w:t>
    </w:r>
    <w:r w:rsidRPr="004E2C4A">
      <w:rPr>
        <w:szCs w:val="18"/>
        <w:lang w:val="en-GB"/>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BDF" w14:textId="79752B6E" w:rsidR="0055005F" w:rsidRDefault="0055005F" w:rsidP="00035EDE">
    <w:pPr>
      <w:pStyle w:val="En-tte"/>
      <w:jc w:val="right"/>
    </w:pPr>
    <w:r w:rsidRPr="0030068A">
      <w:rPr>
        <w:bCs/>
        <w:szCs w:val="18"/>
        <w:lang w:val="en-GB"/>
      </w:rPr>
      <w:t>UNEP/</w:t>
    </w:r>
    <w:r>
      <w:rPr>
        <w:szCs w:val="18"/>
        <w:lang w:val="en-GB"/>
      </w:rPr>
      <w:t>MC/COP.2</w:t>
    </w:r>
    <w:r w:rsidRPr="0030068A">
      <w:rPr>
        <w:szCs w:val="18"/>
        <w:lang w:val="en-GB"/>
      </w:rPr>
      <w:t>/1/Add.1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5664" w14:textId="6D55804A" w:rsidR="0055005F" w:rsidRDefault="0055005F" w:rsidP="00FF4108">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117B"/>
    <w:multiLevelType w:val="hybridMultilevel"/>
    <w:tmpl w:val="753263C2"/>
    <w:lvl w:ilvl="0" w:tplc="130C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2F003D0C"/>
    <w:multiLevelType w:val="multilevel"/>
    <w:tmpl w:val="A5E488C4"/>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3DF2078"/>
    <w:multiLevelType w:val="hybridMultilevel"/>
    <w:tmpl w:val="A6E8ADCA"/>
    <w:lvl w:ilvl="0" w:tplc="04090001">
      <w:start w:val="1"/>
      <w:numFmt w:val="bullet"/>
      <w:lvlText w:val=""/>
      <w:lvlJc w:val="left"/>
      <w:pPr>
        <w:ind w:left="1608" w:hanging="360"/>
      </w:pPr>
      <w:rPr>
        <w:rFonts w:ascii="Symbol" w:hAnsi="Symbol"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5" w15:restartNumberingAfterBreak="0">
    <w:nsid w:val="34D8005F"/>
    <w:multiLevelType w:val="hybridMultilevel"/>
    <w:tmpl w:val="AB98917C"/>
    <w:lvl w:ilvl="0" w:tplc="C8D66788">
      <w:start w:val="1"/>
      <w:numFmt w:val="decimal"/>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7" w15:restartNumberingAfterBreak="0">
    <w:nsid w:val="52A66A9D"/>
    <w:multiLevelType w:val="multilevel"/>
    <w:tmpl w:val="D6086A5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5CB0919"/>
    <w:multiLevelType w:val="hybridMultilevel"/>
    <w:tmpl w:val="7D4E993A"/>
    <w:lvl w:ilvl="0" w:tplc="94DE9BCC">
      <w:start w:val="1"/>
      <w:numFmt w:val="lowerRoman"/>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62291BF8"/>
    <w:multiLevelType w:val="multilevel"/>
    <w:tmpl w:val="D6086A58"/>
    <w:numStyleLink w:val="Normallist"/>
  </w:abstractNum>
  <w:abstractNum w:abstractNumId="10" w15:restartNumberingAfterBreak="0">
    <w:nsid w:val="6AF45945"/>
    <w:multiLevelType w:val="hybridMultilevel"/>
    <w:tmpl w:val="F5A2F366"/>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1" w15:restartNumberingAfterBreak="0">
    <w:nsid w:val="72ED4F3F"/>
    <w:multiLevelType w:val="hybridMultilevel"/>
    <w:tmpl w:val="F7CAC70E"/>
    <w:lvl w:ilvl="0" w:tplc="EAFE9C00">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2" w15:restartNumberingAfterBreak="0">
    <w:nsid w:val="75DE165B"/>
    <w:multiLevelType w:val="multilevel"/>
    <w:tmpl w:val="B4EE9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lvlOverride w:ilvl="0">
      <w:lvl w:ilvl="0">
        <w:start w:val="1"/>
        <w:numFmt w:val="decimal"/>
        <w:pStyle w:val="Normalnumber"/>
        <w:lvlText w:val="%1."/>
        <w:lvlJc w:val="left"/>
        <w:pPr>
          <w:tabs>
            <w:tab w:val="num" w:pos="567"/>
          </w:tabs>
          <w:ind w:left="1247" w:firstLine="0"/>
        </w:pPr>
        <w:rPr>
          <w:rFonts w:hint="default"/>
          <w:b w:val="0"/>
          <w:bCs/>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6"/>
  </w:num>
  <w:num w:numId="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1"/>
  </w:num>
  <w:num w:numId="6">
    <w:abstractNumId w:val="7"/>
    <w:lvlOverride w:ilvl="0">
      <w:lvl w:ilvl="0">
        <w:start w:val="1"/>
        <w:numFmt w:val="decimal"/>
        <w:pStyle w:val="Normalnumber"/>
        <w:lvlText w:val="%1."/>
        <w:lvlJc w:val="left"/>
        <w:pPr>
          <w:tabs>
            <w:tab w:val="num" w:pos="567"/>
          </w:tabs>
          <w:ind w:left="1247" w:firstLine="0"/>
        </w:pPr>
        <w:rPr>
          <w:rFonts w:hint="default"/>
        </w:rPr>
      </w:lvl>
    </w:lvlOverride>
  </w:num>
  <w:num w:numId="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num>
  <w:num w:numId="9">
    <w:abstractNumId w:val="3"/>
  </w:num>
  <w:num w:numId="1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3"/>
    <w:lvlOverride w:ilvl="0">
      <w:lvl w:ilvl="0">
        <w:start w:val="1"/>
        <w:numFmt w:val="decimal"/>
        <w:lvlText w:val="%1."/>
        <w:lvlJc w:val="left"/>
        <w:pPr>
          <w:ind w:left="1247" w:firstLine="0"/>
        </w:pPr>
        <w:rPr>
          <w:b w:val="0"/>
          <w:bCs/>
          <w:i w:val="0"/>
        </w:rPr>
      </w:lvl>
    </w:lvlOverride>
  </w:num>
  <w:num w:numId="12">
    <w:abstractNumId w:val="2"/>
  </w:num>
  <w:num w:numId="13">
    <w:abstractNumId w:val="4"/>
  </w:num>
  <w:num w:numId="1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0"/>
  </w:num>
  <w:num w:numId="16">
    <w:abstractNumId w:val="5"/>
  </w:num>
  <w:num w:numId="17">
    <w:abstractNumId w:val="12"/>
  </w:num>
  <w:num w:numId="18">
    <w:abstractNumId w:val="0"/>
  </w:num>
  <w:num w:numId="19">
    <w:abstractNumId w:val="7"/>
  </w:num>
  <w:num w:numId="20">
    <w:abstractNumId w:val="7"/>
  </w:num>
  <w:num w:numId="21">
    <w:abstractNumId w:val="7"/>
  </w:num>
  <w:num w:numId="22">
    <w:abstractNumId w:val="7"/>
  </w:num>
  <w:num w:numId="23">
    <w:abstractNumId w:val="7"/>
  </w:num>
  <w:num w:numId="24">
    <w:abstractNumId w:val="8"/>
  </w:num>
  <w:num w:numId="25">
    <w:abstractNumId w:val="7"/>
    <w:lvlOverride w:ilvl="0">
      <w:lvl w:ilvl="0">
        <w:start w:val="1"/>
        <w:numFmt w:val="decimal"/>
        <w:pStyle w:val="Normalnumber"/>
        <w:lvlText w:val="%1."/>
        <w:lvlJc w:val="left"/>
        <w:pPr>
          <w:tabs>
            <w:tab w:val="num" w:pos="567"/>
          </w:tabs>
          <w:ind w:left="1247" w:firstLine="0"/>
        </w:pPr>
        <w:rPr>
          <w:rFonts w:hint="default"/>
        </w:rPr>
      </w:lvl>
    </w:lvlOverride>
  </w:num>
  <w:num w:numId="26">
    <w:abstractNumId w:val="7"/>
    <w:lvlOverride w:ilvl="0">
      <w:lvl w:ilvl="0">
        <w:start w:val="1"/>
        <w:numFmt w:val="decimal"/>
        <w:pStyle w:val="Normalnumber"/>
        <w:lvlText w:val="%1."/>
        <w:lvlJc w:val="left"/>
        <w:pPr>
          <w:tabs>
            <w:tab w:val="num" w:pos="567"/>
          </w:tabs>
          <w:ind w:left="1247" w:firstLine="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00435"/>
    <w:rsid w:val="00000958"/>
    <w:rsid w:val="00002CEE"/>
    <w:rsid w:val="00004EDD"/>
    <w:rsid w:val="0000562F"/>
    <w:rsid w:val="000103ED"/>
    <w:rsid w:val="000149E6"/>
    <w:rsid w:val="00014ED7"/>
    <w:rsid w:val="00015D8E"/>
    <w:rsid w:val="0001627D"/>
    <w:rsid w:val="000212D3"/>
    <w:rsid w:val="000247B0"/>
    <w:rsid w:val="00024C02"/>
    <w:rsid w:val="00026997"/>
    <w:rsid w:val="00027BF0"/>
    <w:rsid w:val="00031923"/>
    <w:rsid w:val="00033BF5"/>
    <w:rsid w:val="00033E0B"/>
    <w:rsid w:val="00034FE4"/>
    <w:rsid w:val="00035EDE"/>
    <w:rsid w:val="00037AAB"/>
    <w:rsid w:val="000401F6"/>
    <w:rsid w:val="0005050F"/>
    <w:rsid w:val="000509B4"/>
    <w:rsid w:val="0005122A"/>
    <w:rsid w:val="000538FC"/>
    <w:rsid w:val="00054340"/>
    <w:rsid w:val="00056713"/>
    <w:rsid w:val="0006035B"/>
    <w:rsid w:val="0006043A"/>
    <w:rsid w:val="000625E5"/>
    <w:rsid w:val="00065667"/>
    <w:rsid w:val="0007166E"/>
    <w:rsid w:val="00071886"/>
    <w:rsid w:val="000742BC"/>
    <w:rsid w:val="00074CFB"/>
    <w:rsid w:val="00075A53"/>
    <w:rsid w:val="0008063A"/>
    <w:rsid w:val="00080BFE"/>
    <w:rsid w:val="00082A0C"/>
    <w:rsid w:val="00083504"/>
    <w:rsid w:val="00087CBF"/>
    <w:rsid w:val="00087D83"/>
    <w:rsid w:val="000908BF"/>
    <w:rsid w:val="00091E7D"/>
    <w:rsid w:val="0009304F"/>
    <w:rsid w:val="00094DFB"/>
    <w:rsid w:val="00094FCB"/>
    <w:rsid w:val="0009558D"/>
    <w:rsid w:val="0009640C"/>
    <w:rsid w:val="000A2D90"/>
    <w:rsid w:val="000B21D5"/>
    <w:rsid w:val="000B22A2"/>
    <w:rsid w:val="000B464C"/>
    <w:rsid w:val="000B75FA"/>
    <w:rsid w:val="000B77B1"/>
    <w:rsid w:val="000C1439"/>
    <w:rsid w:val="000C2A52"/>
    <w:rsid w:val="000D00CF"/>
    <w:rsid w:val="000D129E"/>
    <w:rsid w:val="000D33C0"/>
    <w:rsid w:val="000D3D50"/>
    <w:rsid w:val="000D47B4"/>
    <w:rsid w:val="000D6941"/>
    <w:rsid w:val="000D76F6"/>
    <w:rsid w:val="000D7FFB"/>
    <w:rsid w:val="000E03B8"/>
    <w:rsid w:val="000E19E1"/>
    <w:rsid w:val="000E3884"/>
    <w:rsid w:val="000E39A5"/>
    <w:rsid w:val="000E3A31"/>
    <w:rsid w:val="000E3F3F"/>
    <w:rsid w:val="000E69B8"/>
    <w:rsid w:val="000F1890"/>
    <w:rsid w:val="000F2791"/>
    <w:rsid w:val="000F3DA2"/>
    <w:rsid w:val="000F4FFD"/>
    <w:rsid w:val="000F79F8"/>
    <w:rsid w:val="000F7B13"/>
    <w:rsid w:val="00102FE5"/>
    <w:rsid w:val="001033D1"/>
    <w:rsid w:val="001057E0"/>
    <w:rsid w:val="00105F8B"/>
    <w:rsid w:val="0010712F"/>
    <w:rsid w:val="001140D8"/>
    <w:rsid w:val="001158FB"/>
    <w:rsid w:val="001167F6"/>
    <w:rsid w:val="001202E3"/>
    <w:rsid w:val="00120DD2"/>
    <w:rsid w:val="001219F2"/>
    <w:rsid w:val="00123699"/>
    <w:rsid w:val="0012501D"/>
    <w:rsid w:val="00126CF6"/>
    <w:rsid w:val="0013059D"/>
    <w:rsid w:val="0013207E"/>
    <w:rsid w:val="00133B31"/>
    <w:rsid w:val="001354BD"/>
    <w:rsid w:val="00137177"/>
    <w:rsid w:val="001379C7"/>
    <w:rsid w:val="00140E10"/>
    <w:rsid w:val="00141414"/>
    <w:rsid w:val="00141A55"/>
    <w:rsid w:val="0014393C"/>
    <w:rsid w:val="001446A3"/>
    <w:rsid w:val="00147492"/>
    <w:rsid w:val="00147EE2"/>
    <w:rsid w:val="00150BCB"/>
    <w:rsid w:val="001540DC"/>
    <w:rsid w:val="00155395"/>
    <w:rsid w:val="0015581B"/>
    <w:rsid w:val="00157B53"/>
    <w:rsid w:val="00161130"/>
    <w:rsid w:val="001677D3"/>
    <w:rsid w:val="001735C2"/>
    <w:rsid w:val="001735FC"/>
    <w:rsid w:val="00174BF3"/>
    <w:rsid w:val="0017550C"/>
    <w:rsid w:val="00176FC1"/>
    <w:rsid w:val="001809EA"/>
    <w:rsid w:val="00181B9D"/>
    <w:rsid w:val="00181EC8"/>
    <w:rsid w:val="0018249B"/>
    <w:rsid w:val="0018277E"/>
    <w:rsid w:val="00184349"/>
    <w:rsid w:val="0019121B"/>
    <w:rsid w:val="00191FC3"/>
    <w:rsid w:val="001953B3"/>
    <w:rsid w:val="00195F33"/>
    <w:rsid w:val="001975DF"/>
    <w:rsid w:val="00197E3D"/>
    <w:rsid w:val="001A368A"/>
    <w:rsid w:val="001A671C"/>
    <w:rsid w:val="001A6F7D"/>
    <w:rsid w:val="001A7543"/>
    <w:rsid w:val="001B0AEA"/>
    <w:rsid w:val="001B1617"/>
    <w:rsid w:val="001B1A73"/>
    <w:rsid w:val="001B34E3"/>
    <w:rsid w:val="001B504B"/>
    <w:rsid w:val="001C0840"/>
    <w:rsid w:val="001C4F14"/>
    <w:rsid w:val="001C64E0"/>
    <w:rsid w:val="001C6B9D"/>
    <w:rsid w:val="001C7C0E"/>
    <w:rsid w:val="001D3874"/>
    <w:rsid w:val="001D64DF"/>
    <w:rsid w:val="001D7E75"/>
    <w:rsid w:val="001E06CD"/>
    <w:rsid w:val="001E317B"/>
    <w:rsid w:val="001E32EF"/>
    <w:rsid w:val="001E4111"/>
    <w:rsid w:val="001E4820"/>
    <w:rsid w:val="001E56D2"/>
    <w:rsid w:val="001E67F5"/>
    <w:rsid w:val="001E7D56"/>
    <w:rsid w:val="001F004A"/>
    <w:rsid w:val="001F1E2E"/>
    <w:rsid w:val="001F273D"/>
    <w:rsid w:val="001F31BD"/>
    <w:rsid w:val="001F5069"/>
    <w:rsid w:val="001F75DE"/>
    <w:rsid w:val="00200D58"/>
    <w:rsid w:val="002013BE"/>
    <w:rsid w:val="00201595"/>
    <w:rsid w:val="00203A22"/>
    <w:rsid w:val="0020613D"/>
    <w:rsid w:val="002063A4"/>
    <w:rsid w:val="00206849"/>
    <w:rsid w:val="00206FB1"/>
    <w:rsid w:val="00210050"/>
    <w:rsid w:val="0021145B"/>
    <w:rsid w:val="00217EE3"/>
    <w:rsid w:val="00222DE0"/>
    <w:rsid w:val="00233DD8"/>
    <w:rsid w:val="00243D36"/>
    <w:rsid w:val="00244A3B"/>
    <w:rsid w:val="002450B2"/>
    <w:rsid w:val="00245717"/>
    <w:rsid w:val="00245C3F"/>
    <w:rsid w:val="00247707"/>
    <w:rsid w:val="002540CE"/>
    <w:rsid w:val="002548F3"/>
    <w:rsid w:val="002634C9"/>
    <w:rsid w:val="00267355"/>
    <w:rsid w:val="002748EC"/>
    <w:rsid w:val="00275356"/>
    <w:rsid w:val="002753CE"/>
    <w:rsid w:val="00277EE4"/>
    <w:rsid w:val="0028042A"/>
    <w:rsid w:val="00282274"/>
    <w:rsid w:val="0028660F"/>
    <w:rsid w:val="00286740"/>
    <w:rsid w:val="002914A6"/>
    <w:rsid w:val="002929D8"/>
    <w:rsid w:val="00292D82"/>
    <w:rsid w:val="002972F2"/>
    <w:rsid w:val="002A1060"/>
    <w:rsid w:val="002A237D"/>
    <w:rsid w:val="002A2AFD"/>
    <w:rsid w:val="002A4C53"/>
    <w:rsid w:val="002A69FF"/>
    <w:rsid w:val="002B0672"/>
    <w:rsid w:val="002B0AA2"/>
    <w:rsid w:val="002B1B4C"/>
    <w:rsid w:val="002B247F"/>
    <w:rsid w:val="002B2770"/>
    <w:rsid w:val="002B55C1"/>
    <w:rsid w:val="002B61AB"/>
    <w:rsid w:val="002B6706"/>
    <w:rsid w:val="002C04E4"/>
    <w:rsid w:val="002C145D"/>
    <w:rsid w:val="002C1BB4"/>
    <w:rsid w:val="002C293C"/>
    <w:rsid w:val="002C2C3E"/>
    <w:rsid w:val="002C3A9B"/>
    <w:rsid w:val="002C533E"/>
    <w:rsid w:val="002C6FE9"/>
    <w:rsid w:val="002C72C1"/>
    <w:rsid w:val="002D027F"/>
    <w:rsid w:val="002D0824"/>
    <w:rsid w:val="002D7A85"/>
    <w:rsid w:val="002D7B60"/>
    <w:rsid w:val="002E1E53"/>
    <w:rsid w:val="002E2001"/>
    <w:rsid w:val="002E700E"/>
    <w:rsid w:val="002E70F6"/>
    <w:rsid w:val="002E7140"/>
    <w:rsid w:val="002F0FB6"/>
    <w:rsid w:val="002F219D"/>
    <w:rsid w:val="002F22A2"/>
    <w:rsid w:val="002F23EF"/>
    <w:rsid w:val="002F36E6"/>
    <w:rsid w:val="002F4761"/>
    <w:rsid w:val="002F5613"/>
    <w:rsid w:val="002F5C79"/>
    <w:rsid w:val="002F6BD9"/>
    <w:rsid w:val="002F77E5"/>
    <w:rsid w:val="0030068A"/>
    <w:rsid w:val="003019E2"/>
    <w:rsid w:val="00302C06"/>
    <w:rsid w:val="003032C5"/>
    <w:rsid w:val="003039B4"/>
    <w:rsid w:val="0031413F"/>
    <w:rsid w:val="003148BB"/>
    <w:rsid w:val="00314F36"/>
    <w:rsid w:val="00317976"/>
    <w:rsid w:val="0032085D"/>
    <w:rsid w:val="003227E1"/>
    <w:rsid w:val="003240FB"/>
    <w:rsid w:val="003253B8"/>
    <w:rsid w:val="0033092E"/>
    <w:rsid w:val="003319DA"/>
    <w:rsid w:val="00335248"/>
    <w:rsid w:val="0033557B"/>
    <w:rsid w:val="00343C10"/>
    <w:rsid w:val="003464A3"/>
    <w:rsid w:val="0034732F"/>
    <w:rsid w:val="003518F7"/>
    <w:rsid w:val="0035323B"/>
    <w:rsid w:val="00355273"/>
    <w:rsid w:val="00355AD6"/>
    <w:rsid w:val="00355EA9"/>
    <w:rsid w:val="00355FDA"/>
    <w:rsid w:val="003578DE"/>
    <w:rsid w:val="00361758"/>
    <w:rsid w:val="0036216E"/>
    <w:rsid w:val="0036265F"/>
    <w:rsid w:val="00362EDB"/>
    <w:rsid w:val="003633D4"/>
    <w:rsid w:val="00363868"/>
    <w:rsid w:val="00363B03"/>
    <w:rsid w:val="00364071"/>
    <w:rsid w:val="00364A5A"/>
    <w:rsid w:val="003652A5"/>
    <w:rsid w:val="00370FD8"/>
    <w:rsid w:val="0037123F"/>
    <w:rsid w:val="003725AE"/>
    <w:rsid w:val="00383A31"/>
    <w:rsid w:val="00383FE9"/>
    <w:rsid w:val="00384129"/>
    <w:rsid w:val="0038434D"/>
    <w:rsid w:val="00396257"/>
    <w:rsid w:val="00397EB8"/>
    <w:rsid w:val="003A086E"/>
    <w:rsid w:val="003A1CBE"/>
    <w:rsid w:val="003A294A"/>
    <w:rsid w:val="003A4FD0"/>
    <w:rsid w:val="003A69D1"/>
    <w:rsid w:val="003A7705"/>
    <w:rsid w:val="003B0EE9"/>
    <w:rsid w:val="003B1545"/>
    <w:rsid w:val="003B310F"/>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162E"/>
    <w:rsid w:val="003E4E90"/>
    <w:rsid w:val="003F05AD"/>
    <w:rsid w:val="003F0E85"/>
    <w:rsid w:val="003F12A7"/>
    <w:rsid w:val="003F2B20"/>
    <w:rsid w:val="00400A5A"/>
    <w:rsid w:val="00404549"/>
    <w:rsid w:val="00404D7B"/>
    <w:rsid w:val="00405251"/>
    <w:rsid w:val="00410C55"/>
    <w:rsid w:val="00414C7D"/>
    <w:rsid w:val="00415247"/>
    <w:rsid w:val="00416854"/>
    <w:rsid w:val="00417725"/>
    <w:rsid w:val="00421201"/>
    <w:rsid w:val="0042502D"/>
    <w:rsid w:val="00427670"/>
    <w:rsid w:val="00430072"/>
    <w:rsid w:val="0043267C"/>
    <w:rsid w:val="004328F1"/>
    <w:rsid w:val="00433626"/>
    <w:rsid w:val="00434902"/>
    <w:rsid w:val="004363A2"/>
    <w:rsid w:val="00437F26"/>
    <w:rsid w:val="0044077A"/>
    <w:rsid w:val="00444097"/>
    <w:rsid w:val="00445487"/>
    <w:rsid w:val="004508D3"/>
    <w:rsid w:val="004540FA"/>
    <w:rsid w:val="00454769"/>
    <w:rsid w:val="004602BE"/>
    <w:rsid w:val="00465D1E"/>
    <w:rsid w:val="00466991"/>
    <w:rsid w:val="004702C2"/>
    <w:rsid w:val="0047064C"/>
    <w:rsid w:val="004713E5"/>
    <w:rsid w:val="00477330"/>
    <w:rsid w:val="00477B3F"/>
    <w:rsid w:val="00481800"/>
    <w:rsid w:val="00483118"/>
    <w:rsid w:val="00495C8D"/>
    <w:rsid w:val="004A0C8D"/>
    <w:rsid w:val="004A42E1"/>
    <w:rsid w:val="004A5CFC"/>
    <w:rsid w:val="004B0DAA"/>
    <w:rsid w:val="004B162C"/>
    <w:rsid w:val="004B7FC0"/>
    <w:rsid w:val="004C3DBE"/>
    <w:rsid w:val="004C5C96"/>
    <w:rsid w:val="004D06A4"/>
    <w:rsid w:val="004D2078"/>
    <w:rsid w:val="004D2591"/>
    <w:rsid w:val="004D5E88"/>
    <w:rsid w:val="004E2C4A"/>
    <w:rsid w:val="004E360F"/>
    <w:rsid w:val="004E4976"/>
    <w:rsid w:val="004E5425"/>
    <w:rsid w:val="004F122C"/>
    <w:rsid w:val="004F1A81"/>
    <w:rsid w:val="004F3DAD"/>
    <w:rsid w:val="004F78A7"/>
    <w:rsid w:val="00500F3F"/>
    <w:rsid w:val="00501836"/>
    <w:rsid w:val="00501EA2"/>
    <w:rsid w:val="00503224"/>
    <w:rsid w:val="00507A21"/>
    <w:rsid w:val="00514C50"/>
    <w:rsid w:val="0051724C"/>
    <w:rsid w:val="005179AE"/>
    <w:rsid w:val="005218D9"/>
    <w:rsid w:val="00526B7C"/>
    <w:rsid w:val="00526D0B"/>
    <w:rsid w:val="00527DC9"/>
    <w:rsid w:val="0053038F"/>
    <w:rsid w:val="00532622"/>
    <w:rsid w:val="0053504A"/>
    <w:rsid w:val="00536186"/>
    <w:rsid w:val="00540F20"/>
    <w:rsid w:val="005418C0"/>
    <w:rsid w:val="00541B18"/>
    <w:rsid w:val="00542EFF"/>
    <w:rsid w:val="00544CBB"/>
    <w:rsid w:val="005458D9"/>
    <w:rsid w:val="00546724"/>
    <w:rsid w:val="0055005F"/>
    <w:rsid w:val="0055295A"/>
    <w:rsid w:val="0055437C"/>
    <w:rsid w:val="00555354"/>
    <w:rsid w:val="00555C3A"/>
    <w:rsid w:val="00562781"/>
    <w:rsid w:val="005672DB"/>
    <w:rsid w:val="00570A1C"/>
    <w:rsid w:val="0057315F"/>
    <w:rsid w:val="00576104"/>
    <w:rsid w:val="0057657C"/>
    <w:rsid w:val="00577B32"/>
    <w:rsid w:val="00577F3C"/>
    <w:rsid w:val="00581089"/>
    <w:rsid w:val="0058158A"/>
    <w:rsid w:val="00583ACD"/>
    <w:rsid w:val="00586358"/>
    <w:rsid w:val="00586ED4"/>
    <w:rsid w:val="00591A91"/>
    <w:rsid w:val="00593A5B"/>
    <w:rsid w:val="00594F2C"/>
    <w:rsid w:val="00595983"/>
    <w:rsid w:val="005968F0"/>
    <w:rsid w:val="00597138"/>
    <w:rsid w:val="005A16E3"/>
    <w:rsid w:val="005A3A5F"/>
    <w:rsid w:val="005B518D"/>
    <w:rsid w:val="005B51E0"/>
    <w:rsid w:val="005B5EDD"/>
    <w:rsid w:val="005C0133"/>
    <w:rsid w:val="005C1448"/>
    <w:rsid w:val="005C29E1"/>
    <w:rsid w:val="005C2F82"/>
    <w:rsid w:val="005C39E2"/>
    <w:rsid w:val="005C5EF8"/>
    <w:rsid w:val="005C67C8"/>
    <w:rsid w:val="005C7037"/>
    <w:rsid w:val="005C7A41"/>
    <w:rsid w:val="005D00A3"/>
    <w:rsid w:val="005D0249"/>
    <w:rsid w:val="005D1A50"/>
    <w:rsid w:val="005D4F37"/>
    <w:rsid w:val="005D542B"/>
    <w:rsid w:val="005D6E8C"/>
    <w:rsid w:val="005D7527"/>
    <w:rsid w:val="005E1713"/>
    <w:rsid w:val="005E2BB1"/>
    <w:rsid w:val="005E4A02"/>
    <w:rsid w:val="005E4DB1"/>
    <w:rsid w:val="005F100C"/>
    <w:rsid w:val="005F68DA"/>
    <w:rsid w:val="00601692"/>
    <w:rsid w:val="00602C95"/>
    <w:rsid w:val="0060773B"/>
    <w:rsid w:val="006128C6"/>
    <w:rsid w:val="00613D68"/>
    <w:rsid w:val="006157B5"/>
    <w:rsid w:val="0061784E"/>
    <w:rsid w:val="00620BA4"/>
    <w:rsid w:val="00626FC6"/>
    <w:rsid w:val="006303B4"/>
    <w:rsid w:val="00633D3D"/>
    <w:rsid w:val="006347C6"/>
    <w:rsid w:val="00637C68"/>
    <w:rsid w:val="006410DE"/>
    <w:rsid w:val="00641703"/>
    <w:rsid w:val="006423C7"/>
    <w:rsid w:val="006431A6"/>
    <w:rsid w:val="006459F6"/>
    <w:rsid w:val="00646C5C"/>
    <w:rsid w:val="00647448"/>
    <w:rsid w:val="006474CE"/>
    <w:rsid w:val="006501AD"/>
    <w:rsid w:val="00651BFA"/>
    <w:rsid w:val="00664E7F"/>
    <w:rsid w:val="00665A4B"/>
    <w:rsid w:val="0067025D"/>
    <w:rsid w:val="006702F7"/>
    <w:rsid w:val="0067410D"/>
    <w:rsid w:val="00675839"/>
    <w:rsid w:val="00680217"/>
    <w:rsid w:val="00680DC0"/>
    <w:rsid w:val="0068262C"/>
    <w:rsid w:val="00692E2A"/>
    <w:rsid w:val="006A10E2"/>
    <w:rsid w:val="006A3591"/>
    <w:rsid w:val="006A395C"/>
    <w:rsid w:val="006A6C2E"/>
    <w:rsid w:val="006A6D52"/>
    <w:rsid w:val="006A76F2"/>
    <w:rsid w:val="006B0BEA"/>
    <w:rsid w:val="006B26DE"/>
    <w:rsid w:val="006B3F36"/>
    <w:rsid w:val="006C27C3"/>
    <w:rsid w:val="006C3B16"/>
    <w:rsid w:val="006C44FB"/>
    <w:rsid w:val="006C5794"/>
    <w:rsid w:val="006D1B64"/>
    <w:rsid w:val="006D1E3A"/>
    <w:rsid w:val="006D338B"/>
    <w:rsid w:val="006D50D5"/>
    <w:rsid w:val="006D5A01"/>
    <w:rsid w:val="006D7EFB"/>
    <w:rsid w:val="006E1D3F"/>
    <w:rsid w:val="006E61F8"/>
    <w:rsid w:val="006E6672"/>
    <w:rsid w:val="006E6722"/>
    <w:rsid w:val="006E7F35"/>
    <w:rsid w:val="006F169F"/>
    <w:rsid w:val="006F7AC2"/>
    <w:rsid w:val="007027B9"/>
    <w:rsid w:val="00702C0B"/>
    <w:rsid w:val="00704C9B"/>
    <w:rsid w:val="00713D8F"/>
    <w:rsid w:val="007151A8"/>
    <w:rsid w:val="007158F8"/>
    <w:rsid w:val="00715C08"/>
    <w:rsid w:val="00715E88"/>
    <w:rsid w:val="00716B92"/>
    <w:rsid w:val="00720A7F"/>
    <w:rsid w:val="0072427E"/>
    <w:rsid w:val="00725411"/>
    <w:rsid w:val="00725C11"/>
    <w:rsid w:val="00725CA4"/>
    <w:rsid w:val="007264E1"/>
    <w:rsid w:val="00731108"/>
    <w:rsid w:val="00734CAA"/>
    <w:rsid w:val="00740878"/>
    <w:rsid w:val="0074339D"/>
    <w:rsid w:val="0074380F"/>
    <w:rsid w:val="00743F8B"/>
    <w:rsid w:val="00744FE3"/>
    <w:rsid w:val="00746AA3"/>
    <w:rsid w:val="00746E5F"/>
    <w:rsid w:val="00747630"/>
    <w:rsid w:val="00751A7C"/>
    <w:rsid w:val="0075533C"/>
    <w:rsid w:val="00755B57"/>
    <w:rsid w:val="00757581"/>
    <w:rsid w:val="007611A0"/>
    <w:rsid w:val="007658B4"/>
    <w:rsid w:val="00765A19"/>
    <w:rsid w:val="007661E2"/>
    <w:rsid w:val="0076657D"/>
    <w:rsid w:val="007666F9"/>
    <w:rsid w:val="00770D0A"/>
    <w:rsid w:val="00771440"/>
    <w:rsid w:val="007714F1"/>
    <w:rsid w:val="00777A52"/>
    <w:rsid w:val="007829D4"/>
    <w:rsid w:val="00782D49"/>
    <w:rsid w:val="007910F6"/>
    <w:rsid w:val="00796D3F"/>
    <w:rsid w:val="007A0D0A"/>
    <w:rsid w:val="007A1683"/>
    <w:rsid w:val="007A2D88"/>
    <w:rsid w:val="007A36F8"/>
    <w:rsid w:val="007A5C12"/>
    <w:rsid w:val="007A6AF1"/>
    <w:rsid w:val="007A720E"/>
    <w:rsid w:val="007A7998"/>
    <w:rsid w:val="007A7CB0"/>
    <w:rsid w:val="007B4950"/>
    <w:rsid w:val="007B68A3"/>
    <w:rsid w:val="007C2541"/>
    <w:rsid w:val="007C3291"/>
    <w:rsid w:val="007C7B20"/>
    <w:rsid w:val="007D033B"/>
    <w:rsid w:val="007D03A7"/>
    <w:rsid w:val="007D3342"/>
    <w:rsid w:val="007D3E64"/>
    <w:rsid w:val="007D66A8"/>
    <w:rsid w:val="007D7AD6"/>
    <w:rsid w:val="007D7FFA"/>
    <w:rsid w:val="007E003F"/>
    <w:rsid w:val="007F0F76"/>
    <w:rsid w:val="007F33C2"/>
    <w:rsid w:val="007F3BF5"/>
    <w:rsid w:val="008002C0"/>
    <w:rsid w:val="00801F24"/>
    <w:rsid w:val="00802E72"/>
    <w:rsid w:val="00803573"/>
    <w:rsid w:val="0080713A"/>
    <w:rsid w:val="00812316"/>
    <w:rsid w:val="00814015"/>
    <w:rsid w:val="00815053"/>
    <w:rsid w:val="0081589D"/>
    <w:rsid w:val="008164F2"/>
    <w:rsid w:val="00817374"/>
    <w:rsid w:val="00820007"/>
    <w:rsid w:val="00820BC8"/>
    <w:rsid w:val="00821395"/>
    <w:rsid w:val="00822F7B"/>
    <w:rsid w:val="00824BFC"/>
    <w:rsid w:val="00824E3D"/>
    <w:rsid w:val="00830B89"/>
    <w:rsid w:val="00830E26"/>
    <w:rsid w:val="00832159"/>
    <w:rsid w:val="00833526"/>
    <w:rsid w:val="008345C3"/>
    <w:rsid w:val="00834A99"/>
    <w:rsid w:val="00834FD1"/>
    <w:rsid w:val="00836E37"/>
    <w:rsid w:val="00837FF8"/>
    <w:rsid w:val="00843576"/>
    <w:rsid w:val="008436C8"/>
    <w:rsid w:val="00843B64"/>
    <w:rsid w:val="008478FC"/>
    <w:rsid w:val="00852B90"/>
    <w:rsid w:val="008535CB"/>
    <w:rsid w:val="00864EDC"/>
    <w:rsid w:val="00867BFF"/>
    <w:rsid w:val="0087576A"/>
    <w:rsid w:val="008809F7"/>
    <w:rsid w:val="00880B77"/>
    <w:rsid w:val="0088480A"/>
    <w:rsid w:val="0088552D"/>
    <w:rsid w:val="00885F9E"/>
    <w:rsid w:val="00887492"/>
    <w:rsid w:val="0088757A"/>
    <w:rsid w:val="00892178"/>
    <w:rsid w:val="008921A4"/>
    <w:rsid w:val="00893220"/>
    <w:rsid w:val="00893331"/>
    <w:rsid w:val="00894699"/>
    <w:rsid w:val="008957DD"/>
    <w:rsid w:val="00897D98"/>
    <w:rsid w:val="008A26B4"/>
    <w:rsid w:val="008A27FD"/>
    <w:rsid w:val="008A3595"/>
    <w:rsid w:val="008A4030"/>
    <w:rsid w:val="008A68AC"/>
    <w:rsid w:val="008A6DF2"/>
    <w:rsid w:val="008A7807"/>
    <w:rsid w:val="008B4CC9"/>
    <w:rsid w:val="008B675C"/>
    <w:rsid w:val="008B730A"/>
    <w:rsid w:val="008C1E01"/>
    <w:rsid w:val="008C2C12"/>
    <w:rsid w:val="008C3CC8"/>
    <w:rsid w:val="008C3F56"/>
    <w:rsid w:val="008C5788"/>
    <w:rsid w:val="008C758B"/>
    <w:rsid w:val="008D3DF7"/>
    <w:rsid w:val="008D7C99"/>
    <w:rsid w:val="008D7F06"/>
    <w:rsid w:val="008E0FCB"/>
    <w:rsid w:val="008E2BEE"/>
    <w:rsid w:val="008F5A5A"/>
    <w:rsid w:val="008F624E"/>
    <w:rsid w:val="009000CA"/>
    <w:rsid w:val="009001F1"/>
    <w:rsid w:val="009003CB"/>
    <w:rsid w:val="0090328C"/>
    <w:rsid w:val="009032B3"/>
    <w:rsid w:val="0090634D"/>
    <w:rsid w:val="00907A88"/>
    <w:rsid w:val="00911314"/>
    <w:rsid w:val="00911323"/>
    <w:rsid w:val="00914804"/>
    <w:rsid w:val="00915615"/>
    <w:rsid w:val="00915B61"/>
    <w:rsid w:val="0092178C"/>
    <w:rsid w:val="00923601"/>
    <w:rsid w:val="00924C90"/>
    <w:rsid w:val="0092633D"/>
    <w:rsid w:val="00927BEC"/>
    <w:rsid w:val="00930B88"/>
    <w:rsid w:val="00931353"/>
    <w:rsid w:val="0093136D"/>
    <w:rsid w:val="00933E5F"/>
    <w:rsid w:val="00935E8C"/>
    <w:rsid w:val="00936498"/>
    <w:rsid w:val="00936ED3"/>
    <w:rsid w:val="0093730B"/>
    <w:rsid w:val="00940DCC"/>
    <w:rsid w:val="009415E8"/>
    <w:rsid w:val="0094179A"/>
    <w:rsid w:val="00942FE9"/>
    <w:rsid w:val="009432E4"/>
    <w:rsid w:val="0094459E"/>
    <w:rsid w:val="00944DBC"/>
    <w:rsid w:val="009464A6"/>
    <w:rsid w:val="00946ADE"/>
    <w:rsid w:val="00950393"/>
    <w:rsid w:val="00950977"/>
    <w:rsid w:val="0095168D"/>
    <w:rsid w:val="00951A7B"/>
    <w:rsid w:val="00952369"/>
    <w:rsid w:val="0095250F"/>
    <w:rsid w:val="009525AF"/>
    <w:rsid w:val="009535B4"/>
    <w:rsid w:val="00955D4F"/>
    <w:rsid w:val="009561AE"/>
    <w:rsid w:val="009564A6"/>
    <w:rsid w:val="00960C21"/>
    <w:rsid w:val="009614EA"/>
    <w:rsid w:val="00961A61"/>
    <w:rsid w:val="009648E6"/>
    <w:rsid w:val="00965925"/>
    <w:rsid w:val="009665B5"/>
    <w:rsid w:val="00967112"/>
    <w:rsid w:val="00967621"/>
    <w:rsid w:val="00967E6A"/>
    <w:rsid w:val="00976D91"/>
    <w:rsid w:val="00980F47"/>
    <w:rsid w:val="00982731"/>
    <w:rsid w:val="00983875"/>
    <w:rsid w:val="00983D31"/>
    <w:rsid w:val="009850C1"/>
    <w:rsid w:val="009860AA"/>
    <w:rsid w:val="0098785E"/>
    <w:rsid w:val="00992FE0"/>
    <w:rsid w:val="009935AC"/>
    <w:rsid w:val="00995921"/>
    <w:rsid w:val="00996401"/>
    <w:rsid w:val="009A1660"/>
    <w:rsid w:val="009A22E0"/>
    <w:rsid w:val="009A231A"/>
    <w:rsid w:val="009A3C1B"/>
    <w:rsid w:val="009A603A"/>
    <w:rsid w:val="009A698A"/>
    <w:rsid w:val="009B00FF"/>
    <w:rsid w:val="009B0D46"/>
    <w:rsid w:val="009B2F79"/>
    <w:rsid w:val="009B2FE3"/>
    <w:rsid w:val="009B3AA9"/>
    <w:rsid w:val="009B4A0F"/>
    <w:rsid w:val="009B4EA4"/>
    <w:rsid w:val="009B6404"/>
    <w:rsid w:val="009B7B2A"/>
    <w:rsid w:val="009B7C7D"/>
    <w:rsid w:val="009C11D2"/>
    <w:rsid w:val="009C11D7"/>
    <w:rsid w:val="009C4E68"/>
    <w:rsid w:val="009C4FCC"/>
    <w:rsid w:val="009C5159"/>
    <w:rsid w:val="009C6C70"/>
    <w:rsid w:val="009C75B7"/>
    <w:rsid w:val="009D0B63"/>
    <w:rsid w:val="009D105A"/>
    <w:rsid w:val="009D171F"/>
    <w:rsid w:val="009D2B34"/>
    <w:rsid w:val="009D3E3B"/>
    <w:rsid w:val="009D40DE"/>
    <w:rsid w:val="009D41C1"/>
    <w:rsid w:val="009E0102"/>
    <w:rsid w:val="009E03BC"/>
    <w:rsid w:val="009E09D9"/>
    <w:rsid w:val="009E307E"/>
    <w:rsid w:val="009E4585"/>
    <w:rsid w:val="009E4E66"/>
    <w:rsid w:val="009F2876"/>
    <w:rsid w:val="009F41FC"/>
    <w:rsid w:val="009F4294"/>
    <w:rsid w:val="009F4B39"/>
    <w:rsid w:val="009F612E"/>
    <w:rsid w:val="009F7496"/>
    <w:rsid w:val="009F7A97"/>
    <w:rsid w:val="00A007DD"/>
    <w:rsid w:val="00A024A3"/>
    <w:rsid w:val="00A059A4"/>
    <w:rsid w:val="00A05B3C"/>
    <w:rsid w:val="00A05DAA"/>
    <w:rsid w:val="00A07870"/>
    <w:rsid w:val="00A07AE1"/>
    <w:rsid w:val="00A07F19"/>
    <w:rsid w:val="00A113E0"/>
    <w:rsid w:val="00A11CFB"/>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07DA"/>
    <w:rsid w:val="00A4175F"/>
    <w:rsid w:val="00A44411"/>
    <w:rsid w:val="00A45487"/>
    <w:rsid w:val="00A46064"/>
    <w:rsid w:val="00A46922"/>
    <w:rsid w:val="00A469FA"/>
    <w:rsid w:val="00A46ED1"/>
    <w:rsid w:val="00A5040D"/>
    <w:rsid w:val="00A55B01"/>
    <w:rsid w:val="00A56B5B"/>
    <w:rsid w:val="00A602CD"/>
    <w:rsid w:val="00A603FF"/>
    <w:rsid w:val="00A60E70"/>
    <w:rsid w:val="00A6401B"/>
    <w:rsid w:val="00A64E95"/>
    <w:rsid w:val="00A657DD"/>
    <w:rsid w:val="00A6647A"/>
    <w:rsid w:val="00A666A6"/>
    <w:rsid w:val="00A66F36"/>
    <w:rsid w:val="00A675FD"/>
    <w:rsid w:val="00A677F8"/>
    <w:rsid w:val="00A72437"/>
    <w:rsid w:val="00A727DB"/>
    <w:rsid w:val="00A774D6"/>
    <w:rsid w:val="00A77908"/>
    <w:rsid w:val="00A80611"/>
    <w:rsid w:val="00A80A21"/>
    <w:rsid w:val="00A83724"/>
    <w:rsid w:val="00A83A3B"/>
    <w:rsid w:val="00A83FB1"/>
    <w:rsid w:val="00A87F40"/>
    <w:rsid w:val="00A90B0B"/>
    <w:rsid w:val="00A94405"/>
    <w:rsid w:val="00A95821"/>
    <w:rsid w:val="00A96698"/>
    <w:rsid w:val="00AA4B95"/>
    <w:rsid w:val="00AB1AA6"/>
    <w:rsid w:val="00AB3A48"/>
    <w:rsid w:val="00AB5340"/>
    <w:rsid w:val="00AC0223"/>
    <w:rsid w:val="00AC3199"/>
    <w:rsid w:val="00AC4122"/>
    <w:rsid w:val="00AC46BD"/>
    <w:rsid w:val="00AC7C96"/>
    <w:rsid w:val="00AD01D0"/>
    <w:rsid w:val="00AD2DDE"/>
    <w:rsid w:val="00AD367C"/>
    <w:rsid w:val="00AD4092"/>
    <w:rsid w:val="00AE237D"/>
    <w:rsid w:val="00AE502A"/>
    <w:rsid w:val="00AF41DC"/>
    <w:rsid w:val="00AF4250"/>
    <w:rsid w:val="00AF7C07"/>
    <w:rsid w:val="00B05344"/>
    <w:rsid w:val="00B065E1"/>
    <w:rsid w:val="00B0676D"/>
    <w:rsid w:val="00B074EF"/>
    <w:rsid w:val="00B07B70"/>
    <w:rsid w:val="00B127C3"/>
    <w:rsid w:val="00B134B6"/>
    <w:rsid w:val="00B16805"/>
    <w:rsid w:val="00B16AD9"/>
    <w:rsid w:val="00B2089B"/>
    <w:rsid w:val="00B22532"/>
    <w:rsid w:val="00B22C93"/>
    <w:rsid w:val="00B23986"/>
    <w:rsid w:val="00B24569"/>
    <w:rsid w:val="00B25349"/>
    <w:rsid w:val="00B26B07"/>
    <w:rsid w:val="00B27589"/>
    <w:rsid w:val="00B31E29"/>
    <w:rsid w:val="00B33BF6"/>
    <w:rsid w:val="00B405B7"/>
    <w:rsid w:val="00B40C4F"/>
    <w:rsid w:val="00B46BCB"/>
    <w:rsid w:val="00B5046B"/>
    <w:rsid w:val="00B513A3"/>
    <w:rsid w:val="00B52222"/>
    <w:rsid w:val="00B54FE7"/>
    <w:rsid w:val="00B615FF"/>
    <w:rsid w:val="00B6352B"/>
    <w:rsid w:val="00B64402"/>
    <w:rsid w:val="00B64E01"/>
    <w:rsid w:val="00B651FC"/>
    <w:rsid w:val="00B66901"/>
    <w:rsid w:val="00B70F0D"/>
    <w:rsid w:val="00B71E6D"/>
    <w:rsid w:val="00B72070"/>
    <w:rsid w:val="00B766C6"/>
    <w:rsid w:val="00B779E1"/>
    <w:rsid w:val="00B828C8"/>
    <w:rsid w:val="00B90CC6"/>
    <w:rsid w:val="00B91EE1"/>
    <w:rsid w:val="00B934DF"/>
    <w:rsid w:val="00B93B7D"/>
    <w:rsid w:val="00B97383"/>
    <w:rsid w:val="00BA0090"/>
    <w:rsid w:val="00BA06FF"/>
    <w:rsid w:val="00BA0BD3"/>
    <w:rsid w:val="00BA1A67"/>
    <w:rsid w:val="00BA62F9"/>
    <w:rsid w:val="00BA6586"/>
    <w:rsid w:val="00BB011F"/>
    <w:rsid w:val="00BB69D7"/>
    <w:rsid w:val="00BC4BF6"/>
    <w:rsid w:val="00BD400C"/>
    <w:rsid w:val="00BD4EBD"/>
    <w:rsid w:val="00BD6705"/>
    <w:rsid w:val="00BE1FA2"/>
    <w:rsid w:val="00BE521A"/>
    <w:rsid w:val="00BE5B5F"/>
    <w:rsid w:val="00BE5D37"/>
    <w:rsid w:val="00C00351"/>
    <w:rsid w:val="00C03868"/>
    <w:rsid w:val="00C0698C"/>
    <w:rsid w:val="00C07A7B"/>
    <w:rsid w:val="00C10DA1"/>
    <w:rsid w:val="00C12044"/>
    <w:rsid w:val="00C13220"/>
    <w:rsid w:val="00C16A39"/>
    <w:rsid w:val="00C25A95"/>
    <w:rsid w:val="00C26BB5"/>
    <w:rsid w:val="00C26F55"/>
    <w:rsid w:val="00C27107"/>
    <w:rsid w:val="00C30C63"/>
    <w:rsid w:val="00C32127"/>
    <w:rsid w:val="00C32A09"/>
    <w:rsid w:val="00C33563"/>
    <w:rsid w:val="00C36B8B"/>
    <w:rsid w:val="00C37D96"/>
    <w:rsid w:val="00C40889"/>
    <w:rsid w:val="00C424A2"/>
    <w:rsid w:val="00C446D2"/>
    <w:rsid w:val="00C45F5B"/>
    <w:rsid w:val="00C47DBF"/>
    <w:rsid w:val="00C503F0"/>
    <w:rsid w:val="00C535D6"/>
    <w:rsid w:val="00C54BB7"/>
    <w:rsid w:val="00C552FF"/>
    <w:rsid w:val="00C558DA"/>
    <w:rsid w:val="00C55AF3"/>
    <w:rsid w:val="00C55F06"/>
    <w:rsid w:val="00C574D5"/>
    <w:rsid w:val="00C57BEF"/>
    <w:rsid w:val="00C6083A"/>
    <w:rsid w:val="00C6181E"/>
    <w:rsid w:val="00C61853"/>
    <w:rsid w:val="00C618FD"/>
    <w:rsid w:val="00C6426B"/>
    <w:rsid w:val="00C6493A"/>
    <w:rsid w:val="00C65F89"/>
    <w:rsid w:val="00C7588C"/>
    <w:rsid w:val="00C75B19"/>
    <w:rsid w:val="00C80BC8"/>
    <w:rsid w:val="00C81933"/>
    <w:rsid w:val="00C82A80"/>
    <w:rsid w:val="00C8459D"/>
    <w:rsid w:val="00C84759"/>
    <w:rsid w:val="00C865D4"/>
    <w:rsid w:val="00C92745"/>
    <w:rsid w:val="00C92C03"/>
    <w:rsid w:val="00CA22CE"/>
    <w:rsid w:val="00CA298A"/>
    <w:rsid w:val="00CA4713"/>
    <w:rsid w:val="00CA6C7F"/>
    <w:rsid w:val="00CB0FEA"/>
    <w:rsid w:val="00CB12B6"/>
    <w:rsid w:val="00CB255B"/>
    <w:rsid w:val="00CB4225"/>
    <w:rsid w:val="00CB57EB"/>
    <w:rsid w:val="00CB6095"/>
    <w:rsid w:val="00CC10A6"/>
    <w:rsid w:val="00CC240F"/>
    <w:rsid w:val="00CC311B"/>
    <w:rsid w:val="00CC6708"/>
    <w:rsid w:val="00CD1EBE"/>
    <w:rsid w:val="00CD596A"/>
    <w:rsid w:val="00CD5EB8"/>
    <w:rsid w:val="00CD7044"/>
    <w:rsid w:val="00CE0830"/>
    <w:rsid w:val="00CE08B9"/>
    <w:rsid w:val="00CE2191"/>
    <w:rsid w:val="00CE4602"/>
    <w:rsid w:val="00CE524C"/>
    <w:rsid w:val="00CE5A51"/>
    <w:rsid w:val="00CE692F"/>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69AF"/>
    <w:rsid w:val="00D17FAC"/>
    <w:rsid w:val="00D25249"/>
    <w:rsid w:val="00D30455"/>
    <w:rsid w:val="00D3165C"/>
    <w:rsid w:val="00D44172"/>
    <w:rsid w:val="00D5223D"/>
    <w:rsid w:val="00D54499"/>
    <w:rsid w:val="00D56819"/>
    <w:rsid w:val="00D56F8A"/>
    <w:rsid w:val="00D63B8C"/>
    <w:rsid w:val="00D651C8"/>
    <w:rsid w:val="00D67493"/>
    <w:rsid w:val="00D70A08"/>
    <w:rsid w:val="00D70F6D"/>
    <w:rsid w:val="00D739CC"/>
    <w:rsid w:val="00D73A97"/>
    <w:rsid w:val="00D769C5"/>
    <w:rsid w:val="00D8093D"/>
    <w:rsid w:val="00D8108C"/>
    <w:rsid w:val="00D810BF"/>
    <w:rsid w:val="00D82E61"/>
    <w:rsid w:val="00D842AE"/>
    <w:rsid w:val="00D852BE"/>
    <w:rsid w:val="00D8679A"/>
    <w:rsid w:val="00D9211C"/>
    <w:rsid w:val="00D92DE0"/>
    <w:rsid w:val="00D92FEF"/>
    <w:rsid w:val="00D939F0"/>
    <w:rsid w:val="00D93A0F"/>
    <w:rsid w:val="00DA1672"/>
    <w:rsid w:val="00DA1BCA"/>
    <w:rsid w:val="00DA4EBD"/>
    <w:rsid w:val="00DA5DF5"/>
    <w:rsid w:val="00DA68D6"/>
    <w:rsid w:val="00DA7B49"/>
    <w:rsid w:val="00DB09AC"/>
    <w:rsid w:val="00DB12D7"/>
    <w:rsid w:val="00DB1377"/>
    <w:rsid w:val="00DB2263"/>
    <w:rsid w:val="00DC0CD8"/>
    <w:rsid w:val="00DC46E5"/>
    <w:rsid w:val="00DC46FF"/>
    <w:rsid w:val="00DC5254"/>
    <w:rsid w:val="00DD1A4F"/>
    <w:rsid w:val="00DD238A"/>
    <w:rsid w:val="00DD2E90"/>
    <w:rsid w:val="00DD3107"/>
    <w:rsid w:val="00DD3D25"/>
    <w:rsid w:val="00DD7C2C"/>
    <w:rsid w:val="00DE0B1A"/>
    <w:rsid w:val="00DE0F75"/>
    <w:rsid w:val="00DE4075"/>
    <w:rsid w:val="00DE516C"/>
    <w:rsid w:val="00DE79D8"/>
    <w:rsid w:val="00DF0E14"/>
    <w:rsid w:val="00DF13BE"/>
    <w:rsid w:val="00E023D9"/>
    <w:rsid w:val="00E02F1C"/>
    <w:rsid w:val="00E06797"/>
    <w:rsid w:val="00E0713B"/>
    <w:rsid w:val="00E10640"/>
    <w:rsid w:val="00E1265B"/>
    <w:rsid w:val="00E13B48"/>
    <w:rsid w:val="00E1404F"/>
    <w:rsid w:val="00E1588A"/>
    <w:rsid w:val="00E16330"/>
    <w:rsid w:val="00E20571"/>
    <w:rsid w:val="00E21C83"/>
    <w:rsid w:val="00E22525"/>
    <w:rsid w:val="00E2371B"/>
    <w:rsid w:val="00E23880"/>
    <w:rsid w:val="00E24714"/>
    <w:rsid w:val="00E24ADA"/>
    <w:rsid w:val="00E31027"/>
    <w:rsid w:val="00E32F59"/>
    <w:rsid w:val="00E33A26"/>
    <w:rsid w:val="00E3724F"/>
    <w:rsid w:val="00E4297C"/>
    <w:rsid w:val="00E42D91"/>
    <w:rsid w:val="00E43EAF"/>
    <w:rsid w:val="00E442B8"/>
    <w:rsid w:val="00E4449D"/>
    <w:rsid w:val="00E45A42"/>
    <w:rsid w:val="00E46D9A"/>
    <w:rsid w:val="00E511EB"/>
    <w:rsid w:val="00E565FF"/>
    <w:rsid w:val="00E56EF4"/>
    <w:rsid w:val="00E64E94"/>
    <w:rsid w:val="00E65388"/>
    <w:rsid w:val="00E65AA7"/>
    <w:rsid w:val="00E671FC"/>
    <w:rsid w:val="00E707F4"/>
    <w:rsid w:val="00E73CE8"/>
    <w:rsid w:val="00E74533"/>
    <w:rsid w:val="00E7474D"/>
    <w:rsid w:val="00E80A03"/>
    <w:rsid w:val="00E85B7D"/>
    <w:rsid w:val="00E85E12"/>
    <w:rsid w:val="00E86A1F"/>
    <w:rsid w:val="00E9121B"/>
    <w:rsid w:val="00E93226"/>
    <w:rsid w:val="00E97071"/>
    <w:rsid w:val="00EA03E5"/>
    <w:rsid w:val="00EA0AE2"/>
    <w:rsid w:val="00EA39E5"/>
    <w:rsid w:val="00EA4C3E"/>
    <w:rsid w:val="00EA7DAA"/>
    <w:rsid w:val="00EB5CFE"/>
    <w:rsid w:val="00EB7E2C"/>
    <w:rsid w:val="00EC283F"/>
    <w:rsid w:val="00EC4E83"/>
    <w:rsid w:val="00EC51C8"/>
    <w:rsid w:val="00EC52CC"/>
    <w:rsid w:val="00EC5995"/>
    <w:rsid w:val="00EC5A46"/>
    <w:rsid w:val="00EC5F4C"/>
    <w:rsid w:val="00EC63E2"/>
    <w:rsid w:val="00ED07D3"/>
    <w:rsid w:val="00ED1DBC"/>
    <w:rsid w:val="00ED2A12"/>
    <w:rsid w:val="00ED4EB7"/>
    <w:rsid w:val="00ED5C51"/>
    <w:rsid w:val="00EE1A33"/>
    <w:rsid w:val="00EE459A"/>
    <w:rsid w:val="00EE45A2"/>
    <w:rsid w:val="00EE4931"/>
    <w:rsid w:val="00EE49EC"/>
    <w:rsid w:val="00EE5E22"/>
    <w:rsid w:val="00EE636C"/>
    <w:rsid w:val="00EE7DD9"/>
    <w:rsid w:val="00EF1B46"/>
    <w:rsid w:val="00EF22B3"/>
    <w:rsid w:val="00EF3BE8"/>
    <w:rsid w:val="00EF5A1A"/>
    <w:rsid w:val="00F02847"/>
    <w:rsid w:val="00F03B69"/>
    <w:rsid w:val="00F07A50"/>
    <w:rsid w:val="00F106B0"/>
    <w:rsid w:val="00F113DA"/>
    <w:rsid w:val="00F12856"/>
    <w:rsid w:val="00F133B5"/>
    <w:rsid w:val="00F13704"/>
    <w:rsid w:val="00F13EB8"/>
    <w:rsid w:val="00F13FA7"/>
    <w:rsid w:val="00F1741A"/>
    <w:rsid w:val="00F17E17"/>
    <w:rsid w:val="00F236D7"/>
    <w:rsid w:val="00F252CA"/>
    <w:rsid w:val="00F25D28"/>
    <w:rsid w:val="00F26747"/>
    <w:rsid w:val="00F3055D"/>
    <w:rsid w:val="00F31F9A"/>
    <w:rsid w:val="00F330F6"/>
    <w:rsid w:val="00F349C7"/>
    <w:rsid w:val="00F3558F"/>
    <w:rsid w:val="00F37DC8"/>
    <w:rsid w:val="00F409FD"/>
    <w:rsid w:val="00F430E0"/>
    <w:rsid w:val="00F439B3"/>
    <w:rsid w:val="00F54E48"/>
    <w:rsid w:val="00F553B7"/>
    <w:rsid w:val="00F55F36"/>
    <w:rsid w:val="00F650C3"/>
    <w:rsid w:val="00F65D85"/>
    <w:rsid w:val="00F70A78"/>
    <w:rsid w:val="00F72EE8"/>
    <w:rsid w:val="00F73A4B"/>
    <w:rsid w:val="00F7702F"/>
    <w:rsid w:val="00F8091E"/>
    <w:rsid w:val="00F81F5D"/>
    <w:rsid w:val="00F83E8C"/>
    <w:rsid w:val="00F8615C"/>
    <w:rsid w:val="00F8775E"/>
    <w:rsid w:val="00F95987"/>
    <w:rsid w:val="00F960A5"/>
    <w:rsid w:val="00F969E5"/>
    <w:rsid w:val="00F97C38"/>
    <w:rsid w:val="00FA003B"/>
    <w:rsid w:val="00FA01F2"/>
    <w:rsid w:val="00FA0AE9"/>
    <w:rsid w:val="00FA3DD0"/>
    <w:rsid w:val="00FA6BB0"/>
    <w:rsid w:val="00FB1BFD"/>
    <w:rsid w:val="00FB4092"/>
    <w:rsid w:val="00FB4873"/>
    <w:rsid w:val="00FB4C5A"/>
    <w:rsid w:val="00FB569C"/>
    <w:rsid w:val="00FB577C"/>
    <w:rsid w:val="00FB5FF1"/>
    <w:rsid w:val="00FC00C9"/>
    <w:rsid w:val="00FC13FE"/>
    <w:rsid w:val="00FC14AB"/>
    <w:rsid w:val="00FC2B3D"/>
    <w:rsid w:val="00FC2C59"/>
    <w:rsid w:val="00FD02C9"/>
    <w:rsid w:val="00FD0EC4"/>
    <w:rsid w:val="00FD1003"/>
    <w:rsid w:val="00FD13AF"/>
    <w:rsid w:val="00FD5860"/>
    <w:rsid w:val="00FD5954"/>
    <w:rsid w:val="00FD5D2F"/>
    <w:rsid w:val="00FD7B23"/>
    <w:rsid w:val="00FD7E2F"/>
    <w:rsid w:val="00FE0EBA"/>
    <w:rsid w:val="00FE2C1C"/>
    <w:rsid w:val="00FE352D"/>
    <w:rsid w:val="00FE40EB"/>
    <w:rsid w:val="00FE45A6"/>
    <w:rsid w:val="00FE4717"/>
    <w:rsid w:val="00FE4B99"/>
    <w:rsid w:val="00FE4D02"/>
    <w:rsid w:val="00FE7D62"/>
    <w:rsid w:val="00FF2F8A"/>
    <w:rsid w:val="00FF3819"/>
    <w:rsid w:val="00FF4108"/>
    <w:rsid w:val="00FF64AC"/>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207E59"/>
  <w15:docId w15:val="{EFEF9EA1-46EA-445A-92B0-15AC0E9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Appelnotedebasdep">
    <w:name w:val="footnote reference"/>
    <w:aliases w:val="16 Point,Superscript 6 Point,Footnote text,Footnote Text1,Footnote Text2,ftref,(Ref. de nota al pie),number,SUPERS,Footnote Reference Superscript,Superscript 6 Point + 11 pt,Appel note de bas de page,-E Fußnotenzeichen"/>
    <w:qFormat/>
    <w:rsid w:val="000D6941"/>
    <w:rPr>
      <w:rFonts w:ascii="Times New Roman" w:hAnsi="Times New Roman"/>
      <w:color w:val="auto"/>
      <w:sz w:val="20"/>
      <w:szCs w:val="18"/>
      <w:vertAlign w:val="superscript"/>
    </w:rPr>
  </w:style>
  <w:style w:type="paragraph" w:styleId="Notedebasdepage">
    <w:name w:val="footnote text"/>
    <w:aliases w:val="Fußnotentextf, Char1,DNV-FT,Geneva 9,Font: Geneva 9,Boston 10,f,footnote3,text,Geneva,92,Font:,Boston,10,FOOTNOTES,fn,single space,Footnote Text Rail EIS,ft,Footnotes,Footnote ak,fn cafc,Footnotes Char Char,Footnote Text Char Char,93"/>
    <w:basedOn w:val="Normalpool"/>
    <w:link w:val="NotedebasdepageCar"/>
    <w:qFormat/>
    <w:rsid w:val="000D6941"/>
    <w:pPr>
      <w:spacing w:before="20" w:after="40"/>
      <w:ind w:left="1247"/>
    </w:pPr>
    <w:rPr>
      <w:sz w:val="18"/>
    </w:rPr>
  </w:style>
  <w:style w:type="table" w:customStyle="1" w:styleId="AATable">
    <w:name w:val="AA_Table"/>
    <w:basedOn w:val="Tableau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link w:val="BBTitleChar"/>
    <w:rsid w:val="00DD3107"/>
    <w:pPr>
      <w:keepNext/>
      <w:keepLines/>
      <w:suppressAutoHyphens/>
      <w:spacing w:before="320" w:after="240"/>
      <w:ind w:left="1247" w:right="567"/>
    </w:pPr>
    <w:rPr>
      <w:b/>
      <w:sz w:val="28"/>
      <w:szCs w:val="28"/>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DD3107"/>
    <w:pPr>
      <w:numPr>
        <w:numId w:val="19"/>
      </w:numPr>
    </w:pPr>
  </w:style>
  <w:style w:type="paragraph" w:customStyle="1" w:styleId="NormalNonumber">
    <w:name w:val="Normal_No_number"/>
    <w:basedOn w:val="Normalpool"/>
    <w:link w:val="NormalNonumberChar"/>
    <w:rsid w:val="003A086E"/>
    <w:pPr>
      <w:spacing w:after="120"/>
      <w:ind w:left="1247"/>
    </w:pPr>
  </w:style>
  <w:style w:type="paragraph" w:customStyle="1" w:styleId="Normalnumber">
    <w:name w:val="Normal_number"/>
    <w:basedOn w:val="Normalpool"/>
    <w:link w:val="NormalnumberChar"/>
    <w:rsid w:val="00EC5995"/>
    <w:pPr>
      <w:numPr>
        <w:numId w:val="6"/>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Grilledutableau">
    <w:name w:val="Table Grid"/>
    <w:basedOn w:val="Tableau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Fußnotentextf Car, Char1 Car,DNV-FT Car,Geneva 9 Car,Font: Geneva 9 Car,Boston 10 Car,f Car,footnote3 Car,text Car,Geneva Car,92 Car,Font: Car,Boston Car,10 Car,FOOTNOTES Car,fn Car,single space Car,Footnote Text Rail EIS Car"/>
    <w:link w:val="Notedebasdepage"/>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Textedebulles">
    <w:name w:val="Balloon Text"/>
    <w:basedOn w:val="Normal"/>
    <w:link w:val="TextedebullesCar"/>
    <w:rsid w:val="009D3E3B"/>
    <w:rPr>
      <w:rFonts w:ascii="Tahoma" w:hAnsi="Tahoma" w:cs="Tahoma"/>
      <w:sz w:val="16"/>
      <w:szCs w:val="16"/>
    </w:rPr>
  </w:style>
  <w:style w:type="character" w:customStyle="1" w:styleId="TextedebullesCar">
    <w:name w:val="Texte de bulles Car"/>
    <w:basedOn w:val="Policepardfaut"/>
    <w:link w:val="Textedebulles"/>
    <w:rsid w:val="009D3E3B"/>
    <w:rPr>
      <w:rFonts w:ascii="Tahoma" w:hAnsi="Tahoma" w:cs="Tahoma"/>
      <w:sz w:val="16"/>
      <w:szCs w:val="16"/>
      <w:lang w:eastAsia="en-US"/>
    </w:rPr>
  </w:style>
  <w:style w:type="character" w:styleId="Lienhypertextesuivivisit">
    <w:name w:val="FollowedHyperlink"/>
    <w:basedOn w:val="Policepardfaut"/>
    <w:rsid w:val="00A3332E"/>
    <w:rPr>
      <w:color w:val="800080" w:themeColor="followedHyperlink"/>
      <w:u w:val="single"/>
    </w:rPr>
  </w:style>
  <w:style w:type="paragraph" w:styleId="Paragraphedeliste">
    <w:name w:val="List Paragraph"/>
    <w:basedOn w:val="Normal"/>
    <w:uiPriority w:val="34"/>
    <w:qFormat/>
    <w:rsid w:val="008A4030"/>
    <w:pPr>
      <w:ind w:left="720"/>
      <w:contextualSpacing/>
    </w:pPr>
  </w:style>
  <w:style w:type="character" w:styleId="Marquedecommentaire">
    <w:name w:val="annotation reference"/>
    <w:basedOn w:val="Policepardfaut"/>
    <w:rsid w:val="00526D0B"/>
    <w:rPr>
      <w:sz w:val="16"/>
      <w:szCs w:val="16"/>
    </w:rPr>
  </w:style>
  <w:style w:type="paragraph" w:styleId="Commentaire">
    <w:name w:val="annotation text"/>
    <w:basedOn w:val="Normal"/>
    <w:link w:val="CommentaireCar"/>
    <w:rsid w:val="00526D0B"/>
  </w:style>
  <w:style w:type="character" w:customStyle="1" w:styleId="CommentaireCar">
    <w:name w:val="Commentaire Car"/>
    <w:basedOn w:val="Policepardfaut"/>
    <w:link w:val="Commentaire"/>
    <w:rsid w:val="00526D0B"/>
    <w:rPr>
      <w:lang w:eastAsia="en-US"/>
    </w:rPr>
  </w:style>
  <w:style w:type="paragraph" w:styleId="Objetducommentaire">
    <w:name w:val="annotation subject"/>
    <w:basedOn w:val="Commentaire"/>
    <w:next w:val="Commentaire"/>
    <w:link w:val="ObjetducommentaireCar"/>
    <w:rsid w:val="00526D0B"/>
    <w:rPr>
      <w:b/>
      <w:bCs/>
    </w:rPr>
  </w:style>
  <w:style w:type="character" w:customStyle="1" w:styleId="ObjetducommentaireCar">
    <w:name w:val="Objet du commentaire Car"/>
    <w:basedOn w:val="CommentaireCar"/>
    <w:link w:val="Objetducommentaire"/>
    <w:rsid w:val="00526D0B"/>
    <w:rPr>
      <w:b/>
      <w:bCs/>
      <w:lang w:eastAsia="en-US"/>
    </w:rPr>
  </w:style>
  <w:style w:type="character" w:customStyle="1" w:styleId="PieddepageCar">
    <w:name w:val="Pied de page Car"/>
    <w:basedOn w:val="Policepardfaut"/>
    <w:link w:val="Pieddepage"/>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Policepardfaut"/>
    <w:link w:val="Paralevel1"/>
    <w:rsid w:val="0001627D"/>
    <w:rPr>
      <w:bCs/>
      <w:lang w:val="en-GB" w:eastAsia="en-US"/>
    </w:rPr>
  </w:style>
  <w:style w:type="character" w:customStyle="1" w:styleId="Inget">
    <w:name w:val="Inget"/>
    <w:rsid w:val="0001627D"/>
  </w:style>
  <w:style w:type="paragraph" w:styleId="Rvision">
    <w:name w:val="Revision"/>
    <w:hidden/>
    <w:uiPriority w:val="99"/>
    <w:semiHidden/>
    <w:rsid w:val="006A6D52"/>
    <w:rPr>
      <w:lang w:eastAsia="en-US"/>
    </w:rPr>
  </w:style>
  <w:style w:type="character" w:customStyle="1" w:styleId="NormalNonumberChar">
    <w:name w:val="Normal_No_number Char"/>
    <w:link w:val="NormalNonumber"/>
    <w:locked/>
    <w:rsid w:val="008B675C"/>
    <w:rPr>
      <w:lang w:val="fr-CA" w:eastAsia="en-US"/>
    </w:rPr>
  </w:style>
  <w:style w:type="paragraph" w:customStyle="1" w:styleId="Default">
    <w:name w:val="Default"/>
    <w:rsid w:val="007D033B"/>
    <w:pPr>
      <w:autoSpaceDE w:val="0"/>
      <w:autoSpaceDN w:val="0"/>
      <w:adjustRightInd w:val="0"/>
    </w:pPr>
    <w:rPr>
      <w:color w:val="000000"/>
      <w:sz w:val="24"/>
      <w:szCs w:val="24"/>
    </w:rPr>
  </w:style>
  <w:style w:type="character" w:customStyle="1" w:styleId="BBTitleChar">
    <w:name w:val="BB_Title Char"/>
    <w:link w:val="BBTitle"/>
    <w:rsid w:val="00A113E0"/>
    <w:rPr>
      <w:b/>
      <w:sz w:val="28"/>
      <w:szCs w:val="28"/>
      <w:lang w:val="fr-CA" w:eastAsia="en-US"/>
    </w:rPr>
  </w:style>
  <w:style w:type="character" w:customStyle="1" w:styleId="CH3Char">
    <w:name w:val="CH3 Char"/>
    <w:link w:val="CH3"/>
    <w:locked/>
    <w:rsid w:val="000E3F3F"/>
    <w:rPr>
      <w:b/>
      <w:lang w:val="fr-CA" w:eastAsia="en-US"/>
    </w:rPr>
  </w:style>
  <w:style w:type="numbering" w:customStyle="1" w:styleId="WWNum25">
    <w:name w:val="WWNum25"/>
    <w:basedOn w:val="Aucuneliste"/>
    <w:rsid w:val="00961A61"/>
    <w:pPr>
      <w:numPr>
        <w:numId w:val="8"/>
      </w:numPr>
    </w:pPr>
  </w:style>
  <w:style w:type="paragraph" w:styleId="NormalWeb">
    <w:name w:val="Normal (Web)"/>
    <w:basedOn w:val="Normal"/>
    <w:uiPriority w:val="99"/>
    <w:semiHidden/>
    <w:unhideWhenUsed/>
    <w:rsid w:val="00126CF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character" w:customStyle="1" w:styleId="job-value">
    <w:name w:val="job-value"/>
    <w:basedOn w:val="Policepardfaut"/>
    <w:rsid w:val="0003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98527180">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138620115">
      <w:bodyDiv w:val="1"/>
      <w:marLeft w:val="0"/>
      <w:marRight w:val="0"/>
      <w:marTop w:val="0"/>
      <w:marBottom w:val="0"/>
      <w:divBdr>
        <w:top w:val="none" w:sz="0" w:space="0" w:color="auto"/>
        <w:left w:val="none" w:sz="0" w:space="0" w:color="auto"/>
        <w:bottom w:val="none" w:sz="0" w:space="0" w:color="auto"/>
        <w:right w:val="none" w:sz="0" w:space="0" w:color="auto"/>
      </w:divBdr>
      <w:divsChild>
        <w:div w:id="738985600">
          <w:marLeft w:val="0"/>
          <w:marRight w:val="0"/>
          <w:marTop w:val="0"/>
          <w:marBottom w:val="0"/>
          <w:divBdr>
            <w:top w:val="none" w:sz="0" w:space="0" w:color="auto"/>
            <w:left w:val="none" w:sz="0" w:space="0" w:color="auto"/>
            <w:bottom w:val="none" w:sz="0" w:space="0" w:color="auto"/>
            <w:right w:val="none" w:sz="0" w:space="0" w:color="auto"/>
          </w:divBdr>
        </w:div>
        <w:div w:id="1661618212">
          <w:marLeft w:val="0"/>
          <w:marRight w:val="0"/>
          <w:marTop w:val="0"/>
          <w:marBottom w:val="0"/>
          <w:divBdr>
            <w:top w:val="none" w:sz="0" w:space="0" w:color="auto"/>
            <w:left w:val="none" w:sz="0" w:space="0" w:color="auto"/>
            <w:bottom w:val="none" w:sz="0" w:space="0" w:color="auto"/>
            <w:right w:val="none" w:sz="0" w:space="0" w:color="auto"/>
          </w:divBdr>
        </w:div>
        <w:div w:id="988052247">
          <w:marLeft w:val="0"/>
          <w:marRight w:val="0"/>
          <w:marTop w:val="0"/>
          <w:marBottom w:val="0"/>
          <w:divBdr>
            <w:top w:val="none" w:sz="0" w:space="0" w:color="auto"/>
            <w:left w:val="none" w:sz="0" w:space="0" w:color="auto"/>
            <w:bottom w:val="none" w:sz="0" w:space="0" w:color="auto"/>
            <w:right w:val="none" w:sz="0" w:space="0" w:color="auto"/>
          </w:divBdr>
        </w:div>
        <w:div w:id="1623607238">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546871519">
          <w:marLeft w:val="0"/>
          <w:marRight w:val="0"/>
          <w:marTop w:val="0"/>
          <w:marBottom w:val="0"/>
          <w:divBdr>
            <w:top w:val="none" w:sz="0" w:space="0" w:color="auto"/>
            <w:left w:val="none" w:sz="0" w:space="0" w:color="auto"/>
            <w:bottom w:val="none" w:sz="0" w:space="0" w:color="auto"/>
            <w:right w:val="none" w:sz="0" w:space="0" w:color="auto"/>
          </w:divBdr>
        </w:div>
        <w:div w:id="187184468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8398323">
      <w:bodyDiv w:val="1"/>
      <w:marLeft w:val="0"/>
      <w:marRight w:val="0"/>
      <w:marTop w:val="0"/>
      <w:marBottom w:val="0"/>
      <w:divBdr>
        <w:top w:val="none" w:sz="0" w:space="0" w:color="auto"/>
        <w:left w:val="none" w:sz="0" w:space="0" w:color="auto"/>
        <w:bottom w:val="none" w:sz="0" w:space="0" w:color="auto"/>
        <w:right w:val="none" w:sz="0" w:space="0" w:color="auto"/>
      </w:divBdr>
      <w:divsChild>
        <w:div w:id="980618121">
          <w:marLeft w:val="0"/>
          <w:marRight w:val="0"/>
          <w:marTop w:val="0"/>
          <w:marBottom w:val="0"/>
          <w:divBdr>
            <w:top w:val="none" w:sz="0" w:space="0" w:color="auto"/>
            <w:left w:val="none" w:sz="0" w:space="0" w:color="auto"/>
            <w:bottom w:val="none" w:sz="0" w:space="0" w:color="auto"/>
            <w:right w:val="none" w:sz="0" w:space="0" w:color="auto"/>
          </w:divBdr>
        </w:div>
        <w:div w:id="486671212">
          <w:marLeft w:val="0"/>
          <w:marRight w:val="0"/>
          <w:marTop w:val="0"/>
          <w:marBottom w:val="0"/>
          <w:divBdr>
            <w:top w:val="none" w:sz="0" w:space="0" w:color="auto"/>
            <w:left w:val="none" w:sz="0" w:space="0" w:color="auto"/>
            <w:bottom w:val="none" w:sz="0" w:space="0" w:color="auto"/>
            <w:right w:val="none" w:sz="0" w:space="0" w:color="auto"/>
          </w:divBdr>
        </w:div>
        <w:div w:id="1278371222">
          <w:marLeft w:val="0"/>
          <w:marRight w:val="0"/>
          <w:marTop w:val="0"/>
          <w:marBottom w:val="0"/>
          <w:divBdr>
            <w:top w:val="none" w:sz="0" w:space="0" w:color="auto"/>
            <w:left w:val="none" w:sz="0" w:space="0" w:color="auto"/>
            <w:bottom w:val="none" w:sz="0" w:space="0" w:color="auto"/>
            <w:right w:val="none" w:sz="0" w:space="0" w:color="auto"/>
          </w:divBdr>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352048">
      <w:bodyDiv w:val="1"/>
      <w:marLeft w:val="0"/>
      <w:marRight w:val="0"/>
      <w:marTop w:val="0"/>
      <w:marBottom w:val="0"/>
      <w:divBdr>
        <w:top w:val="none" w:sz="0" w:space="0" w:color="auto"/>
        <w:left w:val="none" w:sz="0" w:space="0" w:color="auto"/>
        <w:bottom w:val="none" w:sz="0" w:space="0" w:color="auto"/>
        <w:right w:val="none" w:sz="0" w:space="0" w:color="auto"/>
      </w:divBdr>
      <w:divsChild>
        <w:div w:id="949629299">
          <w:marLeft w:val="0"/>
          <w:marRight w:val="0"/>
          <w:marTop w:val="0"/>
          <w:marBottom w:val="0"/>
          <w:divBdr>
            <w:top w:val="none" w:sz="0" w:space="0" w:color="auto"/>
            <w:left w:val="none" w:sz="0" w:space="0" w:color="auto"/>
            <w:bottom w:val="none" w:sz="0" w:space="0" w:color="auto"/>
            <w:right w:val="none" w:sz="0" w:space="0" w:color="auto"/>
          </w:divBdr>
        </w:div>
        <w:div w:id="778528664">
          <w:marLeft w:val="0"/>
          <w:marRight w:val="0"/>
          <w:marTop w:val="0"/>
          <w:marBottom w:val="0"/>
          <w:divBdr>
            <w:top w:val="none" w:sz="0" w:space="0" w:color="auto"/>
            <w:left w:val="none" w:sz="0" w:space="0" w:color="auto"/>
            <w:bottom w:val="none" w:sz="0" w:space="0" w:color="auto"/>
            <w:right w:val="none" w:sz="0" w:space="0" w:color="auto"/>
          </w:divBdr>
        </w:div>
      </w:divsChild>
    </w:div>
    <w:div w:id="1891307913">
      <w:bodyDiv w:val="1"/>
      <w:marLeft w:val="0"/>
      <w:marRight w:val="0"/>
      <w:marTop w:val="0"/>
      <w:marBottom w:val="0"/>
      <w:divBdr>
        <w:top w:val="none" w:sz="0" w:space="0" w:color="auto"/>
        <w:left w:val="none" w:sz="0" w:space="0" w:color="auto"/>
        <w:bottom w:val="none" w:sz="0" w:space="0" w:color="auto"/>
        <w:right w:val="none" w:sz="0" w:space="0" w:color="auto"/>
      </w:divBdr>
      <w:divsChild>
        <w:div w:id="1315794318">
          <w:marLeft w:val="0"/>
          <w:marRight w:val="0"/>
          <w:marTop w:val="0"/>
          <w:marBottom w:val="0"/>
          <w:divBdr>
            <w:top w:val="none" w:sz="0" w:space="0" w:color="auto"/>
            <w:left w:val="none" w:sz="0" w:space="0" w:color="auto"/>
            <w:bottom w:val="none" w:sz="0" w:space="0" w:color="auto"/>
            <w:right w:val="none" w:sz="0" w:space="0" w:color="auto"/>
          </w:divBdr>
        </w:div>
        <w:div w:id="260068247">
          <w:marLeft w:val="0"/>
          <w:marRight w:val="0"/>
          <w:marTop w:val="0"/>
          <w:marBottom w:val="0"/>
          <w:divBdr>
            <w:top w:val="none" w:sz="0" w:space="0" w:color="auto"/>
            <w:left w:val="none" w:sz="0" w:space="0" w:color="auto"/>
            <w:bottom w:val="none" w:sz="0" w:space="0" w:color="auto"/>
            <w:right w:val="none" w:sz="0" w:space="0" w:color="auto"/>
          </w:divBdr>
        </w:div>
        <w:div w:id="1749690362">
          <w:marLeft w:val="0"/>
          <w:marRight w:val="0"/>
          <w:marTop w:val="0"/>
          <w:marBottom w:val="0"/>
          <w:divBdr>
            <w:top w:val="none" w:sz="0" w:space="0" w:color="auto"/>
            <w:left w:val="none" w:sz="0" w:space="0" w:color="auto"/>
            <w:bottom w:val="none" w:sz="0" w:space="0" w:color="auto"/>
            <w:right w:val="none" w:sz="0" w:space="0" w:color="auto"/>
          </w:divBdr>
        </w:div>
        <w:div w:id="696155092">
          <w:marLeft w:val="0"/>
          <w:marRight w:val="0"/>
          <w:marTop w:val="0"/>
          <w:marBottom w:val="0"/>
          <w:divBdr>
            <w:top w:val="none" w:sz="0" w:space="0" w:color="auto"/>
            <w:left w:val="none" w:sz="0" w:space="0" w:color="auto"/>
            <w:bottom w:val="none" w:sz="0" w:space="0" w:color="auto"/>
            <w:right w:val="none" w:sz="0" w:space="0" w:color="auto"/>
          </w:divBdr>
        </w:div>
        <w:div w:id="401218247">
          <w:marLeft w:val="0"/>
          <w:marRight w:val="0"/>
          <w:marTop w:val="0"/>
          <w:marBottom w:val="0"/>
          <w:divBdr>
            <w:top w:val="none" w:sz="0" w:space="0" w:color="auto"/>
            <w:left w:val="none" w:sz="0" w:space="0" w:color="auto"/>
            <w:bottom w:val="none" w:sz="0" w:space="0" w:color="auto"/>
            <w:right w:val="none" w:sz="0" w:space="0" w:color="auto"/>
          </w:divBdr>
        </w:div>
        <w:div w:id="1098450290">
          <w:marLeft w:val="0"/>
          <w:marRight w:val="0"/>
          <w:marTop w:val="0"/>
          <w:marBottom w:val="0"/>
          <w:divBdr>
            <w:top w:val="none" w:sz="0" w:space="0" w:color="auto"/>
            <w:left w:val="none" w:sz="0" w:space="0" w:color="auto"/>
            <w:bottom w:val="none" w:sz="0" w:space="0" w:color="auto"/>
            <w:right w:val="none" w:sz="0" w:space="0" w:color="auto"/>
          </w:divBdr>
        </w:div>
        <w:div w:id="5134516">
          <w:marLeft w:val="0"/>
          <w:marRight w:val="0"/>
          <w:marTop w:val="0"/>
          <w:marBottom w:val="0"/>
          <w:divBdr>
            <w:top w:val="none" w:sz="0" w:space="0" w:color="auto"/>
            <w:left w:val="none" w:sz="0" w:space="0" w:color="auto"/>
            <w:bottom w:val="none" w:sz="0" w:space="0" w:color="auto"/>
            <w:right w:val="none" w:sz="0" w:space="0" w:color="auto"/>
          </w:divBdr>
        </w:div>
        <w:div w:id="214775393">
          <w:marLeft w:val="0"/>
          <w:marRight w:val="0"/>
          <w:marTop w:val="0"/>
          <w:marBottom w:val="0"/>
          <w:divBdr>
            <w:top w:val="none" w:sz="0" w:space="0" w:color="auto"/>
            <w:left w:val="none" w:sz="0" w:space="0" w:color="auto"/>
            <w:bottom w:val="none" w:sz="0" w:space="0" w:color="auto"/>
            <w:right w:val="none" w:sz="0" w:space="0" w:color="auto"/>
          </w:divBdr>
        </w:div>
        <w:div w:id="91521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B9F-3E05-4F2E-8D9E-07618638842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889ACC-2EAE-4FAC-B40D-65C2DAFAF2A5"/>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3.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506DF-BAAF-44C7-A055-6A95908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4591</Words>
  <Characters>25251</Characters>
  <Application>Microsoft Office Word</Application>
  <DocSecurity>4</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Annotations to the provisional agenda</vt:lpstr>
      <vt:lpstr>Annotations to the provisional agenda</vt:lpstr>
    </vt:vector>
  </TitlesOfParts>
  <Company>Hewlett-Packard</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Stephanie Laruelle</cp:lastModifiedBy>
  <cp:revision>2</cp:revision>
  <cp:lastPrinted>2018-09-12T14:55:00Z</cp:lastPrinted>
  <dcterms:created xsi:type="dcterms:W3CDTF">2018-11-16T11:50:00Z</dcterms:created>
  <dcterms:modified xsi:type="dcterms:W3CDTF">2018-11-16T11:50:00Z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y fmtid="{D5CDD505-2E9C-101B-9397-08002B2CF9AE}" pid="3" name="TranslatedWith">
    <vt:lpwstr>Mercury</vt:lpwstr>
  </property>
  <property fmtid="{D5CDD505-2E9C-101B-9397-08002B2CF9AE}" pid="4" name="GeneratedBy">
    <vt:lpwstr>maite.suengas</vt:lpwstr>
  </property>
  <property fmtid="{D5CDD505-2E9C-101B-9397-08002B2CF9AE}" pid="5" name="GeneratedDate">
    <vt:lpwstr>11/14/2018 2:50:20 PM</vt:lpwstr>
  </property>
  <property fmtid="{D5CDD505-2E9C-101B-9397-08002B2CF9AE}" pid="6" name="OriginalDocID">
    <vt:lpwstr>1f96e7dc-4b4a-4ef5-b4ed-e77e7af237e6</vt:lpwstr>
  </property>
</Properties>
</file>